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6A033E" w14:textId="1CD5BC98" w:rsidR="00550C32" w:rsidRPr="00061936" w:rsidRDefault="00550C32" w:rsidP="00550C32">
      <w:pPr>
        <w:rPr>
          <w:rFonts w:ascii="Times New Roman" w:hAnsi="Times New Roman" w:cs="Times New Roman"/>
        </w:rPr>
      </w:pPr>
      <w:r w:rsidRPr="005D2F51">
        <w:rPr>
          <w:rFonts w:ascii="Times New Roman" w:hAnsi="Times New Roman" w:cs="Times New Roman"/>
          <w:b/>
          <w:bCs/>
        </w:rPr>
        <w:t xml:space="preserve">Article type: </w:t>
      </w:r>
      <w:r>
        <w:rPr>
          <w:rFonts w:ascii="Times New Roman" w:hAnsi="Times New Roman" w:cs="Times New Roman"/>
        </w:rPr>
        <w:t>Original</w:t>
      </w:r>
      <w:r w:rsidRPr="005D2F51">
        <w:rPr>
          <w:rFonts w:ascii="Times New Roman" w:hAnsi="Times New Roman" w:cs="Times New Roman"/>
        </w:rPr>
        <w:t xml:space="preserve"> Article</w:t>
      </w:r>
    </w:p>
    <w:p w14:paraId="470B4FE5" w14:textId="77777777" w:rsidR="00550C32" w:rsidRDefault="00550C32" w:rsidP="00550C32">
      <w:pPr>
        <w:suppressLineNumbers/>
        <w:rPr>
          <w:rFonts w:ascii="Times New Roman" w:hAnsi="Times New Roman" w:cs="Times New Roman"/>
          <w:sz w:val="22"/>
          <w:szCs w:val="22"/>
        </w:rPr>
      </w:pPr>
    </w:p>
    <w:p w14:paraId="1804CD06" w14:textId="77777777" w:rsidR="00550C32" w:rsidRPr="005D2F51" w:rsidRDefault="00550C32" w:rsidP="00550C32">
      <w:pPr>
        <w:suppressLineNumbers/>
        <w:rPr>
          <w:rFonts w:ascii="Times New Roman" w:hAnsi="Times New Roman" w:cs="Times New Roman"/>
          <w:sz w:val="22"/>
          <w:szCs w:val="22"/>
        </w:rPr>
      </w:pPr>
    </w:p>
    <w:p w14:paraId="0B3A27F0" w14:textId="77777777" w:rsidR="00550C32" w:rsidRPr="001A50E0" w:rsidRDefault="00550C32" w:rsidP="00550C32">
      <w:pPr>
        <w:rPr>
          <w:rFonts w:ascii="Times New Roman" w:hAnsi="Times New Roman" w:cs="Times New Roman"/>
          <w:b/>
          <w:bCs/>
          <w:sz w:val="32"/>
          <w:szCs w:val="32"/>
          <w:vertAlign w:val="subscript"/>
        </w:rPr>
      </w:pPr>
      <w:r>
        <w:rPr>
          <w:rFonts w:ascii="Times New Roman" w:hAnsi="Times New Roman" w:cs="Times New Roman"/>
          <w:b/>
          <w:bCs/>
          <w:sz w:val="32"/>
          <w:szCs w:val="32"/>
        </w:rPr>
        <w:t xml:space="preserve">Seawater temperature, but not pH, affects startle response behaviour in a wide-ranging marine bivalve </w:t>
      </w:r>
    </w:p>
    <w:p w14:paraId="511AE3F9" w14:textId="77777777" w:rsidR="00550C32" w:rsidRPr="001A50E0" w:rsidRDefault="00550C32" w:rsidP="00550C32">
      <w:pPr>
        <w:suppressLineNumbers/>
        <w:rPr>
          <w:rFonts w:ascii="Times New Roman" w:hAnsi="Times New Roman" w:cs="Times New Roman"/>
          <w:b/>
          <w:bCs/>
          <w:vertAlign w:val="subscript"/>
        </w:rPr>
      </w:pPr>
    </w:p>
    <w:p w14:paraId="6191DC0A" w14:textId="16871209" w:rsidR="003123C7" w:rsidRPr="00943795" w:rsidRDefault="003123C7" w:rsidP="003123C7">
      <w:pPr>
        <w:rPr>
          <w:rFonts w:ascii="Times New Roman" w:hAnsi="Times New Roman" w:cs="Times New Roman"/>
        </w:rPr>
      </w:pPr>
      <w:r w:rsidRPr="00943795">
        <w:rPr>
          <w:rFonts w:ascii="Times New Roman" w:hAnsi="Times New Roman" w:cs="Times New Roman"/>
          <w:b/>
          <w:bCs/>
        </w:rPr>
        <w:t>Abbreviated title:</w:t>
      </w:r>
      <w:r>
        <w:rPr>
          <w:rFonts w:ascii="Times New Roman" w:hAnsi="Times New Roman" w:cs="Times New Roman"/>
          <w:b/>
          <w:bCs/>
        </w:rPr>
        <w:t xml:space="preserve"> </w:t>
      </w:r>
      <w:r w:rsidRPr="000036D4">
        <w:rPr>
          <w:rFonts w:ascii="Times New Roman" w:hAnsi="Times New Roman" w:cs="Times New Roman"/>
          <w:i/>
          <w:iCs/>
        </w:rPr>
        <w:t xml:space="preserve">Bivalve startle response under high temperature and </w:t>
      </w:r>
      <w:r w:rsidRPr="000036D4">
        <w:rPr>
          <w:rFonts w:ascii="Times New Roman" w:hAnsi="Times New Roman" w:cs="Times New Roman"/>
          <w:i/>
          <w:iCs/>
        </w:rPr>
        <w:t>low pH</w:t>
      </w:r>
    </w:p>
    <w:p w14:paraId="096ED973" w14:textId="34E7951A" w:rsidR="00E9586A" w:rsidRDefault="00E9586A" w:rsidP="00550C32">
      <w:pPr>
        <w:suppressLineNumbers/>
        <w:rPr>
          <w:rFonts w:ascii="Times New Roman" w:hAnsi="Times New Roman" w:cs="Times New Roman"/>
          <w:b/>
          <w:bCs/>
          <w:sz w:val="28"/>
          <w:szCs w:val="28"/>
          <w:vertAlign w:val="subscript"/>
        </w:rPr>
      </w:pPr>
    </w:p>
    <w:p w14:paraId="5A8636AF" w14:textId="77777777" w:rsidR="000036D4" w:rsidRPr="001A50E0" w:rsidRDefault="000036D4" w:rsidP="00550C32">
      <w:pPr>
        <w:suppressLineNumbers/>
        <w:rPr>
          <w:rFonts w:ascii="Times New Roman" w:hAnsi="Times New Roman" w:cs="Times New Roman"/>
          <w:b/>
          <w:bCs/>
          <w:sz w:val="28"/>
          <w:szCs w:val="28"/>
          <w:vertAlign w:val="subscript"/>
        </w:rPr>
      </w:pPr>
    </w:p>
    <w:p w14:paraId="5603D277" w14:textId="77777777" w:rsidR="00550C32" w:rsidRPr="001A50E0" w:rsidRDefault="00550C32" w:rsidP="00550C32">
      <w:pPr>
        <w:rPr>
          <w:rFonts w:ascii="Times New Roman" w:hAnsi="Times New Roman" w:cs="Times New Roman"/>
          <w:sz w:val="28"/>
          <w:szCs w:val="28"/>
          <w:vertAlign w:val="superscript"/>
        </w:rPr>
      </w:pPr>
      <w:r w:rsidRPr="001A50E0">
        <w:rPr>
          <w:rFonts w:ascii="Times New Roman" w:hAnsi="Times New Roman" w:cs="Times New Roman"/>
          <w:sz w:val="28"/>
          <w:szCs w:val="28"/>
        </w:rPr>
        <w:t>Jeff C. Clements</w:t>
      </w:r>
      <w:r w:rsidRPr="001A50E0">
        <w:rPr>
          <w:rFonts w:ascii="Times New Roman" w:hAnsi="Times New Roman" w:cs="Times New Roman"/>
          <w:sz w:val="28"/>
          <w:szCs w:val="28"/>
          <w:vertAlign w:val="superscript"/>
        </w:rPr>
        <w:t>1*</w:t>
      </w:r>
      <w:r w:rsidRPr="001A50E0">
        <w:rPr>
          <w:rFonts w:ascii="Times New Roman" w:hAnsi="Times New Roman" w:cs="Times New Roman"/>
          <w:sz w:val="28"/>
          <w:szCs w:val="28"/>
        </w:rPr>
        <w:t>, Kirti Ramesh</w:t>
      </w:r>
      <w:r w:rsidRPr="001A50E0">
        <w:rPr>
          <w:rFonts w:ascii="Times New Roman" w:hAnsi="Times New Roman" w:cs="Times New Roman"/>
          <w:sz w:val="28"/>
          <w:szCs w:val="28"/>
          <w:vertAlign w:val="superscript"/>
        </w:rPr>
        <w:t>2</w:t>
      </w:r>
      <w:r w:rsidRPr="00236255">
        <w:rPr>
          <w:rFonts w:ascii="Times New Roman" w:hAnsi="Times New Roman" w:cs="Times New Roman"/>
          <w:sz w:val="28"/>
          <w:szCs w:val="28"/>
        </w:rPr>
        <w:t xml:space="preserve">, </w:t>
      </w:r>
      <w:r w:rsidRPr="001A50E0">
        <w:rPr>
          <w:rFonts w:ascii="Times New Roman" w:hAnsi="Times New Roman" w:cs="Times New Roman"/>
          <w:sz w:val="28"/>
          <w:szCs w:val="28"/>
        </w:rPr>
        <w:t>Jacob Nysveen</w:t>
      </w:r>
      <w:r w:rsidRPr="001A50E0">
        <w:rPr>
          <w:rFonts w:ascii="Times New Roman" w:hAnsi="Times New Roman" w:cs="Times New Roman"/>
          <w:sz w:val="28"/>
          <w:szCs w:val="28"/>
          <w:vertAlign w:val="superscript"/>
        </w:rPr>
        <w:t>2,3</w:t>
      </w:r>
      <w:r>
        <w:rPr>
          <w:rFonts w:ascii="Times New Roman" w:hAnsi="Times New Roman" w:cs="Times New Roman"/>
          <w:sz w:val="28"/>
          <w:szCs w:val="28"/>
        </w:rPr>
        <w:t>,</w:t>
      </w:r>
      <w:r>
        <w:rPr>
          <w:rFonts w:ascii="Times New Roman" w:hAnsi="Times New Roman" w:cs="Times New Roman"/>
          <w:sz w:val="28"/>
          <w:szCs w:val="28"/>
          <w:vertAlign w:val="superscript"/>
        </w:rPr>
        <w:t xml:space="preserve"> </w:t>
      </w:r>
      <w:r w:rsidRPr="00236255">
        <w:rPr>
          <w:rFonts w:ascii="Times New Roman" w:hAnsi="Times New Roman" w:cs="Times New Roman"/>
          <w:sz w:val="28"/>
          <w:szCs w:val="28"/>
        </w:rPr>
        <w:t>Sam</w:t>
      </w:r>
      <w:r w:rsidRPr="001A50E0">
        <w:rPr>
          <w:rFonts w:ascii="Times New Roman" w:hAnsi="Times New Roman" w:cs="Times New Roman"/>
          <w:sz w:val="28"/>
          <w:szCs w:val="28"/>
        </w:rPr>
        <w:t xml:space="preserve"> Dupont</w:t>
      </w:r>
      <w:r w:rsidRPr="001A50E0">
        <w:rPr>
          <w:rFonts w:ascii="Times New Roman" w:hAnsi="Times New Roman" w:cs="Times New Roman"/>
          <w:sz w:val="28"/>
          <w:szCs w:val="28"/>
          <w:vertAlign w:val="superscript"/>
        </w:rPr>
        <w:t>2</w:t>
      </w:r>
      <w:r w:rsidRPr="001A50E0">
        <w:rPr>
          <w:rFonts w:ascii="Times New Roman" w:hAnsi="Times New Roman" w:cs="Times New Roman"/>
          <w:sz w:val="28"/>
          <w:szCs w:val="28"/>
        </w:rPr>
        <w:t xml:space="preserve">, Fredrik </w:t>
      </w:r>
      <w:r w:rsidRPr="00236255">
        <w:rPr>
          <w:rFonts w:ascii="Times New Roman" w:hAnsi="Times New Roman" w:cs="Times New Roman"/>
          <w:sz w:val="28"/>
          <w:szCs w:val="28"/>
        </w:rPr>
        <w:t>Jutfelt</w:t>
      </w:r>
      <w:r w:rsidRPr="00236255">
        <w:rPr>
          <w:rFonts w:ascii="Times New Roman" w:hAnsi="Times New Roman" w:cs="Times New Roman"/>
          <w:sz w:val="28"/>
          <w:szCs w:val="28"/>
          <w:vertAlign w:val="superscript"/>
        </w:rPr>
        <w:t>1</w:t>
      </w:r>
    </w:p>
    <w:p w14:paraId="6BAE0EA6" w14:textId="22789FA3" w:rsidR="00550C32" w:rsidRDefault="00550C32" w:rsidP="00550C32">
      <w:pPr>
        <w:suppressLineNumbers/>
        <w:rPr>
          <w:rFonts w:ascii="Times New Roman" w:hAnsi="Times New Roman" w:cs="Times New Roman"/>
          <w:vertAlign w:val="superscript"/>
        </w:rPr>
      </w:pPr>
    </w:p>
    <w:p w14:paraId="0890E3B2" w14:textId="29E3C82D" w:rsidR="000036D4" w:rsidRDefault="000036D4" w:rsidP="00550C32">
      <w:pPr>
        <w:suppressLineNumbers/>
        <w:rPr>
          <w:rFonts w:ascii="Times New Roman" w:hAnsi="Times New Roman" w:cs="Times New Roman"/>
          <w:vertAlign w:val="superscript"/>
        </w:rPr>
      </w:pPr>
    </w:p>
    <w:p w14:paraId="228331CD" w14:textId="77777777" w:rsidR="000036D4" w:rsidRPr="001A50E0" w:rsidRDefault="000036D4" w:rsidP="00550C32">
      <w:pPr>
        <w:suppressLineNumbers/>
        <w:rPr>
          <w:rFonts w:ascii="Times New Roman" w:hAnsi="Times New Roman" w:cs="Times New Roman"/>
          <w:vertAlign w:val="superscript"/>
        </w:rPr>
      </w:pPr>
    </w:p>
    <w:p w14:paraId="0F74D3F8" w14:textId="77777777" w:rsidR="00550C32" w:rsidRPr="001A50E0" w:rsidRDefault="00550C32" w:rsidP="00550C32">
      <w:pPr>
        <w:suppressLineNumbers/>
        <w:rPr>
          <w:rFonts w:ascii="Times New Roman" w:hAnsi="Times New Roman" w:cs="Times New Roman"/>
          <w:vertAlign w:val="superscript"/>
        </w:rPr>
      </w:pPr>
    </w:p>
    <w:p w14:paraId="0FF486AC" w14:textId="77777777" w:rsidR="00550C32" w:rsidRPr="001A50E0" w:rsidRDefault="00550C32" w:rsidP="00550C32">
      <w:pPr>
        <w:suppressLineNumbers/>
        <w:rPr>
          <w:rFonts w:ascii="Times New Roman" w:hAnsi="Times New Roman" w:cs="Times New Roman"/>
          <w:vertAlign w:val="superscript"/>
        </w:rPr>
      </w:pPr>
    </w:p>
    <w:p w14:paraId="32DF2317" w14:textId="77777777" w:rsidR="00550C32" w:rsidRPr="001A50E0" w:rsidRDefault="00550C32" w:rsidP="00550C32">
      <w:pPr>
        <w:ind w:left="426" w:hanging="426"/>
        <w:rPr>
          <w:rFonts w:ascii="Times New Roman" w:hAnsi="Times New Roman" w:cs="Times New Roman"/>
        </w:rPr>
      </w:pPr>
      <w:r w:rsidRPr="001A50E0">
        <w:rPr>
          <w:rFonts w:ascii="Times New Roman" w:hAnsi="Times New Roman" w:cs="Times New Roman"/>
          <w:vertAlign w:val="superscript"/>
        </w:rPr>
        <w:t>1</w:t>
      </w:r>
      <w:r w:rsidRPr="001A50E0">
        <w:rPr>
          <w:rFonts w:ascii="Times New Roman" w:hAnsi="Times New Roman" w:cs="Times New Roman"/>
        </w:rPr>
        <w:tab/>
        <w:t xml:space="preserve">Department of Biology, Norwegian University of Science and Technology, </w:t>
      </w:r>
      <w:proofErr w:type="spellStart"/>
      <w:r w:rsidRPr="001A50E0">
        <w:rPr>
          <w:rFonts w:ascii="Times New Roman" w:hAnsi="Times New Roman" w:cs="Times New Roman"/>
        </w:rPr>
        <w:t>Høgskoleringen</w:t>
      </w:r>
      <w:proofErr w:type="spellEnd"/>
      <w:r w:rsidRPr="001A50E0">
        <w:rPr>
          <w:rFonts w:ascii="Times New Roman" w:hAnsi="Times New Roman" w:cs="Times New Roman"/>
        </w:rPr>
        <w:t xml:space="preserve"> 5, 7491 Trondheim, Norway</w:t>
      </w:r>
    </w:p>
    <w:p w14:paraId="35520272" w14:textId="77777777" w:rsidR="00550C32" w:rsidRPr="001A50E0" w:rsidRDefault="00550C32" w:rsidP="00550C32">
      <w:pPr>
        <w:suppressLineNumbers/>
        <w:rPr>
          <w:rFonts w:ascii="Times New Roman" w:hAnsi="Times New Roman" w:cs="Times New Roman"/>
        </w:rPr>
      </w:pPr>
    </w:p>
    <w:p w14:paraId="2634A822" w14:textId="77777777" w:rsidR="00550C32" w:rsidRPr="001A50E0" w:rsidRDefault="00550C32" w:rsidP="00550C32">
      <w:pPr>
        <w:ind w:left="426" w:hanging="426"/>
        <w:rPr>
          <w:rFonts w:ascii="Times New Roman" w:hAnsi="Times New Roman" w:cs="Times New Roman"/>
          <w:vertAlign w:val="superscript"/>
        </w:rPr>
      </w:pPr>
      <w:r w:rsidRPr="001A50E0">
        <w:rPr>
          <w:rFonts w:ascii="Times New Roman" w:hAnsi="Times New Roman" w:cs="Times New Roman"/>
          <w:vertAlign w:val="superscript"/>
        </w:rPr>
        <w:t>2</w:t>
      </w:r>
      <w:r w:rsidRPr="001A50E0">
        <w:rPr>
          <w:rFonts w:ascii="Times New Roman" w:hAnsi="Times New Roman" w:cs="Times New Roman"/>
        </w:rPr>
        <w:tab/>
        <w:t xml:space="preserve">Department of Biological and Environmental Sciences, University of Gothenburg, </w:t>
      </w:r>
      <w:proofErr w:type="spellStart"/>
      <w:r w:rsidRPr="001A50E0">
        <w:rPr>
          <w:rFonts w:ascii="Times New Roman" w:hAnsi="Times New Roman" w:cs="Times New Roman"/>
        </w:rPr>
        <w:t>Kristineberg</w:t>
      </w:r>
      <w:proofErr w:type="spellEnd"/>
      <w:r w:rsidRPr="001A50E0">
        <w:rPr>
          <w:rFonts w:ascii="Times New Roman" w:hAnsi="Times New Roman" w:cs="Times New Roman"/>
        </w:rPr>
        <w:t xml:space="preserve"> Marine Research Centre, </w:t>
      </w:r>
      <w:proofErr w:type="spellStart"/>
      <w:r w:rsidRPr="001A50E0">
        <w:rPr>
          <w:rFonts w:ascii="Times New Roman" w:hAnsi="Times New Roman" w:cs="Times New Roman"/>
        </w:rPr>
        <w:t>Kristineberg</w:t>
      </w:r>
      <w:proofErr w:type="spellEnd"/>
      <w:r w:rsidRPr="001A50E0">
        <w:rPr>
          <w:rFonts w:ascii="Times New Roman" w:hAnsi="Times New Roman" w:cs="Times New Roman"/>
        </w:rPr>
        <w:t xml:space="preserve"> 566, 45178 </w:t>
      </w:r>
      <w:proofErr w:type="spellStart"/>
      <w:r w:rsidRPr="001A50E0">
        <w:rPr>
          <w:rFonts w:ascii="Times New Roman" w:hAnsi="Times New Roman" w:cs="Times New Roman"/>
        </w:rPr>
        <w:t>Fiskebäckskil</w:t>
      </w:r>
      <w:proofErr w:type="spellEnd"/>
      <w:r w:rsidRPr="001A50E0">
        <w:rPr>
          <w:rFonts w:ascii="Times New Roman" w:hAnsi="Times New Roman" w:cs="Times New Roman"/>
        </w:rPr>
        <w:t>, Sweden</w:t>
      </w:r>
    </w:p>
    <w:p w14:paraId="4D22D639" w14:textId="77777777" w:rsidR="00550C32" w:rsidRPr="001A50E0" w:rsidRDefault="00550C32" w:rsidP="00550C32">
      <w:pPr>
        <w:suppressLineNumbers/>
        <w:ind w:left="426" w:hanging="426"/>
        <w:rPr>
          <w:rFonts w:ascii="Times New Roman" w:hAnsi="Times New Roman" w:cs="Times New Roman"/>
          <w:vertAlign w:val="superscript"/>
        </w:rPr>
      </w:pPr>
    </w:p>
    <w:p w14:paraId="4C81398C" w14:textId="77777777" w:rsidR="00550C32" w:rsidRPr="001A50E0" w:rsidRDefault="00550C32" w:rsidP="00550C32">
      <w:pPr>
        <w:ind w:left="426" w:hanging="426"/>
        <w:rPr>
          <w:rFonts w:ascii="Times New Roman" w:hAnsi="Times New Roman" w:cs="Times New Roman"/>
        </w:rPr>
      </w:pPr>
      <w:r w:rsidRPr="001A50E0">
        <w:rPr>
          <w:rFonts w:ascii="Times New Roman" w:hAnsi="Times New Roman" w:cs="Times New Roman"/>
          <w:vertAlign w:val="superscript"/>
        </w:rPr>
        <w:t>3</w:t>
      </w:r>
      <w:r w:rsidRPr="001A50E0">
        <w:rPr>
          <w:rFonts w:ascii="Times New Roman" w:hAnsi="Times New Roman" w:cs="Times New Roman"/>
        </w:rPr>
        <w:tab/>
      </w:r>
      <w:proofErr w:type="spellStart"/>
      <w:r w:rsidRPr="001A50E0">
        <w:rPr>
          <w:rFonts w:ascii="Times New Roman" w:hAnsi="Times New Roman" w:cs="Times New Roman"/>
        </w:rPr>
        <w:t>Havets</w:t>
      </w:r>
      <w:proofErr w:type="spellEnd"/>
      <w:r w:rsidRPr="001A50E0">
        <w:rPr>
          <w:rFonts w:ascii="Times New Roman" w:hAnsi="Times New Roman" w:cs="Times New Roman"/>
        </w:rPr>
        <w:t xml:space="preserve"> Hus, </w:t>
      </w:r>
      <w:proofErr w:type="spellStart"/>
      <w:r w:rsidRPr="001A50E0">
        <w:rPr>
          <w:rFonts w:ascii="Times New Roman" w:hAnsi="Times New Roman" w:cs="Times New Roman"/>
        </w:rPr>
        <w:t>Strandvägen</w:t>
      </w:r>
      <w:proofErr w:type="spellEnd"/>
      <w:r w:rsidRPr="001A50E0">
        <w:rPr>
          <w:rFonts w:ascii="Times New Roman" w:hAnsi="Times New Roman" w:cs="Times New Roman"/>
        </w:rPr>
        <w:t xml:space="preserve"> 9, 45330 </w:t>
      </w:r>
      <w:proofErr w:type="spellStart"/>
      <w:r w:rsidRPr="001A50E0">
        <w:rPr>
          <w:rFonts w:ascii="Times New Roman" w:hAnsi="Times New Roman" w:cs="Times New Roman"/>
        </w:rPr>
        <w:t>Lysekil</w:t>
      </w:r>
      <w:proofErr w:type="spellEnd"/>
      <w:r w:rsidRPr="001A50E0">
        <w:rPr>
          <w:rFonts w:ascii="Times New Roman" w:hAnsi="Times New Roman" w:cs="Times New Roman"/>
        </w:rPr>
        <w:t>, Sweden</w:t>
      </w:r>
    </w:p>
    <w:p w14:paraId="14899ED5" w14:textId="77777777" w:rsidR="00550C32" w:rsidRPr="001A50E0" w:rsidRDefault="00550C32" w:rsidP="00550C32">
      <w:pPr>
        <w:suppressLineNumbers/>
        <w:ind w:left="426" w:hanging="426"/>
        <w:rPr>
          <w:rFonts w:ascii="Times New Roman" w:hAnsi="Times New Roman" w:cs="Times New Roman"/>
        </w:rPr>
      </w:pPr>
    </w:p>
    <w:p w14:paraId="7E9F053A" w14:textId="77777777" w:rsidR="00550C32" w:rsidRDefault="00550C32" w:rsidP="00550C32">
      <w:pPr>
        <w:suppressLineNumbers/>
        <w:ind w:left="426" w:hanging="426"/>
        <w:rPr>
          <w:rFonts w:ascii="Times New Roman" w:hAnsi="Times New Roman" w:cs="Times New Roman"/>
          <w:vertAlign w:val="superscript"/>
        </w:rPr>
      </w:pPr>
    </w:p>
    <w:p w14:paraId="35987696" w14:textId="77777777" w:rsidR="00550C32" w:rsidRPr="001A50E0" w:rsidRDefault="00550C32" w:rsidP="00550C32">
      <w:pPr>
        <w:suppressLineNumbers/>
        <w:ind w:left="426" w:hanging="426"/>
        <w:rPr>
          <w:rFonts w:ascii="Times New Roman" w:hAnsi="Times New Roman" w:cs="Times New Roman"/>
          <w:vertAlign w:val="superscript"/>
        </w:rPr>
      </w:pPr>
    </w:p>
    <w:p w14:paraId="350A1D5A" w14:textId="77777777" w:rsidR="00550C32" w:rsidRPr="001A50E0" w:rsidRDefault="00550C32" w:rsidP="00550C32">
      <w:pPr>
        <w:suppressLineNumbers/>
        <w:ind w:left="426" w:hanging="426"/>
        <w:rPr>
          <w:rFonts w:ascii="Times New Roman" w:hAnsi="Times New Roman" w:cs="Times New Roman"/>
        </w:rPr>
      </w:pPr>
    </w:p>
    <w:p w14:paraId="6014DCC3" w14:textId="77777777" w:rsidR="00550C32" w:rsidRPr="001A50E0" w:rsidRDefault="00550C32" w:rsidP="00550C32">
      <w:pPr>
        <w:suppressLineNumbers/>
        <w:ind w:left="426" w:hanging="426"/>
        <w:rPr>
          <w:rFonts w:ascii="Times New Roman" w:hAnsi="Times New Roman" w:cs="Times New Roman"/>
        </w:rPr>
      </w:pPr>
    </w:p>
    <w:p w14:paraId="1B66013B" w14:textId="77777777" w:rsidR="00550C32" w:rsidRDefault="00550C32" w:rsidP="00550C32">
      <w:pPr>
        <w:ind w:left="142" w:hanging="142"/>
        <w:rPr>
          <w:rFonts w:ascii="Times New Roman" w:hAnsi="Times New Roman" w:cs="Times New Roman"/>
        </w:rPr>
      </w:pPr>
      <w:r w:rsidRPr="001A50E0">
        <w:rPr>
          <w:rFonts w:ascii="Times New Roman" w:hAnsi="Times New Roman" w:cs="Times New Roman"/>
        </w:rPr>
        <w:t>*</w:t>
      </w:r>
      <w:r w:rsidRPr="001A50E0">
        <w:rPr>
          <w:rFonts w:ascii="Times New Roman" w:hAnsi="Times New Roman" w:cs="Times New Roman"/>
        </w:rPr>
        <w:tab/>
      </w:r>
      <w:r w:rsidRPr="001A50E0">
        <w:rPr>
          <w:rFonts w:ascii="Times New Roman" w:hAnsi="Times New Roman" w:cs="Times New Roman"/>
          <w:b/>
          <w:bCs/>
        </w:rPr>
        <w:t>Correspondence:</w:t>
      </w:r>
      <w:r w:rsidRPr="001A50E0">
        <w:rPr>
          <w:rFonts w:ascii="Times New Roman" w:hAnsi="Times New Roman" w:cs="Times New Roman"/>
        </w:rPr>
        <w:t xml:space="preserve"> </w:t>
      </w:r>
      <w:r w:rsidRPr="001A50E0">
        <w:rPr>
          <w:rFonts w:ascii="Times New Roman" w:hAnsi="Times New Roman" w:cs="Times New Roman"/>
        </w:rPr>
        <w:tab/>
        <w:t>Jeff C. Clements, Ph.D.</w:t>
      </w:r>
    </w:p>
    <w:p w14:paraId="3349E67D" w14:textId="77777777" w:rsidR="00550C32" w:rsidRDefault="00550C32" w:rsidP="00550C32">
      <w:pPr>
        <w:ind w:left="284" w:hanging="426"/>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hyperlink r:id="rId7" w:history="1">
        <w:r w:rsidRPr="00753DAD">
          <w:rPr>
            <w:rStyle w:val="Hyperlink"/>
            <w:rFonts w:ascii="Times New Roman" w:hAnsi="Times New Roman" w:cs="Times New Roman"/>
          </w:rPr>
          <w:t>jeffery.clements@dfo-mpo.gc.ca</w:t>
        </w:r>
      </w:hyperlink>
      <w:r>
        <w:rPr>
          <w:rFonts w:ascii="Times New Roman" w:hAnsi="Times New Roman" w:cs="Times New Roman"/>
        </w:rPr>
        <w:t xml:space="preserve">; </w:t>
      </w:r>
      <w:hyperlink r:id="rId8" w:history="1">
        <w:r w:rsidRPr="00785F13">
          <w:rPr>
            <w:rStyle w:val="Hyperlink"/>
            <w:rFonts w:ascii="Times New Roman" w:hAnsi="Times New Roman" w:cs="Times New Roman"/>
          </w:rPr>
          <w:t>jefferycclements@gmail.com</w:t>
        </w:r>
      </w:hyperlink>
    </w:p>
    <w:p w14:paraId="351C09C6" w14:textId="77777777" w:rsidR="00550C32" w:rsidRDefault="00550C32" w:rsidP="00550C32">
      <w:pPr>
        <w:ind w:left="284" w:hanging="426"/>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+1 (506) 851-2724 </w:t>
      </w:r>
    </w:p>
    <w:p w14:paraId="0FAFCBE5" w14:textId="77777777" w:rsidR="00550C32" w:rsidRDefault="00550C32" w:rsidP="00550C32">
      <w:pPr>
        <w:ind w:left="284" w:hanging="426"/>
        <w:rPr>
          <w:rFonts w:ascii="Times New Roman" w:hAnsi="Times New Roman" w:cs="Times New Roman"/>
        </w:rPr>
      </w:pPr>
    </w:p>
    <w:p w14:paraId="662DD74C" w14:textId="1375FF7A" w:rsidR="00550C32" w:rsidRDefault="00550C32" w:rsidP="00550C32">
      <w:pPr>
        <w:ind w:left="284" w:hanging="426"/>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i/>
          <w:iCs/>
        </w:rPr>
        <w:t xml:space="preserve">Current address: </w:t>
      </w:r>
      <w:r>
        <w:rPr>
          <w:rFonts w:ascii="Times New Roman" w:hAnsi="Times New Roman" w:cs="Times New Roman"/>
        </w:rPr>
        <w:t xml:space="preserve">42 </w:t>
      </w:r>
      <w:proofErr w:type="spellStart"/>
      <w:r>
        <w:rPr>
          <w:rFonts w:ascii="Times New Roman" w:hAnsi="Times New Roman" w:cs="Times New Roman"/>
        </w:rPr>
        <w:t>Senese</w:t>
      </w:r>
      <w:proofErr w:type="spellEnd"/>
      <w:r>
        <w:rPr>
          <w:rFonts w:ascii="Times New Roman" w:hAnsi="Times New Roman" w:cs="Times New Roman"/>
        </w:rPr>
        <w:t xml:space="preserve"> St., Moncton, NB </w:t>
      </w:r>
      <w:r w:rsidRPr="00B10A9A">
        <w:rPr>
          <w:rFonts w:ascii="Times New Roman" w:hAnsi="Times New Roman" w:cs="Times New Roman"/>
        </w:rPr>
        <w:t>E1E 0B8, Canada</w:t>
      </w:r>
    </w:p>
    <w:p w14:paraId="30D6A3F8" w14:textId="77777777" w:rsidR="00550C32" w:rsidRDefault="00550C32" w:rsidP="00550C32">
      <w:pPr>
        <w:suppressLineNumbers/>
        <w:rPr>
          <w:rFonts w:ascii="Times New Roman" w:hAnsi="Times New Roman" w:cs="Times New Roman"/>
        </w:rPr>
      </w:pPr>
      <w:r>
        <w:rPr>
          <w:rFonts w:ascii="Times New Roman" w:hAnsi="Times New Roman" w:cs="Times New Roman"/>
        </w:rPr>
        <w:br w:type="page"/>
      </w:r>
    </w:p>
    <w:p w14:paraId="76420027" w14:textId="77777777" w:rsidR="00297411" w:rsidRDefault="00297411" w:rsidP="00550C32">
      <w:pPr>
        <w:spacing w:after="240" w:line="360" w:lineRule="auto"/>
        <w:rPr>
          <w:rFonts w:ascii="Times New Roman" w:hAnsi="Times New Roman" w:cs="Times New Roman"/>
          <w:b/>
          <w:bCs/>
        </w:rPr>
      </w:pPr>
      <w:r>
        <w:rPr>
          <w:rFonts w:ascii="Times New Roman" w:hAnsi="Times New Roman" w:cs="Times New Roman"/>
          <w:b/>
          <w:bCs/>
        </w:rPr>
        <w:lastRenderedPageBreak/>
        <w:t>Lay summary</w:t>
      </w:r>
    </w:p>
    <w:p w14:paraId="70D3F5F7" w14:textId="0B626549" w:rsidR="00550C32" w:rsidRPr="001A50E0" w:rsidRDefault="00307C03" w:rsidP="007E68BE">
      <w:pPr>
        <w:spacing w:after="240" w:line="360" w:lineRule="auto"/>
        <w:rPr>
          <w:rFonts w:ascii="Times New Roman" w:hAnsi="Times New Roman" w:cs="Times New Roman"/>
        </w:rPr>
      </w:pPr>
      <w:r>
        <w:rPr>
          <w:rFonts w:ascii="Times New Roman" w:hAnsi="Times New Roman" w:cs="Times New Roman"/>
        </w:rPr>
        <w:t xml:space="preserve">When </w:t>
      </w:r>
      <w:r w:rsidR="00F91D36">
        <w:rPr>
          <w:rFonts w:ascii="Times New Roman" w:hAnsi="Times New Roman" w:cs="Times New Roman"/>
        </w:rPr>
        <w:t xml:space="preserve">seawater </w:t>
      </w:r>
      <w:r>
        <w:rPr>
          <w:rFonts w:ascii="Times New Roman" w:hAnsi="Times New Roman" w:cs="Times New Roman"/>
        </w:rPr>
        <w:t xml:space="preserve">temperatures are hot, </w:t>
      </w:r>
      <w:r w:rsidR="00E60B43">
        <w:rPr>
          <w:rFonts w:ascii="Times New Roman" w:hAnsi="Times New Roman" w:cs="Times New Roman"/>
        </w:rPr>
        <w:t xml:space="preserve">adult </w:t>
      </w:r>
      <w:r w:rsidR="00E90BCE">
        <w:rPr>
          <w:rFonts w:ascii="Times New Roman" w:hAnsi="Times New Roman" w:cs="Times New Roman"/>
        </w:rPr>
        <w:t xml:space="preserve">hybrid </w:t>
      </w:r>
      <w:r w:rsidR="00172D54">
        <w:rPr>
          <w:rFonts w:ascii="Times New Roman" w:hAnsi="Times New Roman" w:cs="Times New Roman"/>
        </w:rPr>
        <w:t xml:space="preserve">blue </w:t>
      </w:r>
      <w:r>
        <w:rPr>
          <w:rFonts w:ascii="Times New Roman" w:hAnsi="Times New Roman" w:cs="Times New Roman"/>
        </w:rPr>
        <w:t>mussels spend more time hiding from predators. We show that high temperatures result in longer valve closure times following</w:t>
      </w:r>
      <w:r w:rsidR="00F91D36">
        <w:rPr>
          <w:rFonts w:ascii="Times New Roman" w:hAnsi="Times New Roman" w:cs="Times New Roman"/>
        </w:rPr>
        <w:t xml:space="preserve"> a tactile predator cue, while low seawater pH has no effect.</w:t>
      </w:r>
      <w:r>
        <w:rPr>
          <w:rFonts w:ascii="Times New Roman" w:hAnsi="Times New Roman" w:cs="Times New Roman"/>
        </w:rPr>
        <w:t xml:space="preserve"> </w:t>
      </w:r>
      <w:r w:rsidR="00F91D36">
        <w:rPr>
          <w:rFonts w:ascii="Times New Roman" w:hAnsi="Times New Roman" w:cs="Times New Roman"/>
        </w:rPr>
        <w:t xml:space="preserve">Longer closure times </w:t>
      </w:r>
      <w:r w:rsidR="00FD1648">
        <w:rPr>
          <w:rFonts w:ascii="Times New Roman" w:hAnsi="Times New Roman" w:cs="Times New Roman"/>
        </w:rPr>
        <w:t xml:space="preserve">result in reduced feeding and </w:t>
      </w:r>
      <w:r w:rsidR="00F91D36">
        <w:rPr>
          <w:rFonts w:ascii="Times New Roman" w:hAnsi="Times New Roman" w:cs="Times New Roman"/>
        </w:rPr>
        <w:t>help explain temperature effects on mortality and energetic physiology in this species</w:t>
      </w:r>
      <w:r w:rsidR="00FD1648">
        <w:rPr>
          <w:rFonts w:ascii="Times New Roman" w:hAnsi="Times New Roman" w:cs="Times New Roman"/>
        </w:rPr>
        <w:t>, which</w:t>
      </w:r>
      <w:r w:rsidR="00F91D36">
        <w:rPr>
          <w:rFonts w:ascii="Times New Roman" w:hAnsi="Times New Roman" w:cs="Times New Roman"/>
        </w:rPr>
        <w:t xml:space="preserve"> may affect mussel ecosystem services. </w:t>
      </w:r>
      <w:r w:rsidR="00E60B43">
        <w:rPr>
          <w:rFonts w:ascii="Times New Roman" w:hAnsi="Times New Roman" w:cs="Times New Roman"/>
        </w:rPr>
        <w:t>Adult mussels</w:t>
      </w:r>
      <w:r w:rsidR="00F91D36">
        <w:rPr>
          <w:rFonts w:ascii="Times New Roman" w:hAnsi="Times New Roman" w:cs="Times New Roman"/>
        </w:rPr>
        <w:t xml:space="preserve"> are likely vulnerable to ocean warming but not acidification. </w:t>
      </w:r>
      <w:r w:rsidR="007E68BE">
        <w:rPr>
          <w:rFonts w:ascii="Times New Roman" w:hAnsi="Times New Roman" w:cs="Times New Roman"/>
        </w:rPr>
        <w:br w:type="page"/>
      </w:r>
    </w:p>
    <w:p w14:paraId="7C8255D4" w14:textId="39193259" w:rsidR="00247EF3" w:rsidRDefault="00247EF3" w:rsidP="00550C32">
      <w:pPr>
        <w:spacing w:after="240" w:line="360" w:lineRule="auto"/>
        <w:jc w:val="both"/>
        <w:rPr>
          <w:rFonts w:ascii="Times New Roman" w:hAnsi="Times New Roman" w:cs="Times New Roman"/>
          <w:b/>
          <w:bCs/>
        </w:rPr>
      </w:pPr>
      <w:r>
        <w:rPr>
          <w:rFonts w:ascii="Times New Roman" w:hAnsi="Times New Roman" w:cs="Times New Roman"/>
          <w:b/>
          <w:bCs/>
        </w:rPr>
        <w:lastRenderedPageBreak/>
        <w:t>Abstract</w:t>
      </w:r>
    </w:p>
    <w:p w14:paraId="2F23937D" w14:textId="149C83FF" w:rsidR="00247EF3" w:rsidRDefault="00247EF3" w:rsidP="00550C32">
      <w:pPr>
        <w:spacing w:after="240" w:line="360" w:lineRule="auto"/>
        <w:jc w:val="both"/>
        <w:rPr>
          <w:rFonts w:ascii="Times New Roman" w:hAnsi="Times New Roman" w:cs="Times New Roman"/>
        </w:rPr>
      </w:pPr>
      <w:r>
        <w:rPr>
          <w:rFonts w:ascii="Times New Roman" w:hAnsi="Times New Roman" w:cs="Times New Roman"/>
        </w:rPr>
        <w:t xml:space="preserve">Under the risk of predation, the first response of bivalves is to close their shells. The strength and duration of valve closure can influence the probability of predator-related mortality. The </w:t>
      </w:r>
      <w:r w:rsidR="00943795">
        <w:rPr>
          <w:rFonts w:ascii="Times New Roman" w:hAnsi="Times New Roman" w:cs="Times New Roman"/>
        </w:rPr>
        <w:t>behavior</w:t>
      </w:r>
      <w:r>
        <w:rPr>
          <w:rFonts w:ascii="Times New Roman" w:hAnsi="Times New Roman" w:cs="Times New Roman"/>
        </w:rPr>
        <w:t>al ecology of valve closure responses, however, is understudied and the effects of global change stressors on these responses are unknown. We exposed two size classes of blue mussels (</w:t>
      </w:r>
      <w:r>
        <w:rPr>
          <w:rFonts w:ascii="Times New Roman" w:hAnsi="Times New Roman" w:cs="Times New Roman"/>
          <w:i/>
          <w:iCs/>
        </w:rPr>
        <w:t xml:space="preserve">Mytilus edulis </w:t>
      </w:r>
      <w:r w:rsidR="00943795">
        <w:rPr>
          <w:rFonts w:ascii="Times New Roman" w:hAnsi="Times New Roman" w:cs="Times New Roman"/>
        </w:rPr>
        <w:t>×</w:t>
      </w:r>
      <w:r w:rsidR="00943795">
        <w:rPr>
          <w:rFonts w:ascii="Times New Roman" w:hAnsi="Times New Roman" w:cs="Times New Roman"/>
          <w:i/>
          <w:iCs/>
        </w:rPr>
        <w:t xml:space="preserve"> </w:t>
      </w:r>
      <w:proofErr w:type="spellStart"/>
      <w:r>
        <w:rPr>
          <w:rFonts w:ascii="Times New Roman" w:hAnsi="Times New Roman" w:cs="Times New Roman"/>
          <w:i/>
          <w:iCs/>
        </w:rPr>
        <w:t>trossulus</w:t>
      </w:r>
      <w:proofErr w:type="spellEnd"/>
      <w:r>
        <w:rPr>
          <w:rFonts w:ascii="Times New Roman" w:hAnsi="Times New Roman" w:cs="Times New Roman"/>
        </w:rPr>
        <w:t xml:space="preserve">) to different combinations of temperature 15 and 19 °C) and pH (8.2 and 7.5 </w:t>
      </w:r>
      <w:proofErr w:type="spellStart"/>
      <w:r>
        <w:rPr>
          <w:rFonts w:ascii="Times New Roman" w:hAnsi="Times New Roman" w:cs="Times New Roman"/>
        </w:rPr>
        <w:t>pH</w:t>
      </w:r>
      <w:r w:rsidRPr="004468C5">
        <w:rPr>
          <w:rFonts w:ascii="Times New Roman" w:hAnsi="Times New Roman" w:cs="Times New Roman"/>
          <w:vertAlign w:val="subscript"/>
        </w:rPr>
        <w:t>T</w:t>
      </w:r>
      <w:proofErr w:type="spellEnd"/>
      <w:r>
        <w:rPr>
          <w:rFonts w:ascii="Times New Roman" w:hAnsi="Times New Roman" w:cs="Times New Roman"/>
        </w:rPr>
        <w:t>) for three months and subsequently measured individual time to open (i.e., startle response) following a tactile cue over a series of four consecutive trials. Time to open was highly repeatable on the short-term (adjusted R = 0.56) and decreased across the four trials</w:t>
      </w:r>
      <w:r w:rsidRPr="00B278F6">
        <w:rPr>
          <w:rFonts w:ascii="Times New Roman" w:hAnsi="Times New Roman" w:cs="Times New Roman"/>
        </w:rPr>
        <w:t xml:space="preserve"> </w:t>
      </w:r>
      <w:r>
        <w:rPr>
          <w:rFonts w:ascii="Times New Roman" w:hAnsi="Times New Roman" w:cs="Times New Roman"/>
        </w:rPr>
        <w:t>from</w:t>
      </w:r>
      <w:r w:rsidR="008A3DF2">
        <w:rPr>
          <w:rFonts w:ascii="Times New Roman" w:hAnsi="Times New Roman" w:cs="Times New Roman"/>
        </w:rPr>
        <w:t xml:space="preserve"> an average of</w:t>
      </w:r>
      <w:r>
        <w:rPr>
          <w:rFonts w:ascii="Times New Roman" w:hAnsi="Times New Roman" w:cs="Times New Roman"/>
        </w:rPr>
        <w:t xml:space="preserve"> 390.0 </w:t>
      </w:r>
      <w:r w:rsidR="008A3DF2">
        <w:rPr>
          <w:rFonts w:ascii="Times New Roman" w:hAnsi="Times New Roman" w:cs="Times New Roman"/>
        </w:rPr>
        <w:t xml:space="preserve">± 493.6 </w:t>
      </w:r>
      <w:r>
        <w:rPr>
          <w:rFonts w:ascii="Times New Roman" w:hAnsi="Times New Roman" w:cs="Times New Roman"/>
        </w:rPr>
        <w:t xml:space="preserve">secs in Trial 1 </w:t>
      </w:r>
      <w:r w:rsidR="008A3DF2">
        <w:rPr>
          <w:rFonts w:ascii="Times New Roman" w:hAnsi="Times New Roman" w:cs="Times New Roman"/>
        </w:rPr>
        <w:t xml:space="preserve">(mean ± SD) </w:t>
      </w:r>
      <w:r>
        <w:rPr>
          <w:rFonts w:ascii="Times New Roman" w:hAnsi="Times New Roman" w:cs="Times New Roman"/>
        </w:rPr>
        <w:t xml:space="preserve">to 252.6 </w:t>
      </w:r>
      <w:r w:rsidR="008A3DF2">
        <w:rPr>
          <w:rFonts w:ascii="Times New Roman" w:hAnsi="Times New Roman" w:cs="Times New Roman"/>
        </w:rPr>
        <w:t xml:space="preserve">± 421.4 </w:t>
      </w:r>
      <w:r>
        <w:rPr>
          <w:rFonts w:ascii="Times New Roman" w:hAnsi="Times New Roman" w:cs="Times New Roman"/>
        </w:rPr>
        <w:t xml:space="preserve">secs in Trial 4. On average, individuals from the larger size class had a shorter time to open (154.1 </w:t>
      </w:r>
      <w:r w:rsidR="008A3DF2">
        <w:rPr>
          <w:rFonts w:ascii="Times New Roman" w:hAnsi="Times New Roman" w:cs="Times New Roman"/>
        </w:rPr>
        <w:t xml:space="preserve">± 236.0 </w:t>
      </w:r>
      <w:r>
        <w:rPr>
          <w:rFonts w:ascii="Times New Roman" w:hAnsi="Times New Roman" w:cs="Times New Roman"/>
        </w:rPr>
        <w:t xml:space="preserve">secs) than their smaller-sized counterparts (453.4 </w:t>
      </w:r>
      <w:r w:rsidR="008A3DF2">
        <w:rPr>
          <w:rFonts w:ascii="Times New Roman" w:hAnsi="Times New Roman" w:cs="Times New Roman"/>
        </w:rPr>
        <w:t xml:space="preserve">± 449.9 </w:t>
      </w:r>
      <w:r>
        <w:rPr>
          <w:rFonts w:ascii="Times New Roman" w:hAnsi="Times New Roman" w:cs="Times New Roman"/>
        </w:rPr>
        <w:t xml:space="preserve">secs). High temperature significantly increased time to open by 230%, on average, compared to low temperature, while pH had no effect. These results suggest that bivalve time to open is repeatable, related to relative </w:t>
      </w:r>
      <w:r w:rsidR="00914A8A">
        <w:rPr>
          <w:rFonts w:ascii="Times New Roman" w:hAnsi="Times New Roman" w:cs="Times New Roman"/>
        </w:rPr>
        <w:t xml:space="preserve">vulnerability to </w:t>
      </w:r>
      <w:r>
        <w:rPr>
          <w:rFonts w:ascii="Times New Roman" w:hAnsi="Times New Roman" w:cs="Times New Roman"/>
        </w:rPr>
        <w:t xml:space="preserve">predation, and affected by temperature. Given that increased closure times </w:t>
      </w:r>
      <w:r w:rsidR="00147E8F">
        <w:rPr>
          <w:rFonts w:ascii="Times New Roman" w:hAnsi="Times New Roman" w:cs="Times New Roman"/>
        </w:rPr>
        <w:t>impact</w:t>
      </w:r>
      <w:r>
        <w:rPr>
          <w:rFonts w:ascii="Times New Roman" w:hAnsi="Times New Roman" w:cs="Times New Roman"/>
        </w:rPr>
        <w:t xml:space="preserve"> feeding</w:t>
      </w:r>
      <w:r w:rsidR="00147E8F">
        <w:rPr>
          <w:rFonts w:ascii="Times New Roman" w:hAnsi="Times New Roman" w:cs="Times New Roman"/>
        </w:rPr>
        <w:t xml:space="preserve"> and respiration</w:t>
      </w:r>
      <w:r>
        <w:rPr>
          <w:rFonts w:ascii="Times New Roman" w:hAnsi="Times New Roman" w:cs="Times New Roman"/>
        </w:rPr>
        <w:t xml:space="preserve">, the effect of temperature on closure duration may play a role in the sensitivity to </w:t>
      </w:r>
      <w:r w:rsidR="00B4585F">
        <w:rPr>
          <w:rFonts w:ascii="Times New Roman" w:hAnsi="Times New Roman" w:cs="Times New Roman"/>
        </w:rPr>
        <w:t xml:space="preserve">ocean </w:t>
      </w:r>
      <w:r w:rsidR="00766548">
        <w:rPr>
          <w:rFonts w:ascii="Times New Roman" w:hAnsi="Times New Roman" w:cs="Times New Roman"/>
        </w:rPr>
        <w:t>warming</w:t>
      </w:r>
      <w:r>
        <w:rPr>
          <w:rFonts w:ascii="Times New Roman" w:hAnsi="Times New Roman" w:cs="Times New Roman"/>
        </w:rPr>
        <w:t xml:space="preserve"> in this species</w:t>
      </w:r>
      <w:r w:rsidR="005545B2">
        <w:rPr>
          <w:rFonts w:ascii="Times New Roman" w:hAnsi="Times New Roman" w:cs="Times New Roman"/>
        </w:rPr>
        <w:t xml:space="preserve"> and contribute to ecosystem-level effects.</w:t>
      </w:r>
    </w:p>
    <w:p w14:paraId="4622D458" w14:textId="77777777" w:rsidR="00550C32" w:rsidRPr="002A6095" w:rsidRDefault="00550C32" w:rsidP="00550C32">
      <w:pPr>
        <w:suppressLineNumbers/>
        <w:spacing w:after="240" w:line="360" w:lineRule="auto"/>
        <w:jc w:val="both"/>
        <w:rPr>
          <w:rFonts w:ascii="Times New Roman" w:hAnsi="Times New Roman" w:cs="Times New Roman"/>
        </w:rPr>
      </w:pPr>
    </w:p>
    <w:p w14:paraId="1590DE0D" w14:textId="2E10F105" w:rsidR="00247EF3" w:rsidRDefault="00247EF3" w:rsidP="00EF3248">
      <w:pPr>
        <w:spacing w:after="240"/>
        <w:jc w:val="both"/>
        <w:rPr>
          <w:rFonts w:ascii="Times New Roman" w:hAnsi="Times New Roman" w:cs="Times New Roman"/>
        </w:rPr>
      </w:pPr>
      <w:r>
        <w:rPr>
          <w:rFonts w:ascii="Times New Roman" w:hAnsi="Times New Roman" w:cs="Times New Roman"/>
          <w:b/>
          <w:bCs/>
        </w:rPr>
        <w:t xml:space="preserve">Keywords: </w:t>
      </w:r>
      <w:r w:rsidRPr="009F5E5B">
        <w:rPr>
          <w:rFonts w:ascii="Times New Roman" w:hAnsi="Times New Roman" w:cs="Times New Roman"/>
        </w:rPr>
        <w:t>anti-predator response</w:t>
      </w:r>
      <w:r>
        <w:rPr>
          <w:rFonts w:ascii="Times New Roman" w:hAnsi="Times New Roman" w:cs="Times New Roman"/>
        </w:rPr>
        <w:t xml:space="preserve">; carbon dioxide; </w:t>
      </w:r>
      <w:r w:rsidRPr="009F5E5B">
        <w:rPr>
          <w:rFonts w:ascii="Times New Roman" w:hAnsi="Times New Roman" w:cs="Times New Roman"/>
        </w:rPr>
        <w:t xml:space="preserve">environmental stress; </w:t>
      </w:r>
      <w:r w:rsidR="00B97BC4">
        <w:rPr>
          <w:rFonts w:ascii="Times New Roman" w:hAnsi="Times New Roman" w:cs="Times New Roman"/>
        </w:rPr>
        <w:t>global change biology</w:t>
      </w:r>
      <w:r>
        <w:rPr>
          <w:rFonts w:ascii="Times New Roman" w:hAnsi="Times New Roman" w:cs="Times New Roman"/>
        </w:rPr>
        <w:t xml:space="preserve">; </w:t>
      </w:r>
      <w:r w:rsidR="00CB0518">
        <w:rPr>
          <w:rFonts w:ascii="Times New Roman" w:hAnsi="Times New Roman" w:cs="Times New Roman"/>
        </w:rPr>
        <w:t>ocean acidification; ocean warming</w:t>
      </w:r>
      <w:r>
        <w:rPr>
          <w:rFonts w:ascii="Times New Roman" w:hAnsi="Times New Roman" w:cs="Times New Roman"/>
        </w:rPr>
        <w:br w:type="page"/>
      </w:r>
    </w:p>
    <w:p w14:paraId="71A351E5" w14:textId="77777777" w:rsidR="00247EF3" w:rsidRPr="00441D16" w:rsidRDefault="00247EF3" w:rsidP="006A2314">
      <w:pPr>
        <w:spacing w:after="240" w:line="480" w:lineRule="auto"/>
        <w:jc w:val="both"/>
        <w:rPr>
          <w:rFonts w:ascii="Times New Roman" w:hAnsi="Times New Roman" w:cs="Times New Roman"/>
          <w:b/>
          <w:bCs/>
        </w:rPr>
      </w:pPr>
      <w:r w:rsidRPr="00441D16">
        <w:rPr>
          <w:rFonts w:ascii="Times New Roman" w:hAnsi="Times New Roman" w:cs="Times New Roman"/>
          <w:b/>
          <w:bCs/>
        </w:rPr>
        <w:lastRenderedPageBreak/>
        <w:t>Introduction</w:t>
      </w:r>
    </w:p>
    <w:p w14:paraId="21899F60" w14:textId="7E64AC99" w:rsidR="00247EF3" w:rsidRDefault="00247EF3" w:rsidP="006A2314">
      <w:pPr>
        <w:spacing w:after="240" w:line="480" w:lineRule="auto"/>
        <w:jc w:val="both"/>
        <w:rPr>
          <w:rFonts w:ascii="Times New Roman" w:hAnsi="Times New Roman" w:cs="Times New Roman"/>
        </w:rPr>
      </w:pPr>
      <w:r>
        <w:rPr>
          <w:rFonts w:ascii="Times New Roman" w:hAnsi="Times New Roman" w:cs="Times New Roman"/>
        </w:rPr>
        <w:t xml:space="preserve">Predator-prey interactions have long been considered a fundamental component of animal ecology, as the ways in which predators and their prey interact is a major driving force shaping the ecology and evolution of biological systems </w:t>
      </w:r>
      <w:r w:rsidR="005F43B9">
        <w:rPr>
          <w:rFonts w:ascii="Times New Roman" w:hAnsi="Times New Roman" w:cs="Times New Roman"/>
          <w:lang w:val="en-US"/>
        </w:rPr>
        <w:fldChar w:fldCharType="begin"/>
      </w:r>
      <w:r w:rsidR="004F04C1">
        <w:rPr>
          <w:rFonts w:ascii="Times New Roman" w:hAnsi="Times New Roman" w:cs="Times New Roman"/>
          <w:lang w:val="en-US"/>
        </w:rPr>
        <w:instrText xml:space="preserve"> ADDIN ZOTERO_ITEM CSL_CITATION {"citationID":"neiTRfs7","properties":{"formattedCitation":"(Connell 1961; Paine 1966; Dawkins and Krebs 1979; Klompmaker et al. 2019)","plainCitation":"(Connell 1961; Paine 1966; Dawkins and Krebs 1979; Klompmaker et al. 2019)","noteIndex":0},"citationItems":[{"id":199,"uris":["http://zotero.org/users/6612280/items/WZH9CAB7"],"uri":["http://zotero.org/users/6612280/items/WZH9CAB7"],"itemData":{"id":199,"type":"article-journal","container-title":"Ecology","DOI":"10.2307/1933500","ISSN":"00129658","journalAbbreviation":"Ecology","language":"en","page":"710-723","source":"DOI.org (Crossref)","title":"The influence of interspecific competition and other factors on the distribution of the barnacle &lt;i&gt;Chthamalus stellatus&lt;/i&gt;","volume":"42","author":[{"family":"Connell","given":"J.H."}],"issued":{"date-parts":[["1961",10]]}}},{"id":204,"uris":["http://zotero.org/users/6612280/items/BY22GDUZ"],"uri":["http://zotero.org/users/6612280/items/BY22GDUZ"],"itemData":{"id":204,"type":"article-journal","container-title":"The American Naturalist","DOI":"10.1086/282400","ISSN":"0003-0147, 1537-5323","journalAbbreviation":"Am. Nat.","language":"en","page":"65-75","source":"DOI.org (Crossref)","title":"Food web complexity and species diversity","volume":"100","author":[{"family":"Paine","given":"R.T."}],"issued":{"date-parts":[["1966",1]]}}},{"id":205,"uris":["http://zotero.org/users/6612280/items/79HQCNBE"],"uri":["http://zotero.org/users/6612280/items/79HQCNBE"],"itemData":{"id":205,"type":"article-journal","container-title":"Proceedings of the Roal Society of London B: Biological Sciences","DOI":"10.1098/rspb.1979.0081","journalAbbreviation":"Proc. R. Soc. B","page":"489-511","title":"Arms races between and within species","volume":"205","author":[{"family":"Dawkins","given":"R."},{"family":"Krebs","given":"J.R."}],"issued":{"date-parts":[["1979"]]}}},{"id":20,"uris":["http://zotero.org/users/6612280/items/25BUWHR3"],"uri":["http://zotero.org/users/6612280/items/25BUWHR3"],"itemData":{"id":20,"type":"article-journal","abstract":"The fossil record is the primary source of data used to study predator-prey interactions in deep time and to evaluate key questions regarding the evolutionary and ecological importance of predation. Here, we review the types of paleontological data used to infer predation in the marine fossil record, discuss strengths and limitations of paleontological lines of evidence used to recognize and evaluate predatory activity, assess the influence of environmental gradients on predation patterns, and review fossil evidence for predator behavior and prey defense. We assembled a predation database from the literature that documents a steady increase in the number of papers on predation since the 1960s. These studies have become increasingly quantitative and have expanded in focus from reporting cases of predation documented by fossils to using the fossil record of predation to test ecological and evolutionary hypotheses. The data on the fossil record of predation amassed so far in the literature primarily come from trace fossils, mostly drill holes and, to a lesser extent, repair scars, derived predominantly from the Cenozoic of Europe and North America. Mollusks are the clade most often studied as prey and inferred predators. We discuss how to distinguish biotic from abiotic damage and predatory from parasitic traces, and how to recognize failed predation. Our data show that identifying the predator is easiest when predator and prey are preserved in the act of predation or when predators were fossilized with their gut contents preserved. However, determining the culprits responsible for bite traces, drill holes, and other types of predation traces can be more problematic. Taphonomic and other factors can distort patterns of predation, but their potential effects can be minimized by careful study design. With the correct identification and quantification of fossilized traces of predation, ecological trends in predator-prey interactions may be discerned along environmental gradients in water depth, habitat, and oxygen and nutrient availability. However, so far, these trends have not been explored adequately for the fossil record. We also review the effects of climate change and ocean acidification on predator-prey interactions, but, again, few studies consider those factors from a deep-time perspective. Finally, fossils have been used successfully to infer the behavior of ancient predators and identify and interpret active and passive defense strategies employed by their prey. The marine fossil record of predation has become a major field of research over the last 50 years, but many critical gaps remain in our understanding of the evolutionary history of predator-prey interactions.","container-title":"Earth-Science Reviews","DOI":"10.1016/j.earscirev.2019.02.020","ISSN":"00128252","journalAbbreviation":"Earth Sci. Rev.","language":"en","page":"472-520","source":"DOI.org (Crossref)","title":"Predation in the marine fossil record: Studies, data, recognition, environmental factors, and behavior","title-short":"Predation in the marine fossil record","volume":"194","author":[{"family":"Klompmaker","given":"Adiël A."},{"family":"Kelley","given":"Patricia H."},{"family":"Chattopadhyay","given":"Devapriya"},{"family":"Clements","given":"Jeff C."},{"family":"Huntley","given":"John Warren"},{"family":"Kowalewski","given":"Michal"}],"issued":{"date-parts":[["2019",7]]}}}],"schema":"https://github.com/citation-style-language/schema/raw/master/csl-citation.json"} </w:instrText>
      </w:r>
      <w:r w:rsidR="005F43B9">
        <w:rPr>
          <w:rFonts w:ascii="Times New Roman" w:hAnsi="Times New Roman" w:cs="Times New Roman"/>
          <w:lang w:val="en-US"/>
        </w:rPr>
        <w:fldChar w:fldCharType="separate"/>
      </w:r>
      <w:r w:rsidR="005F43B9">
        <w:rPr>
          <w:rFonts w:ascii="Times New Roman" w:hAnsi="Times New Roman" w:cs="Times New Roman"/>
          <w:noProof/>
          <w:lang w:val="en-US"/>
        </w:rPr>
        <w:t>(Connell 1961; Paine 1966; Dawkins and Krebs 1979; Klompmaker et al. 2019)</w:t>
      </w:r>
      <w:r w:rsidR="005F43B9">
        <w:rPr>
          <w:rFonts w:ascii="Times New Roman" w:hAnsi="Times New Roman" w:cs="Times New Roman"/>
          <w:lang w:val="en-US"/>
        </w:rPr>
        <w:fldChar w:fldCharType="end"/>
      </w:r>
      <w:r w:rsidR="005F43B9">
        <w:rPr>
          <w:rFonts w:ascii="Times New Roman" w:hAnsi="Times New Roman" w:cs="Times New Roman"/>
          <w:lang w:val="en-US"/>
        </w:rPr>
        <w:t>.</w:t>
      </w:r>
      <w:r>
        <w:rPr>
          <w:rFonts w:ascii="Times New Roman" w:hAnsi="Times New Roman" w:cs="Times New Roman"/>
        </w:rPr>
        <w:t xml:space="preserve"> For predators, the successful capture and consumption of prey is important for growth and survival. For prey, defence and avoidance against a predator’s attack is critical for survival. </w:t>
      </w:r>
    </w:p>
    <w:p w14:paraId="37B3EFFB" w14:textId="7A032ABD" w:rsidR="00247EF3" w:rsidRDefault="00247EF3" w:rsidP="006A2314">
      <w:pPr>
        <w:spacing w:after="240" w:line="480" w:lineRule="auto"/>
        <w:jc w:val="both"/>
        <w:rPr>
          <w:rFonts w:ascii="Times New Roman" w:hAnsi="Times New Roman" w:cs="Times New Roman"/>
        </w:rPr>
      </w:pPr>
      <w:r>
        <w:rPr>
          <w:rFonts w:ascii="Times New Roman" w:hAnsi="Times New Roman" w:cs="Times New Roman"/>
        </w:rPr>
        <w:t xml:space="preserve">To combat predation, prey can employ a tremendous variety of defenses, including chemical, morphological, and </w:t>
      </w:r>
      <w:r w:rsidR="00943795">
        <w:rPr>
          <w:rFonts w:ascii="Times New Roman" w:hAnsi="Times New Roman" w:cs="Times New Roman"/>
        </w:rPr>
        <w:t>behavior</w:t>
      </w:r>
      <w:r>
        <w:rPr>
          <w:rFonts w:ascii="Times New Roman" w:hAnsi="Times New Roman" w:cs="Times New Roman"/>
        </w:rPr>
        <w:t xml:space="preserve">al defenses </w:t>
      </w:r>
      <w:r w:rsidR="005F43B9">
        <w:rPr>
          <w:rFonts w:ascii="Times New Roman" w:hAnsi="Times New Roman" w:cs="Times New Roman"/>
          <w:lang w:val="en-US"/>
        </w:rPr>
        <w:fldChar w:fldCharType="begin"/>
      </w:r>
      <w:r w:rsidR="004F04C1">
        <w:rPr>
          <w:rFonts w:ascii="Times New Roman" w:hAnsi="Times New Roman" w:cs="Times New Roman"/>
          <w:lang w:val="en-US"/>
        </w:rPr>
        <w:instrText xml:space="preserve"> ADDIN ZOTERO_ITEM CSL_CITATION {"citationID":"kvFXV8FV","properties":{"formattedCitation":"(Harvell 1990; Lima and Dill 1990; Kats and Dill 1998)","plainCitation":"(Harvell 1990; Lima and Dill 1990; Kats and Dill 1998)","noteIndex":0},"citationItems":[{"id":192,"uris":["http://zotero.org/users/6612280/items/G3Z5FIU9"],"uri":["http://zotero.org/users/6612280/items/G3Z5FIU9"],"itemData":{"id":192,"type":"article-journal","abstract":"Inducible defenses are responses activated through a previous encounter with a consume itor that confer some degree of resistance to subsequent attacks. While the importanc resistance has long been known in host-parasite interactions, it is only recently that i has emerged in other natural systems. Although the structural defenses produced by inve their competitors and predators are by no means the same as an immune response trigger sites, these responses all share the properties of (1) specificity, (2) amplification and This review discusses thefollowing ecological consequences and evolutionary causes of induc (1) Inducible defenses render historicalfactors important in biological interactions an the probability of individual survival and growth, as well as affect population dynamics o zn some czrcumstances. (2)Although the benefits of inducible defenses are often balanced byfitness costs, includ growth, reproductive output and survivorship, the role of costs and benefits in the evolu ible defenses is by no means clear. A more integrated approach would involve a multiv of the role of natural selection on the inducible characters of interest, their norms o correlatedfitness characters. (3) The disproportionate representation of inducible, morphological defenses among c isms may be due to both a higher rate of origination and enhanced selection to maintain in clonal taxa. (4) Inducible defenses should be most common when reliable cues are available, attack cal agents are unpredictable, and thefitness gains of defenses are balanced by the co An integrated approach to studying inducible defenses would thus combine mechanis of costs, population-level estimates of defense effectiveness, and genetic estimates of cor tween fitness and inducible characters. This will allow us to estimate rates of evolut phenotypically plastic threshold characters.","container-title":"Quarterly Review of Bioology","DOI":"10.1086/416841","journalAbbreviation":"Q. Rev. Biol.","language":"en","page":"323-340","source":"Zotero","title":"The ecology and evolution of inducible defenses","volume":"65","author":[{"family":"Harvell","given":"C.D."}],"issued":{"date-parts":[["1990"]]}}},{"id":189,"uris":["http://zotero.org/users/6612280/items/H83X93XN"],"uri":["http://zotero.org/users/6612280/items/H83X93XN"],"itemData":{"id":189,"type":"article-journal","container-title":"Canadian Journal of Zoology","DOI":"10.1139/z90-092","ISSN":"0008-4301, 1480-3283","journalAbbreviation":"Can. J. Zool.","language":"en","page":"619-640","source":"DOI.org (Crossref)","title":"Behavioral decisions made under the risk of predation: A review and prospectus","title-short":"Behavioral decisions made under the risk of predation","volume":"68","author":[{"family":"Lima","given":"D.L"},{"family":"Dill","given":"L.M."}],"issued":{"date-parts":[["1990",4]]}}},{"id":190,"uris":["http://zotero.org/users/6612280/items/IA6MZY4F"],"uri":["http://zotero.org/users/6612280/items/IA6MZY4F"],"itemData":{"id":190,"type":"article-journal","abstract":"It is well documented that animals take risk of predation into account when making decisions about how to behave in particular situations, often trading-off risk against opportunities for mating or acquiring energy. Such an ability implies that animals have reliable information about the risk of predation at a given place and time. Chemosensory cues are an important source of such information. They reliably reveal the presence of predators (or their presence in the immediate past) and may also provide information on predator activity level and diet. In certain circumstances (e.g., in the dark, for animals in hiding) they may be the only cues available. Although a vast literature exists on the responses of prey to predator chemosensory cues (or odours), these studies are widely scattered, from marine biology to biological control, and not well known or appreciated by behavioural ecologists. In this paper, we provide an exhaustive review of this literature, primarily in tabular form. We highlight some of the more representative examples in the text, and discuss some ecological and evolutionary aspects of the use of chemosensory information for prey decision making. Curiously, only one example illustrates the ability of birds to detect predator odours and we have found no examples for terrestrial insects, suggesting a fruitful area for future study.","container-title":"Écoscience","DOI":"10.1080/11956860.1998.11682468","ISSN":"1195-6860, 2376-7626","journalAbbreviation":"Écoscience","language":"en","page":"361-394","source":"DOI.org (Crossref)","title":"The scent of death: Chemosensory assessment of predation risk by prey animals","title-short":"The scent of death","volume":"5","author":[{"family":"Kats","given":"L.B."},{"family":"Dill","given":"L.M."}],"issued":{"date-parts":[["1998",1]]}}}],"schema":"https://github.com/citation-style-language/schema/raw/master/csl-citation.json"} </w:instrText>
      </w:r>
      <w:r w:rsidR="005F43B9">
        <w:rPr>
          <w:rFonts w:ascii="Times New Roman" w:hAnsi="Times New Roman" w:cs="Times New Roman"/>
          <w:lang w:val="en-US"/>
        </w:rPr>
        <w:fldChar w:fldCharType="separate"/>
      </w:r>
      <w:r w:rsidR="005F43B9">
        <w:rPr>
          <w:rFonts w:ascii="Times New Roman" w:hAnsi="Times New Roman" w:cs="Times New Roman"/>
          <w:noProof/>
          <w:lang w:val="en-US"/>
        </w:rPr>
        <w:t>(Harvell 1990; Lima and Dill 1990; Kats and Dill 1998)</w:t>
      </w:r>
      <w:r w:rsidR="005F43B9">
        <w:rPr>
          <w:rFonts w:ascii="Times New Roman" w:hAnsi="Times New Roman" w:cs="Times New Roman"/>
          <w:lang w:val="en-US"/>
        </w:rPr>
        <w:fldChar w:fldCharType="end"/>
      </w:r>
      <w:r>
        <w:rPr>
          <w:rFonts w:ascii="Times New Roman" w:hAnsi="Times New Roman" w:cs="Times New Roman"/>
        </w:rPr>
        <w:t xml:space="preserve">. One of the more common ways of avoiding an immediate predator attack is to simply move away from a predator. For </w:t>
      </w:r>
      <w:r w:rsidR="00144FCB">
        <w:rPr>
          <w:rFonts w:ascii="Times New Roman" w:hAnsi="Times New Roman" w:cs="Times New Roman"/>
        </w:rPr>
        <w:t>semi-</w:t>
      </w:r>
      <w:r>
        <w:rPr>
          <w:rFonts w:ascii="Times New Roman" w:hAnsi="Times New Roman" w:cs="Times New Roman"/>
        </w:rPr>
        <w:t>sessile animals such as many bivalves, however, this defense is not an option for immediate attacks (although these animals can move and aggregate given sufficient time to do so;</w:t>
      </w:r>
      <w:r w:rsidR="005F43B9">
        <w:rPr>
          <w:rFonts w:ascii="Times New Roman" w:hAnsi="Times New Roman" w:cs="Times New Roman"/>
        </w:rPr>
        <w:t xml:space="preserve"> </w:t>
      </w:r>
      <w:r w:rsidR="005F43B9">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{"citationID":"qzXd6Wtm","properties":{"formattedCitation":"(Reimer and Tedengren 1996; C\\uc0\\u244{}t\\uc0\\u233{} and Jelnikar 1999; Casey and Chattopadhyay 2008)","plainCitation":"(Reimer and Tedengren 1996; Côté and Jelnikar 1999; Casey and Chattopadhyay 2008)","dontUpdate":true,"noteIndex":0},"citationItems":[{"id":365,"uris":["http://zotero.org/users/6612280/items/6PIH23RG"],"uri":["http://zotero.org/users/6612280/items/6PIH23RG"],"itemData":{"id":365,"type":"article-journal","container-title":"Oikos","DOI":"10.2307/3545878","ISSN":"00301299","issue":"3","journalAbbreviation":"Oikos","language":"en","page":"383","source":"DOI.org (Crossref)","title":"Phenotypical Improvement of Morphological Defences in the Mussel Mytilus edulis Induced by Exposure to the Predator Asterias rubens","volume":"75","author":[{"family":"Reimer","given":"Olof"},{"family":"Tedengren","given":"Michael"}],"issued":{"date-parts":[["1996",4]]}}},{"id":157,"uris":["http://zotero.org/users/6612280/items/3FYPFRIH"],"uri":["http://zotero.org/users/6612280/items/3FYPFRIH"],"itemData":{"id":157,"type":"article-journal","abstract":"This study examined the aggregation behaviour of blue mussels, Mytilus edulis, under threat of predation by European lobster, Homarus gammarus Linnaeus. Risk of predation was simulated using water in which a hungry lobster had been for 24 h, and mussels were initially set in experimental containers either near (0.5 body length apart) or far (1.5 body length apart) from each other. We found that mussels exposed to lobster efﬂuent formed more clumps, more rapidly than mussels in control conditions. The initial distance separating the mussels had no effect on their aggregation tendencies. Overall, a greater proportion of mussels were aggregated in the lobster treatment at the end of the 22-h experiment. This was not simply the result of increased locomotion. Although mussels in lobster efﬂuent did exhibit greater crawling speed in the ﬁrst hour of the experiment, mussels initially set far apart also showed enhanced locomotion in both lobster and control treatments. Yet, of the mussels initially far from each other, those in lobster efﬂuent formed clumps on average 5 h sooner than mussels in control water. This suggests that chemotaxis may be involved. Although mussels do aggregate under risk of predation in the laboratory, it is not yet known whether predation plays a signiﬁcant role in the formation of natural mussel beds. © 1999 Elsevier Science B.V. All rights reserved.","container-title":"Journal of Experimental Marine Biology and Ecology","DOI":"10.1016/S0022-0981(98)00155-5","ISSN":"00220981","journalAbbreviation":"J. Exp. Mar. Biol. Ecol.","language":"en","page":"201-211","source":"DOI.org (Crossref)","title":"Predator-induced clumping behaviour in mussels (&lt;i&gt;Mytilus edulis&lt;/i&gt; Linnaeus)","volume":"235","author":[{"family":"Côté","given":"I.M."},{"family":"Jelnikar","given":"E."}],"issued":{"date-parts":[["1999",3]]}}},{"id":161,"uris":["http://zotero.org/users/6612280/items/K8525UXT"],"uri":["http://zotero.org/users/6612280/items/K8525UXT"],"itemData":{"id":161,"type":"article-journal","abstract":"Drilling gastropod predators are of particular interest to paleontologists, because predatory drill-holes in marine invertebrates serve as one of the rare sources of data for the study of ancient predator-prey interactions. Modern laboratory studies are an important part of predation research providing valuable ecological insight and constraining fossil evidence and interpretations. Previous studies have shown that mussels use clumping behavior against durophagous predation [Okamura, B., 1986. Group living and the effects of spatial position in aggregations of Mylitus edulis. Oecologia 69, 341-347.; Lin, J., 1991. Predator-prey interactions between blue crabs and ribbed mussels living in clumps. Estuar. Coast. Shelf Sci. 32, 61-69.], but its role against drilling predation had not been explored. In this study, we explore the effect of clumping on predator success (drill-hole frequency) and prey handling (drill-hole position) using the mussel, Mytilus trossulus, as prey and the gastropod, Nucella lamellosa, as drilling predator. We assigned mussels to two groups: in one, mussels were allowed to clump together with their byssal threads, and in the other, they were kept separate. We observed a signiﬁcant decrease in the drilling frequency within the group containing clumped mussels, conﬁrming that clumping acts as a successful anti-predatory strategy against drilling predators. The use of clumping as an effective strategy against multiple types of predators may relax the trade-offs associated with aggregated lifestyles [Bertness, M.D., Grosholz, E., 1985. Population dynamics of the ribbed mussel, Geukensia demissa: the costs and beneﬁts of an aggregated distribution. Oecologia 67, 192-204.]. The increased beneﬁt and unchanged metabolic cost of clumped living alters estimates of individual ﬁtness with evolutionarily signiﬁcant implications (e.g., eliminating the need to invoke group or species selection to explain the adaptive beneﬁt of an aggregated lifestyle). In spite of potential differences in prey handling and grappling due to clumping, mean drill-hole placement and variation in drill-hole placement showed no signiﬁcant differences between the two groups. These observations suggest that comparison of predation intensities across clumping and nonclumping taxa must consider the anti-predatory effect of this behavior.","container-title":"Journal of Experimental Marine Biology and Ecology","DOI":"10.1016/j.jembe.2008.09.020","ISSN":"00220981","journalAbbreviation":"J. Exp. Mar. Biol. Ecol.","language":"en","page":"174-179","source":"DOI.org (Crossref)","title":"Clumping behavior as a strategy against drilling predation: Implications for the fossil record","title-short":"Clumping behavior as a strategy against drilling predation","volume":"367","author":[{"family":"Casey","given":"M.M."},{"family":"Chattopadhyay","given":"D."}],"issued":{"date-parts":[["2008",12]]}}}],"schema":"https://github.com/citation-style-language/schema/raw/master/csl-citation.json"} </w:instrText>
      </w:r>
      <w:r w:rsidR="005F43B9">
        <w:rPr>
          <w:rFonts w:ascii="Times New Roman" w:hAnsi="Times New Roman" w:cs="Times New Roman"/>
        </w:rPr>
        <w:fldChar w:fldCharType="separate"/>
      </w:r>
      <w:r w:rsidR="005F43B9" w:rsidRPr="005F43B9">
        <w:rPr>
          <w:rFonts w:ascii="Times New Roman" w:hAnsi="Times New Roman" w:cs="Times New Roman"/>
          <w:lang w:val="en-US"/>
        </w:rPr>
        <w:t>Reimer and Tedengren 1996; Côté and Jelnikar 1999; Casey and Chattopadhyay 2008)</w:t>
      </w:r>
      <w:r w:rsidR="005F43B9">
        <w:rPr>
          <w:rFonts w:ascii="Times New Roman" w:hAnsi="Times New Roman" w:cs="Times New Roman"/>
        </w:rPr>
        <w:fldChar w:fldCharType="end"/>
      </w:r>
      <w:r>
        <w:rPr>
          <w:rFonts w:ascii="Times New Roman" w:hAnsi="Times New Roman" w:cs="Times New Roman"/>
        </w:rPr>
        <w:t xml:space="preserve">. Instead, bivalves rely heavily on a suite of inducible morphological defenses, often related to shell morphology and substrate attachment strength </w:t>
      </w:r>
      <w:r w:rsidR="005F43B9">
        <w:rPr>
          <w:rFonts w:ascii="Times New Roman" w:hAnsi="Times New Roman" w:cs="Times New Roman"/>
          <w:lang w:val="en-US"/>
        </w:rPr>
        <w:fldChar w:fldCharType="begin"/>
      </w:r>
      <w:r w:rsidR="004F04C1">
        <w:rPr>
          <w:rFonts w:ascii="Times New Roman" w:hAnsi="Times New Roman" w:cs="Times New Roman"/>
          <w:lang w:val="en-US"/>
        </w:rPr>
        <w:instrText xml:space="preserve"> ADDIN ZOTERO_ITEM CSL_CITATION {"citationID":"A2lAq75G","properties":{"formattedCitation":"(Smith and Jennings 2000; Trussell and Smith 2000; Christensen et al. 2012; Lord and Whitlatch 2012; Scherer et al. 2018)","plainCitation":"(Smith and Jennings 2000; Trussell and Smith 2000; Christensen et al. 2012; Lord and Whitlatch 2012; Scherer et al. 2018)","noteIndex":0},"citationItems":[{"id":209,"uris":["http://zotero.org/users/6612280/items/BKIHGEC5"],"uri":["http://zotero.org/users/6612280/items/BKIHGEC5"],"itemData":{"id":209,"type":"article-journal","abstract":"Predators such as crabs, whelks, and sea stars attack their bivalve prey in dierent ways, and predatorinduced defenses are an important means of protection. The degree to which induced defenses are speci®c to different predators, however, remains largely unknown. In laboratory experiments (June to August 1998), we raised mussels (Mytilus edulis L.) in the presence of a drilling predator [the whelk Nucella lapillus (L.)] or a crushing predator [the crab Carcinus maenas (L.)] to determine whether induced changes in prey shell thickness, size, or shape occurred and whether changes were predator-speci®c. Over a 2 month period, juvenile mussels were exposed to waterborne cues from actively feeding crabs or whelks. Mussels produced thicker shell lips in response to both predators relative to control mussels raised in their absence, and the dierence was signi®cantly greater in response to whelks than to crabs. Mussels exposed to whelks showed signi®cantly smaller increases in shell length and width and total wet weight than did mussels exposed to crabs. Thus, there may be a trade-o between shell thickness and linear shell growth and a potential delay in attaining a size refuge from predation.","container-title":"Marine Biology","DOI":"10.1007/s002270050705","ISSN":"0025-3162, 1432-1793","journalAbbreviation":"Mar. Biol.","language":"en","page":"461-469","source":"DOI.org (Crossref)","title":"Induced defensive responses by the bivalve &lt;i&gt;Mytilus edulis&lt;/i&gt; to predators with different attack modes","volume":"136","author":[{"family":"Smith","given":"L.D."},{"family":"Jennings","given":"J.A."}],"issued":{"date-parts":[["2000",4,28]]}}},{"id":207,"uris":["http://zotero.org/users/6612280/items/Z9DLHP78"],"uri":["http://zotero.org/users/6612280/items/Z9DLHP78"],"itemData":{"id":207,"type":"article-journal","container-title":"Proceedings of the National Academy of Sciences","DOI":"10.1073/pnas.040423397","ISSN":"0027-8424, 1091-6490","journalAbbreviation":"Proc. Natl. Acad. Sci. U.S.A.","language":"en","page":"2123-2127","source":"DOI.org (Crossref)","title":"Induced defenses in response to an invading crab predator: An explanation of historical and geographic phenotypic change","title-short":"Induced defenses in response to an invading crab predator","volume":"97","author":[{"family":"Trussell","given":"G.C."},{"family":"Smith","given":"L.D."}],"issued":{"date-parts":[["2000",2,29]]}}},{"id":219,"uris":["http://zotero.org/users/6612280/items/BJRB9H89"],"uri":["http://zotero.org/users/6612280/items/BJRB9H89"],"itemData":{"id":219,"type":"article-journal","container-title":"Helgoland Marine Research","DOI":"10.1007/s10152-010-0241-0","ISSN":"1438-387X, 1438-3888","journalAbbreviation":"Helgol. Mar. Res.","language":"en","page":"1-9","source":"DOI.org (Crossref)","title":"Comparative study of predatory responses in blue mussels (&lt;i&gt;Mytilus edulis&lt;/i&gt; L.) produced in suspended long line cultures or collected from natural bottom mussel beds","volume":"66","author":[{"family":"Christensen","given":"H.T."},{"family":"Dolmer","given":"P."},{"family":"Petersen","given":"J.K."},{"family":"Tørring","given":"D."}],"issued":{"date-parts":[["2012",3]]}}},{"id":211,"uris":["http://zotero.org/users/6612280/items/WR4Y2DQE"],"uri":["http://zotero.org/users/6612280/items/WR4Y2DQE"],"itemData":{"id":211,"type":"article-journal","abstract":"The response of the eastern oyster C. virginica to the presence of the oyster drill Urosalpinx cinerea was examined from July to September 2011. Several aspects of oyster growth were measured, including wet weight, shell weight, and dorsal shell area for oysters collected near Groton, Connecticut (41.32036 N, ¡72.06330 W). Wet weight and shell weight growth were signiWcantly higher in the presence of the predator U. cinerea, while tissue weight showed no diVerence from the control. The control group showed more shell area growth and a much lower ratio of shell weight growth to shell area growth. DiVerences in shell weight to area ratio indicated that C. virginica dramatically shifted from lateral shell growth to shell thickening in the presence of U. cinerea. This inducible defense has not been previously shown for C. virginica and could play an important role in the predator–prey interaction between these two species.","container-title":"Marine Biology","DOI":"10.1007/s00227-012-1896-7","ISSN":"0025-3162, 1432-1793","journalAbbreviation":"Mar. Biol.","language":"en","page":"1177-1182","source":"DOI.org (Crossref)","title":"Inducible defenses in the eastern oyster &lt;i&gt;Crassostrea virginica&lt;/i&gt; Gmelin in response to the presence of the predatory oyster drill &lt;i&gt;Urosalpinx cinerea&lt;/i&gt; Say in Long Island Sound","volume":"159","author":[{"family":"Lord","given":"J.P."},{"family":"Whitlatch","given":"R.B."}],"issued":{"date-parts":[["2012",6]]}}},{"id":213,"uris":["http://zotero.org/users/6612280/items/YKZE95QU"],"uri":["http://zotero.org/users/6612280/items/YKZE95QU"],"itemData":{"id":213,"type":"article-journal","abstract":"Inducing defenses to deter predators is a necessary process theorized to incur costs. Although studies have investigated defense trade-offs, quantifying trade-offs is challenging and costs are often inferred. Additionally, prey employ strategies to reduce costs, making costs difficult to predict. Our purpose was to investigate induced defense costs by characterizing the defense mechanisms and costs in eastern oysters (Crassostrea virginica). In the field, newly-settled oysters exposed to blue crab (Callinectes sapidus) exudates grew stronger shells containing less percent organic material than oysters in controls. In natural populations, shell density was negatively correlated with shell thickness, further suggesting oysters thicken their shells by increasing low-density calcium carbonate. Reproductive investment showed an increasingly negative relationship with thickness as density decreased (and induction increased). In a laboratory experiment, oysters exposed to a temporal gradient in risk grew heavier shells in all crab treatments, but only grew stronger shells under constant exposure. Collectively, these results suggest oysters initially react to predators by adding inexpensive calcium carbonate to their shells to quickly outgrow risk. However, in high-risk environments, oysters may increase the production of costly organic material to increase the shell strength. Thus, oysters demonstrate a two-tier mechanism allowing them to cheaply escape predation at lower risk but to build stronger shells at greater expense when warranted. These results illuminate the complex strategies prey deploy to balance predation risk and defense costs as well as the importance of understanding these strategies to accurately predict predator effects.","container-title":"Marine Biology","DOI":"10.1007/s00227-018-3391-2","ISSN":"0025-3162, 1432-1793","journalAbbreviation":"Mar. Biol.","language":"en","page":"131","source":"DOI.org (Crossref)","title":"Two-tiered defense strategy may compensate for predator avoidance costs of an ecosystem engineer","volume":"165","author":[{"family":"Scherer","given":"A.E."},{"family":"Bird","given":"C.E."},{"family":"McCutcheon","given":"M.R."},{"family":"Hu","given":"X."},{"family":"Smee","given":"D.L."}],"issued":{"date-parts":[["2018",8]]}}}],"schema":"https://github.com/citation-style-language/schema/raw/master/csl-citation.json"} </w:instrText>
      </w:r>
      <w:r w:rsidR="005F43B9">
        <w:rPr>
          <w:rFonts w:ascii="Times New Roman" w:hAnsi="Times New Roman" w:cs="Times New Roman"/>
          <w:lang w:val="en-US"/>
        </w:rPr>
        <w:fldChar w:fldCharType="separate"/>
      </w:r>
      <w:r w:rsidR="005F43B9">
        <w:rPr>
          <w:rFonts w:ascii="Times New Roman" w:hAnsi="Times New Roman" w:cs="Times New Roman"/>
          <w:noProof/>
          <w:lang w:val="en-US"/>
        </w:rPr>
        <w:t>(Smith and Jennings 2000; Trussell and Smith 2000; Christensen et al. 2012; Lord and Whitlatch 2012; Scherer et al. 2018)</w:t>
      </w:r>
      <w:r w:rsidR="005F43B9">
        <w:rPr>
          <w:rFonts w:ascii="Times New Roman" w:hAnsi="Times New Roman" w:cs="Times New Roman"/>
          <w:lang w:val="en-US"/>
        </w:rPr>
        <w:fldChar w:fldCharType="end"/>
      </w:r>
      <w:r>
        <w:rPr>
          <w:rFonts w:ascii="Times New Roman" w:hAnsi="Times New Roman" w:cs="Times New Roman"/>
        </w:rPr>
        <w:t xml:space="preserve">. Additionally, </w:t>
      </w:r>
      <w:r w:rsidR="00943795">
        <w:rPr>
          <w:rFonts w:ascii="Times New Roman" w:hAnsi="Times New Roman" w:cs="Times New Roman"/>
        </w:rPr>
        <w:t>behavior</w:t>
      </w:r>
      <w:r>
        <w:rPr>
          <w:rFonts w:ascii="Times New Roman" w:hAnsi="Times New Roman" w:cs="Times New Roman"/>
        </w:rPr>
        <w:t xml:space="preserve">al responses such as burrowing, aggregating, and valve closures play an important role in predator avoidance in these animals </w:t>
      </w:r>
      <w:r w:rsidR="005F43B9">
        <w:rPr>
          <w:rFonts w:ascii="Times New Roman" w:hAnsi="Times New Roman" w:cs="Times New Roman"/>
          <w:lang w:val="en-US"/>
        </w:rPr>
        <w:fldChar w:fldCharType="begin"/>
      </w:r>
      <w:r w:rsidR="000E3685">
        <w:rPr>
          <w:rFonts w:ascii="Times New Roman" w:hAnsi="Times New Roman" w:cs="Times New Roman"/>
          <w:lang w:val="en-US"/>
        </w:rPr>
        <w:instrText xml:space="preserve"> ADDIN ZOTERO_ITEM CSL_CITATION {"citationID":"xBLK4KBk","properties":{"formattedCitation":"(Reimer and Tedengren 1996; C\\uc0\\u244{}t\\uc0\\u233{} and Jelnikar 1999; Smee and Weissburg 2006; Nicastro et al. 2007; Casey and Chattopadhyay 2008; Flynn and Smee 2010; Robson et al. 2010)","plainCitation":"(Reimer and Tedengren 1996; Côté and Jelnikar 1999; Smee and Weissburg 2006; Nicastro et al. 2007; Casey and Chattopadhyay 2008; Flynn and Smee 2010; Robson et al. 2010)","noteIndex":0},"citationItems":[{"id":365,"uris":["http://zotero.org/users/6612280/items/6PIH23RG"],"uri":["http://zotero.org/users/6612280/items/6PIH23RG"],"itemData":{"id":365,"type":"article-journal","container-title":"Oikos","DOI":"10.2307/3545878","ISSN":"00301299","issue":"3","journalAbbreviation":"Oikos","language":"en","page":"383","source":"DOI.org (Crossref)","title":"Phenotypical Improvement of Morphological Defences in the Mussel Mytilus edulis Induced by Exposure to the Predator Asterias rubens","volume":"75","author":[{"family":"Reimer","given":"Olof"},{"family":"Tedengren","given":"Michael"}],"issued":{"date-parts":[["1996",4]]}}},{"id":157,"uris":["http://zotero.org/users/6612280/items/3FYPFRIH"],"uri":["http://zotero.org/users/6612280/items/3FYPFRIH"],"itemData":{"id":157,"type":"article-journal","abstract":"This study examined the aggregation behaviour of blue mussels, Mytilus edulis, under threat of predation by European lobster, Homarus gammarus Linnaeus. Risk of predation was simulated using water in which a hungry lobster had been for 24 h, and mussels were initially set in experimental containers either near (0.5 body length apart) or far (1.5 body length apart) from each other. We found that mussels exposed to lobster efﬂuent formed more clumps, more rapidly than mussels in control conditions. The initial distance separating the mussels had no effect on their aggregation tendencies. Overall, a greater proportion of mussels were aggregated in the lobster treatment at the end of the 22-h experiment. This was not simply the result of increased locomotion. Although mussels in lobster efﬂuent did exhibit greater crawling speed in the ﬁrst hour of the experiment, mussels initially set far apart also showed enhanced locomotion in both lobster and control treatments. Yet, of the mussels initially far from each other, those in lobster efﬂuent formed clumps on average 5 h sooner than mussels in control water. This suggests that chemotaxis may be involved. Although mussels do aggregate under risk of predation in the laboratory, it is not yet known whether predation plays a signiﬁcant role in the formation of natural mussel beds. © 1999 Elsevier Science B.V. All rights reserved.","container-title":"Journal of Experimental Marine Biology and Ecology","DOI":"10.1016/S0022-0981(98)00155-5","ISSN":"00220981","journalAbbreviation":"J. Exp. Mar. Biol. Ecol.","language":"en","page":"201-211","source":"DOI.org (Crossref)","title":"Predator-induced clumping behaviour in mussels (&lt;i&gt;Mytilus edulis&lt;/i&gt; Linnaeus)","volume":"235","author":[{"family":"Côté","given":"I.M."},{"family":"Jelnikar","given":"E."}],"issued":{"date-parts":[["1999",3]]}}},{"id":319,"uris":["http://zotero.org/users/6612280/items/PR6Y2I2I"],"uri":["http://zotero.org/users/6612280/items/PR6Y2I2I"],"itemData":{"id":319,"type":"article-journal","abstract":"The lethal and nonlethal impacts of predators in marine systems are often mediated via reciprocal detection of waterborne chemical signals between consumers and prey. Local ﬂow environments can enhance or impair the chemoreception ability of consumers, but the effect of hydrodynamics on detection of predation risk by prey has not been investigated. Using clams as our model organism, we investigated two speciﬁc questions: (1) Can clams decrease their mortality by responding to predators? (2) Do ﬂuid forces affect the ability of clams to detect approaching predators? Previous research has documented a decrease in clam feeding (pumping) in response to a neighboring predator. We determined the beneﬁts of this behavior to survivorship by placing clams in the ﬁeld with knobbed whelk or blue crab predators caged nearby and compared mortality between these clams and clams near a cage-only control. Signiﬁcantly more clams survived in areas containing a caged predator, suggesting that predator-induced alterations in feeding reduce clam mortality in the ﬁeld.","container-title":"Ecology","DOI":"10.1890/0012-9658(2006)87[1587:CUEFDT]2.0.CO;2","ISSN":"0012-9658","journalAbbreviation":"Ecology","language":"en","page":"1587-1598","source":"DOI.org (Crossref)","title":"Clamming up: Environmental forces diminish the perceptive ability of bivalve prey","title-short":"CLAMMING UP","volume":"87","author":[{"family":"Smee","given":"D.L."},{"family":"Weissburg","given":"M.J."}],"issued":{"date-parts":[["2006",6]]}}},{"id":315,"uris":["http://zotero.org/users/6612280/items/JKXQQY8J"],"uri":["http://zotero.org/users/6612280/items/JKXQQY8J"],"itemData":{"id":315,"type":"article-journal","abstract":"We compared the behavioural responses of an indigenous South African mussel (Perna perna) and an invasive mussel (Mytilus galloprovincialis) to the risk of predation. Both species were subjected to the specific risk of predation by the native rock lobster Jasus lalandii and the general risk of predation simulated by the presence of damaged conspecifics. We hypothesised that, because M. galloprovincialis evolved in allopatry from the rock lobster, P. perna would respond more strongly to J. lalandii, but that there would be less difference between species in their response to damaged conspecifics. The results confirmed our initial hypotheses. M. galloprovincialis crawled farther under both predation treatments and generally aggregated more than P. perna. P. perna has a larger foot, and our results therefore do not reflect morphological differences between the species but imply greater sensitivity in M. galloprovincialis to chemical cues. Crawling distance was not enhanced under predation threat relative to the control; therefore, increased clumping due to more rapid random movement cannot explain our results, indicating that chemical attraction among individuals is important. P. perna clumping behaviour was significantly greater when exposed to local lobster effluent or damaged conspecifics, whereas M. galloprovincialis clumped more when exposed to a general threat of predation but exhibited naïve behaviour to local predator effluent. This lack of responsiveness to a native predator could be due not only to the recent arrival of the European mussel, but also to the relatively low selective effects of predation in South Africa.","container-title":"Marine Ecology Progress Series","journalAbbreviation":"Mar. Ecol. Prog. Ser.","language":"en","page":"169-175","source":"Zotero","title":"Behavioural response of invasive &lt;i&gt;Mytilus galloprovincialis&lt;/i&gt; and indigenous &lt;i&gt;Perna perna&lt;/i&gt; mussels exposed to riisk of predation","volume":"336","author":[{"family":"Nicastro","given":"K.R."},{"family":"Zardi","given":"G.I."},{"family":"McQuaid","given":"C.D."}],"issued":{"date-parts":[["2007"]]}}},{"id":161,"uris":["http://zotero.org/users/6612280/items/K8525UXT"],"uri":["http://zotero.org/users/6612280/items/K8525UXT"],"itemData":{"id":161,"type":"article-journal","abstract":"Drilling gastropod predators are of particular interest to paleontologists, because predatory drill-holes in marine invertebrates serve as one of the rare sources of data for the study of ancient predator-prey interactions. Modern laboratory studies are an important part of predation research providing valuable ecological insight and constraining fossil evidence and interpretations. Previous studies have shown that mussels use clumping behavior against durophagous predation [Okamura, B., 1986. Group living and the effects of spatial position in aggregations of Mylitus edulis. Oecologia 69, 341-347.; Lin, J., 1991. Predator-prey interactions between blue crabs and ribbed mussels living in clumps. Estuar. Coast. Shelf Sci. 32, 61-69.], but its role against drilling predation had not been explored. In this study, we explore the effect of clumping on predator success (drill-hole frequency) and prey handling (drill-hole position) using the mussel, Mytilus trossulus, as prey and the gastropod, Nucella lamellosa, as drilling predator. We assigned mussels to two groups: in one, mussels were allowed to clump together with their byssal threads, and in the other, they were kept separate. We observed a signiﬁcant decrease in the drilling frequency within the group containing clumped mussels, conﬁrming that clumping acts as a successful anti-predatory strategy against drilling predators. The use of clumping as an effective strategy against multiple types of predators may relax the trade-offs associated with aggregated lifestyles [Bertness, M.D., Grosholz, E., 1985. Population dynamics of the ribbed mussel, Geukensia demissa: the costs and beneﬁts of an aggregated distribution. Oecologia 67, 192-204.]. The increased beneﬁt and unchanged metabolic cost of clumped living alters estimates of individual ﬁtness with evolutionarily signiﬁcant implications (e.g., eliminating the need to invoke group or species selection to explain the adaptive beneﬁt of an aggregated lifestyle). In spite of potential differences in prey handling and grappling due to clumping, mean drill-hole placement and variation in drill-hole placement showed no signiﬁcant differences between the two groups. These observations suggest that comparison of predation intensities across clumping and nonclumping taxa must consider the anti-predatory effect of this behavior.","container-title":"Journal of Experimental Marine Biology and Ecology","DOI":"10.1016/j.jembe.2008.09.020","ISSN":"00220981","journalAbbreviation":"J. Exp. Mar. Biol. Ecol.","language":"en","page":"174-179","source":"DOI.org (Crossref)","title":"Clumping behavior as a strategy against drilling predation: Implications for the fossil record","title-short":"Clumping behavior as a strategy against drilling predation","volume":"367","author":[{"family":"Casey","given":"M.M."},{"family":"Chattopadhyay","given":"D."}],"issued":{"date-parts":[["2008",12]]}}},{"id":317,"uris":["http://zotero.org/users/6612280/items/AZ9J776W"],"uri":["http://zotero.org/users/6612280/items/AZ9J776W"],"itemData":{"id":317,"type":"article-journal","abstract":"Soft-shell clams, Mya arenaria, are sessile, suspension-feeding bivalves that are preyed upon by the exotic green crab, Carcinus maenas. Clams evade crab consumers by burrowing deeper into the sediment after perceiving a threat from a nearby predator. The purpose of this study was to determine the types of signals that M. arenaria use to detect predators and the types of behaviors clams use to avoid being eaten. In a ﬁeld study, clams increased their burial depth in the presence of green crab predators consuming conspeciﬁcs that were caged nearby, and also increased burial depth after artiﬁcial tactile stimulation in the laboratory assay. These results indicate that clams can use chemical and mechanical cues to detect potential predatory threats. We performed a ﬁeld study to examine the difference in survivability of clams that had burrowed deeper into the sediment in response to predators vs. control clams that were burrowed less deeply. Signiﬁcantly higher survival rates were observed in clams that had initially burrowed more deeply, suggesting that increasing burial depth is a valid predator avoidance strategy. Some bivalves also alter their pumping rates in the presence of predators, making them less apparent and providing more structural defense by covering soft tissue, and we measured pumping time of soft-shell clams in the presence and absence of predators, when burrowing was not an option for escape. Soft-shell clams did not alter their pumping time in the presence of green crab predators, possibly because they employ a burrowing method called “hydraulic” or “jetpropelled” burrowing, where it is necessary for the clam to pump in order to burrow. Chemical signals and tactile cues instigated behavioral changes in M. arenaria, and this change in behavior (increasing burial depth) increased clam survival in the ﬁeld.","container-title":"Journal of Experimental Marine Biology and Ecology","DOI":"10.1016/j.jembe.2009.10.017","ISSN":"00220981","journalAbbreviation":"Journal of Experimental Marine Biology and Ecology","language":"en","page":"32-38","source":"DOI.org (Crossref)","title":"Behavioral plasticity of the soft-shell clam, &lt;i&gt;Mya arenaria&lt;/i&gt; (L.), in the presence of predators increases survival in the field","volume":"383","author":[{"family":"Flynn","given":"A.M."},{"family":"Smee","given":"D.L."}],"issued":{"date-parts":[["2010",1]]}}},{"id":79,"uris":["http://zotero.org/users/6612280/items/HAKFULMD"],"uri":["http://zotero.org/users/6612280/items/HAKFULMD"],"itemData":{"id":79,"type":"article-journal","abstract":"Blue mussels Mytilus edulis (n ¼ 14) were studied in the laboratory using Hall sensor systems to record their gaping behaviour when exposed to varying food rations and levels of predation risk. Mussel response to increasing daily algal ration was to increase mean gape angle per day and was associated with copious pseudofaeces production at excessive initial algal concentrations, e.g. 250 cells/ml. Mean gape angle decreased (backward S-shaped curve) when fed a ﬁxed algal ration per day where simulated predation risk (introduced fresh mussel homogenate) increased in the water, presumably as an anti-predation strategy. However, this behaviour is presumed to lower feeding rates. There was a general positive relationship between both gape angle and the extent of valve movement (abduction/ adduction) per event and valve movement speed. However, the fastest valve adduction events, which resulted in valve closure, were recorded independent of gape angle and only when mussels were ﬁrst exposed to high perceived predation risk. We interpret this as an appropriate response, with high energetic cost, as a ﬁrst line of defence from predators such as starﬁsh and crabs. Overall, mussel response to predation appears graded and complex, indicating a trade-off between maximizing feeding/pseudofaeces production and minimizing predation risk.","container-title":"Journal of Molluscan Studies","DOI":"10.1093/mollus/eyq025","ISSN":"0260-1230, 1464-3766","journalAbbreviation":"J. Mollusc. Stud.","language":"en","page":"348-353","source":"DOI.org (Crossref)","title":"Behavioural adaptations of mussels to varying levels of food availability and predation risk","volume":"76","author":[{"family":"Robson","given":"A.A."},{"family":"Garcia De Leaniz","given":"C."},{"family":"Wilson","given":"R.P."},{"family":"Halsey","given":"L.G."}],"issued":{"date-parts":[["2010",11,1]]}}}],"schema":"https://github.com/citation-style-language/schema/raw/master/csl-citation.json"} </w:instrText>
      </w:r>
      <w:r w:rsidR="005F43B9">
        <w:rPr>
          <w:rFonts w:ascii="Times New Roman" w:hAnsi="Times New Roman" w:cs="Times New Roman"/>
          <w:lang w:val="en-US"/>
        </w:rPr>
        <w:fldChar w:fldCharType="separate"/>
      </w:r>
      <w:r w:rsidR="005F43B9" w:rsidRPr="005F43B9">
        <w:rPr>
          <w:rFonts w:ascii="Times New Roman" w:hAnsi="Times New Roman" w:cs="Times New Roman"/>
          <w:lang w:val="en-US"/>
        </w:rPr>
        <w:t>(Reimer and Tedengren 1996; Côté and Jelnikar 1999; Smee and Weissburg 2006; Nicastro et al. 2007; Casey and Chattopadhyay 2008; Flynn and Smee 2010; Robson et al. 2010)</w:t>
      </w:r>
      <w:r w:rsidR="005F43B9">
        <w:rPr>
          <w:rFonts w:ascii="Times New Roman" w:hAnsi="Times New Roman" w:cs="Times New Roman"/>
          <w:lang w:val="en-US"/>
        </w:rPr>
        <w:fldChar w:fldCharType="end"/>
      </w:r>
      <w:r>
        <w:rPr>
          <w:rFonts w:ascii="Times New Roman" w:hAnsi="Times New Roman" w:cs="Times New Roman"/>
        </w:rPr>
        <w:t xml:space="preserve">, particularly given that inducible defenses can take long periods of time to accrue whereas many </w:t>
      </w:r>
      <w:r w:rsidR="00943795">
        <w:rPr>
          <w:rFonts w:ascii="Times New Roman" w:hAnsi="Times New Roman" w:cs="Times New Roman"/>
        </w:rPr>
        <w:t>behavior</w:t>
      </w:r>
      <w:r>
        <w:rPr>
          <w:rFonts w:ascii="Times New Roman" w:hAnsi="Times New Roman" w:cs="Times New Roman"/>
        </w:rPr>
        <w:t>al defenses are instantaneous.</w:t>
      </w:r>
    </w:p>
    <w:p w14:paraId="0D0A3C50" w14:textId="57A44CF7" w:rsidR="00247EF3" w:rsidRDefault="00247EF3" w:rsidP="006A2314">
      <w:pPr>
        <w:spacing w:after="240" w:line="480" w:lineRule="auto"/>
        <w:jc w:val="both"/>
        <w:rPr>
          <w:rFonts w:ascii="Times New Roman" w:hAnsi="Times New Roman" w:cs="Times New Roman"/>
        </w:rPr>
      </w:pPr>
      <w:r>
        <w:rPr>
          <w:rFonts w:ascii="Times New Roman" w:hAnsi="Times New Roman" w:cs="Times New Roman"/>
        </w:rPr>
        <w:lastRenderedPageBreak/>
        <w:t xml:space="preserve">Although the repertoire of anti-predator </w:t>
      </w:r>
      <w:r w:rsidR="00943795">
        <w:rPr>
          <w:rFonts w:ascii="Times New Roman" w:hAnsi="Times New Roman" w:cs="Times New Roman"/>
        </w:rPr>
        <w:t>behavior</w:t>
      </w:r>
      <w:r>
        <w:rPr>
          <w:rFonts w:ascii="Times New Roman" w:hAnsi="Times New Roman" w:cs="Times New Roman"/>
        </w:rPr>
        <w:t xml:space="preserve">s for </w:t>
      </w:r>
      <w:r w:rsidR="00144FCB">
        <w:rPr>
          <w:rFonts w:ascii="Times New Roman" w:hAnsi="Times New Roman" w:cs="Times New Roman"/>
        </w:rPr>
        <w:t>semi-</w:t>
      </w:r>
      <w:r>
        <w:rPr>
          <w:rFonts w:ascii="Times New Roman" w:hAnsi="Times New Roman" w:cs="Times New Roman"/>
        </w:rPr>
        <w:t xml:space="preserve">sessile bivalves is more limited than </w:t>
      </w:r>
      <w:r w:rsidR="00147E8F">
        <w:rPr>
          <w:rFonts w:ascii="Times New Roman" w:hAnsi="Times New Roman" w:cs="Times New Roman"/>
        </w:rPr>
        <w:t>vagile</w:t>
      </w:r>
      <w:r>
        <w:rPr>
          <w:rFonts w:ascii="Times New Roman" w:hAnsi="Times New Roman" w:cs="Times New Roman"/>
        </w:rPr>
        <w:t xml:space="preserve"> species, often the most immediate response to the threat of predation is to close their valves and ‘hide’ </w:t>
      </w:r>
      <w:r w:rsidR="005F43B9">
        <w:rPr>
          <w:rFonts w:ascii="Times New Roman" w:hAnsi="Times New Roman" w:cs="Times New Roman"/>
          <w:lang w:val="en-US"/>
        </w:rPr>
        <w:fldChar w:fldCharType="begin"/>
      </w:r>
      <w:r w:rsidR="004F04C1">
        <w:rPr>
          <w:rFonts w:ascii="Times New Roman" w:hAnsi="Times New Roman" w:cs="Times New Roman"/>
          <w:lang w:val="en-US"/>
        </w:rPr>
        <w:instrText xml:space="preserve"> ADDIN ZOTERO_ITEM CSL_CITATION {"citationID":"tZaBmDAc","properties":{"formattedCitation":"(Robson et al. 2007; Robson et al. 2010; Carroll and Clements 2019)","plainCitation":"(Robson et al. 2007; Robson et al. 2010; Carroll and Clements 2019)","noteIndex":0},"citationItems":[{"id":215,"uris":["http://zotero.org/users/6612280/items/T5NH2UUI"],"uri":["http://zotero.org/users/6612280/items/T5NH2UUI"],"itemData":{"id":215,"type":"article-journal","abstract":"We employed a novel technique to quantify how blue mussels Mytilus edulis react to predation risk in their environment by quantifying mussel gape using a Hall sensor attached to one shell valve reacting to a magnet attached to the other. Change in gape angle per second (CHIGA) versus gape angle plots resulted in a distribution with a boundary, which deWned the maximum CHIGA of a mussel at all gape angles. CHIGA boundary plots for all individual mussels were similar in form. However, the CHIGA boundary increased in extent with mussel length (maximum CHIGA for mussel valve closures for mussels 2.98 and 79.6 mm long were ¡1.5 and ¡11°s¡1, respectively), showing that larger mussels opened and closed most rapidly. Mussel extract added to the seawater, a factor believed to signal predation, caused mussels to close signiWcantly faster than otherwise (P &lt; 0.001). This approach for assessing how mussels react to their environment indicates that mussel response to predation is graded and complex and may well indicate animalbased assessments of the trade-oV between eVective feeding and the likelihood of predation.","container-title":"Marine Biology","DOI":"10.1007/s00227-006-0566-z","ISSN":"0025-3162, 1432-1793","journalAbbreviation":"Mar. Biol.","language":"en","page":"1195-1204","source":"DOI.org (Crossref)","title":"Mussels flexing their muscles: A new method for quantifying bivalve behaviour","title-short":"Mussels flexing their muscles","volume":"151","author":[{"family":"Robson","given":"A."},{"family":"Wilson","given":"R."},{"family":"Garcia de Leaniz","given":"C."}],"issued":{"date-parts":[["2007",5]]}}},{"id":79,"uris":["http://zotero.org/users/6612280/items/HAKFULMD"],"uri":["http://zotero.org/users/6612280/items/HAKFULMD"],"itemData":{"id":79,"type":"article-journal","abstract":"Blue mussels Mytilus edulis (n ¼ 14) were studied in the laboratory using Hall sensor systems to record their gaping behaviour when exposed to varying food rations and levels of predation risk. Mussel response to increasing daily algal ration was to increase mean gape angle per day and was associated with copious pseudofaeces production at excessive initial algal concentrations, e.g. 250 cells/ml. Mean gape angle decreased (backward S-shaped curve) when fed a ﬁxed algal ration per day where simulated predation risk (introduced fresh mussel homogenate) increased in the water, presumably as an anti-predation strategy. However, this behaviour is presumed to lower feeding rates. There was a general positive relationship between both gape angle and the extent of valve movement (abduction/ adduction) per event and valve movement speed. However, the fastest valve adduction events, which resulted in valve closure, were recorded independent of gape angle and only when mussels were ﬁrst exposed to high perceived predation risk. We interpret this as an appropriate response, with high energetic cost, as a ﬁrst line of defence from predators such as starﬁsh and crabs. Overall, mussel response to predation appears graded and complex, indicating a trade-off between maximizing feeding/pseudofaeces production and minimizing predation risk.","container-title":"Journal of Molluscan Studies","DOI":"10.1093/mollus/eyq025","ISSN":"0260-1230, 1464-3766","journalAbbreviation":"J. Mollusc. Stud.","language":"en","page":"348-353","source":"DOI.org (Crossref)","title":"Behavioural adaptations of mussels to varying levels of food availability and predation risk","volume":"76","author":[{"family":"Robson","given":"A.A."},{"family":"Garcia De Leaniz","given":"C."},{"family":"Wilson","given":"R.P."},{"family":"Halsey","given":"L.G."}],"issued":{"date-parts":[["2010",11,1]]}}},{"id":4,"uris":["http://zotero.org/users/6612280/items/LDK3XNTV"],"uri":["http://zotero.org/users/6612280/items/LDK3XNTV"],"itemData":{"id":4,"type":"article-journal","abstract":"Non-consumptive effects of predators on prey populations have received increased interest in recent years. For Crassostrea virginica (Eastern Oyster), much of the focus has been on induced morphological defenses (e.g., shell thickening). Here, we provide in situ documentation of a behavioral response of Eastern Oysters (valve closure) to the threat of predation on a natural reef. This behavioral response, while intuitive, has been largely ignored in the literature despite potential impacts on individual oyster health by affecting feeding and subsequently energy assimilation, reproductive condition, and growth. In situ photographs revealed that, under natural conditions, Eastern Oysters closed during the passive presence of a crab mate-guarding pair and took ~5 minutes to reopen to pre-predator gapes. Given that multiple oysters in our photos reacted similarly, this behavioral response may scale up to have effects on the population and the ecosystem services that Eastern Oysters provide. Ultimately, our observations open the door to a number of testable hypotheses regarding a predator’s non-consumptive effects on oyster reefs.","container-title":"Southeastern Naturalist","DOI":"10.1656/058.018.0303","ISSN":"1528-7092","journalAbbreviation":"Southeast Nat.","language":"en","page":"N21-N26","source":"DOI.org (Crossref)","title":"Scaredy-oysters: In situ documentation of an oyster behavioral response to predators","volume":"18","author":[{"family":"Carroll","given":"J.M."},{"family":"Clements","given":"J.C."}],"issued":{"date-parts":[["2019",8,3]]}}}],"schema":"https://github.com/citation-style-language/schema/raw/master/csl-citation.json"} </w:instrText>
      </w:r>
      <w:r w:rsidR="005F43B9">
        <w:rPr>
          <w:rFonts w:ascii="Times New Roman" w:hAnsi="Times New Roman" w:cs="Times New Roman"/>
          <w:lang w:val="en-US"/>
        </w:rPr>
        <w:fldChar w:fldCharType="separate"/>
      </w:r>
      <w:r w:rsidR="005F43B9">
        <w:rPr>
          <w:rFonts w:ascii="Times New Roman" w:hAnsi="Times New Roman" w:cs="Times New Roman"/>
          <w:noProof/>
          <w:lang w:val="en-US"/>
        </w:rPr>
        <w:t>(Robson et al. 2007; Robson et al. 2010; Carroll and Clements 2019)</w:t>
      </w:r>
      <w:r w:rsidR="005F43B9">
        <w:rPr>
          <w:rFonts w:ascii="Times New Roman" w:hAnsi="Times New Roman" w:cs="Times New Roman"/>
          <w:lang w:val="en-US"/>
        </w:rPr>
        <w:fldChar w:fldCharType="end"/>
      </w:r>
      <w:r w:rsidR="005F43B9">
        <w:rPr>
          <w:rFonts w:ascii="Times New Roman" w:hAnsi="Times New Roman" w:cs="Times New Roman"/>
          <w:lang w:val="en-US"/>
        </w:rPr>
        <w:t>.</w:t>
      </w:r>
      <w:r>
        <w:rPr>
          <w:rFonts w:ascii="Times New Roman" w:hAnsi="Times New Roman" w:cs="Times New Roman"/>
        </w:rPr>
        <w:t xml:space="preserve"> This avoidance strategy is thought to reduce the probability of being detected by predators (as hiding would reduce the emittance of chemical cues that predators could detect) and can reduce the probability of predators successfully accessing and consuming the tissue </w:t>
      </w:r>
      <w:r w:rsidR="005F43B9">
        <w:rPr>
          <w:rFonts w:ascii="Times New Roman" w:hAnsi="Times New Roman" w:cs="Times New Roman"/>
          <w:noProof/>
        </w:rPr>
        <w:fldChar w:fldCharType="begin"/>
      </w:r>
      <w:r w:rsidR="004F04C1">
        <w:rPr>
          <w:rFonts w:ascii="Times New Roman" w:hAnsi="Times New Roman" w:cs="Times New Roman"/>
          <w:noProof/>
        </w:rPr>
        <w:instrText xml:space="preserve"> ADDIN ZOTERO_ITEM CSL_CITATION {"citationID":"lZ9pI2o0","properties":{"formattedCitation":"(Barbeau and Sceibling 1994; Carroll and Clements 2019)","plainCitation":"(Barbeau and Sceibling 1994; Carroll and Clements 2019)","noteIndex":0},"citationItems":[{"id":217,"uris":["http://zotero.org/users/6612280/items/RJCFEGCE"],"uri":["http://zotero.org/users/6612280/items/RJCFEGCE"],"itemData":{"id":217,"type":"article-journal","abstract":"Predation upon different size classes of juvenile sea scallops Pfacopecten tnage&amp;micus (Gmelin) (5-25 mm shell height) by different size classes of predatory sea stars Asterius vulgaris Verill (30-150 mm diameter) and crabs Cuncer irrorutus Say (45-120 mm carapace width) was studied in laboratory experiments using single prey size (no choice) and multiple prey size (choice) designs. Components of predation rate were quantified to assess the relative importance of prey vulnerability and active predator choice in determining observed prey selection. All sizes of sea stars consumed more small scallops than medium or large ones. Encounter rates between predator and prey were similar, irrespective of sea star and scallop size, and did not differ from encounter rates calculated on the basis of body sizes and movement velocities. Scallops assumed a ready-to-swim position when contacted by sea stars, and often actively escaped. The probability of capture by sea stars upon encounter was generally low ( &lt; 0.2), but significantly higher for small scallops than for medium or large ones. Active selection was unimportant, since sea stars did not select a given scallop size more often in a choice situation than in a non-choice situation.","container-title":"Journal of Experimental Marine Biology and Ecology","DOI":"10.1016/0022-0981(94)90082-5","journalAbbreviation":"J. Exp. Mar. Biol. Ecol.","language":"en","page":"103-136","source":"Zotero","title":"Behavioral mechanisms of prey size selection by sea stars (&lt;i&gt;Asterias vulgaris&lt;/i&gt; Verrill) and crabs (&lt;i&gt;Cancer irroratus&lt;/i&gt; Say) preying on juvenile sea scallops (&lt;i&gt;Placopecten magellanicus&lt;/i&gt; (Gmelin))","volume":"180","author":[{"family":"Barbeau","given":"M.A."},{"family":"Sceibling","given":"R.E."}],"issued":{"date-parts":[["1994"]]}}},{"id":4,"uris":["http://zotero.org/users/6612280/items/LDK3XNTV"],"uri":["http://zotero.org/users/6612280/items/LDK3XNTV"],"itemData":{"id":4,"type":"article-journal","abstract":"Non-consumptive effects of predators on prey populations have received increased interest in recent years. For Crassostrea virginica (Eastern Oyster), much of the focus has been on induced morphological defenses (e.g., shell thickening). Here, we provide in situ documentation of a behavioral response of Eastern Oysters (valve closure) to the threat of predation on a natural reef. This behavioral response, while intuitive, has been largely ignored in the literature despite potential impacts on individual oyster health by affecting feeding and subsequently energy assimilation, reproductive condition, and growth. In situ photographs revealed that, under natural conditions, Eastern Oysters closed during the passive presence of a crab mate-guarding pair and took ~5 minutes to reopen to pre-predator gapes. Given that multiple oysters in our photos reacted similarly, this behavioral response may scale up to have effects on the population and the ecosystem services that Eastern Oysters provide. Ultimately, our observations open the door to a number of testable hypotheses regarding a predator’s non-consumptive effects on oyster reefs.","container-title":"Southeastern Naturalist","DOI":"10.1656/058.018.0303","ISSN":"1528-7092","journalAbbreviation":"Southeast Nat.","language":"en","page":"N21-N26","source":"DOI.org (Crossref)","title":"Scaredy-oysters: In situ documentation of an oyster behavioral response to predators","volume":"18","author":[{"family":"Carroll","given":"J.M."},{"family":"Clements","given":"J.C."}],"issued":{"date-parts":[["2019",8,3]]}}}],"schema":"https://github.com/citation-style-language/schema/raw/master/csl-citation.json"} </w:instrText>
      </w:r>
      <w:r w:rsidR="005F43B9">
        <w:rPr>
          <w:rFonts w:ascii="Times New Roman" w:hAnsi="Times New Roman" w:cs="Times New Roman"/>
          <w:noProof/>
        </w:rPr>
        <w:fldChar w:fldCharType="separate"/>
      </w:r>
      <w:r w:rsidR="005F43B9">
        <w:rPr>
          <w:rFonts w:ascii="Times New Roman" w:hAnsi="Times New Roman" w:cs="Times New Roman"/>
          <w:noProof/>
        </w:rPr>
        <w:t>(Barbeau and Sceibling 1994; Carroll and Clements 2019)</w:t>
      </w:r>
      <w:r w:rsidR="005F43B9">
        <w:rPr>
          <w:rFonts w:ascii="Times New Roman" w:hAnsi="Times New Roman" w:cs="Times New Roman"/>
          <w:noProof/>
        </w:rPr>
        <w:fldChar w:fldCharType="end"/>
      </w:r>
      <w:r w:rsidR="005F43B9">
        <w:rPr>
          <w:rFonts w:ascii="Times New Roman" w:hAnsi="Times New Roman" w:cs="Times New Roman"/>
          <w:noProof/>
        </w:rPr>
        <w:t>.</w:t>
      </w:r>
      <w:r>
        <w:rPr>
          <w:rFonts w:ascii="Times New Roman" w:hAnsi="Times New Roman" w:cs="Times New Roman"/>
        </w:rPr>
        <w:t xml:space="preserve"> As such, the effectiveness of this strategy will depend on the strength of valve closure (weaker closure would allow predators to detect cues and open shells more easily) and the </w:t>
      </w:r>
      <w:r w:rsidR="005F43B9">
        <w:rPr>
          <w:rFonts w:ascii="Times New Roman" w:hAnsi="Times New Roman" w:cs="Times New Roman"/>
        </w:rPr>
        <w:fldChar w:fldCharType="begin"/>
      </w:r>
      <w:r w:rsidR="005F43B9">
        <w:rPr>
          <w:rFonts w:ascii="Times New Roman" w:hAnsi="Times New Roman" w:cs="Times New Roman"/>
        </w:rPr>
        <w:instrText xml:space="preserve"> ADDIN ZOTERO_TEMP </w:instrText>
      </w:r>
      <w:r w:rsidR="005F43B9">
        <w:rPr>
          <w:rFonts w:ascii="Times New Roman" w:hAnsi="Times New Roman" w:cs="Times New Roman"/>
        </w:rPr>
        <w:fldChar w:fldCharType="separate"/>
      </w:r>
      <w:r w:rsidR="005F43B9">
        <w:rPr>
          <w:rFonts w:ascii="Times New Roman" w:hAnsi="Times New Roman" w:cs="Times New Roman"/>
          <w:noProof/>
        </w:rPr>
        <w:t>(Wilson et al. 2012)</w:t>
      </w:r>
      <w:r w:rsidR="005F43B9">
        <w:rPr>
          <w:rFonts w:ascii="Times New Roman" w:hAnsi="Times New Roman" w:cs="Times New Roman"/>
        </w:rPr>
        <w:fldChar w:fldCharType="end"/>
      </w:r>
      <w:r>
        <w:rPr>
          <w:rFonts w:ascii="Times New Roman" w:hAnsi="Times New Roman" w:cs="Times New Roman"/>
        </w:rPr>
        <w:t xml:space="preserve">duration of closure (opening too soon would increase the probabilities of detection and the predator preventing further closure and successfully consuming the bivalve). While the strength of valve closure is predominantly dictated morphologically by adductor muscle strength, the duration of valve closure is determined by an individual’s </w:t>
      </w:r>
      <w:r w:rsidR="00943795">
        <w:rPr>
          <w:rFonts w:ascii="Times New Roman" w:hAnsi="Times New Roman" w:cs="Times New Roman"/>
        </w:rPr>
        <w:t>behavior</w:t>
      </w:r>
      <w:r>
        <w:rPr>
          <w:rFonts w:ascii="Times New Roman" w:hAnsi="Times New Roman" w:cs="Times New Roman"/>
        </w:rPr>
        <w:t xml:space="preserve">al decision. Under the threat of predation, the duration of valve closure thus represents a startle response in </w:t>
      </w:r>
      <w:r w:rsidR="00144FCB">
        <w:rPr>
          <w:rFonts w:ascii="Times New Roman" w:hAnsi="Times New Roman" w:cs="Times New Roman"/>
        </w:rPr>
        <w:t>semi-</w:t>
      </w:r>
      <w:r>
        <w:rPr>
          <w:rFonts w:ascii="Times New Roman" w:hAnsi="Times New Roman" w:cs="Times New Roman"/>
        </w:rPr>
        <w:t xml:space="preserve">sessile bivalves </w:t>
      </w:r>
      <w:r>
        <w:rPr>
          <w:rFonts w:ascii="Times New Roman" w:hAnsi="Times New Roman" w:cs="Times New Roman"/>
          <w:noProof/>
        </w:rPr>
        <w:t>(</w:t>
      </w:r>
      <w:r w:rsidR="00147E8F">
        <w:rPr>
          <w:rFonts w:ascii="Times New Roman" w:hAnsi="Times New Roman" w:cs="Times New Roman"/>
          <w:noProof/>
        </w:rPr>
        <w:t xml:space="preserve">as measured and defined in previous studies; e.g. </w:t>
      </w:r>
      <w:r w:rsidR="005F43B9">
        <w:rPr>
          <w:rFonts w:ascii="Times New Roman" w:hAnsi="Times New Roman" w:cs="Times New Roman"/>
          <w:noProof/>
        </w:rPr>
        <w:fldChar w:fldCharType="begin"/>
      </w:r>
      <w:r w:rsidR="004F04C1">
        <w:rPr>
          <w:rFonts w:ascii="Times New Roman" w:hAnsi="Times New Roman" w:cs="Times New Roman"/>
          <w:noProof/>
        </w:rPr>
        <w:instrText xml:space="preserve"> ADDIN ZOTERO_ITEM CSL_CITATION {"citationID":"oFMT9AOR","properties":{"formattedCitation":"(Rudin and Briffa 2012; Wilson et al. 2012)","plainCitation":"(Rudin and Briffa 2012; Wilson et al. 2012)","noteIndex":0},"citationItems":[{"id":148,"uris":["http://zotero.org/users/6612280/items/FSDXJG42"],"uri":["http://zotero.org/users/6612280/items/FSDXJG42"],"itemData":{"id":148,"type":"article-journal","container-title":"Proceedings of the Royal Society B: Biological Sciences","DOI":"10.1098/rspb.2011.2418","ISSN":"0962-8452, 1471-2954","journalAbbreviation":"Proc. R. Soc. B","language":"en","page":"1904-1910","source":"DOI.org (Crossref)","title":"Is boldness a resource-holding potential trait? Fighting prowess and changes in startle response in the sea anemone, &lt;i&gt;Actinia equina&lt;/i&gt;","title-short":"Is boldness a resource-holding potential trait?","volume":"279","author":[{"family":"Rudin","given":"F.S."},{"family":"Briffa","given":"M."}],"issued":{"date-parts":[["2012",5,22]]}}},{"id":70,"uris":["http://zotero.org/users/6612280/items/8YZ2MFLC"],"uri":["http://zotero.org/users/6612280/items/8YZ2MFLC"],"itemData":{"id":70,"type":"article-journal","abstract":"Animals often show behavioural plasticity with respect to predation risk but also show behavioural syndromes in terms of consistency of responses to different stimuli. We examine these features in the freshwater pearl mussel. These bivalves often aggregate presumably to reduce predation risk to each individual. Predation risk, however, will be higher in the presence of predator cues. Here we use dimming light, vibration and touch as novel stimuli to examine the trade-off between motivation to feed and motivation to avoid predation. We present two experiments that each use three sequential novel stimuli to cause the mussels to close their valves and hence cease feeding. We ﬁnd that mussels within a group showed shorter closure times than solitary mussels, consistent with decreased vulnerability to predation in group-living individuals. Mussels exposed to the odour of a predatory crayﬁsh showed longer closures than control mussels, highlighting the predator assessment abilities of this species. However, individuals showed signiﬁcant consistency in their closure responses across the trial series, in line with behavioural syndrome theory. Our results show that bivalves trade-off feeding and predator avoidance according to predation risk but the degree to which this is achieved is constrained by behavioural consistency.","container-title":"Behavioural Processes","DOI":"10.1016/j.beproc.2011.12.006","ISSN":"03766357","journalAbbreviation":"Behav. Process.","language":"en","page":"299-303","source":"DOI.org (Crossref)","title":"Freshwater pearl mussels show plasticity of responses to different predation risks but also show consistent individual differences in responsiveness","volume":"89","author":[{"family":"Wilson","given":"C.D."},{"family":"Arnott","given":"G."},{"family":"Elwood","given":"R.W."}],"issued":{"date-parts":[["2012",3]]}}}],"schema":"https://github.com/citation-style-language/schema/raw/master/csl-citation.json"} </w:instrText>
      </w:r>
      <w:r w:rsidR="005F43B9">
        <w:rPr>
          <w:rFonts w:ascii="Times New Roman" w:hAnsi="Times New Roman" w:cs="Times New Roman"/>
          <w:noProof/>
        </w:rPr>
        <w:fldChar w:fldCharType="separate"/>
      </w:r>
      <w:r w:rsidR="005F43B9">
        <w:rPr>
          <w:rFonts w:ascii="Times New Roman" w:hAnsi="Times New Roman" w:cs="Times New Roman"/>
          <w:noProof/>
        </w:rPr>
        <w:t>(Rudin and Briffa 2012; Wilson et al. 2012)</w:t>
      </w:r>
      <w:r w:rsidR="005F43B9">
        <w:rPr>
          <w:rFonts w:ascii="Times New Roman" w:hAnsi="Times New Roman" w:cs="Times New Roman"/>
          <w:noProof/>
        </w:rPr>
        <w:fldChar w:fldCharType="end"/>
      </w:r>
      <w:r w:rsidR="005F43B9">
        <w:rPr>
          <w:rFonts w:ascii="Times New Roman" w:hAnsi="Times New Roman" w:cs="Times New Roman"/>
          <w:noProof/>
        </w:rPr>
        <w:t>.</w:t>
      </w:r>
    </w:p>
    <w:p w14:paraId="5CB89184" w14:textId="5EE7F1BB" w:rsidR="00247EF3" w:rsidRPr="005F43B9" w:rsidRDefault="00247EF3" w:rsidP="006A2314">
      <w:pPr>
        <w:spacing w:after="240" w:line="480" w:lineRule="auto"/>
        <w:jc w:val="both"/>
        <w:rPr>
          <w:rFonts w:ascii="Times New Roman" w:hAnsi="Times New Roman" w:cs="Times New Roman"/>
          <w:lang w:val="en-US"/>
        </w:rPr>
      </w:pPr>
      <w:r>
        <w:rPr>
          <w:rFonts w:ascii="Times New Roman" w:hAnsi="Times New Roman" w:cs="Times New Roman"/>
        </w:rPr>
        <w:t xml:space="preserve">While it is known that </w:t>
      </w:r>
      <w:r w:rsidR="00144FCB">
        <w:rPr>
          <w:rFonts w:ascii="Times New Roman" w:hAnsi="Times New Roman" w:cs="Times New Roman"/>
        </w:rPr>
        <w:t>semi-</w:t>
      </w:r>
      <w:r>
        <w:rPr>
          <w:rFonts w:ascii="Times New Roman" w:hAnsi="Times New Roman" w:cs="Times New Roman"/>
        </w:rPr>
        <w:t xml:space="preserve">sessile bivalves close their shells and exhibit a startle response under the threat of predation, aspects of the </w:t>
      </w:r>
      <w:r w:rsidR="00943795">
        <w:rPr>
          <w:rFonts w:ascii="Times New Roman" w:hAnsi="Times New Roman" w:cs="Times New Roman"/>
        </w:rPr>
        <w:t>behavior</w:t>
      </w:r>
      <w:r>
        <w:rPr>
          <w:rFonts w:ascii="Times New Roman" w:hAnsi="Times New Roman" w:cs="Times New Roman"/>
        </w:rPr>
        <w:t xml:space="preserve">al ecology of this response are understudied. </w:t>
      </w:r>
      <w:r w:rsidR="00234659">
        <w:rPr>
          <w:rFonts w:ascii="Times New Roman" w:hAnsi="Times New Roman" w:cs="Times New Roman"/>
        </w:rPr>
        <w:t>L</w:t>
      </w:r>
      <w:r>
        <w:rPr>
          <w:rFonts w:ascii="Times New Roman" w:hAnsi="Times New Roman" w:cs="Times New Roman"/>
        </w:rPr>
        <w:t>iving in clusters as opposed to being solitary can reduce time to open in freshwater mussels</w:t>
      </w:r>
      <w:r w:rsidR="005F43B9">
        <w:rPr>
          <w:rFonts w:ascii="Times New Roman" w:hAnsi="Times New Roman" w:cs="Times New Roman"/>
        </w:rPr>
        <w:t xml:space="preserve"> </w:t>
      </w:r>
      <w:r w:rsidR="005F43B9">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{"citationID":"NGxbTX57","properties":{"formattedCitation":"(Wilson et al. 2012)","plainCitation":"(Wilson et al. 2012)","noteIndex":0},"citationItems":[{"id":70,"uris":["http://zotero.org/users/6612280/items/8YZ2MFLC"],"uri":["http://zotero.org/users/6612280/items/8YZ2MFLC"],"itemData":{"id":70,"type":"article-journal","abstract":"Animals often show behavioural plasticity with respect to predation risk but also show behavioural syndromes in terms of consistency of responses to different stimuli. We examine these features in the freshwater pearl mussel. These bivalves often aggregate presumably to reduce predation risk to each individual. Predation risk, however, will be higher in the presence of predator cues. Here we use dimming light, vibration and touch as novel stimuli to examine the trade-off between motivation to feed and motivation to avoid predation. We present two experiments that each use three sequential novel stimuli to cause the mussels to close their valves and hence cease feeding. We ﬁnd that mussels within a group showed shorter closure times than solitary mussels, consistent with decreased vulnerability to predation in group-living individuals. Mussels exposed to the odour of a predatory crayﬁsh showed longer closures than control mussels, highlighting the predator assessment abilities of this species. However, individuals showed signiﬁcant consistency in their closure responses across the trial series, in line with behavioural syndrome theory. Our results show that bivalves trade-off feeding and predator avoidance according to predation risk but the degree to which this is achieved is constrained by behavioural consistency.","container-title":"Behavioural Processes","DOI":"10.1016/j.beproc.2011.12.006","ISSN":"03766357","journalAbbreviation":"Behav. Process.","language":"en","page":"299-303","source":"DOI.org (Crossref)","title":"Freshwater pearl mussels show plasticity of responses to different predation risks but also show consistent individual differences in responsiveness","volume":"89","author":[{"family":"Wilson","given":"C.D."},{"family":"Arnott","given":"G."},{"family":"Elwood","given":"R.W."}],"issued":{"date-parts":[["2012",3]]}}}],"schema":"https://github.com/citation-style-language/schema/raw/master/csl-citation.json"} </w:instrText>
      </w:r>
      <w:r w:rsidR="005F43B9">
        <w:rPr>
          <w:rFonts w:ascii="Times New Roman" w:hAnsi="Times New Roman" w:cs="Times New Roman"/>
        </w:rPr>
        <w:fldChar w:fldCharType="separate"/>
      </w:r>
      <w:r w:rsidR="005F43B9">
        <w:rPr>
          <w:rFonts w:ascii="Times New Roman" w:hAnsi="Times New Roman" w:cs="Times New Roman"/>
          <w:noProof/>
        </w:rPr>
        <w:t>(Wilson et al. 2012)</w:t>
      </w:r>
      <w:r w:rsidR="005F43B9">
        <w:rPr>
          <w:rFonts w:ascii="Times New Roman" w:hAnsi="Times New Roman" w:cs="Times New Roman"/>
        </w:rPr>
        <w:fldChar w:fldCharType="end"/>
      </w:r>
      <w:r w:rsidR="00234659">
        <w:rPr>
          <w:rFonts w:ascii="Times New Roman" w:hAnsi="Times New Roman" w:cs="Times New Roman"/>
          <w:noProof/>
        </w:rPr>
        <w:t>,</w:t>
      </w:r>
      <w:r w:rsidR="00234659" w:rsidRPr="00234659">
        <w:rPr>
          <w:rFonts w:ascii="Times New Roman" w:hAnsi="Times New Roman" w:cs="Times New Roman"/>
        </w:rPr>
        <w:t xml:space="preserve"> </w:t>
      </w:r>
      <w:r w:rsidR="00234659">
        <w:rPr>
          <w:rFonts w:ascii="Times New Roman" w:hAnsi="Times New Roman" w:cs="Times New Roman"/>
        </w:rPr>
        <w:t xml:space="preserve">likely resulting from reduced </w:t>
      </w:r>
      <w:r w:rsidR="00914A8A">
        <w:rPr>
          <w:rFonts w:ascii="Times New Roman" w:hAnsi="Times New Roman" w:cs="Times New Roman"/>
        </w:rPr>
        <w:t xml:space="preserve">vulnerability to </w:t>
      </w:r>
      <w:r w:rsidR="00234659">
        <w:rPr>
          <w:rFonts w:ascii="Times New Roman" w:hAnsi="Times New Roman" w:cs="Times New Roman"/>
        </w:rPr>
        <w:t>predation for group-living bivalves (and hence representing a measure of boldness in these animals;</w:t>
      </w:r>
      <w:r w:rsidR="005F43B9">
        <w:rPr>
          <w:rFonts w:ascii="Times New Roman" w:hAnsi="Times New Roman" w:cs="Times New Roman"/>
        </w:rPr>
        <w:t xml:space="preserve"> </w:t>
      </w:r>
      <w:r w:rsidR="005F43B9">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{"citationID":"OxzAcCX9","properties":{"formattedCitation":"(C\\uc0\\u244{}t\\uc0\\u233{} and Jelnikar 1999; Casey and Chattopadhyay 2008; Kobak and Ry\\uc0\\u324{}ska 2014)","plainCitation":"(Côté and Jelnikar 1999; Casey and Chattopadhyay 2008; Kobak and Ryńska 2014)","noteIndex":0},"citationItems":[{"id":157,"uris":["http://zotero.org/users/6612280/items/3FYPFRIH"],"uri":["http://zotero.org/users/6612280/items/3FYPFRIH"],"itemData":{"id":157,"type":"article-journal","abstract":"This study examined the aggregation behaviour of blue mussels, Mytilus edulis, under threat of predation by European lobster, Homarus gammarus Linnaeus. Risk of predation was simulated using water in which a hungry lobster had been for 24 h, and mussels were initially set in experimental containers either near (0.5 body length apart) or far (1.5 body length apart) from each other. We found that mussels exposed to lobster efﬂuent formed more clumps, more rapidly than mussels in control conditions. The initial distance separating the mussels had no effect on their aggregation tendencies. Overall, a greater proportion of mussels were aggregated in the lobster treatment at the end of the 22-h experiment. This was not simply the result of increased locomotion. Although mussels in lobster efﬂuent did exhibit greater crawling speed in the ﬁrst hour of the experiment, mussels initially set far apart also showed enhanced locomotion in both lobster and control treatments. Yet, of the mussels initially far from each other, those in lobster efﬂuent formed clumps on average 5 h sooner than mussels in control water. This suggests that chemotaxis may be involved. Although mussels do aggregate under risk of predation in the laboratory, it is not yet known whether predation plays a signiﬁcant role in the formation of natural mussel beds. © 1999 Elsevier Science B.V. All rights reserved.","container-title":"Journal of Experimental Marine Biology and Ecology","DOI":"10.1016/S0022-0981(98)00155-5","ISSN":"00220981","journalAbbreviation":"J. Exp. Mar. Biol. Ecol.","language":"en","page":"201-211","source":"DOI.org (Crossref)","title":"Predator-induced clumping behaviour in mussels (&lt;i&gt;Mytilus edulis&lt;/i&gt; Linnaeus)","volume":"235","author":[{"family":"Côté","given":"I.M."},{"family":"Jelnikar","given":"E."}],"issued":{"date-parts":[["1999",3]]}}},{"id":161,"uris":["http://zotero.org/users/6612280/items/K8525UXT"],"uri":["http://zotero.org/users/6612280/items/K8525UXT"],"itemData":{"id":161,"type":"article-journal","abstract":"Drilling gastropod predators are of particular interest to paleontologists, because predatory drill-holes in marine invertebrates serve as one of the rare sources of data for the study of ancient predator-prey interactions. Modern laboratory studies are an important part of predation research providing valuable ecological insight and constraining fossil evidence and interpretations. Previous studies have shown that mussels use clumping behavior against durophagous predation [Okamura, B., 1986. Group living and the effects of spatial position in aggregations of Mylitus edulis. Oecologia 69, 341-347.; Lin, J., 1991. Predator-prey interactions between blue crabs and ribbed mussels living in clumps. Estuar. Coast. Shelf Sci. 32, 61-69.], but its role against drilling predation had not been explored. In this study, we explore the effect of clumping on predator success (drill-hole frequency) and prey handling (drill-hole position) using the mussel, Mytilus trossulus, as prey and the gastropod, Nucella lamellosa, as drilling predator. We assigned mussels to two groups: in one, mussels were allowed to clump together with their byssal threads, and in the other, they were kept separate. We observed a signiﬁcant decrease in the drilling frequency within the group containing clumped mussels, conﬁrming that clumping acts as a successful anti-predatory strategy against drilling predators. The use of clumping as an effective strategy against multiple types of predators may relax the trade-offs associated with aggregated lifestyles [Bertness, M.D., Grosholz, E., 1985. Population dynamics of the ribbed mussel, Geukensia demissa: the costs and beneﬁts of an aggregated distribution. Oecologia 67, 192-204.]. The increased beneﬁt and unchanged metabolic cost of clumped living alters estimates of individual ﬁtness with evolutionarily signiﬁcant implications (e.g., eliminating the need to invoke group or species selection to explain the adaptive beneﬁt of an aggregated lifestyle). In spite of potential differences in prey handling and grappling due to clumping, mean drill-hole placement and variation in drill-hole placement showed no signiﬁcant differences between the two groups. These observations suggest that comparison of predation intensities across clumping and nonclumping taxa must consider the anti-predatory effect of this behavior.","container-title":"Journal of Experimental Marine Biology and Ecology","DOI":"10.1016/j.jembe.2008.09.020","ISSN":"00220981","journalAbbreviation":"J. Exp. Mar. Biol. Ecol.","language":"en","page":"174-179","source":"DOI.org (Crossref)","title":"Clumping behavior as a strategy against drilling predation: Implications for the fossil record","title-short":"Clumping behavior as a strategy against drilling predation","volume":"367","author":[{"family":"Casey","given":"M.M."},{"family":"Chattopadhyay","given":"D."}],"issued":{"date-parts":[["2008",12]]}}},{"id":159,"uris":["http://zotero.org/users/6612280/items/9HQKD865"],"uri":["http://zotero.org/users/6612280/items/9HQKD865"],"itemData":{"id":159,"type":"article-journal","container-title":"Animal Behaviour","DOI":"10.1016/j.anbehav.2014.08.014","ISSN":"00033472","journalAbbreviation":"Anim. Behav.","language":"en","page":"177-186","source":"DOI.org (Crossref)","title":"Environmental factors affecting behavioural responses of an invasive bivalve to conspecific alarm cues","volume":"96","author":[{"family":"Kobak","given":"J."},{"family":"Ryńska","given":"A."}],"issued":{"date-parts":[["2014",10]]}}}],"schema":"https://github.com/citation-style-language/schema/raw/master/csl-citation.json"} </w:instrText>
      </w:r>
      <w:r w:rsidR="005F43B9">
        <w:rPr>
          <w:rFonts w:ascii="Times New Roman" w:hAnsi="Times New Roman" w:cs="Times New Roman"/>
        </w:rPr>
        <w:fldChar w:fldCharType="separate"/>
      </w:r>
      <w:r w:rsidR="005F43B9" w:rsidRPr="005F43B9">
        <w:rPr>
          <w:rFonts w:ascii="Times New Roman" w:hAnsi="Times New Roman" w:cs="Times New Roman"/>
          <w:lang w:val="en-US"/>
        </w:rPr>
        <w:t>(Côté and Jelnikar 1999; Casey and Chattopadhyay 2008; Kobak and Ryńska 2014)</w:t>
      </w:r>
      <w:r w:rsidR="005F43B9">
        <w:rPr>
          <w:rFonts w:ascii="Times New Roman" w:hAnsi="Times New Roman" w:cs="Times New Roman"/>
        </w:rPr>
        <w:fldChar w:fldCharType="end"/>
      </w:r>
      <w:r w:rsidR="005F43B9">
        <w:rPr>
          <w:rFonts w:ascii="Times New Roman" w:hAnsi="Times New Roman" w:cs="Times New Roman"/>
        </w:rPr>
        <w:t>.</w:t>
      </w:r>
      <w:r>
        <w:rPr>
          <w:rFonts w:ascii="Times New Roman" w:hAnsi="Times New Roman" w:cs="Times New Roman"/>
          <w:noProof/>
        </w:rPr>
        <w:t xml:space="preserve"> </w:t>
      </w:r>
      <w:r w:rsidR="005F43B9">
        <w:rPr>
          <w:rFonts w:ascii="Times New Roman" w:hAnsi="Times New Roman" w:cs="Times New Roman"/>
          <w:noProof/>
        </w:rPr>
        <w:fldChar w:fldCharType="begin"/>
      </w:r>
      <w:r w:rsidR="004F04C1">
        <w:rPr>
          <w:rFonts w:ascii="Times New Roman" w:hAnsi="Times New Roman" w:cs="Times New Roman"/>
          <w:noProof/>
        </w:rPr>
        <w:instrText xml:space="preserve"> ADDIN ZOTERO_ITEM CSL_CITATION {"citationID":"KitbssTU","properties":{"formattedCitation":"(Wilson et al. 2012)","plainCitation":"(Wilson et al. 2012)","dontUpdate":true,"noteIndex":0},"citationItems":[{"id":70,"uris":["http://zotero.org/users/6612280/items/8YZ2MFLC"],"uri":["http://zotero.org/users/6612280/items/8YZ2MFLC"],"itemData":{"id":70,"type":"article-journal","abstract":"Animals often show behavioural plasticity with respect to predation risk but also show behavioural syndromes in terms of consistency of responses to different stimuli. We examine these features in the freshwater pearl mussel. These bivalves often aggregate presumably to reduce predation risk to each individual. Predation risk, however, will be higher in the presence of predator cues. Here we use dimming light, vibration and touch as novel stimuli to examine the trade-off between motivation to feed and motivation to avoid predation. We present two experiments that each use three sequential novel stimuli to cause the mussels to close their valves and hence cease feeding. We ﬁnd that mussels within a group showed shorter closure times than solitary mussels, consistent with decreased vulnerability to predation in group-living individuals. Mussels exposed to the odour of a predatory crayﬁsh showed longer closures than control mussels, highlighting the predator assessment abilities of this species. However, individuals showed signiﬁcant consistency in their closure responses across the trial series, in line with behavioural syndrome theory. Our results show that bivalves trade-off feeding and predator avoidance according to predation risk but the degree to which this is achieved is constrained by behavioural consistency.","container-title":"Behavioural Processes","DOI":"10.1016/j.beproc.2011.12.006","ISSN":"03766357","journalAbbreviation":"Behav. Process.","language":"en","page":"299-303","source":"DOI.org (Crossref)","title":"Freshwater pearl mussels show plasticity of responses to different predation risks but also show consistent individual differences in responsiveness","volume":"89","author":[{"family":"Wilson","given":"C.D."},{"family":"Arnott","given":"G."},{"family":"Elwood","given":"R.W."}],"issued":{"date-parts":[["2012",3]]}}}],"schema":"https://github.com/citation-style-language/schema/raw/master/csl-citation.json"} </w:instrText>
      </w:r>
      <w:r w:rsidR="005F43B9">
        <w:rPr>
          <w:rFonts w:ascii="Times New Roman" w:hAnsi="Times New Roman" w:cs="Times New Roman"/>
          <w:noProof/>
        </w:rPr>
        <w:fldChar w:fldCharType="separate"/>
      </w:r>
      <w:r w:rsidR="005F43B9">
        <w:rPr>
          <w:rFonts w:ascii="Times New Roman" w:hAnsi="Times New Roman" w:cs="Times New Roman"/>
          <w:noProof/>
        </w:rPr>
        <w:t>Wilson et al. (2012)</w:t>
      </w:r>
      <w:r w:rsidR="005F43B9">
        <w:rPr>
          <w:rFonts w:ascii="Times New Roman" w:hAnsi="Times New Roman" w:cs="Times New Roman"/>
          <w:noProof/>
        </w:rPr>
        <w:fldChar w:fldCharType="end"/>
      </w:r>
      <w:r w:rsidR="005F43B9">
        <w:rPr>
          <w:rFonts w:ascii="Times New Roman" w:hAnsi="Times New Roman" w:cs="Times New Roman"/>
          <w:noProof/>
        </w:rPr>
        <w:t xml:space="preserve"> </w:t>
      </w:r>
      <w:r>
        <w:rPr>
          <w:rFonts w:ascii="Times New Roman" w:hAnsi="Times New Roman" w:cs="Times New Roman"/>
          <w:noProof/>
        </w:rPr>
        <w:t xml:space="preserve">also suggested that startle responses were repeatable in freshwater bivalves, but did not directly quantify the repeatability of this measure. </w:t>
      </w:r>
      <w:r>
        <w:rPr>
          <w:rFonts w:ascii="Times New Roman" w:hAnsi="Times New Roman" w:cs="Times New Roman"/>
        </w:rPr>
        <w:t xml:space="preserve">Recent evidence also suggests that cue type can affect valve closure responses to </w:t>
      </w:r>
      <w:r>
        <w:rPr>
          <w:rFonts w:ascii="Times New Roman" w:hAnsi="Times New Roman" w:cs="Times New Roman"/>
        </w:rPr>
        <w:lastRenderedPageBreak/>
        <w:t xml:space="preserve">predators </w:t>
      </w:r>
      <w:r w:rsidR="005F43B9">
        <w:rPr>
          <w:rFonts w:ascii="Times New Roman" w:hAnsi="Times New Roman" w:cs="Times New Roman"/>
          <w:lang w:val="en-US"/>
        </w:rPr>
        <w:fldChar w:fldCharType="begin"/>
      </w:r>
      <w:r w:rsidR="004F04C1">
        <w:rPr>
          <w:rFonts w:ascii="Times New Roman" w:hAnsi="Times New Roman" w:cs="Times New Roman"/>
          <w:lang w:val="en-US"/>
        </w:rPr>
        <w:instrText xml:space="preserve"> ADDIN ZOTERO_ITEM CSL_CITATION {"citationID":"xYWxOasH","properties":{"formattedCitation":"(Dzier\\uc0\\u380{}y\\uc0\\u324{}ska-Bia\\uc0\\u322{}o\\uc0\\u324{}czyk et al. 2019)","plainCitation":"(Dzierżyńska-Białończyk et al. 2019)","noteIndex":0},"citationItems":[{"id":152,"uris":["http://zotero.org/users/6612280/items/LK55EQX5"],"uri":["http://zotero.org/users/6612280/items/LK55EQX5"],"itemData":{"id":152,"type":"article-journal","container-title":"Hydrobiologia","DOI":"10.1007/s10750-019-04007-0","ISSN":"0018-8158, 1573-5117","journalAbbreviation":"Hydrobiologia","language":"en","page":"65-77","source":"DOI.org (Crossref)","title":"What scares a mussel? Changes in valve movement pattern as an immediate response of a byssate bivalve to biotic factors","title-short":"What scares a mussel?","volume":"841","author":[{"family":"Dzierżyńska-Białończyk","given":"A."},{"family":"Jermacz","given":"Ł."},{"family":"Zielska","given":"J."},{"family":"Kobak","given":"J."}],"issued":{"date-parts":[["2019",9]]}}}],"schema":"https://github.com/citation-style-language/schema/raw/master/csl-citation.json"} </w:instrText>
      </w:r>
      <w:r w:rsidR="005F43B9">
        <w:rPr>
          <w:rFonts w:ascii="Times New Roman" w:hAnsi="Times New Roman" w:cs="Times New Roman"/>
          <w:lang w:val="en-US"/>
        </w:rPr>
        <w:fldChar w:fldCharType="separate"/>
      </w:r>
      <w:r w:rsidR="005F43B9" w:rsidRPr="005F43B9">
        <w:rPr>
          <w:rFonts w:ascii="Times New Roman" w:hAnsi="Times New Roman" w:cs="Times New Roman"/>
          <w:lang w:val="en-US"/>
        </w:rPr>
        <w:t>(Dzierżyńska-Białończyk et al. 2019)</w:t>
      </w:r>
      <w:r w:rsidR="005F43B9">
        <w:rPr>
          <w:rFonts w:ascii="Times New Roman" w:hAnsi="Times New Roman" w:cs="Times New Roman"/>
          <w:lang w:val="en-US"/>
        </w:rPr>
        <w:fldChar w:fldCharType="end"/>
      </w:r>
      <w:r w:rsidR="005F43B9">
        <w:rPr>
          <w:rFonts w:ascii="Times New Roman" w:hAnsi="Times New Roman" w:cs="Times New Roman"/>
          <w:lang w:val="en-US"/>
        </w:rPr>
        <w:t xml:space="preserve">. </w:t>
      </w:r>
      <w:r>
        <w:rPr>
          <w:rFonts w:ascii="Times New Roman" w:hAnsi="Times New Roman" w:cs="Times New Roman"/>
        </w:rPr>
        <w:t xml:space="preserve">Startle responses could be affected by other factors as well, such as size (larger mussels are less vulnerable to predation than smaller mussels; </w:t>
      </w:r>
      <w:r w:rsidR="00C9103E">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{"citationID":"Q8xyVgy6","properties":{"formattedCitation":"(Sommer et al. 1999)","plainCitation":"(Sommer et al. 1999)","dontUpdate":true,"noteIndex":0},"citationItems":[{"id":86,"uris":["http://zotero.org/users/6612280/items/GXIRZ8PT"],"uri":["http://zotero.org/users/6612280/items/GXIRZ8PT"],"itemData":{"id":86,"type":"article-journal","container-title":"Acta Oecologica","DOI":"10.1016/S1146-609X(99)80019-8","ISSN":"1146609X","journalAbbreviation":"Acta Oecol.","language":"en","page":"81-86","source":"DOI.org (Crossref)","title":"An experimental analysis of the importance of body-size in the seastar-mussel predator-prey relationship","volume":"20","author":[{"family":"Sommer","given":"U."},{"family":"Meusel","given":"B."},{"family":"Stielau","given":"C."}],"issued":{"date-parts":[["1999",3]]}}}],"schema":"https://github.com/citation-style-language/schema/raw/master/csl-citation.json"} </w:instrText>
      </w:r>
      <w:r w:rsidR="00C9103E">
        <w:rPr>
          <w:rFonts w:ascii="Times New Roman" w:hAnsi="Times New Roman" w:cs="Times New Roman"/>
        </w:rPr>
        <w:fldChar w:fldCharType="separate"/>
      </w:r>
      <w:r w:rsidR="00C9103E">
        <w:rPr>
          <w:rFonts w:ascii="Times New Roman" w:hAnsi="Times New Roman" w:cs="Times New Roman"/>
          <w:noProof/>
        </w:rPr>
        <w:t>Sommer et al. 1999)</w:t>
      </w:r>
      <w:r w:rsidR="00C9103E">
        <w:rPr>
          <w:rFonts w:ascii="Times New Roman" w:hAnsi="Times New Roman" w:cs="Times New Roman"/>
        </w:rPr>
        <w:fldChar w:fldCharType="end"/>
      </w:r>
      <w:r>
        <w:rPr>
          <w:rFonts w:ascii="Times New Roman" w:hAnsi="Times New Roman" w:cs="Times New Roman"/>
          <w:lang w:val="en-US"/>
        </w:rPr>
        <w:t xml:space="preserve"> and time (time to open may change over short</w:t>
      </w:r>
      <w:r w:rsidR="00147E8F">
        <w:rPr>
          <w:rFonts w:ascii="Times New Roman" w:hAnsi="Times New Roman" w:cs="Times New Roman"/>
          <w:lang w:val="en-US"/>
        </w:rPr>
        <w:t>-</w:t>
      </w:r>
      <w:r>
        <w:rPr>
          <w:rFonts w:ascii="Times New Roman" w:hAnsi="Times New Roman" w:cs="Times New Roman"/>
          <w:lang w:val="en-US"/>
        </w:rPr>
        <w:t xml:space="preserve"> and long</w:t>
      </w:r>
      <w:r w:rsidR="00147E8F">
        <w:rPr>
          <w:rFonts w:ascii="Times New Roman" w:hAnsi="Times New Roman" w:cs="Times New Roman"/>
          <w:lang w:val="en-US"/>
        </w:rPr>
        <w:t>-</w:t>
      </w:r>
      <w:r>
        <w:rPr>
          <w:rFonts w:ascii="Times New Roman" w:hAnsi="Times New Roman" w:cs="Times New Roman"/>
          <w:lang w:val="en-US"/>
        </w:rPr>
        <w:t xml:space="preserve">time scales due to fatigue or habituation). </w:t>
      </w:r>
      <w:r>
        <w:rPr>
          <w:rFonts w:ascii="Times New Roman" w:hAnsi="Times New Roman" w:cs="Times New Roman"/>
        </w:rPr>
        <w:t xml:space="preserve">Such aspects of the </w:t>
      </w:r>
      <w:r w:rsidR="00943795">
        <w:rPr>
          <w:rFonts w:ascii="Times New Roman" w:hAnsi="Times New Roman" w:cs="Times New Roman"/>
        </w:rPr>
        <w:t>behavior</w:t>
      </w:r>
      <w:r>
        <w:rPr>
          <w:rFonts w:ascii="Times New Roman" w:hAnsi="Times New Roman" w:cs="Times New Roman"/>
        </w:rPr>
        <w:t xml:space="preserve">al ecology of valve closure responses to predator attacks, however, remain unexplored.  </w:t>
      </w:r>
    </w:p>
    <w:p w14:paraId="2FB36798" w14:textId="25998C9D" w:rsidR="00247EF3" w:rsidRDefault="00247EF3" w:rsidP="006A2314">
      <w:pPr>
        <w:spacing w:after="240" w:line="480" w:lineRule="auto"/>
        <w:jc w:val="both"/>
        <w:rPr>
          <w:rFonts w:ascii="Times New Roman" w:hAnsi="Times New Roman" w:cs="Times New Roman"/>
        </w:rPr>
      </w:pPr>
      <w:r>
        <w:rPr>
          <w:rFonts w:ascii="Times New Roman" w:hAnsi="Times New Roman" w:cs="Times New Roman"/>
        </w:rPr>
        <w:t xml:space="preserve">It is widely documented that predator-prey dynamics can be affected by global change stressors </w:t>
      </w:r>
      <w:r w:rsidR="00C9103E">
        <w:rPr>
          <w:rFonts w:ascii="Times New Roman" w:hAnsi="Times New Roman" w:cs="Times New Roman"/>
          <w:noProof/>
        </w:rPr>
        <w:fldChar w:fldCharType="begin"/>
      </w:r>
      <w:r w:rsidR="00BF2836">
        <w:rPr>
          <w:rFonts w:ascii="Times New Roman" w:hAnsi="Times New Roman" w:cs="Times New Roman"/>
          <w:noProof/>
        </w:rPr>
        <w:instrText xml:space="preserve"> ADDIN ZOTERO_ITEM CSL_CITATION {"citationID":"rnZmZtqE","properties":{"formattedCitation":"(Bretagnolle and Terraube 2010; Romero et al. 2018)","plainCitation":"(Bretagnolle and Terraube 2010; Romero et al. 2018)","noteIndex":0},"citationItems":[{"id":222,"uris":["http://zotero.org/users/6612280/items/P9J7X3X9"],"uri":["http://zotero.org/users/6612280/items/P9J7X3X9"],"itemData":{"id":222,"type":"chapter","abstract":"Climate change is likely to impact all trophic levels, although the response of communities and ecosystems to it has only recently received considerable attention. Further, it is expected to affect the magnitude of species interactions themselves. In this chapter, we summarize why and how climate change could affect predator–prey interactions, then review the literature about its impact on predator–prey relationships in birds, and provide prospects for future studies. Expected effects on prey or predators may include changes in the following: distribution, phenology, population density, behaviour, morphology, or physiology. We review the currently available information concerning particular key topics: top-down versus bottom-up control, specialist versus generalist predators, functional versus numerical responses, trophic cascades and regime shifts, and lastly adaptation and selection. Finally, we focus our review on two well-studied bird examples: seabirds and raptors. Key future topics include long-term studies, modelling and experimental studies, evolutionary questions, and conservation issues.","container-title":"Effects of Climate Change on Birds","ISBN":"978-0-19-882426-8","language":"en","note":"DOI: 10.1093/oso/9780198824268.003.0015","page":"199-220","publisher":"Oxford University Press","source":"DOI.org (Crossref)","title":"Predator–prey interactions and climate change","container-author":[{"family":"Bretagnolle","given":"V."},{"family":"Terraube","given":"J."}],"author":[{"family":"Bretagnolle","given":"V."},{"family":"Terraube","given":"J."}],"issued":{"date-parts":[["2010"]]}}},{"id":223,"uris":["http://zotero.org/users/6612280/items/I4UQ9GTU"],"uri":["http://zotero.org/users/6612280/items/I4UQ9GTU"],"itemData":{"id":223,"type":"article-journal","container-title":"Nature Climate Change","DOI":"10.1038/s41558-018-0347-y","ISSN":"1758-678X, 1758-6798","journalAbbreviation":"Nature Clim. Change","language":"en","page":"1087-1091","source":"DOI.org (Crossref)","title":"Global predation pressure redistribution under future climate change","volume":"8","author":[{"family":"Romero","given":"G.Q."},{"family":"Gonçalves-Souza","given":"T."},{"family":"Kratina","given":"P."},{"family":"Marino","given":"N.A.C."},{"family":"Petry","given":"W.K."},{"family":"Sobral-Souza","given":"T."},{"family":"Roslin","given":"T."}],"issued":{"date-parts":[["2018",12]]}}}],"schema":"https://github.com/citation-style-language/schema/raw/master/csl-citation.json"} </w:instrText>
      </w:r>
      <w:r w:rsidR="00C9103E">
        <w:rPr>
          <w:rFonts w:ascii="Times New Roman" w:hAnsi="Times New Roman" w:cs="Times New Roman"/>
          <w:noProof/>
        </w:rPr>
        <w:fldChar w:fldCharType="separate"/>
      </w:r>
      <w:r w:rsidR="00C9103E">
        <w:rPr>
          <w:rFonts w:ascii="Times New Roman" w:hAnsi="Times New Roman" w:cs="Times New Roman"/>
          <w:noProof/>
        </w:rPr>
        <w:t>(Bretagnolle and Terraube 2010; Romero et al. 2018)</w:t>
      </w:r>
      <w:r w:rsidR="00C9103E">
        <w:rPr>
          <w:rFonts w:ascii="Times New Roman" w:hAnsi="Times New Roman" w:cs="Times New Roman"/>
          <w:noProof/>
        </w:rPr>
        <w:fldChar w:fldCharType="end"/>
      </w:r>
      <w:r w:rsidR="00C9103E">
        <w:rPr>
          <w:rFonts w:ascii="Times New Roman" w:hAnsi="Times New Roman" w:cs="Times New Roman"/>
          <w:noProof/>
        </w:rPr>
        <w:t>.</w:t>
      </w:r>
      <w:r>
        <w:rPr>
          <w:rFonts w:ascii="Times New Roman" w:hAnsi="Times New Roman" w:cs="Times New Roman"/>
        </w:rPr>
        <w:t xml:space="preserve"> In the marine realm, studies </w:t>
      </w:r>
      <w:r w:rsidR="00234659">
        <w:rPr>
          <w:rFonts w:ascii="Times New Roman" w:hAnsi="Times New Roman" w:cs="Times New Roman"/>
        </w:rPr>
        <w:t>report</w:t>
      </w:r>
      <w:r>
        <w:rPr>
          <w:rFonts w:ascii="Times New Roman" w:hAnsi="Times New Roman" w:cs="Times New Roman"/>
        </w:rPr>
        <w:t xml:space="preserve"> that both ocean warming and acidification can affect predator-prey interactions in fish</w:t>
      </w:r>
      <w:r w:rsidR="00C9103E">
        <w:rPr>
          <w:rFonts w:ascii="Times New Roman" w:hAnsi="Times New Roman" w:cs="Times New Roman"/>
        </w:rPr>
        <w:t xml:space="preserve"> </w:t>
      </w:r>
      <w:r w:rsidR="00C9103E">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{"citationID":"9iCXkm4Q","properties":{"formattedCitation":"(Allan et al. 2017)","plainCitation":"(Allan et al. 2017)","noteIndex":0},"citationItems":[{"id":229,"uris":["http://zotero.org/users/6612280/items/4SHKKM5V"],"uri":["http://zotero.org/users/6612280/items/4SHKKM5V"],"itemData":{"id":229,"type":"article-journal","container-title":"Proceedings of the Royal Society B: Biological Sciences","DOI":"10.1098/rspb.2017.0784","ISSN":"0962-8452, 1471-2954","journalAbbreviation":"Proc. R. Soc. B","language":"en","page":"20170784","source":"DOI.org (Crossref)","title":"Warming has a greater effect than elevated CO&lt;sub&gt;2&lt;/sub&gt; on predator–prey interactions in coral reef fish","volume":"284","author":[{"family":"Allan","given":"B.J.M."},{"family":"Domenici","given":"P."},{"family":"Watson","given":"S.-A."},{"family":"Munday","given":"P.L."},{"family":"McCormick","given":"M.I."}],"issued":{"date-parts":[["2017",6,28]]}}}],"schema":"https://github.com/citation-style-language/schema/raw/master/csl-citation.json"} </w:instrText>
      </w:r>
      <w:r w:rsidR="00C9103E">
        <w:rPr>
          <w:rFonts w:ascii="Times New Roman" w:hAnsi="Times New Roman" w:cs="Times New Roman"/>
        </w:rPr>
        <w:fldChar w:fldCharType="separate"/>
      </w:r>
      <w:r w:rsidR="00C9103E">
        <w:rPr>
          <w:rFonts w:ascii="Times New Roman" w:hAnsi="Times New Roman" w:cs="Times New Roman"/>
          <w:noProof/>
        </w:rPr>
        <w:t>(Allan et al. 2017)</w:t>
      </w:r>
      <w:r w:rsidR="00C9103E">
        <w:rPr>
          <w:rFonts w:ascii="Times New Roman" w:hAnsi="Times New Roman" w:cs="Times New Roman"/>
        </w:rPr>
        <w:fldChar w:fldCharType="end"/>
      </w:r>
      <w:r>
        <w:rPr>
          <w:rFonts w:ascii="Times New Roman" w:hAnsi="Times New Roman" w:cs="Times New Roman"/>
        </w:rPr>
        <w:t xml:space="preserve"> and invertebrates</w:t>
      </w:r>
      <w:r w:rsidR="00C9103E">
        <w:rPr>
          <w:rFonts w:ascii="Times New Roman" w:hAnsi="Times New Roman" w:cs="Times New Roman"/>
        </w:rPr>
        <w:t xml:space="preserve"> </w:t>
      </w:r>
      <w:r w:rsidR="00C9103E">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{"citationID":"thSg9cHk","properties":{"formattedCitation":"(Sanford et al. 2014; Wright et al. 2018; Lord et al. 2019)","plainCitation":"(Sanford et al. 2014; Wright et al. 2018; Lord et al. 2019)","dontUpdate":true,"noteIndex":0},"citationItems":[{"id":233,"uris":["http://zotero.org/users/6612280/items/P3G6YWDL"],"uri":["http://zotero.org/users/6612280/items/P3G6YWDL"],"itemData":{"id":233,"type":"article-journal","container-title":"Proceedings of the Royal Society B: Biological Sciences","DOI":"10.1098/rspb.2013.2681","ISSN":"0962-8452, 1471-2954","journalAbbreviation":"Proc. R. Soc. B","language":"en","page":"20132681","source":"DOI.org (Crossref)","title":"Ocean acidification increases the vulnerability of native oysters to predation by invasive snails","volume":"281","author":[{"family":"Sanford","given":"E."},{"family":"Gaylord","given":"B."},{"family":"Hettinger","given":"A."},{"family":"Lenz","given":"E.A."},{"family":"Meyer","given":"K."},{"family":"Hill","given":"T.M."}],"issued":{"date-parts":[["2014",3,7]]}}},{"id":241,"uris":["http://zotero.org/users/6612280/items/NYKDV86M"],"uri":["http://zotero.org/users/6612280/items/NYKDV86M"],"itemData":{"id":241,"type":"article-journal","abstract":"As the oceans acidify, marine invertebrates will experience physiological and behavioural changes that may alter how predators interact with their prey. This study assessed whether ocean acidification alters the predatory whelk Tenguella marginalba, their prey, the Pacific oyster, Crassostrea gigas, and their interactions. Oysters and whelks were exposed separately to ambient or elevated pCO2 for 6 weeks, after which, a reciprocal cross design was used to expose oysters and whelks together to ambient and elevated pCO2. Both T. marginalba and C. gigas were measured for growth, shell morphology, shell compression strength and metabolic rate. The rate at which whelks consumed oysters was also measured. We found C. gigas had weaker shells and greater SMR at elevated pCO2, but lowered its SMR when held at ambient pCO2 with T. marginalba. T. marginalba had a greater SMR and consumed more C. gigas when both the predator and prey were held at elevated pCO2. We also tested whether C. gigas responses to predator chemical cues were altered by ocean acidification. C. gigas lowered its metabolic rate in response to predator cues at ambient, but not elevated pCO2. We conclude that elevated pCO2 may increase the energy requirements of predators, as they attempt to maintain homoeostasis. Furthermore, elevated pCO2 may also alter the morphology and increase the visibility of prey. Whether the consequence of this will be a sustained increase in consumption by the predator is less certain as molluscs acclimate and the dynamics of other organisms in marine ecosystems are also altered.","container-title":"Marine Biology","DOI":"10.1007/s00227-018-3302-6","ISSN":"0025-3162, 1432-1793","journalAbbreviation":"Mar. Biol.","language":"en","page":"46","source":"DOI.org (Crossref)","title":"Ocean acidification affects both the predator and prey to alter interactions between the oyster &lt;i&gt;Crassostrea gigas&lt;/i&gt; (Thunberg, 1793) and the whelk &lt;i&gt;Tenguella marginalba&lt;/i&gt; (Blainville, 1832)","volume":"165","author":[{"family":"Wright","given":"J.M."},{"family":"Parker","given":"L.M."},{"family":"O’Connor","given":"W.A."},{"family":"Scanes","given":"E."},{"family":"Ross","given":"P.M."}],"issued":{"date-parts":[["2018",3]]}}},{"id":239,"uris":["http://zotero.org/users/6612280/items/7CT685C4"],"uri":["http://zotero.org/users/6612280/items/7CT685C4"],"itemData":{"id":239,"type":"article-journal","abstract":"Predator–prey interactions often drive ecological patterns and are governed by factors including predator feeding rates, prey behavioral avoidance, and prey structural defenses. Invasive species can also play a large ecological role by disrupting food webs, driving local extinctions, and influencing evolutionary changes in prey defense mechanisms. This study documents a substantial reduction in the behavioral and morphological responses of multiple gastropod species (Nucella lapillus, N. ostrina, Urosalpinx cinerea) to an invasive predatory crab (green crab Carcinus maenas) under ocean acidification conditions. These results suggest that climate-related changes in ocean chemistry may diminish non-lethal effects of predators on prey responses including behavioral avoidance. While snails with varying shell mineralogies were similarly successful at deterring predation, those with primarily aragonitic shells were more susceptible to dissolution and erosion under high CO2 conditions. The varying susceptibility to predation among species with similar ecological roles could indicate that the impacts of invasive species like green crabs could be modulated by the ability of native and invasive prey to withstand ocean acidification conditions.","container-title":"Marine Ecology Progress Series","DOI":"10.3354/meps12921","ISSN":"0171-8630, 1616-1599","journalAbbreviation":"Mar. Ecol. Prog. Ser.","language":"en","page":"83-94","source":"DOI.org (Crossref)","title":"Ocean acidification may alter predator-prey relationships and weaken nonlethal interactions between gastropods and crabs","volume":"616","author":[{"family":"Lord","given":"J.P."},{"family":"Harper","given":"E.P."},{"family":"Barry","given":"J.P."}],"issued":{"date-parts":[["2019",5,9]]}}}],"schema":"https://github.com/citation-style-language/schema/raw/master/csl-citation.json"} </w:instrText>
      </w:r>
      <w:r w:rsidR="00C9103E">
        <w:rPr>
          <w:rFonts w:ascii="Times New Roman" w:hAnsi="Times New Roman" w:cs="Times New Roman"/>
        </w:rPr>
        <w:fldChar w:fldCharType="separate"/>
      </w:r>
      <w:r w:rsidR="00C9103E">
        <w:rPr>
          <w:rFonts w:ascii="Times New Roman" w:hAnsi="Times New Roman" w:cs="Times New Roman"/>
          <w:noProof/>
        </w:rPr>
        <w:t>(Sanford et al. 2014; Wright et al. 2018; Lord et al. 2019</w:t>
      </w:r>
      <w:r w:rsidR="00C9103E">
        <w:rPr>
          <w:rFonts w:ascii="Times New Roman" w:hAnsi="Times New Roman" w:cs="Times New Roman"/>
        </w:rPr>
        <w:fldChar w:fldCharType="end"/>
      </w:r>
      <w:r w:rsidR="00234659">
        <w:rPr>
          <w:rFonts w:ascii="Times New Roman" w:hAnsi="Times New Roman" w:cs="Times New Roman"/>
        </w:rPr>
        <w:t>;</w:t>
      </w:r>
      <w:r>
        <w:rPr>
          <w:rFonts w:ascii="Times New Roman" w:hAnsi="Times New Roman" w:cs="Times New Roman"/>
        </w:rPr>
        <w:t xml:space="preserve"> but see</w:t>
      </w:r>
      <w:r w:rsidR="00C9103E">
        <w:rPr>
          <w:rFonts w:ascii="Times New Roman" w:hAnsi="Times New Roman" w:cs="Times New Roman"/>
        </w:rPr>
        <w:t xml:space="preserve"> </w:t>
      </w:r>
      <w:r w:rsidR="00C9103E">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{"citationID":"sWUD2F6t","properties":{"formattedCitation":"(Landes and Zimmer 2012; Sundin et al. 2017)","plainCitation":"(Landes and Zimmer 2012; Sundin et al. 2017)","dontUpdate":true,"noteIndex":0},"citationItems":[{"id":227,"uris":["http://zotero.org/users/6612280/items/RS6C47YZ"],"uri":["http://zotero.org/users/6612280/items/RS6C47YZ"],"itemData":{"id":227,"type":"article-journal","abstract":"Both ocean warming and acidification have been demonstrated to affect the growth, performance and reproductive success of calcifying invertebrates. However, relatively little is known regarding how such environmental change may affect interspecific interactions. We separately treated green crabs Carcinus maenas and periwinkles Littorina littorea under conditions that mimicked either ambient conditions (control) or warming and acidification, both separately and in combination, for 5 mo. After 5 mo, the predators, prey and predator-prey interactions were screened for changes in response to environmental change. Acidification negatively affected the closermuscle length of the crusher chela and correspondingly the claw-strength increment in C. maenas. The effects of warming and/or acidification on L. littorea were less consistent but indicated weaker shells in response to acidification. On the community level, however, we found no evidence that predator-prey interactions will change in the future. Further experiments exploring the impacts of warming and acidification on key ecological interactions are needed instead of basing predictions of ecosystem change solely on species-specific responses to environmental change.","container-title":"Marine Ecology Progress Series","DOI":"10.3354/meps09666","ISSN":"0171-8630, 1616-1599","journalAbbreviation":"Mar. Ecol. Prog. Ser.","language":"en","page":"1-10","source":"DOI.org (Crossref)","title":"Acidification and warming affect both a calcifying predator and prey, but not their interaction","volume":"450","author":[{"family":"Landes","given":"A."},{"family":"Zimmer","given":"M."}],"issued":{"date-parts":[["2012",3,29]]}}},{"id":308,"uris":["http://zotero.org/users/6612280/items/2XZN4NC2"],"uri":["http://zotero.org/users/6612280/items/2XZN4NC2"],"itemData":{"id":308,"type":"article-journal","container-title":"Behavioral Ecology and Sociobiology","DOI":"10.1007/s00265-017-2337-x","ISSN":"0340-5443, 1432-0762","journalAbbreviation":"Behav Ecol Sociobiol","language":"en","page":"108","source":"DOI.org (Crossref)","title":"Long-term exposure to elevated carbon dioxide does not alter activity levels of a coral reef fish in response to predator chemical cues","volume":"71","author":[{"family":"Sundin","given":"J."},{"family":"Amcoff","given":"M."},{"family":"Mateos-González","given":"F."},{"family":"Raby","given":"G.D."},{"family":"Jutfelt","given":"F."},{"family":"Clark","given":"T.D."}],"issued":{"date-parts":[["2017",8]]}}}],"schema":"https://github.com/citation-style-language/schema/raw/master/csl-citation.json"} </w:instrText>
      </w:r>
      <w:r w:rsidR="00C9103E">
        <w:rPr>
          <w:rFonts w:ascii="Times New Roman" w:hAnsi="Times New Roman" w:cs="Times New Roman"/>
        </w:rPr>
        <w:fldChar w:fldCharType="separate"/>
      </w:r>
      <w:r w:rsidR="00C9103E">
        <w:rPr>
          <w:rFonts w:ascii="Times New Roman" w:hAnsi="Times New Roman" w:cs="Times New Roman"/>
          <w:noProof/>
        </w:rPr>
        <w:t>Landes and Zimmer (2012) and Sundin et al. (2017)</w:t>
      </w:r>
      <w:r w:rsidR="00C9103E">
        <w:rPr>
          <w:rFonts w:ascii="Times New Roman" w:hAnsi="Times New Roman" w:cs="Times New Roman"/>
        </w:rPr>
        <w:fldChar w:fldCharType="end"/>
      </w:r>
      <w:r w:rsidR="00C9103E">
        <w:rPr>
          <w:rFonts w:ascii="Times New Roman" w:hAnsi="Times New Roman" w:cs="Times New Roman"/>
        </w:rPr>
        <w:t xml:space="preserve"> </w:t>
      </w:r>
      <w:r>
        <w:rPr>
          <w:rFonts w:ascii="Times New Roman" w:hAnsi="Times New Roman" w:cs="Times New Roman"/>
        </w:rPr>
        <w:t>for contrasting results</w:t>
      </w:r>
      <w:r w:rsidR="00234659">
        <w:rPr>
          <w:rFonts w:ascii="Times New Roman" w:hAnsi="Times New Roman" w:cs="Times New Roman"/>
        </w:rPr>
        <w:t>)</w:t>
      </w:r>
      <w:r>
        <w:rPr>
          <w:rFonts w:ascii="Times New Roman" w:hAnsi="Times New Roman" w:cs="Times New Roman"/>
        </w:rPr>
        <w:t>. With respect to invertebrates, however, much of this work has focused on alterations in predator-prey dynamics resulting from morphological effects. As such, only a handful of studies regarding prey defenses, including startle responses, are available</w:t>
      </w:r>
      <w:r w:rsidR="00C9103E">
        <w:rPr>
          <w:rFonts w:ascii="Times New Roman" w:hAnsi="Times New Roman" w:cs="Times New Roman"/>
        </w:rPr>
        <w:t xml:space="preserve"> </w:t>
      </w:r>
      <w:r w:rsidR="00C9103E">
        <w:rPr>
          <w:rFonts w:ascii="Times New Roman" w:hAnsi="Times New Roman" w:cs="Times New Roman"/>
        </w:rPr>
        <w:fldChar w:fldCharType="begin"/>
      </w:r>
      <w:r w:rsidR="00F516C4">
        <w:rPr>
          <w:rFonts w:ascii="Times New Roman" w:hAnsi="Times New Roman" w:cs="Times New Roman"/>
        </w:rPr>
        <w:instrText xml:space="preserve"> ADDIN ZOTERO_ITEM CSL_CITATION {"citationID":"bwuzgQVB","properties":{"formattedCitation":"(Clements and Comeau 2019a)","plainCitation":"(Clements and Comeau 2019a)","noteIndex":0},"citationItems":[{"id":318,"uris":["http://zotero.org/users/6612280/items/B7RWR83J"],"uri":["http://zotero.org/users/6612280/items/B7RWR83J"],"itemData":{"id":318,"type":"article-journal","abstract":"Biological interactions between predators and prey constitute a key component of the ecology and evolution of marine systems, and animal behavior can affect the outcome of predator–prey interactions. It has been recently demonstrated that CO2-induced ocean acidiﬁcation can alter the behavior of marine organisms and potentially alter predator–prey dynamics. This study combines both quantitative (meta-analysis) and qualitative approaches to review the effects of ocean acidiﬁcation on behavioral prey defenses in marine invertebrates. A systematic literature search identiﬁed 34 studies that experimentally assessed behavioral defenses under elevated pCO2 spanning three phyla: crustaceans, echinoderms, and molluscs. A meta-analysis suggested that exposure to elevated seawater pCO2 can negatively affect behavioral defenses in bivalve molluscs and malacostracan crustaceans. By contrast, defenses of cephalopod molluscs seem to be positively impacted by elevated pCO2, whereas gastropods and echinoids appear unaffected. A qualitative assessment of studies on combined effects of ocean acidiﬁcation and warming revealed that combined effects typically differ from ocean acidiﬁcation–only effects. Based on a qualitative assessment of three studies to date, neurological interference of GABAA receptors under elevated pCO2 may play a major role in ocean acidiﬁcation effects on prey defense behaviors; however, more research is needed, and other mechanistic underpinnings are also important to consider. Ultimately, the results of this study suggest that behavioral prey defenses in some shellﬁsh taxa may be vulnerable to ocean acidiﬁcation, that the effects of ocean acidiﬁcation are often different under warming scenarios than under present-day temperature scenarios, and that GABAA interference may be an important mechanism underpinning behavioral responses of shellﬁsh prey under ocean acidiﬁcation. Despite the importance of shellﬁsh behavioral defenses in the ecology and evolution of marine biological communities, however, research to date has only scraped the surface in understanding ocean acidiﬁcation effects. Increased research efforts on the effects of multiple stressors, acclimation and adaptation, environmental variability, and complex situational and ecological contexts are needed. Studies of ﬁsh behavioral defenses under ocean acidiﬁcation can help streamline hypotheses and experimental approaches, particularly given the similar effects of elevated pCO2 on GABAA function.","container-title":"Journal of Shellfish Research","DOI":"10.2983/035.038.0300","journalAbbreviation":"J. Shellfish Res.","language":"en","page":"1-18","source":"Zotero","title":"Behavioral defenses of shellfish prey under ocean acidification","volume":"38","author":[{"family":"Clements","given":"J.C."},{"family":"Comeau","given":"L.A."}],"issued":{"date-parts":[["2019"]]}}}],"schema":"https://github.com/citation-style-language/schema/raw/master/csl-citation.json"} </w:instrText>
      </w:r>
      <w:r w:rsidR="00C9103E">
        <w:rPr>
          <w:rFonts w:ascii="Times New Roman" w:hAnsi="Times New Roman" w:cs="Times New Roman"/>
        </w:rPr>
        <w:fldChar w:fldCharType="separate"/>
      </w:r>
      <w:r w:rsidR="00F516C4">
        <w:rPr>
          <w:rFonts w:ascii="Times New Roman" w:hAnsi="Times New Roman" w:cs="Times New Roman"/>
          <w:noProof/>
        </w:rPr>
        <w:t>(Clements and Comeau 2019a)</w:t>
      </w:r>
      <w:r w:rsidR="00C9103E">
        <w:rPr>
          <w:rFonts w:ascii="Times New Roman" w:hAnsi="Times New Roman" w:cs="Times New Roman"/>
        </w:rPr>
        <w:fldChar w:fldCharType="end"/>
      </w:r>
      <w:r>
        <w:rPr>
          <w:rFonts w:ascii="Times New Roman" w:hAnsi="Times New Roman" w:cs="Times New Roman"/>
        </w:rPr>
        <w:t>. For example, in hermit crabs, exposure to increased temperature reduced the mean time to open and increased inter-individual variation, which was suggested to be a function of temperature effects on metabolism</w:t>
      </w:r>
      <w:r w:rsidR="00C9103E">
        <w:rPr>
          <w:rFonts w:ascii="Times New Roman" w:hAnsi="Times New Roman" w:cs="Times New Roman"/>
        </w:rPr>
        <w:t xml:space="preserve"> </w:t>
      </w:r>
      <w:r w:rsidR="00C9103E">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{"citationID":"bJJpPiKi","properties":{"formattedCitation":"(Briffa et al. 2013)","plainCitation":"(Briffa et al. 2013)","noteIndex":0},"citationItems":[{"id":146,"uris":["http://zotero.org/users/6612280/items/YDSQAFPQ"],"uri":["http://zotero.org/users/6612280/items/YDSQAFPQ"],"itemData":{"id":146,"type":"article-journal","container-title":"Animal Behaviour","DOI":"10.1016/j.anbehav.2013.04.009","ISSN":"00033472","journalAbbreviation":"Anim. Behav.","language":"en","page":"47-54","source":"DOI.org (Crossref)","title":"How does temperature affect behaviour? Multilevel analysis of plasticity, personality and predictability in hermit crabs","title-short":"How does temperature affect behaviour?","volume":"86","author":[{"family":"Briffa","given":"M."},{"family":"Bridger","given":"D."},{"family":"Biro","given":"P.A."}],"issued":{"date-parts":[["2013",7]]}}}],"schema":"https://github.com/citation-style-language/schema/raw/master/csl-citation.json"} </w:instrText>
      </w:r>
      <w:r w:rsidR="00C9103E">
        <w:rPr>
          <w:rFonts w:ascii="Times New Roman" w:hAnsi="Times New Roman" w:cs="Times New Roman"/>
        </w:rPr>
        <w:fldChar w:fldCharType="separate"/>
      </w:r>
      <w:r w:rsidR="00C9103E">
        <w:rPr>
          <w:rFonts w:ascii="Times New Roman" w:hAnsi="Times New Roman" w:cs="Times New Roman"/>
          <w:noProof/>
        </w:rPr>
        <w:t>(Briffa et al. 2013)</w:t>
      </w:r>
      <w:r w:rsidR="00C9103E">
        <w:rPr>
          <w:rFonts w:ascii="Times New Roman" w:hAnsi="Times New Roman" w:cs="Times New Roman"/>
        </w:rPr>
        <w:fldChar w:fldCharType="end"/>
      </w:r>
      <w:r>
        <w:rPr>
          <w:rFonts w:ascii="Times New Roman" w:hAnsi="Times New Roman" w:cs="Times New Roman"/>
        </w:rPr>
        <w:t xml:space="preserve">. A few studies have also tested for effects of seawater pH on prey defenses, reporting varied effects </w:t>
      </w:r>
      <w:r w:rsidRPr="00A56817">
        <w:rPr>
          <w:rFonts w:ascii="Times New Roman" w:hAnsi="Times New Roman" w:cs="Times New Roman"/>
          <w:lang w:val="en-US"/>
        </w:rPr>
        <w:t>(</w:t>
      </w:r>
      <w:r>
        <w:rPr>
          <w:rFonts w:ascii="Times New Roman" w:hAnsi="Times New Roman" w:cs="Times New Roman"/>
          <w:lang w:val="en-US"/>
        </w:rPr>
        <w:t>but not all relating to startle responses;</w:t>
      </w:r>
      <w:r w:rsidR="00C9103E">
        <w:rPr>
          <w:rFonts w:ascii="Times New Roman" w:hAnsi="Times New Roman" w:cs="Times New Roman"/>
          <w:lang w:val="en-US"/>
        </w:rPr>
        <w:t xml:space="preserve"> </w:t>
      </w:r>
      <w:r w:rsidR="00C9103E">
        <w:rPr>
          <w:rFonts w:ascii="Times New Roman" w:hAnsi="Times New Roman" w:cs="Times New Roman"/>
          <w:lang w:val="en-US"/>
        </w:rPr>
        <w:fldChar w:fldCharType="begin"/>
      </w:r>
      <w:r w:rsidR="004F04C1">
        <w:rPr>
          <w:rFonts w:ascii="Times New Roman" w:hAnsi="Times New Roman" w:cs="Times New Roman"/>
          <w:lang w:val="en-US"/>
        </w:rPr>
        <w:instrText xml:space="preserve"> ADDIN ZOTERO_ITEM CSL_CITATION {"citationID":"PsgSOke0","properties":{"formattedCitation":"(Bibby et al. 2007; Manr\\uc0\\u237{}quez et al. 2013; Watson et al. 2014; Turra et al. 2019)","plainCitation":"(Bibby et al. 2007; Manríquez et al. 2013; Watson et al. 2014; Turra et al. 2019)","dontUpdate":true,"noteIndex":0},"citationItems":[{"id":246,"uris":["http://zotero.org/users/6612280/items/CM58P24W"],"uri":["http://zotero.org/users/6612280/items/CM58P24W"],"itemData":{"id":246,"type":"article-journal","container-title":"Biology Letters","DOI":"10.1098/rsbl.2007.0457","ISSN":"1744-9561, 1744-957X","journalAbbreviation":"Biol. Lett.","language":"en","page":"699-701","source":"DOI.org (Crossref)","title":"Ocean acidification disrupts induced defences in the intertidal gastropod &lt;i&gt;Littorina littorea&lt;/i&gt;","volume":"3","author":[{"family":"Bibby","given":"R."},{"family":"Cleall-Harding","given":"P."},{"family":"Rundle","given":"S."},{"family":"Widdicombe","given":"S."},{"family":"Spicer","given":"J."}],"issued":{"date-parts":[["2007",12,22]]}}},{"id":250,"uris":["http://zotero.org/users/6612280/items/SFHJST76"],"uri":["http://zotero.org/users/6612280/items/SFHJST76"],"itemData":{"id":250,"type":"article-journal","abstract":"Background: Most research on Ocean Acidification (OA) has largely focused on the process of calcification and the physiological trade-offs employed by calcifying organisms to support the building of calcium carbonate structures. However, there is growing evidence that OA can also impact upon other key biological processes such as survival, growth and behaviour. On wave-swept rocky shores the ability of gastropods to self-right after dislodgement, and rapidly return to normal orientation, reduces the risk of predation.\nMethodology/Principal Findings: The impacts of OA on this self-righting behaviour and other important parameters such as growth, survival, shell dissolution and shell deposition in Concholepas concholepas (loco) were investigated under contrasting pCO2 levels. Although no impacts of OA on either growth or net shell calcification were found, the results did show that OA can significantly affect self-righting behaviour during the early ontogeny of this species with significantly faster righting times recorded for individuals of C. concholepas reared under increased average pCO2 concentrations (6 SE) (716612 and 1036614 matm CO2) compared to those reared at concentrations equivalent to those presently found in the surface ocean (38868 matm CO2). When loco were also exposed to the predatory crab Acanthocyclus hassleri, righting times were again increased by exposure to elevated CO2, although self-righting times were generally twice as fast as those observed in the absence of the crab.\nConclusions and Significance: These results suggest that self-righting in the early ontogeny of C. concholepas will be positively affected by pCO2 levels expected by the end of the 21st century and beginning of the next one. However, as the rate of self-righting is an adaptive trait evolved to reduce lethal predatory attacks, our result also suggest that OA may disrupt prey responses to predators in nature.","container-title":"PLoS ONE","DOI":"10.1371/journal.pone.0068643","ISSN":"1932-6203","journalAbbreviation":"PLoS ONE","language":"en","page":"e68643","source":"DOI.org (Crossref)","title":"Ocean acidification disrupts prey responses to predator cues but not net prey shell growth in &lt;i&gt;Concholepas concholepas&lt;/i&gt; (loco)","volume":"8","author":[{"family":"Manríquez","given":"P.H."},{"family":"Jara","given":"M.E."},{"family":"Mardones","given":"M.L."},{"family":"Navarro","given":"J.M."},{"family":"Torres","given":"Rodrigo"},{"family":"Lardies","given":"M.A."},{"family":"Vargas","given":"C.A."},{"family":"Duarte","given":"C."},{"family":"Widdicombe","given":"S."},{"family":"Salisbury","given":"J."},{"family":"Lagos","given":"N.A."}],"issued":{"date-parts":[["2013",7,3]]}}},{"id":248,"uris":["http://zotero.org/users/6612280/items/EKLURKSU"],"uri":["http://zotero.org/users/6612280/items/EKLURKSU"],"itemData":{"id":248,"type":"article-journal","container-title":"Proceedings of the Royal Society B: Biological Sciences","DOI":"10.1098/rspb.2013.2377","ISSN":"0962-8452, 1471-2954","journalAbbreviation":"Proc. R. Soc. B","language":"en","page":"20132377","source":"DOI.org (Crossref)","title":"Marine mollusc predator-escape behaviour altered by near-future carbon dioxide levels","volume":"281","author":[{"family":"Watson","given":"S.-A."},{"family":"Lefevre","given":"S."},{"family":"McCormick","given":"M.I."},{"family":"Domenici","given":"P."},{"family":"Nilsson","given":"G.E."},{"family":"Munday","given":"P.L."}],"issued":{"date-parts":[["2014",1,7]]}}},{"id":121,"uris":["http://zotero.org/users/6612280/items/KNV86F4N"],"uri":["http://zotero.org/users/6612280/items/KNV86F4N"],"itemData":{"id":121,"type":"article-journal","abstract":"Impacts of the interactive effects of ocean acidification (OA) with other anthropogenic environmental stressors on marine biodiversity are receiving increasing attention in recent years. However, little is known about how organismal responses to OA may be influenced by common phenomena such as autotomy and sexual dimor­ phism. This study evaluated the long-term (120 days) combined effects of OA (pH 7.7), experimental cheliped amputation and sex on physiological stress (mortality, growth, number of molts, cheliped regeneration and startle response) and energy budget (lipid and calcium contents) in the intertidal sexually-dimorphic hermit crab Pagurus criniticornis. Crabs exposed to OA reduced survivorship (46%), molting frequency (36%) and lipid content (42%). Autotomised crabs and males molted more frequently (39% and 32%, respectively). Males pre­ sented higher regeneration (33%) and lower lipid content (24%). The few synergistic effects recorded did not indicate any clear pattern among treatments however, (1) a stronger reduction in lipid content was recorded in non-autotomised crabs exposed to low pH; (2) calcium content was higher in males than females only for autotomised crabs under control pH; and (3) autotomised females showed a proportionally slower activity re­ covery than autotomised males. Although our results suggest an effect of long-term exposure to low pH on the physiological stress and energy budget of Pagurus criniticornis, the physiological repertoire and plasticity asso­ ciated with limb regeneration and the maintenance of dimorphism in secondary sexual characters may provide resilience to long-term exposure to OA.","container-title":"Marine Environmental Research","DOI":"10.1016/j.marenvres.2019.104794","ISSN":"01411136","journalAbbreviation":"Mar. Environ. Res.","language":"en","page":"104794","source":"DOI.org (Crossref)","title":"The effect of ocean acidification on the intertidal hermit crab &lt;i&gt;Pagurus criniticornis&lt;/i&gt; is not modulated by cheliped amputation and sex","volume":"153","author":[{"family":"Turra","given":"A."},{"family":"Ragagnin","given":"M.N."},{"family":"McCarthy","given":"I.D."},{"family":"Fernandez","given":"W.S."}],"issued":{"date-parts":[["2019"]]}}}],"schema":"https://github.com/citation-style-language/schema/raw/master/csl-citation.json"} </w:instrText>
      </w:r>
      <w:r w:rsidR="00C9103E">
        <w:rPr>
          <w:rFonts w:ascii="Times New Roman" w:hAnsi="Times New Roman" w:cs="Times New Roman"/>
          <w:lang w:val="en-US"/>
        </w:rPr>
        <w:fldChar w:fldCharType="separate"/>
      </w:r>
      <w:r w:rsidR="00C9103E" w:rsidRPr="00C9103E">
        <w:rPr>
          <w:rFonts w:ascii="Times New Roman" w:hAnsi="Times New Roman" w:cs="Times New Roman"/>
          <w:lang w:val="en-US"/>
        </w:rPr>
        <w:t>Bibby et al. 2007; Manríquez et al. 2013; Watson et al. 2014; Turra et al. 2019)</w:t>
      </w:r>
      <w:r w:rsidR="00C9103E">
        <w:rPr>
          <w:rFonts w:ascii="Times New Roman" w:hAnsi="Times New Roman" w:cs="Times New Roman"/>
          <w:lang w:val="en-US"/>
        </w:rPr>
        <w:fldChar w:fldCharType="end"/>
      </w:r>
      <w:r>
        <w:rPr>
          <w:rFonts w:ascii="Times New Roman" w:hAnsi="Times New Roman" w:cs="Times New Roman"/>
        </w:rPr>
        <w:t>.</w:t>
      </w:r>
      <w:r w:rsidR="00147E8F">
        <w:rPr>
          <w:rFonts w:ascii="Times New Roman" w:hAnsi="Times New Roman" w:cs="Times New Roman"/>
        </w:rPr>
        <w:t xml:space="preserve"> </w:t>
      </w:r>
      <w:r>
        <w:rPr>
          <w:rFonts w:ascii="Times New Roman" w:hAnsi="Times New Roman" w:cs="Times New Roman"/>
        </w:rPr>
        <w:t xml:space="preserve">However, the combined effects of temperature and pH on invertebrate startle responses are virtually absent from the literature. Such studies are important since alterations to animal </w:t>
      </w:r>
      <w:r w:rsidR="00943795">
        <w:rPr>
          <w:rFonts w:ascii="Times New Roman" w:hAnsi="Times New Roman" w:cs="Times New Roman"/>
        </w:rPr>
        <w:t>behavior</w:t>
      </w:r>
      <w:r>
        <w:rPr>
          <w:rFonts w:ascii="Times New Roman" w:hAnsi="Times New Roman" w:cs="Times New Roman"/>
        </w:rPr>
        <w:t xml:space="preserve"> under global change are likely to drive ecosystem-level impacts</w:t>
      </w:r>
      <w:r w:rsidR="00C9103E">
        <w:rPr>
          <w:rFonts w:ascii="Times New Roman" w:hAnsi="Times New Roman" w:cs="Times New Roman"/>
        </w:rPr>
        <w:t xml:space="preserve"> </w:t>
      </w:r>
      <w:r w:rsidR="00C9103E">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{"citationID":"xBWxz5zi","properties":{"formattedCitation":"(Kroeker et al. 2014; Nagelkerken and Munday 2016)","plainCitation":"(Kroeker et al. 2014; Nagelkerken and Munday 2016)","noteIndex":0},"citationItems":[{"id":244,"uris":["http://zotero.org/users/6612280/items/5FVXAXSD"],"uri":["http://zotero.org/users/6612280/items/5FVXAXSD"],"itemData":{"id":244,"type":"article-journal","container-title":"The Biological Bulletin","DOI":"10.1086/BBLv226n3p211","ISSN":"0006-3185, 1939-8697","journalAbbreviation":"Biol. Bull.","language":"en","page":"211-222","source":"DOI.org (Crossref)","title":"Predicting the effects of ocean acidification on predator-prey interactions: A conceptual framework based on coastal molluscs","title-short":"Predicting the Effects of Ocean Acidification on Predator-Prey Interactions","volume":"226","author":[{"family":"Kroeker","given":"K.J."},{"family":"Sanford","given":"E."},{"family":"Jellison","given":"B.M."},{"family":"Gaylord","given":"B."}],"issued":{"date-parts":[["2014",6]]}}},{"id":180,"uris":["http://zotero.org/users/6612280/items/Q4YZV55Y"],"uri":["http://zotero.org/users/6612280/items/Q4YZV55Y"],"itemData":{"id":180,"type":"article-journal","abstract":"Biological communities are shaped by complex interactions between organisms and their environment as well as interactions with other species. Humans are rapidly changing the marine environment through increasing greenhouse gas emissions, resulting in ocean warming and acidiﬁcation. The ﬁrst response by animals to environmental change is predominantly through modiﬁcation of their behaviour, which in turn affects species interactions and ecological processes. Yet, many climate change studies ignore animal behaviour. Furthermore, our current knowledge of how global change alters animal behaviour is mostly restricted to single species, life phases and stressors, leading to an incomplete view of how coinciding climate stressors can affect the ecological interactions that structure biological communities. Here, we ﬁrst review studies on the effects of warming and acidiﬁcation on the behaviour of marine animals. We demonstrate how pervasive the effects of global change are on a wide range of critical behaviours that determine the persistence of species and their success in ecological communities. We then evaluate several approaches to studying the ecological effects of warming and acidiﬁcation, and identify knowledge gaps that need to be ﬁlled, to better understand how global change will affect marine populations and communities through altered animal behaviours. Our review provides a synthesis of the far-reaching consequences that behavioural changes could have for marine ecosystems in a rapidly changing environment. Without considering the pervasive effects of climate change on animal behaviour we will limit our ability to forecast the impacts of ocean change and provide insights that can aid management strategies.","container-title":"Global Change Biology","DOI":"10.1111/gcb.13167","ISSN":"13541013","journalAbbreviation":"Glob. Change Biol.","language":"en","page":"974-989","source":"DOI.org (Crossref)","title":"Animal behaviour shapes the ecological effects of ocean acidification and warming: Moving from individual to community-level responses","title-short":"Animal behaviour shapes the ecological effects of ocean acidification and warming","volume":"22","author":[{"family":"Nagelkerken","given":"I."},{"family":"Munday","given":"P.L."}],"issued":{"date-parts":[["2016",3]]}}}],"schema":"https://github.com/citation-style-language/schema/raw/master/csl-citation.json"} </w:instrText>
      </w:r>
      <w:r w:rsidR="00C9103E">
        <w:rPr>
          <w:rFonts w:ascii="Times New Roman" w:hAnsi="Times New Roman" w:cs="Times New Roman"/>
        </w:rPr>
        <w:fldChar w:fldCharType="separate"/>
      </w:r>
      <w:r w:rsidR="00C9103E">
        <w:rPr>
          <w:rFonts w:ascii="Times New Roman" w:hAnsi="Times New Roman" w:cs="Times New Roman"/>
          <w:noProof/>
        </w:rPr>
        <w:t>(Kroeker et al. 2014; Nagelkerken and Munday 2016)</w:t>
      </w:r>
      <w:r w:rsidR="00C9103E">
        <w:rPr>
          <w:rFonts w:ascii="Times New Roman" w:hAnsi="Times New Roman" w:cs="Times New Roman"/>
        </w:rPr>
        <w:fldChar w:fldCharType="end"/>
      </w:r>
      <w:r w:rsidR="00C9103E">
        <w:rPr>
          <w:rFonts w:ascii="Times New Roman" w:hAnsi="Times New Roman" w:cs="Times New Roman"/>
          <w:noProof/>
        </w:rPr>
        <w:t>.</w:t>
      </w:r>
    </w:p>
    <w:p w14:paraId="109A089D" w14:textId="7F9CD503" w:rsidR="00247EF3" w:rsidRDefault="00247EF3" w:rsidP="006A2314">
      <w:pPr>
        <w:spacing w:after="240" w:line="480" w:lineRule="auto"/>
        <w:jc w:val="both"/>
        <w:rPr>
          <w:rFonts w:ascii="Times New Roman" w:hAnsi="Times New Roman" w:cs="Times New Roman"/>
        </w:rPr>
      </w:pPr>
      <w:r>
        <w:rPr>
          <w:rFonts w:ascii="Times New Roman" w:hAnsi="Times New Roman" w:cs="Times New Roman"/>
        </w:rPr>
        <w:t xml:space="preserve">The overarching goal of this study was thus two-fold: 1) to assess aspects related to the </w:t>
      </w:r>
      <w:r w:rsidR="00943795">
        <w:rPr>
          <w:rFonts w:ascii="Times New Roman" w:hAnsi="Times New Roman" w:cs="Times New Roman"/>
        </w:rPr>
        <w:t>behavior</w:t>
      </w:r>
      <w:r>
        <w:rPr>
          <w:rFonts w:ascii="Times New Roman" w:hAnsi="Times New Roman" w:cs="Times New Roman"/>
        </w:rPr>
        <w:t xml:space="preserve">al ecology of bivalve startle responses including short-term repeatability, changes over time, and </w:t>
      </w:r>
      <w:r>
        <w:rPr>
          <w:rFonts w:ascii="Times New Roman" w:hAnsi="Times New Roman" w:cs="Times New Roman"/>
        </w:rPr>
        <w:lastRenderedPageBreak/>
        <w:t>body size; and 2) to test the combined effects of pH and temperature on bivalve startle responses. To address these research goals, we conducted laboratory experiments using an ecologically and economically important bivalve (</w:t>
      </w:r>
      <w:r>
        <w:rPr>
          <w:rFonts w:ascii="Times New Roman" w:hAnsi="Times New Roman" w:cs="Times New Roman"/>
          <w:i/>
          <w:iCs/>
        </w:rPr>
        <w:t xml:space="preserve">Mytilus edulis </w:t>
      </w:r>
      <w:r w:rsidR="00943795">
        <w:rPr>
          <w:rFonts w:ascii="Times New Roman" w:hAnsi="Times New Roman" w:cs="Times New Roman"/>
        </w:rPr>
        <w:t xml:space="preserve">× </w:t>
      </w:r>
      <w:proofErr w:type="spellStart"/>
      <w:r>
        <w:rPr>
          <w:rFonts w:ascii="Times New Roman" w:hAnsi="Times New Roman" w:cs="Times New Roman"/>
          <w:i/>
          <w:iCs/>
        </w:rPr>
        <w:t>trossolus</w:t>
      </w:r>
      <w:proofErr w:type="spellEnd"/>
      <w:r>
        <w:rPr>
          <w:rFonts w:ascii="Times New Roman" w:hAnsi="Times New Roman" w:cs="Times New Roman"/>
        </w:rPr>
        <w:t>). We predicted that: 1) startle responses would be repeatable; 2) individual time to open would decrease over time (trials) due to either fatigue or habituation; 3) larger animals would have a shorter startle response because they are less vulnerable to predation</w:t>
      </w:r>
      <w:r w:rsidR="00E04275">
        <w:rPr>
          <w:rFonts w:ascii="Times New Roman" w:hAnsi="Times New Roman" w:cs="Times New Roman"/>
        </w:rPr>
        <w:t xml:space="preserve"> </w:t>
      </w:r>
      <w:r w:rsidR="00E04275">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{"citationID":"NZBP0rA1","properties":{"formattedCitation":"(Sommer et al. 1999)","plainCitation":"(Sommer et al. 1999)","noteIndex":0},"citationItems":[{"id":86,"uris":["http://zotero.org/users/6612280/items/GXIRZ8PT"],"uri":["http://zotero.org/users/6612280/items/GXIRZ8PT"],"itemData":{"id":86,"type":"article-journal","container-title":"Acta Oecologica","DOI":"10.1016/S1146-609X(99)80019-8","ISSN":"1146609X","journalAbbreviation":"Acta Oecol.","language":"en","page":"81-86","source":"DOI.org (Crossref)","title":"An experimental analysis of the importance of body-size in the seastar-mussel predator-prey relationship","volume":"20","author":[{"family":"Sommer","given":"U."},{"family":"Meusel","given":"B."},{"family":"Stielau","given":"C."}],"issued":{"date-parts":[["1999",3]]}}}],"schema":"https://github.com/citation-style-language/schema/raw/master/csl-citation.json"} </w:instrText>
      </w:r>
      <w:r w:rsidR="00E04275">
        <w:rPr>
          <w:rFonts w:ascii="Times New Roman" w:hAnsi="Times New Roman" w:cs="Times New Roman"/>
        </w:rPr>
        <w:fldChar w:fldCharType="separate"/>
      </w:r>
      <w:r w:rsidR="00E04275">
        <w:rPr>
          <w:rFonts w:ascii="Times New Roman" w:hAnsi="Times New Roman" w:cs="Times New Roman"/>
          <w:noProof/>
        </w:rPr>
        <w:t>(Sommer et al. 1999)</w:t>
      </w:r>
      <w:r w:rsidR="00E04275">
        <w:rPr>
          <w:rFonts w:ascii="Times New Roman" w:hAnsi="Times New Roman" w:cs="Times New Roman"/>
        </w:rPr>
        <w:fldChar w:fldCharType="end"/>
      </w:r>
      <w:r>
        <w:rPr>
          <w:rFonts w:ascii="Times New Roman" w:hAnsi="Times New Roman" w:cs="Times New Roman"/>
        </w:rPr>
        <w:t xml:space="preserve">; 4) higher temperature would reduce time to open because of higher metabolism and an increased need for oxygen and nutrient uptake </w:t>
      </w:r>
      <w:r w:rsidR="00E04275">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{"citationID":"yI8leNrd","properties":{"formattedCitation":"(Briffa et al. 2013)","plainCitation":"(Briffa et al. 2013)","noteIndex":0},"citationItems":[{"id":146,"uris":["http://zotero.org/users/6612280/items/YDSQAFPQ"],"uri":["http://zotero.org/users/6612280/items/YDSQAFPQ"],"itemData":{"id":146,"type":"article-journal","container-title":"Animal Behaviour","DOI":"10.1016/j.anbehav.2013.04.009","ISSN":"00033472","journalAbbreviation":"Anim. Behav.","language":"en","page":"47-54","source":"DOI.org (Crossref)","title":"How does temperature affect behaviour? Multilevel analysis of plasticity, personality and predictability in hermit crabs","title-short":"How does temperature affect behaviour?","volume":"86","author":[{"family":"Briffa","given":"M."},{"family":"Bridger","given":"D."},{"family":"Biro","given":"P.A."}],"issued":{"date-parts":[["2013",7]]}}}],"schema":"https://github.com/citation-style-language/schema/raw/master/csl-citation.json"} </w:instrText>
      </w:r>
      <w:r w:rsidR="00E04275">
        <w:rPr>
          <w:rFonts w:ascii="Times New Roman" w:hAnsi="Times New Roman" w:cs="Times New Roman"/>
        </w:rPr>
        <w:fldChar w:fldCharType="separate"/>
      </w:r>
      <w:r w:rsidR="00E04275">
        <w:rPr>
          <w:rFonts w:ascii="Times New Roman" w:hAnsi="Times New Roman" w:cs="Times New Roman"/>
          <w:noProof/>
        </w:rPr>
        <w:t>(Briffa et al. 2013)</w:t>
      </w:r>
      <w:r w:rsidR="00E04275">
        <w:rPr>
          <w:rFonts w:ascii="Times New Roman" w:hAnsi="Times New Roman" w:cs="Times New Roman"/>
        </w:rPr>
        <w:fldChar w:fldCharType="end"/>
      </w:r>
      <w:r>
        <w:rPr>
          <w:rFonts w:ascii="Times New Roman" w:hAnsi="Times New Roman" w:cs="Times New Roman"/>
        </w:rPr>
        <w:t>; and 5) low pH would affect the startle response as CO</w:t>
      </w:r>
      <w:r>
        <w:rPr>
          <w:rFonts w:ascii="Times New Roman" w:hAnsi="Times New Roman" w:cs="Times New Roman"/>
          <w:vertAlign w:val="subscript"/>
        </w:rPr>
        <w:t>2</w:t>
      </w:r>
      <w:r>
        <w:rPr>
          <w:rFonts w:ascii="Times New Roman" w:hAnsi="Times New Roman" w:cs="Times New Roman"/>
        </w:rPr>
        <w:t xml:space="preserve">-induced pH declines are reported to have wide-ranging </w:t>
      </w:r>
      <w:r w:rsidR="00943795">
        <w:rPr>
          <w:rFonts w:ascii="Times New Roman" w:hAnsi="Times New Roman" w:cs="Times New Roman"/>
        </w:rPr>
        <w:t>behavior</w:t>
      </w:r>
      <w:r>
        <w:rPr>
          <w:rFonts w:ascii="Times New Roman" w:hAnsi="Times New Roman" w:cs="Times New Roman"/>
        </w:rPr>
        <w:t>al effects</w:t>
      </w:r>
      <w:r w:rsidR="00E04275">
        <w:rPr>
          <w:rFonts w:ascii="Times New Roman" w:hAnsi="Times New Roman" w:cs="Times New Roman"/>
        </w:rPr>
        <w:t xml:space="preserve"> </w:t>
      </w:r>
      <w:r w:rsidR="00E04275">
        <w:rPr>
          <w:rFonts w:ascii="Times New Roman" w:hAnsi="Times New Roman" w:cs="Times New Roman"/>
        </w:rPr>
        <w:fldChar w:fldCharType="begin"/>
      </w:r>
      <w:r w:rsidR="00E04275">
        <w:rPr>
          <w:rFonts w:ascii="Times New Roman" w:hAnsi="Times New Roman" w:cs="Times New Roman"/>
        </w:rPr>
        <w:instrText xml:space="preserve"> ADDIN ZOTERO_ITEM CSL_CITATION {"citationID":"5MMqjBGV","properties":{"formattedCitation":"(Clements and Hunt 2015)","plainCitation":"(Clements and Hunt 2015)","noteIndex":0},"citationItems":[{"id":6,"uris":["http://zotero.org/users/6612280/items/IVKA7V72"],"uri":["http://zotero.org/users/6612280/items/IVKA7V72"],"itemData":{"id":6,"type":"article-journal","abstract":"Recently, the effects of ocean acidification (OA) on marine animal behaviour have garnered considerable attention, as they can impact biological interactions and, in turn, ecosystem structure and functioning. We reviewed current published literature on OA and marine behaviour and synthesize current understanding of how a high CO2 ocean may impact animal behaviour, elucidate critical unknowns, and provide suggestions for future research. Although studies have focused equally on vertebrates and invertebrates, vertebrate studies have primarily focused on coral reef fishes, in contrast to the broader diversity of invertebrate taxa studied. A quantitative synthesis of the direction and magnitude of change in behaviours from current conditions under OA scenarios suggests primarily negative impacts that vary depending on species, ecosystem, and behaviour. The interactive effects of co-occurring environmental parameters with increasing CO2 elicit effects different from those observed under elevated CO2 alone. Although 12% of studies have incorporated multiple factors, only one study has examined the effects of carbonate system variability on the behaviour of a marine animal. Altered GABAA receptor functioning under elevated CO2 appears responsible for many behavioural responses; however, this mechanism is unlikely to be universal. We recommend a new focus on determining the effects of elevated CO2 on marine animal behaviour in the context of multiple environmental drivers and future carbonate system variability, and the mechanisms governing the association between acid-base regulation and GABAA receptor functioning. This knowledge could explain observed species-specificity in behavioural responses to OA and lend to a unifying theory of OA effects on marine animal behaviour.","container-title":"Marine Ecology Progress Series","DOI":"10.3354/meps11426","ISSN":"0171-8630, 1616-1599","journalAbbreviation":"Mar. Ecol. Prog. Ser.","language":"en","page":"259-279","source":"DOI.org (Crossref)","title":"Marine animal behaviour in a high CO&lt;sub&gt;2&lt;/sub&gt; ocean","volume":"536","author":[{"family":"Clements","given":"J.C."},{"family":"Hunt","given":"H.L."}],"issued":{"date-parts":[["2015",9,29]]}}}],"schema":"https://github.com/citation-style-language/schema/raw/master/csl-citation.json"} </w:instrText>
      </w:r>
      <w:r w:rsidR="00E04275">
        <w:rPr>
          <w:rFonts w:ascii="Times New Roman" w:hAnsi="Times New Roman" w:cs="Times New Roman"/>
        </w:rPr>
        <w:fldChar w:fldCharType="separate"/>
      </w:r>
      <w:r w:rsidR="00E04275">
        <w:rPr>
          <w:rFonts w:ascii="Times New Roman" w:hAnsi="Times New Roman" w:cs="Times New Roman"/>
          <w:noProof/>
        </w:rPr>
        <w:t>(Clements and Hunt 2015)</w:t>
      </w:r>
      <w:r w:rsidR="00E04275">
        <w:rPr>
          <w:rFonts w:ascii="Times New Roman" w:hAnsi="Times New Roman" w:cs="Times New Roman"/>
        </w:rPr>
        <w:fldChar w:fldCharType="end"/>
      </w:r>
      <w:r>
        <w:rPr>
          <w:rFonts w:ascii="Times New Roman" w:hAnsi="Times New Roman" w:cs="Times New Roman"/>
        </w:rPr>
        <w:t xml:space="preserve">.  </w:t>
      </w:r>
    </w:p>
    <w:p w14:paraId="00493313" w14:textId="77777777" w:rsidR="00247EF3" w:rsidRDefault="00247EF3" w:rsidP="006A2314">
      <w:pPr>
        <w:spacing w:after="240" w:line="480" w:lineRule="auto"/>
        <w:jc w:val="both"/>
        <w:rPr>
          <w:rFonts w:ascii="Times New Roman" w:hAnsi="Times New Roman" w:cs="Times New Roman"/>
          <w:b/>
          <w:bCs/>
        </w:rPr>
      </w:pPr>
      <w:r>
        <w:rPr>
          <w:rFonts w:ascii="Times New Roman" w:hAnsi="Times New Roman" w:cs="Times New Roman"/>
          <w:b/>
          <w:bCs/>
        </w:rPr>
        <w:t>Materials and Methods</w:t>
      </w:r>
    </w:p>
    <w:p w14:paraId="133910AF" w14:textId="77777777" w:rsidR="00247EF3" w:rsidRDefault="00247EF3" w:rsidP="006A2314">
      <w:pPr>
        <w:spacing w:after="240" w:line="480" w:lineRule="auto"/>
        <w:jc w:val="both"/>
        <w:rPr>
          <w:rFonts w:ascii="Times New Roman" w:hAnsi="Times New Roman" w:cs="Times New Roman"/>
          <w:i/>
          <w:iCs/>
        </w:rPr>
      </w:pPr>
      <w:r w:rsidRPr="0085027E">
        <w:rPr>
          <w:rFonts w:ascii="Times New Roman" w:hAnsi="Times New Roman" w:cs="Times New Roman"/>
          <w:i/>
          <w:iCs/>
        </w:rPr>
        <w:t>Animal collection and husbandry</w:t>
      </w:r>
    </w:p>
    <w:p w14:paraId="0F41C692" w14:textId="087EE89C" w:rsidR="00247EF3" w:rsidRPr="00AB563A" w:rsidRDefault="00247EF3" w:rsidP="006A2314">
      <w:pPr>
        <w:spacing w:after="240" w:line="480" w:lineRule="auto"/>
        <w:jc w:val="both"/>
        <w:rPr>
          <w:rFonts w:ascii="Times New Roman" w:hAnsi="Times New Roman" w:cs="Times New Roman"/>
        </w:rPr>
      </w:pPr>
      <w:r>
        <w:rPr>
          <w:rFonts w:ascii="Times New Roman" w:hAnsi="Times New Roman" w:cs="Times New Roman"/>
        </w:rPr>
        <w:t xml:space="preserve">Adult mussels (Figure S1a) were hand-collected from the side of a nearshore pier at a depth of 0–1 m in the </w:t>
      </w:r>
      <w:proofErr w:type="spellStart"/>
      <w:r>
        <w:rPr>
          <w:rFonts w:ascii="Times New Roman" w:hAnsi="Times New Roman" w:cs="Times New Roman"/>
        </w:rPr>
        <w:t>Gullmar</w:t>
      </w:r>
      <w:proofErr w:type="spellEnd"/>
      <w:r>
        <w:rPr>
          <w:rFonts w:ascii="Times New Roman" w:hAnsi="Times New Roman" w:cs="Times New Roman"/>
        </w:rPr>
        <w:t xml:space="preserve"> Fjord, adjacent to the </w:t>
      </w:r>
      <w:proofErr w:type="spellStart"/>
      <w:r>
        <w:rPr>
          <w:rFonts w:ascii="Times New Roman" w:hAnsi="Times New Roman" w:cs="Times New Roman"/>
        </w:rPr>
        <w:t>Kristineberg</w:t>
      </w:r>
      <w:proofErr w:type="spellEnd"/>
      <w:r>
        <w:rPr>
          <w:rFonts w:ascii="Times New Roman" w:hAnsi="Times New Roman" w:cs="Times New Roman"/>
        </w:rPr>
        <w:t xml:space="preserve"> Marine Research and Innovation Centre (KMRIC; </w:t>
      </w:r>
      <w:r w:rsidRPr="00044946">
        <w:rPr>
          <w:rFonts w:ascii="Times New Roman" w:hAnsi="Times New Roman" w:cs="Times New Roman"/>
        </w:rPr>
        <w:t>58.2</w:t>
      </w:r>
      <w:r>
        <w:rPr>
          <w:rFonts w:ascii="Times New Roman" w:hAnsi="Times New Roman" w:cs="Times New Roman"/>
        </w:rPr>
        <w:t>50</w:t>
      </w:r>
      <w:r w:rsidRPr="00044946">
        <w:rPr>
          <w:rFonts w:ascii="Times New Roman" w:hAnsi="Times New Roman" w:cs="Times New Roman"/>
        </w:rPr>
        <w:t xml:space="preserve"> </w:t>
      </w:r>
      <w:r>
        <w:rPr>
          <w:rFonts w:ascii="Times New Roman" w:hAnsi="Times New Roman" w:cs="Times New Roman"/>
        </w:rPr>
        <w:t>°</w:t>
      </w:r>
      <w:r w:rsidRPr="00044946">
        <w:rPr>
          <w:rFonts w:ascii="Times New Roman" w:hAnsi="Times New Roman" w:cs="Times New Roman"/>
        </w:rPr>
        <w:t>N, 11.44</w:t>
      </w:r>
      <w:r>
        <w:rPr>
          <w:rFonts w:ascii="Times New Roman" w:hAnsi="Times New Roman" w:cs="Times New Roman"/>
        </w:rPr>
        <w:t>7</w:t>
      </w:r>
      <w:r w:rsidRPr="00044946">
        <w:rPr>
          <w:rFonts w:ascii="Times New Roman" w:hAnsi="Times New Roman" w:cs="Times New Roman"/>
        </w:rPr>
        <w:t xml:space="preserve"> </w:t>
      </w:r>
      <w:r>
        <w:rPr>
          <w:rFonts w:ascii="Times New Roman" w:hAnsi="Times New Roman" w:cs="Times New Roman"/>
        </w:rPr>
        <w:t>°</w:t>
      </w:r>
      <w:r w:rsidRPr="00044946">
        <w:rPr>
          <w:rFonts w:ascii="Times New Roman" w:hAnsi="Times New Roman" w:cs="Times New Roman"/>
        </w:rPr>
        <w:t>E</w:t>
      </w:r>
      <w:r>
        <w:rPr>
          <w:rFonts w:ascii="Times New Roman" w:hAnsi="Times New Roman" w:cs="Times New Roman"/>
        </w:rPr>
        <w:t xml:space="preserve">). The mussels were transported to a temperature-controlled wet lab at the KMRIC where they were cleaned of epibionts. The animals were then placed in flow-through aquaria with ambient surface seawater (filtered to remove rocks, sediment, and larger animals while allowing plankton to pass) from the fjord for 12–14 days prior to experimentation to allow acclimation to laboratory conditions. During the acclimation period, mussels fed on a natural diet of plankton from the fjord and were subjected to a 12:12 </w:t>
      </w:r>
      <w:proofErr w:type="spellStart"/>
      <w:proofErr w:type="gramStart"/>
      <w:r>
        <w:rPr>
          <w:rFonts w:ascii="Times New Roman" w:hAnsi="Times New Roman" w:cs="Times New Roman"/>
        </w:rPr>
        <w:t>light:dark</w:t>
      </w:r>
      <w:proofErr w:type="spellEnd"/>
      <w:proofErr w:type="gramEnd"/>
      <w:r>
        <w:rPr>
          <w:rFonts w:ascii="Times New Roman" w:hAnsi="Times New Roman" w:cs="Times New Roman"/>
        </w:rPr>
        <w:t xml:space="preserve"> cycle (08:30–20:30 light). Mortality was checked every two days and any dead mussels were removed from the acclimation chambers; mortality was minimal (&lt;3%) and mussels fed as evidenced by the consistent production of both faeces and </w:t>
      </w:r>
      <w:proofErr w:type="spellStart"/>
      <w:r>
        <w:rPr>
          <w:rFonts w:ascii="Times New Roman" w:hAnsi="Times New Roman" w:cs="Times New Roman"/>
        </w:rPr>
        <w:t>pseudofaeces</w:t>
      </w:r>
      <w:proofErr w:type="spellEnd"/>
      <w:r>
        <w:rPr>
          <w:rFonts w:ascii="Times New Roman" w:hAnsi="Times New Roman" w:cs="Times New Roman"/>
        </w:rPr>
        <w:t xml:space="preserve">. Following acclimation, the mussels were </w:t>
      </w:r>
      <w:r>
        <w:rPr>
          <w:rFonts w:ascii="Times New Roman" w:hAnsi="Times New Roman" w:cs="Times New Roman"/>
        </w:rPr>
        <w:lastRenderedPageBreak/>
        <w:t xml:space="preserve">weighed (wet weight), measured (shell </w:t>
      </w:r>
      <w:r w:rsidRPr="007A71E5">
        <w:rPr>
          <w:rFonts w:ascii="Times New Roman" w:hAnsi="Times New Roman" w:cs="Times New Roman"/>
        </w:rPr>
        <w:t xml:space="preserve">length), individually </w:t>
      </w:r>
      <w:r>
        <w:rPr>
          <w:rFonts w:ascii="Times New Roman" w:hAnsi="Times New Roman" w:cs="Times New Roman"/>
        </w:rPr>
        <w:t>labelled (with nail polish)</w:t>
      </w:r>
      <w:r w:rsidRPr="007A71E5">
        <w:rPr>
          <w:rFonts w:ascii="Times New Roman" w:hAnsi="Times New Roman" w:cs="Times New Roman"/>
        </w:rPr>
        <w:t xml:space="preserve">, and separated into two </w:t>
      </w:r>
      <w:r>
        <w:rPr>
          <w:rFonts w:ascii="Times New Roman" w:hAnsi="Times New Roman" w:cs="Times New Roman"/>
        </w:rPr>
        <w:t xml:space="preserve">distinct </w:t>
      </w:r>
      <w:r w:rsidRPr="007A71E5">
        <w:rPr>
          <w:rFonts w:ascii="Times New Roman" w:hAnsi="Times New Roman" w:cs="Times New Roman"/>
        </w:rPr>
        <w:t>size classes</w:t>
      </w:r>
      <w:r>
        <w:rPr>
          <w:rFonts w:ascii="Times New Roman" w:hAnsi="Times New Roman" w:cs="Times New Roman"/>
        </w:rPr>
        <w:t xml:space="preserve"> based on pre-exposure shell length</w:t>
      </w:r>
      <w:r w:rsidRPr="007A71E5">
        <w:rPr>
          <w:rFonts w:ascii="Times New Roman" w:hAnsi="Times New Roman" w:cs="Times New Roman"/>
        </w:rPr>
        <w:t>: small (</w:t>
      </w:r>
      <w:r>
        <w:rPr>
          <w:rFonts w:ascii="Times New Roman" w:hAnsi="Times New Roman" w:cs="Times New Roman"/>
        </w:rPr>
        <w:t xml:space="preserve">&lt;58 mm; </w:t>
      </w:r>
      <w:r w:rsidRPr="007A71E5">
        <w:rPr>
          <w:rFonts w:ascii="Times New Roman" w:hAnsi="Times New Roman" w:cs="Times New Roman"/>
        </w:rPr>
        <w:t>mean ± SD = 49.6 ± 4.4 mm shell length; 16.3 ± 4.4 g  wet weight) and large (</w:t>
      </w:r>
      <w:r>
        <w:rPr>
          <w:rFonts w:ascii="Times New Roman" w:hAnsi="Times New Roman" w:cs="Times New Roman"/>
        </w:rPr>
        <w:t xml:space="preserve">&gt;59 mm; </w:t>
      </w:r>
      <w:r w:rsidRPr="007A71E5">
        <w:rPr>
          <w:rFonts w:ascii="Times New Roman" w:hAnsi="Times New Roman" w:cs="Times New Roman"/>
        </w:rPr>
        <w:t>67.1 ± 5.5 mm shell length; 40.0 ± 9.8 g wet weight)</w:t>
      </w:r>
      <w:r>
        <w:rPr>
          <w:rFonts w:ascii="Times New Roman" w:hAnsi="Times New Roman" w:cs="Times New Roman"/>
        </w:rPr>
        <w:t xml:space="preserve"> (Figure 1a). The animals were then placed into their experimental replicate tanks (Figure S1</w:t>
      </w:r>
      <w:proofErr w:type="gramStart"/>
      <w:r>
        <w:rPr>
          <w:rFonts w:ascii="Times New Roman" w:hAnsi="Times New Roman" w:cs="Times New Roman"/>
        </w:rPr>
        <w:t>b,c</w:t>
      </w:r>
      <w:proofErr w:type="gramEnd"/>
      <w:r>
        <w:rPr>
          <w:rFonts w:ascii="Times New Roman" w:hAnsi="Times New Roman" w:cs="Times New Roman"/>
        </w:rPr>
        <w:t xml:space="preserve">) upon which exposure to temperature and </w:t>
      </w:r>
      <w:r w:rsidRPr="005C67CE">
        <w:rPr>
          <w:rFonts w:ascii="Times New Roman" w:hAnsi="Times New Roman" w:cs="Times New Roman"/>
        </w:rPr>
        <w:t>pH</w:t>
      </w:r>
      <w:r>
        <w:rPr>
          <w:rFonts w:ascii="Times New Roman" w:hAnsi="Times New Roman" w:cs="Times New Roman"/>
        </w:rPr>
        <w:t xml:space="preserve"> treatments (see below) commenced.</w:t>
      </w:r>
    </w:p>
    <w:p w14:paraId="696B8B56" w14:textId="77777777" w:rsidR="00247EF3" w:rsidRDefault="00247EF3" w:rsidP="006A2314">
      <w:pPr>
        <w:spacing w:after="240" w:line="480" w:lineRule="auto"/>
        <w:jc w:val="both"/>
        <w:rPr>
          <w:rFonts w:ascii="Times New Roman" w:hAnsi="Times New Roman" w:cs="Times New Roman"/>
          <w:i/>
          <w:iCs/>
        </w:rPr>
      </w:pPr>
      <w:r>
        <w:rPr>
          <w:rFonts w:ascii="Times New Roman" w:hAnsi="Times New Roman" w:cs="Times New Roman"/>
          <w:i/>
          <w:iCs/>
        </w:rPr>
        <w:t>Experimental design and setup</w:t>
      </w:r>
    </w:p>
    <w:p w14:paraId="215B7EB5" w14:textId="75BA4E2B" w:rsidR="006D521F" w:rsidRDefault="00247EF3" w:rsidP="006A2314">
      <w:pPr>
        <w:spacing w:after="240" w:line="480" w:lineRule="auto"/>
        <w:jc w:val="both"/>
        <w:rPr>
          <w:rFonts w:ascii="Times New Roman" w:hAnsi="Times New Roman" w:cs="Times New Roman"/>
        </w:rPr>
      </w:pPr>
      <w:r>
        <w:rPr>
          <w:rFonts w:ascii="Times New Roman" w:hAnsi="Times New Roman" w:cs="Times New Roman"/>
        </w:rPr>
        <w:t>A 2×2×2 design was employed with two size classes (small and large; as above), two pH levels (ambient and –0.7 units), and two temperatures (16 °C and 20 °C [+4 °C]) crossed in a fully-factorial manner. Size classes were chosen based on vulnerability to sea star predation</w:t>
      </w:r>
      <w:r w:rsidRPr="00C41578">
        <w:rPr>
          <w:rFonts w:ascii="Times New Roman" w:hAnsi="Times New Roman" w:cs="Times New Roman"/>
        </w:rPr>
        <w:t xml:space="preserve"> </w:t>
      </w:r>
      <w:r>
        <w:rPr>
          <w:rFonts w:ascii="Times New Roman" w:hAnsi="Times New Roman" w:cs="Times New Roman"/>
        </w:rPr>
        <w:t>in a comparable biological community (Baltic Sea), whereby the small size class was at the upper end of sizes consumed by sea stars, while the large size class was well above a size refuge threshold and are considered safe from sea star predation</w:t>
      </w:r>
      <w:r w:rsidR="00E04275">
        <w:rPr>
          <w:rFonts w:ascii="Times New Roman" w:hAnsi="Times New Roman" w:cs="Times New Roman"/>
        </w:rPr>
        <w:t xml:space="preserve"> </w:t>
      </w:r>
      <w:r w:rsidR="00E04275">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{"citationID":"gdSNYng9","properties":{"formattedCitation":"(Sommer et al. 1999)","plainCitation":"(Sommer et al. 1999)","noteIndex":0},"citationItems":[{"id":86,"uris":["http://zotero.org/users/6612280/items/GXIRZ8PT"],"uri":["http://zotero.org/users/6612280/items/GXIRZ8PT"],"itemData":{"id":86,"type":"article-journal","container-title":"Acta Oecologica","DOI":"10.1016/S1146-609X(99)80019-8","ISSN":"1146609X","journalAbbreviation":"Acta Oecol.","language":"en","page":"81-86","source":"DOI.org (Crossref)","title":"An experimental analysis of the importance of body-size in the seastar-mussel predator-prey relationship","volume":"20","author":[{"family":"Sommer","given":"U."},{"family":"Meusel","given":"B."},{"family":"Stielau","given":"C."}],"issued":{"date-parts":[["1999",3]]}}}],"schema":"https://github.com/citation-style-language/schema/raw/master/csl-citation.json"} </w:instrText>
      </w:r>
      <w:r w:rsidR="00E04275">
        <w:rPr>
          <w:rFonts w:ascii="Times New Roman" w:hAnsi="Times New Roman" w:cs="Times New Roman"/>
        </w:rPr>
        <w:fldChar w:fldCharType="separate"/>
      </w:r>
      <w:r w:rsidR="00E04275">
        <w:rPr>
          <w:rFonts w:ascii="Times New Roman" w:hAnsi="Times New Roman" w:cs="Times New Roman"/>
          <w:noProof/>
        </w:rPr>
        <w:t>(Sommer et al. 1999)</w:t>
      </w:r>
      <w:r w:rsidR="00E04275">
        <w:rPr>
          <w:rFonts w:ascii="Times New Roman" w:hAnsi="Times New Roman" w:cs="Times New Roman"/>
        </w:rPr>
        <w:fldChar w:fldCharType="end"/>
      </w:r>
      <w:r>
        <w:rPr>
          <w:rFonts w:ascii="Times New Roman" w:hAnsi="Times New Roman" w:cs="Times New Roman"/>
          <w:lang w:val="en-US"/>
        </w:rPr>
        <w:t>. We used a small size class that was at the upper end of the size refuge threshold reported for the Baltic Sea because invertebrates in the Baltic Sea are generally smaller than on the west coast of Sweden due to low salinity conditions in the Baltic</w:t>
      </w:r>
      <w:r w:rsidR="00677D68">
        <w:rPr>
          <w:rFonts w:ascii="Times New Roman" w:hAnsi="Times New Roman" w:cs="Times New Roman"/>
          <w:lang w:val="en-US"/>
        </w:rPr>
        <w:t xml:space="preserve"> </w:t>
      </w:r>
      <w:r w:rsidR="00677D68">
        <w:rPr>
          <w:rFonts w:ascii="Times New Roman" w:hAnsi="Times New Roman" w:cs="Times New Roman"/>
          <w:lang w:val="en-US"/>
        </w:rPr>
        <w:fldChar w:fldCharType="begin"/>
      </w:r>
      <w:r w:rsidR="004F04C1">
        <w:rPr>
          <w:rFonts w:ascii="Times New Roman" w:hAnsi="Times New Roman" w:cs="Times New Roman"/>
          <w:lang w:val="en-US"/>
        </w:rPr>
        <w:instrText xml:space="preserve"> ADDIN ZOTERO_ITEM CSL_CITATION {"citationID":"rDc84SI8","properties":{"formattedCitation":"(Westerbom et al. 2002)","plainCitation":"(Westerbom et al. 2002)","noteIndex":0},"citationItems":[{"id":412,"uris":["http://zotero.org/users/6612280/items/V7WPXJMB"],"uri":["http://zotero.org/users/6612280/items/V7WPXJMB"],"itemData":{"id":412,"type":"article-journal","container-title":"Marine Biology","DOI":"10.1007/s00227-001-0765-6","ISSN":"0025-3162, 1432-1793","journalAbbreviation":"Mar Biol","language":"en","page":"991-999","source":"DOI.org (Crossref)","title":"Blue mussels, &lt;i&gt;Mytilus edulis&lt;/i&gt; , at the edge of the range: population structure, growth and biomass along a salinity gradient in the north-eastern Baltic Sea","title-short":"Blue mussels, Mytilus edulis , at the edge of the range","volume":"140","author":[{"family":"Westerbom","given":"M"},{"family":"Kilpi","given":"M"},{"family":"Mustonen","given":"O"}],"issued":{"date-parts":[["2002",5,1]]}}}],"schema":"https://github.com/citation-style-language/schema/raw/master/csl-citation.json"} </w:instrText>
      </w:r>
      <w:r w:rsidR="00677D68">
        <w:rPr>
          <w:rFonts w:ascii="Times New Roman" w:hAnsi="Times New Roman" w:cs="Times New Roman"/>
          <w:lang w:val="en-US"/>
        </w:rPr>
        <w:fldChar w:fldCharType="separate"/>
      </w:r>
      <w:r w:rsidR="00677D68">
        <w:rPr>
          <w:rFonts w:ascii="Times New Roman" w:hAnsi="Times New Roman" w:cs="Times New Roman"/>
          <w:noProof/>
          <w:lang w:val="en-US"/>
        </w:rPr>
        <w:t>(Westerbom et al. 2002)</w:t>
      </w:r>
      <w:r w:rsidR="00677D68">
        <w:rPr>
          <w:rFonts w:ascii="Times New Roman" w:hAnsi="Times New Roman" w:cs="Times New Roman"/>
          <w:lang w:val="en-US"/>
        </w:rPr>
        <w:fldChar w:fldCharType="end"/>
      </w:r>
      <w:r>
        <w:rPr>
          <w:rFonts w:ascii="Times New Roman" w:hAnsi="Times New Roman" w:cs="Times New Roman"/>
        </w:rPr>
        <w:t>.</w:t>
      </w:r>
      <w:r w:rsidR="00EE49BF">
        <w:rPr>
          <w:rFonts w:ascii="Times New Roman" w:hAnsi="Times New Roman" w:cs="Times New Roman"/>
        </w:rPr>
        <w:t xml:space="preserve"> </w:t>
      </w:r>
      <w:r>
        <w:rPr>
          <w:rFonts w:ascii="Times New Roman" w:hAnsi="Times New Roman" w:cs="Times New Roman"/>
        </w:rPr>
        <w:t xml:space="preserve">Although these specific thresholds may not directly translate to the </w:t>
      </w:r>
      <w:proofErr w:type="spellStart"/>
      <w:r>
        <w:rPr>
          <w:rFonts w:ascii="Times New Roman" w:hAnsi="Times New Roman" w:cs="Times New Roman"/>
        </w:rPr>
        <w:t>Gullmar</w:t>
      </w:r>
      <w:proofErr w:type="spellEnd"/>
      <w:r>
        <w:rPr>
          <w:rFonts w:ascii="Times New Roman" w:hAnsi="Times New Roman" w:cs="Times New Roman"/>
        </w:rPr>
        <w:t xml:space="preserve"> Fjord system, we assumed that the relative vulnerability to predation</w:t>
      </w:r>
      <w:r w:rsidR="00523509">
        <w:rPr>
          <w:rFonts w:ascii="Times New Roman" w:hAnsi="Times New Roman" w:cs="Times New Roman"/>
        </w:rPr>
        <w:t xml:space="preserve"> (not only from sea stars, but from other predators such as crabs and fish) would be greater for the smaller size class. Furthermore, while increasing valve closure times may not be an efficient strategy for avoiding sea star predation (based on sea stars’ mode of feeding), it would be for other predators in the </w:t>
      </w:r>
      <w:proofErr w:type="spellStart"/>
      <w:r w:rsidR="00523509">
        <w:rPr>
          <w:rFonts w:ascii="Times New Roman" w:hAnsi="Times New Roman" w:cs="Times New Roman"/>
        </w:rPr>
        <w:t>Gullmar</w:t>
      </w:r>
      <w:proofErr w:type="spellEnd"/>
      <w:r w:rsidR="00523509">
        <w:rPr>
          <w:rFonts w:ascii="Times New Roman" w:hAnsi="Times New Roman" w:cs="Times New Roman"/>
        </w:rPr>
        <w:t xml:space="preserve"> Fjord system such as crabs and fish. </w:t>
      </w:r>
      <w:r>
        <w:rPr>
          <w:rFonts w:ascii="Times New Roman" w:hAnsi="Times New Roman" w:cs="Times New Roman"/>
        </w:rPr>
        <w:t xml:space="preserve"> Temperature and pH treatments were designed to simulate deviations from ambient conditions in the fjord according to near future projections. We used a temperature offset of +4°C following ambient temperatures until they </w:t>
      </w:r>
      <w:r>
        <w:rPr>
          <w:rFonts w:ascii="Times New Roman" w:hAnsi="Times New Roman" w:cs="Times New Roman"/>
        </w:rPr>
        <w:lastRenderedPageBreak/>
        <w:t>reached 16 °C after which temperature conditions were kept constant at 16 °C (low) and 20 °C (high) (Figure S2). We capped temperature manipulations at 16 °C and 20 °C to avoid temperature-related mortality that can occur during long exposures to temperatures above 20°C</w:t>
      </w:r>
      <w:r w:rsidR="009B1678">
        <w:rPr>
          <w:rFonts w:ascii="Times New Roman" w:hAnsi="Times New Roman" w:cs="Times New Roman"/>
        </w:rPr>
        <w:t xml:space="preserve"> </w:t>
      </w:r>
      <w:r w:rsidR="009B1678">
        <w:rPr>
          <w:rFonts w:ascii="Times New Roman" w:hAnsi="Times New Roman" w:cs="Times New Roman"/>
          <w:lang w:val="en-US"/>
        </w:rPr>
        <w:fldChar w:fldCharType="begin"/>
      </w:r>
      <w:r w:rsidR="009B1678" w:rsidRPr="009B1678">
        <w:rPr>
          <w:rFonts w:ascii="Times New Roman" w:hAnsi="Times New Roman" w:cs="Times New Roman"/>
          <w:lang w:val="en-US"/>
        </w:rPr>
        <w:instrText xml:space="preserve"> ADDIN ZOTERO_TEMP </w:instrText>
      </w:r>
      <w:r w:rsidR="009B1678">
        <w:rPr>
          <w:rFonts w:ascii="Times New Roman" w:hAnsi="Times New Roman" w:cs="Times New Roman"/>
          <w:lang w:val="en-US"/>
        </w:rPr>
        <w:fldChar w:fldCharType="separate"/>
      </w:r>
      <w:r w:rsidR="009B1678">
        <w:rPr>
          <w:rFonts w:ascii="Times New Roman" w:hAnsi="Times New Roman" w:cs="Times New Roman"/>
          <w:noProof/>
          <w:lang w:val="en-US"/>
        </w:rPr>
        <w:t>(Clements et al. 2018)</w:t>
      </w:r>
      <w:r w:rsidR="009B1678">
        <w:rPr>
          <w:rFonts w:ascii="Times New Roman" w:hAnsi="Times New Roman" w:cs="Times New Roman"/>
          <w:lang w:val="en-US"/>
        </w:rPr>
        <w:fldChar w:fldCharType="end"/>
      </w:r>
      <w:r w:rsidR="009B1678">
        <w:rPr>
          <w:rFonts w:ascii="Times New Roman" w:hAnsi="Times New Roman" w:cs="Times New Roman"/>
          <w:lang w:val="en-US"/>
        </w:rPr>
        <w:t xml:space="preserve"> </w:t>
      </w:r>
      <w:r>
        <w:rPr>
          <w:rFonts w:ascii="Times New Roman" w:hAnsi="Times New Roman" w:cs="Times New Roman"/>
          <w:noProof/>
        </w:rPr>
        <w:t>and to avoid spawning</w:t>
      </w:r>
      <w:r>
        <w:rPr>
          <w:rFonts w:ascii="Times New Roman" w:hAnsi="Times New Roman" w:cs="Times New Roman"/>
        </w:rPr>
        <w:t>. A pH offset of –0.7 units was employed, which represented an ocean acidification scenario corresponding to the extreme of the natural variability expected by 2100. This scenario was based on a –0.3 unit differential from the minimum pH currently observed in the fjord (0.4 units; low pH</w:t>
      </w:r>
      <w:r w:rsidRPr="00B16D99">
        <w:t xml:space="preserve"> </w:t>
      </w:r>
      <w:r w:rsidRPr="00B16D99">
        <w:rPr>
          <w:rFonts w:ascii="Times New Roman" w:hAnsi="Times New Roman" w:cs="Times New Roman"/>
        </w:rPr>
        <w:t>≈</w:t>
      </w:r>
      <w:r>
        <w:rPr>
          <w:rFonts w:ascii="Times New Roman" w:hAnsi="Times New Roman" w:cs="Times New Roman"/>
        </w:rPr>
        <w:t xml:space="preserve">7.6 from a mean of </w:t>
      </w:r>
      <w:r w:rsidRPr="00B16D99">
        <w:rPr>
          <w:rFonts w:ascii="Times New Roman" w:hAnsi="Times New Roman" w:cs="Times New Roman"/>
        </w:rPr>
        <w:t>≈</w:t>
      </w:r>
      <w:r>
        <w:rPr>
          <w:rFonts w:ascii="Times New Roman" w:hAnsi="Times New Roman" w:cs="Times New Roman"/>
        </w:rPr>
        <w:t>8.1 according to</w:t>
      </w:r>
      <w:r w:rsidR="009B1678">
        <w:rPr>
          <w:rFonts w:ascii="Times New Roman" w:hAnsi="Times New Roman" w:cs="Times New Roman"/>
        </w:rPr>
        <w:t xml:space="preserve"> </w:t>
      </w:r>
      <w:r w:rsidR="009B1678">
        <w:rPr>
          <w:rFonts w:ascii="Times New Roman" w:hAnsi="Times New Roman" w:cs="Times New Roman"/>
        </w:rPr>
        <w:fldChar w:fldCharType="begin"/>
      </w:r>
      <w:r w:rsidR="006D521F">
        <w:rPr>
          <w:rFonts w:ascii="Times New Roman" w:hAnsi="Times New Roman" w:cs="Times New Roman"/>
        </w:rPr>
        <w:instrText xml:space="preserve"> ADDIN ZOTERO_ITEM CSL_CITATION {"citationID":"Hvo5qCn0","properties":{"formattedCitation":"(Dorey et al. 2013)","plainCitation":"(Dorey et al. 2013)","dontUpdate":true,"noteIndex":0},"citationItems":[{"id":92,"uris":["http://zotero.org/users/6612280/items/KC8C5CE5"],"uri":["http://zotero.org/users/6612280/items/KC8C5CE5"],"itemData":{"id":92,"type":"article-journal","abstract":"Our ability to project the impact of global change on marine ecosystem is limited by our poor understanding on how to predict species sensitivity. For example, the impact of ocean acidiﬁcation is highly species-speciﬁc, even in closely related taxa. The aim of this study was to test the hypothesis that the tolerance range of a given species to decreased pH corresponds to their natural range of exposure. Larvae of the green sea urchin Strongylocentrotus droebachiensis were cultured from fertilization to metamorphic competence (29 days) under a wide range of pH (from pHT = 8.0/ pCO2 % 480 latm to pHT = 6.5/pCO2 % 20 000 latm) covering present (from pHT 8.7 to 7.6), projected near-future variability (from pHT 8.3 to 7.2) and beyond. Decreasing pH impacted all tested parameters (mortality, symmetry, growth, morphometry and respiration). Development of normal, although showing morphological plasticity, swimming larvae was possible as low as pHT ≥ 7.0. Within that range, decreasing pH increased mortality and asymmetry and decreased body length (BL) growth rate. Larvae raised at lowered pH and with similar BL had shorter arms and a wider body. Relative to a given BL, respiration rates and stomach volume both increased with decreasing pH suggesting changes in energy budget. At the lowest pHs (pHT ≤ 6.5), all the tested parameters were strongly negatively affected and no larva survived past 13 days post fertilization. In conclusion, sea urchin larvae appeared to be highly plastic when exposed to decreased pH until a physiological tipping point at pHT = 7.0. However, this plasticity was associated with direct (increased mortality) and indirect (decreased growth) consequences for ﬁtness.","container-title":"Global Change Biology","DOI":"10.1111/gcb.12276","ISSN":"13541013","journalAbbreviation":"Glob. Change Biol.","language":"en","page":"3355-3367","source":"DOI.org (Crossref)","title":"Assessing physiological tipping point of sea urchin larvae exposed to a broad range of pH","volume":"19","author":[{"family":"Dorey","given":"N."},{"family":"Lançon","given":"P."},{"family":"Thorndyke","given":"M."},{"family":"Dupont","given":"S."}],"issued":{"date-parts":[["2013",7]]}}}],"schema":"https://github.com/citation-style-language/schema/raw/master/csl-citation.json"} </w:instrText>
      </w:r>
      <w:r w:rsidR="009B1678">
        <w:rPr>
          <w:rFonts w:ascii="Times New Roman" w:hAnsi="Times New Roman" w:cs="Times New Roman"/>
        </w:rPr>
        <w:fldChar w:fldCharType="separate"/>
      </w:r>
      <w:r w:rsidR="009B1678">
        <w:rPr>
          <w:rFonts w:ascii="Times New Roman" w:hAnsi="Times New Roman" w:cs="Times New Roman"/>
          <w:noProof/>
        </w:rPr>
        <w:t>Dorey et al. 2013)</w:t>
      </w:r>
      <w:r w:rsidR="009B1678">
        <w:rPr>
          <w:rFonts w:ascii="Times New Roman" w:hAnsi="Times New Roman" w:cs="Times New Roman"/>
        </w:rPr>
        <w:fldChar w:fldCharType="end"/>
      </w:r>
    </w:p>
    <w:p w14:paraId="5DCD4C65" w14:textId="506DDA46" w:rsidR="00247EF3" w:rsidRDefault="00247EF3" w:rsidP="006A2314">
      <w:pPr>
        <w:spacing w:after="240" w:line="480" w:lineRule="auto"/>
        <w:jc w:val="both"/>
        <w:rPr>
          <w:rFonts w:ascii="Times New Roman" w:hAnsi="Times New Roman" w:cs="Times New Roman"/>
        </w:rPr>
      </w:pPr>
      <w:r>
        <w:rPr>
          <w:rFonts w:ascii="Times New Roman" w:hAnsi="Times New Roman" w:cs="Times New Roman"/>
        </w:rPr>
        <w:t xml:space="preserve"> (Figure S2). </w:t>
      </w:r>
    </w:p>
    <w:p w14:paraId="27F8AF29" w14:textId="27512FED" w:rsidR="00247EF3" w:rsidRPr="0081439C" w:rsidRDefault="00247EF3" w:rsidP="006A2314">
      <w:pPr>
        <w:spacing w:after="240" w:line="480" w:lineRule="auto"/>
        <w:jc w:val="both"/>
        <w:rPr>
          <w:rFonts w:ascii="Times New Roman" w:hAnsi="Times New Roman" w:cs="Times New Roman"/>
        </w:rPr>
      </w:pPr>
      <w:r>
        <w:rPr>
          <w:rFonts w:ascii="Times New Roman" w:hAnsi="Times New Roman" w:cs="Times New Roman"/>
        </w:rPr>
        <w:t xml:space="preserve">A flow-through seawater system was constructed to expose animals to experimental temperature and pH conditions (Figure S1b). Ambient seawater was continuously pumped directly from the </w:t>
      </w:r>
      <w:proofErr w:type="spellStart"/>
      <w:r>
        <w:rPr>
          <w:rFonts w:ascii="Times New Roman" w:hAnsi="Times New Roman" w:cs="Times New Roman"/>
        </w:rPr>
        <w:t>Gullmar</w:t>
      </w:r>
      <w:proofErr w:type="spellEnd"/>
      <w:r>
        <w:rPr>
          <w:rFonts w:ascii="Times New Roman" w:hAnsi="Times New Roman" w:cs="Times New Roman"/>
        </w:rPr>
        <w:t xml:space="preserve"> Fjord into each of 12 header tanks (</w:t>
      </w:r>
      <w:r>
        <w:rPr>
          <w:rFonts w:ascii="Times New Roman" w:hAnsi="Times New Roman" w:cs="Times New Roman"/>
          <w:i/>
          <w:iCs/>
        </w:rPr>
        <w:t>n</w:t>
      </w:r>
      <w:r>
        <w:rPr>
          <w:rFonts w:ascii="Times New Roman" w:hAnsi="Times New Roman" w:cs="Times New Roman"/>
        </w:rPr>
        <w:t xml:space="preserve"> = 3 header tanks per </w:t>
      </w:r>
      <w:proofErr w:type="spellStart"/>
      <w:r>
        <w:rPr>
          <w:rFonts w:ascii="Times New Roman" w:hAnsi="Times New Roman" w:cs="Times New Roman"/>
        </w:rPr>
        <w:t>temperature×pH</w:t>
      </w:r>
      <w:proofErr w:type="spellEnd"/>
      <w:r>
        <w:rPr>
          <w:rFonts w:ascii="Times New Roman" w:hAnsi="Times New Roman" w:cs="Times New Roman"/>
        </w:rPr>
        <w:t xml:space="preserve"> treatment). The water entered the lab through one of two lines, each of which were equipped with in-line temperature controllers to maintain the desired conditions for each temperature treatment. Seawater pH was manipulated in six of the header tanks via pure CO</w:t>
      </w:r>
      <w:r>
        <w:rPr>
          <w:rFonts w:ascii="Times New Roman" w:hAnsi="Times New Roman" w:cs="Times New Roman"/>
          <w:vertAlign w:val="subscript"/>
        </w:rPr>
        <w:t>2</w:t>
      </w:r>
      <w:r>
        <w:rPr>
          <w:rFonts w:ascii="Times New Roman" w:hAnsi="Times New Roman" w:cs="Times New Roman"/>
        </w:rPr>
        <w:t xml:space="preserve"> injection which was maintained with a pH-stat control system (Aqua Medic, </w:t>
      </w:r>
      <w:proofErr w:type="spellStart"/>
      <w:r>
        <w:rPr>
          <w:rFonts w:ascii="Times New Roman" w:hAnsi="Times New Roman" w:cs="Times New Roman"/>
        </w:rPr>
        <w:t>Bissendorf</w:t>
      </w:r>
      <w:proofErr w:type="spellEnd"/>
      <w:r>
        <w:rPr>
          <w:rFonts w:ascii="Times New Roman" w:hAnsi="Times New Roman" w:cs="Times New Roman"/>
        </w:rPr>
        <w:t xml:space="preserve">, Germany); pH was left at ambient conditions in the other six header tanks. Salinity was left uncontrolled in all treatments and varied naturally with ambient conditions in the fjord (Figure S2). The water in all 12 header tanks was continuously aerated to ensure proper mixing, oxygenation, and gas equilibration.  </w:t>
      </w:r>
    </w:p>
    <w:p w14:paraId="0A648406" w14:textId="32D444E9" w:rsidR="00247EF3" w:rsidRDefault="00247EF3" w:rsidP="006A2314">
      <w:pPr>
        <w:spacing w:after="240" w:line="480" w:lineRule="auto"/>
        <w:jc w:val="both"/>
        <w:rPr>
          <w:rFonts w:ascii="Times New Roman" w:hAnsi="Times New Roman" w:cs="Times New Roman"/>
        </w:rPr>
      </w:pPr>
      <w:r>
        <w:rPr>
          <w:rFonts w:ascii="Times New Roman" w:hAnsi="Times New Roman" w:cs="Times New Roman"/>
        </w:rPr>
        <w:t>Seawater from each header tank was gravity fed into two exposure tanks (4 L) where the animals were held, one exposure tank for each size class (Figure S1</w:t>
      </w:r>
      <w:proofErr w:type="gramStart"/>
      <w:r>
        <w:rPr>
          <w:rFonts w:ascii="Times New Roman" w:hAnsi="Times New Roman" w:cs="Times New Roman"/>
        </w:rPr>
        <w:t>b,c</w:t>
      </w:r>
      <w:proofErr w:type="gramEnd"/>
      <w:r>
        <w:rPr>
          <w:rFonts w:ascii="Times New Roman" w:hAnsi="Times New Roman" w:cs="Times New Roman"/>
        </w:rPr>
        <w:t xml:space="preserve">; </w:t>
      </w:r>
      <w:r>
        <w:rPr>
          <w:rFonts w:ascii="Times New Roman" w:hAnsi="Times New Roman" w:cs="Times New Roman"/>
          <w:i/>
          <w:iCs/>
        </w:rPr>
        <w:t>n</w:t>
      </w:r>
      <w:r>
        <w:rPr>
          <w:rFonts w:ascii="Times New Roman" w:hAnsi="Times New Roman" w:cs="Times New Roman"/>
        </w:rPr>
        <w:t xml:space="preserve"> = 5 mussels replicate tank</w:t>
      </w:r>
      <w:r>
        <w:rPr>
          <w:rFonts w:ascii="Times New Roman" w:hAnsi="Times New Roman" w:cs="Times New Roman"/>
          <w:vertAlign w:val="superscript"/>
        </w:rPr>
        <w:t>-1</w:t>
      </w:r>
      <w:r>
        <w:rPr>
          <w:rFonts w:ascii="Times New Roman" w:hAnsi="Times New Roman" w:cs="Times New Roman"/>
        </w:rPr>
        <w:t xml:space="preserve">; </w:t>
      </w:r>
      <w:r w:rsidRPr="00F42C34">
        <w:rPr>
          <w:rFonts w:ascii="Times New Roman" w:hAnsi="Times New Roman" w:cs="Times New Roman"/>
        </w:rPr>
        <w:t>N</w:t>
      </w:r>
      <w:r>
        <w:rPr>
          <w:rFonts w:ascii="Times New Roman" w:hAnsi="Times New Roman" w:cs="Times New Roman"/>
          <w:i/>
          <w:iCs/>
        </w:rPr>
        <w:t xml:space="preserve"> </w:t>
      </w:r>
      <w:r>
        <w:rPr>
          <w:rFonts w:ascii="Times New Roman" w:hAnsi="Times New Roman" w:cs="Times New Roman"/>
        </w:rPr>
        <w:t xml:space="preserve">= 120 mussels). Flow rate to the exposure chambers was adjusted to </w:t>
      </w:r>
      <w:r w:rsidRPr="00B16D99">
        <w:rPr>
          <w:rFonts w:ascii="Times New Roman" w:hAnsi="Times New Roman" w:cs="Times New Roman"/>
        </w:rPr>
        <w:t>≈</w:t>
      </w:r>
      <w:r>
        <w:rPr>
          <w:rFonts w:ascii="Times New Roman" w:hAnsi="Times New Roman" w:cs="Times New Roman"/>
        </w:rPr>
        <w:t>3 ml s</w:t>
      </w:r>
      <w:r>
        <w:rPr>
          <w:rFonts w:ascii="Times New Roman" w:hAnsi="Times New Roman" w:cs="Times New Roman"/>
          <w:vertAlign w:val="superscript"/>
        </w:rPr>
        <w:t xml:space="preserve">-1 </w:t>
      </w:r>
      <w:r>
        <w:rPr>
          <w:rFonts w:ascii="Times New Roman" w:hAnsi="Times New Roman" w:cs="Times New Roman"/>
        </w:rPr>
        <w:t>(</w:t>
      </w:r>
      <w:r w:rsidRPr="00B16D99">
        <w:rPr>
          <w:rFonts w:ascii="Times New Roman" w:hAnsi="Times New Roman" w:cs="Times New Roman"/>
        </w:rPr>
        <w:t>≈</w:t>
      </w:r>
      <w:r>
        <w:rPr>
          <w:rFonts w:ascii="Times New Roman" w:hAnsi="Times New Roman" w:cs="Times New Roman"/>
        </w:rPr>
        <w:t xml:space="preserve">22.2 min for one volume turnover). Mussels fed on the natural diet of plankton available in the seawater and were </w:t>
      </w:r>
      <w:r>
        <w:rPr>
          <w:rFonts w:ascii="Times New Roman" w:hAnsi="Times New Roman" w:cs="Times New Roman"/>
        </w:rPr>
        <w:lastRenderedPageBreak/>
        <w:t xml:space="preserve">exposed to a 12:12 </w:t>
      </w:r>
      <w:proofErr w:type="spellStart"/>
      <w:proofErr w:type="gramStart"/>
      <w:r>
        <w:rPr>
          <w:rFonts w:ascii="Times New Roman" w:hAnsi="Times New Roman" w:cs="Times New Roman"/>
        </w:rPr>
        <w:t>light:dark</w:t>
      </w:r>
      <w:proofErr w:type="spellEnd"/>
      <w:proofErr w:type="gramEnd"/>
      <w:r>
        <w:rPr>
          <w:rFonts w:ascii="Times New Roman" w:hAnsi="Times New Roman" w:cs="Times New Roman"/>
        </w:rPr>
        <w:t xml:space="preserve"> cycle as above. Filtration and ingestion of food was confirmed by the continual presence of faeces and </w:t>
      </w:r>
      <w:proofErr w:type="spellStart"/>
      <w:r>
        <w:rPr>
          <w:rFonts w:ascii="Times New Roman" w:hAnsi="Times New Roman" w:cs="Times New Roman"/>
        </w:rPr>
        <w:t>pseudofaeces</w:t>
      </w:r>
      <w:proofErr w:type="spellEnd"/>
      <w:r>
        <w:rPr>
          <w:rFonts w:ascii="Times New Roman" w:hAnsi="Times New Roman" w:cs="Times New Roman"/>
        </w:rPr>
        <w:t xml:space="preserve"> throughout the experiment, which was siphoned off to clean the exposure tanks as needed. Mortality, which was negligible (</w:t>
      </w:r>
      <w:r>
        <w:rPr>
          <w:rFonts w:ascii="Times New Roman" w:hAnsi="Times New Roman" w:cs="Times New Roman"/>
          <w:i/>
          <w:iCs/>
        </w:rPr>
        <w:t>n</w:t>
      </w:r>
      <w:r>
        <w:rPr>
          <w:rFonts w:ascii="Times New Roman" w:hAnsi="Times New Roman" w:cs="Times New Roman"/>
        </w:rPr>
        <w:t xml:space="preserve"> = 4/120, 3%</w:t>
      </w:r>
      <w:r w:rsidRPr="00CF154B">
        <w:rPr>
          <w:rFonts w:ascii="Times New Roman" w:hAnsi="Times New Roman" w:cs="Times New Roman"/>
        </w:rPr>
        <w:t>)</w:t>
      </w:r>
      <w:r>
        <w:rPr>
          <w:rFonts w:ascii="Times New Roman" w:hAnsi="Times New Roman" w:cs="Times New Roman"/>
        </w:rPr>
        <w:t xml:space="preserve">, was checked daily and dead mussels were immediately removed from the exposure tanks. The animals were exposed to experimental conditions for 88–93 days depending on the day in which individuals were subjected to </w:t>
      </w:r>
      <w:r w:rsidR="00943795">
        <w:rPr>
          <w:rFonts w:ascii="Times New Roman" w:hAnsi="Times New Roman" w:cs="Times New Roman"/>
        </w:rPr>
        <w:t>behavior</w:t>
      </w:r>
      <w:r>
        <w:rPr>
          <w:rFonts w:ascii="Times New Roman" w:hAnsi="Times New Roman" w:cs="Times New Roman"/>
        </w:rPr>
        <w:t>al assays (</w:t>
      </w:r>
      <w:r w:rsidR="00943795">
        <w:rPr>
          <w:rFonts w:ascii="Times New Roman" w:hAnsi="Times New Roman" w:cs="Times New Roman"/>
        </w:rPr>
        <w:t>behavior</w:t>
      </w:r>
      <w:r>
        <w:rPr>
          <w:rFonts w:ascii="Times New Roman" w:hAnsi="Times New Roman" w:cs="Times New Roman"/>
        </w:rPr>
        <w:t xml:space="preserve">al assays took six days to complete and different mussels were tested on each day). </w:t>
      </w:r>
    </w:p>
    <w:p w14:paraId="28227E0A" w14:textId="095D8590" w:rsidR="00B251F4" w:rsidRPr="006A2314" w:rsidRDefault="00247EF3" w:rsidP="006A2314">
      <w:pPr>
        <w:spacing w:after="240" w:line="480" w:lineRule="auto"/>
        <w:jc w:val="both"/>
        <w:rPr>
          <w:rFonts w:ascii="Times New Roman" w:eastAsia="Times New Roman" w:hAnsi="Times New Roman" w:cs="Times New Roman"/>
          <w:color w:val="000000"/>
        </w:rPr>
      </w:pPr>
      <w:r>
        <w:rPr>
          <w:rFonts w:ascii="Times New Roman" w:hAnsi="Times New Roman" w:cs="Times New Roman"/>
        </w:rPr>
        <w:t xml:space="preserve">Temperature and pH conditions in the exposure and header tanks were measured every 1–6 days to ensure that offsets were consistent (Figure S2). Temperature was measured with a </w:t>
      </w:r>
      <w:r w:rsidRPr="00805644">
        <w:rPr>
          <w:rFonts w:ascii="Times New Roman" w:hAnsi="Times New Roman" w:cs="Times New Roman"/>
        </w:rPr>
        <w:t xml:space="preserve">high precision digital thermometer </w:t>
      </w:r>
      <w:r>
        <w:rPr>
          <w:rFonts w:ascii="Times New Roman" w:hAnsi="Times New Roman" w:cs="Times New Roman"/>
        </w:rPr>
        <w:t>(</w:t>
      </w:r>
      <w:r w:rsidRPr="00805644">
        <w:rPr>
          <w:rFonts w:ascii="Times New Roman" w:hAnsi="Times New Roman" w:cs="Times New Roman"/>
        </w:rPr>
        <w:t>±</w:t>
      </w:r>
      <w:r>
        <w:rPr>
          <w:rFonts w:ascii="Times New Roman" w:hAnsi="Times New Roman" w:cs="Times New Roman"/>
        </w:rPr>
        <w:t xml:space="preserve"> </w:t>
      </w:r>
      <w:r w:rsidRPr="00805644">
        <w:rPr>
          <w:rFonts w:ascii="Times New Roman" w:hAnsi="Times New Roman" w:cs="Times New Roman"/>
        </w:rPr>
        <w:t>0.1 °C accuracy</w:t>
      </w:r>
      <w:r>
        <w:rPr>
          <w:rFonts w:ascii="Times New Roman" w:hAnsi="Times New Roman" w:cs="Times New Roman"/>
        </w:rPr>
        <w:t xml:space="preserve">; </w:t>
      </w:r>
      <w:r w:rsidRPr="00805644">
        <w:rPr>
          <w:rFonts w:ascii="Times New Roman" w:hAnsi="Times New Roman" w:cs="Times New Roman"/>
        </w:rPr>
        <w:t xml:space="preserve">testo-112, </w:t>
      </w:r>
      <w:proofErr w:type="spellStart"/>
      <w:r w:rsidRPr="00805644">
        <w:rPr>
          <w:rFonts w:ascii="Times New Roman" w:hAnsi="Times New Roman" w:cs="Times New Roman"/>
        </w:rPr>
        <w:t>Testo</w:t>
      </w:r>
      <w:proofErr w:type="spellEnd"/>
      <w:r w:rsidRPr="00805644">
        <w:rPr>
          <w:rFonts w:ascii="Times New Roman" w:hAnsi="Times New Roman" w:cs="Times New Roman"/>
        </w:rPr>
        <w:t xml:space="preserve">, </w:t>
      </w:r>
      <w:proofErr w:type="spellStart"/>
      <w:r w:rsidRPr="00805644">
        <w:rPr>
          <w:rFonts w:ascii="Times New Roman" w:hAnsi="Times New Roman" w:cs="Times New Roman"/>
        </w:rPr>
        <w:t>Lenzkirch</w:t>
      </w:r>
      <w:proofErr w:type="spellEnd"/>
      <w:r w:rsidRPr="00805644">
        <w:rPr>
          <w:rFonts w:ascii="Times New Roman" w:hAnsi="Times New Roman" w:cs="Times New Roman"/>
        </w:rPr>
        <w:t>, Germany)</w:t>
      </w:r>
      <w:r>
        <w:rPr>
          <w:rFonts w:ascii="Times New Roman" w:hAnsi="Times New Roman" w:cs="Times New Roman"/>
        </w:rPr>
        <w:t>. Seawater pH was measured on the total scale (</w:t>
      </w:r>
      <w:proofErr w:type="spellStart"/>
      <w:r>
        <w:rPr>
          <w:rFonts w:ascii="Times New Roman" w:hAnsi="Times New Roman" w:cs="Times New Roman"/>
        </w:rPr>
        <w:t>pH</w:t>
      </w:r>
      <w:r>
        <w:rPr>
          <w:rFonts w:ascii="Times New Roman" w:hAnsi="Times New Roman" w:cs="Times New Roman"/>
          <w:vertAlign w:val="subscript"/>
        </w:rPr>
        <w:t>T</w:t>
      </w:r>
      <w:proofErr w:type="spellEnd"/>
      <w:r>
        <w:rPr>
          <w:rFonts w:ascii="Times New Roman" w:hAnsi="Times New Roman" w:cs="Times New Roman"/>
        </w:rPr>
        <w:t>) with a benchtop pH meter (</w:t>
      </w:r>
      <w:proofErr w:type="spellStart"/>
      <w:r>
        <w:rPr>
          <w:rFonts w:ascii="Times New Roman" w:hAnsi="Times New Roman" w:cs="Times New Roman"/>
        </w:rPr>
        <w:t>Metrohm</w:t>
      </w:r>
      <w:proofErr w:type="spellEnd"/>
      <w:r>
        <w:rPr>
          <w:rFonts w:ascii="Times New Roman" w:hAnsi="Times New Roman" w:cs="Times New Roman"/>
        </w:rPr>
        <w:t xml:space="preserve"> 827 pH lab, </w:t>
      </w:r>
      <w:proofErr w:type="spellStart"/>
      <w:r>
        <w:rPr>
          <w:rFonts w:ascii="Times New Roman" w:hAnsi="Times New Roman" w:cs="Times New Roman"/>
        </w:rPr>
        <w:t>Metrohm</w:t>
      </w:r>
      <w:proofErr w:type="spellEnd"/>
      <w:r>
        <w:rPr>
          <w:rFonts w:ascii="Times New Roman" w:hAnsi="Times New Roman" w:cs="Times New Roman"/>
        </w:rPr>
        <w:t xml:space="preserve">, </w:t>
      </w:r>
      <w:proofErr w:type="spellStart"/>
      <w:r w:rsidRPr="00F064CB">
        <w:rPr>
          <w:rFonts w:ascii="Times New Roman" w:hAnsi="Times New Roman" w:cs="Times New Roman"/>
        </w:rPr>
        <w:t>Herisau</w:t>
      </w:r>
      <w:proofErr w:type="spellEnd"/>
      <w:r>
        <w:rPr>
          <w:rFonts w:ascii="Times New Roman" w:hAnsi="Times New Roman" w:cs="Times New Roman"/>
        </w:rPr>
        <w:t>, Switzerland) calibrated with TRIS (Tris/HCl) and AMP (2-aminopyridine/HCl) buffers. The pH stat systems were adjusted accordingly whenever seawater parameters were measured for temporal pH offset consistency. Salinity was also recorded at the time of temperature and pH measurement from the KMRIC website (</w:t>
      </w:r>
      <w:hyperlink r:id="rId9" w:history="1">
        <w:r w:rsidRPr="00E501F1">
          <w:rPr>
            <w:rStyle w:val="Hyperlink"/>
            <w:rFonts w:ascii="Times New Roman" w:hAnsi="Times New Roman" w:cs="Times New Roman"/>
          </w:rPr>
          <w:t>https://www.weather.loven.gu.se/kristineberg/en/data.shtml</w:t>
        </w:r>
      </w:hyperlink>
      <w:r>
        <w:rPr>
          <w:rFonts w:ascii="Times New Roman" w:hAnsi="Times New Roman" w:cs="Times New Roman"/>
        </w:rPr>
        <w:t xml:space="preserve">) with the exception of measurements on and after 27 July, which were measured directly with a handheld salinity meter (WTW, </w:t>
      </w:r>
      <w:proofErr w:type="spellStart"/>
      <w:r w:rsidRPr="00606448">
        <w:rPr>
          <w:rFonts w:ascii="Times New Roman" w:hAnsi="Times New Roman" w:cs="Times New Roman"/>
        </w:rPr>
        <w:t>Weilheim</w:t>
      </w:r>
      <w:proofErr w:type="spellEnd"/>
      <w:r>
        <w:rPr>
          <w:rFonts w:ascii="Times New Roman" w:hAnsi="Times New Roman" w:cs="Times New Roman"/>
        </w:rPr>
        <w:t>,</w:t>
      </w:r>
      <w:r w:rsidRPr="00606448">
        <w:rPr>
          <w:rFonts w:ascii="Times New Roman" w:hAnsi="Times New Roman" w:cs="Times New Roman"/>
        </w:rPr>
        <w:t xml:space="preserve"> </w:t>
      </w:r>
      <w:r>
        <w:rPr>
          <w:rFonts w:ascii="Times New Roman" w:hAnsi="Times New Roman" w:cs="Times New Roman"/>
        </w:rPr>
        <w:t>Germany) due to a lack of data availability on the KMRIC website. Total alkalinity (</w:t>
      </w:r>
      <w:r>
        <w:rPr>
          <w:rFonts w:ascii="Times New Roman" w:hAnsi="Times New Roman" w:cs="Times New Roman"/>
          <w:i/>
          <w:iCs/>
        </w:rPr>
        <w:t>A</w:t>
      </w:r>
      <w:r>
        <w:rPr>
          <w:rFonts w:ascii="Times New Roman" w:hAnsi="Times New Roman" w:cs="Times New Roman"/>
          <w:vertAlign w:val="subscript"/>
        </w:rPr>
        <w:t>T</w:t>
      </w:r>
      <w:r>
        <w:rPr>
          <w:rFonts w:ascii="Times New Roman" w:hAnsi="Times New Roman" w:cs="Times New Roman"/>
        </w:rPr>
        <w:t xml:space="preserve">) was measured weekly </w:t>
      </w:r>
      <w:r w:rsidRPr="005525B1">
        <w:rPr>
          <w:rFonts w:ascii="Times New Roman" w:hAnsi="Times New Roman" w:cs="Times New Roman"/>
        </w:rPr>
        <w:t>by titration</w:t>
      </w:r>
      <w:r>
        <w:rPr>
          <w:rFonts w:ascii="Times New Roman" w:hAnsi="Times New Roman" w:cs="Times New Roman"/>
        </w:rPr>
        <w:t xml:space="preserve"> of 25 mL filtered (2</w:t>
      </w:r>
      <w:r w:rsidRPr="005525B1">
        <w:rPr>
          <w:rFonts w:ascii="Symbol" w:hAnsi="Symbol" w:cs="Times New Roman"/>
        </w:rPr>
        <w:t></w:t>
      </w:r>
      <w:r>
        <w:rPr>
          <w:rFonts w:ascii="Times New Roman" w:hAnsi="Times New Roman" w:cs="Times New Roman"/>
        </w:rPr>
        <w:t>m) s</w:t>
      </w:r>
      <w:r w:rsidRPr="005525B1">
        <w:rPr>
          <w:rFonts w:ascii="Times New Roman" w:hAnsi="Times New Roman" w:cs="Times New Roman"/>
        </w:rPr>
        <w:t xml:space="preserve">amples </w:t>
      </w:r>
      <w:r>
        <w:rPr>
          <w:rFonts w:ascii="Times New Roman" w:hAnsi="Times New Roman" w:cs="Times New Roman"/>
        </w:rPr>
        <w:t>using</w:t>
      </w:r>
      <w:r w:rsidRPr="005525B1">
        <w:rPr>
          <w:rFonts w:ascii="Times New Roman" w:hAnsi="Times New Roman" w:cs="Times New Roman"/>
        </w:rPr>
        <w:t xml:space="preserve"> a SI Analytics </w:t>
      </w:r>
      <w:proofErr w:type="spellStart"/>
      <w:r w:rsidRPr="005525B1">
        <w:rPr>
          <w:rFonts w:ascii="Times New Roman" w:hAnsi="Times New Roman" w:cs="Times New Roman"/>
        </w:rPr>
        <w:t>Titroline</w:t>
      </w:r>
      <w:proofErr w:type="spellEnd"/>
      <w:r w:rsidRPr="005525B1">
        <w:rPr>
          <w:rFonts w:ascii="Times New Roman" w:hAnsi="Times New Roman" w:cs="Times New Roman"/>
        </w:rPr>
        <w:t xml:space="preserve"> potentiometric</w:t>
      </w:r>
      <w:r>
        <w:rPr>
          <w:rFonts w:ascii="Times New Roman" w:hAnsi="Times New Roman" w:cs="Times New Roman"/>
        </w:rPr>
        <w:t xml:space="preserve"> </w:t>
      </w:r>
      <w:r w:rsidRPr="005525B1">
        <w:rPr>
          <w:rFonts w:ascii="Times New Roman" w:hAnsi="Times New Roman" w:cs="Times New Roman"/>
        </w:rPr>
        <w:t>titrator</w:t>
      </w:r>
      <w:r>
        <w:rPr>
          <w:rFonts w:ascii="Times New Roman" w:eastAsia="Times New Roman" w:hAnsi="Times New Roman" w:cs="Times New Roman"/>
          <w:color w:val="000000"/>
        </w:rPr>
        <w:t>. Carbonate system parameters (TCO</w:t>
      </w:r>
      <w:r>
        <w:rPr>
          <w:rFonts w:ascii="Times New Roman" w:eastAsia="Times New Roman" w:hAnsi="Times New Roman" w:cs="Times New Roman"/>
          <w:color w:val="000000"/>
          <w:vertAlign w:val="subscript"/>
        </w:rPr>
        <w:t>2</w:t>
      </w:r>
      <w:r>
        <w:rPr>
          <w:rFonts w:ascii="Times New Roman" w:eastAsia="Times New Roman" w:hAnsi="Times New Roman" w:cs="Times New Roman"/>
          <w:color w:val="000000"/>
        </w:rPr>
        <w:t xml:space="preserve">, </w:t>
      </w:r>
      <w:r>
        <w:rPr>
          <w:rFonts w:ascii="Times New Roman" w:eastAsia="Times New Roman" w:hAnsi="Times New Roman" w:cs="Times New Roman"/>
          <w:i/>
          <w:iCs/>
          <w:color w:val="000000"/>
        </w:rPr>
        <w:t>p</w:t>
      </w:r>
      <w:r>
        <w:rPr>
          <w:rFonts w:ascii="Times New Roman" w:eastAsia="Times New Roman" w:hAnsi="Times New Roman" w:cs="Times New Roman"/>
          <w:color w:val="000000"/>
        </w:rPr>
        <w:t>CO</w:t>
      </w:r>
      <w:r>
        <w:rPr>
          <w:rFonts w:ascii="Times New Roman" w:eastAsia="Times New Roman" w:hAnsi="Times New Roman" w:cs="Times New Roman"/>
          <w:color w:val="000000"/>
          <w:vertAlign w:val="subscript"/>
        </w:rPr>
        <w:t>2</w:t>
      </w:r>
      <w:r>
        <w:rPr>
          <w:rFonts w:ascii="Times New Roman" w:eastAsia="Times New Roman" w:hAnsi="Times New Roman" w:cs="Times New Roman"/>
          <w:color w:val="000000"/>
        </w:rPr>
        <w:t xml:space="preserve">, </w:t>
      </w:r>
      <w:r w:rsidRPr="00E666EB">
        <w:rPr>
          <w:rFonts w:ascii="omega" w:eastAsia="Times New Roman" w:hAnsi="omega" w:cs="Times New Roman"/>
          <w:color w:val="000000"/>
          <w:lang w:val="en-US"/>
        </w:rPr>
        <w:t>Ω</w:t>
      </w:r>
      <w:r w:rsidRPr="00E666EB">
        <w:rPr>
          <w:rFonts w:ascii="Times New Roman" w:eastAsia="Times New Roman" w:hAnsi="Times New Roman" w:cs="Times New Roman"/>
          <w:color w:val="000000"/>
          <w:vertAlign w:val="subscript"/>
        </w:rPr>
        <w:t>calcite</w:t>
      </w:r>
      <w:r>
        <w:rPr>
          <w:rFonts w:ascii="Times New Roman" w:eastAsia="Times New Roman" w:hAnsi="Times New Roman" w:cs="Times New Roman"/>
          <w:color w:val="000000"/>
        </w:rPr>
        <w:t xml:space="preserve">, and </w:t>
      </w:r>
      <w:r w:rsidRPr="00E666EB">
        <w:rPr>
          <w:rFonts w:ascii="omega" w:eastAsia="Times New Roman" w:hAnsi="omega" w:cs="Times New Roman"/>
          <w:color w:val="000000"/>
          <w:lang w:val="en-US"/>
        </w:rPr>
        <w:t>Ω</w:t>
      </w:r>
      <w:r>
        <w:rPr>
          <w:rFonts w:ascii="Times New Roman" w:eastAsia="Times New Roman" w:hAnsi="Times New Roman" w:cs="Times New Roman"/>
          <w:color w:val="000000"/>
          <w:vertAlign w:val="subscript"/>
        </w:rPr>
        <w:t>aragon</w:t>
      </w:r>
      <w:r w:rsidRPr="00E666EB">
        <w:rPr>
          <w:rFonts w:ascii="Times New Roman" w:eastAsia="Times New Roman" w:hAnsi="Times New Roman" w:cs="Times New Roman"/>
          <w:color w:val="000000"/>
          <w:vertAlign w:val="subscript"/>
        </w:rPr>
        <w:t>ite</w:t>
      </w:r>
      <w:r w:rsidRPr="00F8767D">
        <w:rPr>
          <w:rFonts w:ascii="Times New Roman" w:eastAsia="Times New Roman" w:hAnsi="Times New Roman" w:cs="Times New Roman"/>
          <w:color w:val="000000"/>
        </w:rPr>
        <w:t>)</w:t>
      </w:r>
      <w:r>
        <w:rPr>
          <w:rFonts w:ascii="Times New Roman" w:eastAsia="Times New Roman" w:hAnsi="Times New Roman" w:cs="Times New Roman"/>
          <w:color w:val="000000"/>
        </w:rPr>
        <w:t xml:space="preserve"> were estimated in CO2SYS v2.1</w:t>
      </w:r>
      <w:r w:rsidR="002C6403">
        <w:rPr>
          <w:rFonts w:ascii="Times New Roman" w:eastAsia="Times New Roman" w:hAnsi="Times New Roman" w:cs="Times New Roman"/>
          <w:color w:val="000000"/>
        </w:rPr>
        <w:t xml:space="preserve"> </w:t>
      </w:r>
      <w:r w:rsidR="002C6403">
        <w:rPr>
          <w:rFonts w:ascii="Times New Roman" w:eastAsia="Times New Roman" w:hAnsi="Times New Roman" w:cs="Times New Roman"/>
          <w:color w:val="000000"/>
        </w:rPr>
        <w:fldChar w:fldCharType="begin"/>
      </w:r>
      <w:r w:rsidR="002C6403">
        <w:rPr>
          <w:rFonts w:ascii="Times New Roman" w:eastAsia="Times New Roman" w:hAnsi="Times New Roman" w:cs="Times New Roman"/>
          <w:color w:val="000000"/>
        </w:rPr>
        <w:instrText xml:space="preserve"> ADDIN ZOTERO_ITEM CSL_CITATION {"citationID":"hT0sxpa6","properties":{"formattedCitation":"(Pierrot et al. 2009)","plainCitation":"(Pierrot et al. 2009)","noteIndex":0},"citationItems":[{"id":100,"uris":["http://zotero.org/users/6612280/items/RKD2IPCY"],"uri":["http://zotero.org/users/6612280/items/RKD2IPCY"],"itemData":{"id":100,"type":"book","event-place":"Oak Ridge, Tennessee","publisher":"Carbon Dioxide Information Analysis Center, Oak Ridge National Laboratory, U.S. Department of Energy","publisher-place":"Oak Ridge, Tennessee","title":"CO2SYS: MS Excel Program Developed for CO2 System Calculations. ORNL/CDIAC-105a.","URL":"(doi: 10.3334/CDIAC/otg.CO2SYS_XLS_CDIAC105a)","version":"2.1","author":[{"family":"Pierrot","given":"D."},{"family":"Lewis","given":"E."},{"family":"Wallace","given":"D.W.R."}],"issued":{"date-parts":[["2009"]]}}}],"schema":"https://github.com/citation-style-language/schema/raw/master/csl-citation.json"} </w:instrText>
      </w:r>
      <w:r w:rsidR="002C6403">
        <w:rPr>
          <w:rFonts w:ascii="Times New Roman" w:eastAsia="Times New Roman" w:hAnsi="Times New Roman" w:cs="Times New Roman"/>
          <w:color w:val="000000"/>
        </w:rPr>
        <w:fldChar w:fldCharType="separate"/>
      </w:r>
      <w:r w:rsidR="002C6403">
        <w:rPr>
          <w:rFonts w:ascii="Times New Roman" w:eastAsia="Times New Roman" w:hAnsi="Times New Roman" w:cs="Times New Roman"/>
          <w:noProof/>
          <w:color w:val="000000"/>
        </w:rPr>
        <w:t>(Pierrot et al. 2009)</w:t>
      </w:r>
      <w:r w:rsidR="002C6403">
        <w:rPr>
          <w:rFonts w:ascii="Times New Roman" w:eastAsia="Times New Roman" w:hAnsi="Times New Roman" w:cs="Times New Roman"/>
          <w:color w:val="000000"/>
        </w:rPr>
        <w:fldChar w:fldCharType="end"/>
      </w:r>
      <w:r>
        <w:rPr>
          <w:rFonts w:ascii="Times New Roman" w:eastAsia="Times New Roman" w:hAnsi="Times New Roman" w:cs="Times New Roman"/>
          <w:color w:val="000000"/>
        </w:rPr>
        <w:t xml:space="preserve"> for each measurement of temperature, salinity, and </w:t>
      </w:r>
      <w:proofErr w:type="spellStart"/>
      <w:r>
        <w:rPr>
          <w:rFonts w:ascii="Times New Roman" w:eastAsia="Times New Roman" w:hAnsi="Times New Roman" w:cs="Times New Roman"/>
          <w:color w:val="000000"/>
        </w:rPr>
        <w:t>pH</w:t>
      </w:r>
      <w:r>
        <w:rPr>
          <w:rFonts w:ascii="Times New Roman" w:eastAsia="Times New Roman" w:hAnsi="Times New Roman" w:cs="Times New Roman"/>
          <w:color w:val="000000"/>
          <w:vertAlign w:val="subscript"/>
        </w:rPr>
        <w:t>T</w:t>
      </w:r>
      <w:proofErr w:type="spellEnd"/>
      <w:r>
        <w:rPr>
          <w:rFonts w:ascii="Times New Roman" w:eastAsia="Times New Roman" w:hAnsi="Times New Roman" w:cs="Times New Roman"/>
          <w:color w:val="000000"/>
        </w:rPr>
        <w:t xml:space="preserve"> above, using the </w:t>
      </w:r>
      <w:r>
        <w:rPr>
          <w:rFonts w:ascii="Times New Roman" w:eastAsia="Times New Roman" w:hAnsi="Times New Roman" w:cs="Times New Roman"/>
          <w:i/>
          <w:iCs/>
          <w:color w:val="000000"/>
        </w:rPr>
        <w:t>A</w:t>
      </w:r>
      <w:r>
        <w:rPr>
          <w:rFonts w:ascii="Times New Roman" w:eastAsia="Times New Roman" w:hAnsi="Times New Roman" w:cs="Times New Roman"/>
          <w:color w:val="000000"/>
          <w:vertAlign w:val="subscript"/>
        </w:rPr>
        <w:t>T</w:t>
      </w:r>
      <w:r>
        <w:rPr>
          <w:rFonts w:ascii="Times New Roman" w:eastAsia="Times New Roman" w:hAnsi="Times New Roman" w:cs="Times New Roman"/>
          <w:color w:val="000000"/>
        </w:rPr>
        <w:t xml:space="preserve"> value from the closest day and the first and second dissociation constants of </w:t>
      </w:r>
      <w:r w:rsidR="002C6403">
        <w:rPr>
          <w:rFonts w:ascii="Times New Roman" w:eastAsia="Times New Roman" w:hAnsi="Times New Roman" w:cs="Times New Roman"/>
          <w:color w:val="000000"/>
        </w:rPr>
        <w:t xml:space="preserve"> </w:t>
      </w:r>
      <w:r w:rsidR="002C6403">
        <w:rPr>
          <w:rFonts w:ascii="Times New Roman" w:eastAsia="Times New Roman" w:hAnsi="Times New Roman" w:cs="Times New Roman"/>
          <w:color w:val="000000"/>
        </w:rPr>
        <w:fldChar w:fldCharType="begin"/>
      </w:r>
      <w:r w:rsidR="004F04C1">
        <w:rPr>
          <w:rFonts w:ascii="Times New Roman" w:eastAsia="Times New Roman" w:hAnsi="Times New Roman" w:cs="Times New Roman"/>
          <w:color w:val="000000"/>
        </w:rPr>
        <w:instrText xml:space="preserve"> ADDIN ZOTERO_ITEM CSL_CITATION {"citationID":"4wbtPm0X","properties":{"formattedCitation":"(Mehrbach et al. 1973)","plainCitation":"(Mehrbach et al. 1973)","dontUpdate":true,"noteIndex":0},"citationItems":[{"id":104,"uris":["http://zotero.org/users/6612280/items/KWNLKUTT"],"uri":["http://zotero.org/users/6612280/items/KWNLKUTT"],"itemData":{"id":104,"type":"article-journal","abstract":"The apparent dissociation constants of carbonic acid in seawater were determined as functions of temperature (2-35°C) and salinity ( 19-43%) at atmospheric pressure by measurement of K’1 and the product K’, K’,. At 35sa salinity and 25°C the measured values were pE1 = 6.600 and pK’2 = 9.115; at 35% and 2°C the measured values were pK’1 = 6.177 and pKPz = 9.431.","container-title":"Limnology and Oceanography","DOI":"10.4319/lo.1973.18.6.0897","ISSN":"00243590","journalAbbreviation":"Limnol. Oceanogr.","language":"en","page":"897-907","source":"DOI.org (Crossref)","title":"Measurement of the apparent dissociation constants of carbonic acid in seawater at atmospheric pressure","volume":"18","author":[{"family":"Mehrbach","given":"C."},{"family":"Culberson","given":"C.H."},{"family":"Hawley","given":"J.E."},{"family":"Pytkowicx","given":"R.M."}],"issued":{"date-parts":[["1973",11]]}}}],"schema":"https://github.com/citation-style-language/schema/raw/master/csl-citation.json"} </w:instrText>
      </w:r>
      <w:r w:rsidR="002C6403">
        <w:rPr>
          <w:rFonts w:ascii="Times New Roman" w:eastAsia="Times New Roman" w:hAnsi="Times New Roman" w:cs="Times New Roman"/>
          <w:color w:val="000000"/>
        </w:rPr>
        <w:fldChar w:fldCharType="separate"/>
      </w:r>
      <w:r w:rsidR="002C6403">
        <w:rPr>
          <w:rFonts w:ascii="Times New Roman" w:eastAsia="Times New Roman" w:hAnsi="Times New Roman" w:cs="Times New Roman"/>
          <w:noProof/>
          <w:color w:val="000000"/>
        </w:rPr>
        <w:t xml:space="preserve">Mehrbach et al. </w:t>
      </w:r>
      <w:r w:rsidR="002E6BF4">
        <w:rPr>
          <w:rFonts w:ascii="Times New Roman" w:eastAsia="Times New Roman" w:hAnsi="Times New Roman" w:cs="Times New Roman"/>
          <w:noProof/>
          <w:color w:val="000000"/>
        </w:rPr>
        <w:t>(</w:t>
      </w:r>
      <w:r w:rsidR="002C6403">
        <w:rPr>
          <w:rFonts w:ascii="Times New Roman" w:eastAsia="Times New Roman" w:hAnsi="Times New Roman" w:cs="Times New Roman"/>
          <w:noProof/>
          <w:color w:val="000000"/>
        </w:rPr>
        <w:t>1973)</w:t>
      </w:r>
      <w:r w:rsidR="002C6403">
        <w:rPr>
          <w:rFonts w:ascii="Times New Roman" w:eastAsia="Times New Roman" w:hAnsi="Times New Roman" w:cs="Times New Roman"/>
          <w:color w:val="000000"/>
        </w:rPr>
        <w:fldChar w:fldCharType="end"/>
      </w:r>
      <w:r>
        <w:rPr>
          <w:rFonts w:ascii="Times New Roman" w:eastAsia="Times New Roman" w:hAnsi="Times New Roman" w:cs="Times New Roman"/>
          <w:color w:val="000000"/>
        </w:rPr>
        <w:t xml:space="preserve"> refit by</w:t>
      </w:r>
      <w:r w:rsidR="002C6403">
        <w:rPr>
          <w:rFonts w:ascii="Times New Roman" w:eastAsia="Times New Roman" w:hAnsi="Times New Roman" w:cs="Times New Roman"/>
          <w:color w:val="000000"/>
        </w:rPr>
        <w:t xml:space="preserve"> </w:t>
      </w:r>
      <w:r w:rsidR="002C6403">
        <w:rPr>
          <w:rFonts w:ascii="Times New Roman" w:eastAsia="Times New Roman" w:hAnsi="Times New Roman" w:cs="Times New Roman"/>
          <w:color w:val="000000"/>
        </w:rPr>
        <w:fldChar w:fldCharType="begin"/>
      </w:r>
      <w:r w:rsidR="006D521F">
        <w:rPr>
          <w:rFonts w:ascii="Times New Roman" w:eastAsia="Times New Roman" w:hAnsi="Times New Roman" w:cs="Times New Roman"/>
          <w:color w:val="000000"/>
        </w:rPr>
        <w:instrText xml:space="preserve"> ADDIN ZOTERO_ITEM CSL_CITATION {"citationID":"GIXHdyTT","properties":{"formattedCitation":"(Dickson and Millero 1987)","plainCitation":"(Dickson and Millero 1987)","dontUpdate":true,"noteIndex":0},"citationItems":[{"id":102,"uris":["http://zotero.org/users/6612280/items/UA42NT4D"],"uri":["http://zotero.org/users/6612280/items/UA42NT4D"],"itemData":{"id":102,"type":"article-journal","abstract":"The published experimental data of Hansson and of Mehrbach et al. have been critically compared after adjustment to a common pH scale based upon total hydrogen ion concentration. No significant systematic differences are found within the overall experimental error of the data. The results have been pooled to yield reliable equations that can be used to estimate pK~'and pK2*for seawater media at salinities from 0 to 40 and at temperatures from 2 to 35°C.","container-title":"Deep-Sea Research Part I: Oceanographic Research Papers","DOI":"10.1016/0198-0149(87)90021-5","journalAbbreviation":"Deep Sea Res. I: Oceanogr. Res. Pap.","language":"en","page":"1733-1743","source":"Zotero","title":"A comparison of the equilibrium constants for the dissociation of carbonic acid in seawater media","volume":"34","author":[{"family":"Dickson","given":"A.G."},{"family":"Millero","given":"F.J."}],"issued":{"date-parts":[["1987"]]}}}],"schema":"https://github.com/citation-style-language/schema/raw/master/csl-citation.json"} </w:instrText>
      </w:r>
      <w:r w:rsidR="002C6403">
        <w:rPr>
          <w:rFonts w:ascii="Times New Roman" w:eastAsia="Times New Roman" w:hAnsi="Times New Roman" w:cs="Times New Roman"/>
          <w:color w:val="000000"/>
        </w:rPr>
        <w:fldChar w:fldCharType="separate"/>
      </w:r>
      <w:r w:rsidR="002C6403">
        <w:rPr>
          <w:rFonts w:ascii="Times New Roman" w:eastAsia="Times New Roman" w:hAnsi="Times New Roman" w:cs="Times New Roman"/>
          <w:noProof/>
          <w:color w:val="000000"/>
        </w:rPr>
        <w:t xml:space="preserve">Dickson and Millero </w:t>
      </w:r>
      <w:r w:rsidR="002E6BF4">
        <w:rPr>
          <w:rFonts w:ascii="Times New Roman" w:eastAsia="Times New Roman" w:hAnsi="Times New Roman" w:cs="Times New Roman"/>
          <w:noProof/>
          <w:color w:val="000000"/>
        </w:rPr>
        <w:t>(</w:t>
      </w:r>
      <w:r w:rsidR="002C6403">
        <w:rPr>
          <w:rFonts w:ascii="Times New Roman" w:eastAsia="Times New Roman" w:hAnsi="Times New Roman" w:cs="Times New Roman"/>
          <w:noProof/>
          <w:color w:val="000000"/>
        </w:rPr>
        <w:t>1987)</w:t>
      </w:r>
      <w:r w:rsidR="002C6403">
        <w:rPr>
          <w:rFonts w:ascii="Times New Roman" w:eastAsia="Times New Roman" w:hAnsi="Times New Roman" w:cs="Times New Roman"/>
          <w:color w:val="000000"/>
        </w:rPr>
        <w:fldChar w:fldCharType="end"/>
      </w:r>
      <w:r w:rsidR="002C6403">
        <w:rPr>
          <w:rFonts w:ascii="Times New Roman" w:eastAsia="Times New Roman" w:hAnsi="Times New Roman" w:cs="Times New Roman"/>
          <w:color w:val="000000"/>
        </w:rPr>
        <w:t>.</w:t>
      </w:r>
      <w:r>
        <w:rPr>
          <w:rFonts w:ascii="Times New Roman" w:eastAsia="Times New Roman" w:hAnsi="Times New Roman" w:cs="Times New Roman"/>
          <w:color w:val="000000"/>
        </w:rPr>
        <w:t xml:space="preserve"> The methods </w:t>
      </w:r>
      <w:r>
        <w:rPr>
          <w:rFonts w:ascii="Times New Roman" w:eastAsia="Times New Roman" w:hAnsi="Times New Roman" w:cs="Times New Roman"/>
          <w:color w:val="000000"/>
        </w:rPr>
        <w:lastRenderedPageBreak/>
        <w:t>above provided highly consistent temperature and carbonate system offset conditions (Figure S2); mean values are provided in Table 1.</w:t>
      </w:r>
    </w:p>
    <w:p w14:paraId="27EE7A2D" w14:textId="5D1084AC" w:rsidR="00BD5020" w:rsidRDefault="00247EF3" w:rsidP="006A2314">
      <w:pPr>
        <w:suppressLineNumbers/>
        <w:ind w:left="-1134" w:right="-1130"/>
        <w:jc w:val="center"/>
        <w:rPr>
          <w:rFonts w:ascii="Times New Roman" w:hAnsi="Times New Roman" w:cs="Times New Roman"/>
          <w:sz w:val="20"/>
          <w:szCs w:val="20"/>
        </w:rPr>
      </w:pPr>
      <w:r w:rsidRPr="003D010C">
        <w:rPr>
          <w:rFonts w:ascii="Times New Roman" w:hAnsi="Times New Roman" w:cs="Times New Roman"/>
          <w:b/>
          <w:bCs/>
          <w:sz w:val="20"/>
          <w:szCs w:val="20"/>
        </w:rPr>
        <w:t xml:space="preserve">Table 1. </w:t>
      </w:r>
      <w:r>
        <w:rPr>
          <w:rFonts w:ascii="Times New Roman" w:hAnsi="Times New Roman" w:cs="Times New Roman"/>
          <w:sz w:val="20"/>
          <w:szCs w:val="20"/>
        </w:rPr>
        <w:t>Abiotic</w:t>
      </w:r>
      <w:r w:rsidRPr="003D010C">
        <w:rPr>
          <w:rFonts w:ascii="Times New Roman" w:hAnsi="Times New Roman" w:cs="Times New Roman"/>
          <w:sz w:val="20"/>
          <w:szCs w:val="20"/>
        </w:rPr>
        <w:t xml:space="preserve"> parameters of the experimental treatments. Data are means ± standard deviation. Raw data can be found in in Supplementary file 3 (‘Carbonate chemistry’ sheet) and full CO2SYS results are in Supplementary file 4; temporal trends are presented in Figure S2.</w:t>
      </w:r>
    </w:p>
    <w:p w14:paraId="5DBE97EB" w14:textId="77777777" w:rsidR="006A2314" w:rsidRDefault="006A2314" w:rsidP="006A2314">
      <w:pPr>
        <w:suppressLineNumbers/>
        <w:ind w:left="-1134" w:right="-1130"/>
        <w:jc w:val="center"/>
        <w:rPr>
          <w:rFonts w:ascii="Times New Roman" w:hAnsi="Times New Roman" w:cs="Times New Roman"/>
          <w:sz w:val="20"/>
          <w:szCs w:val="20"/>
        </w:rPr>
      </w:pPr>
    </w:p>
    <w:tbl>
      <w:tblPr>
        <w:tblW w:w="11908" w:type="dxa"/>
        <w:tblInd w:w="-1276" w:type="dxa"/>
        <w:tblLook w:val="04A0" w:firstRow="1" w:lastRow="0" w:firstColumn="1" w:lastColumn="0" w:noHBand="0" w:noVBand="1"/>
      </w:tblPr>
      <w:tblGrid>
        <w:gridCol w:w="1985"/>
        <w:gridCol w:w="992"/>
        <w:gridCol w:w="1134"/>
        <w:gridCol w:w="1134"/>
        <w:gridCol w:w="1418"/>
        <w:gridCol w:w="283"/>
        <w:gridCol w:w="1560"/>
        <w:gridCol w:w="1417"/>
        <w:gridCol w:w="992"/>
        <w:gridCol w:w="993"/>
      </w:tblGrid>
      <w:tr w:rsidR="00BD5020" w:rsidRPr="00BD5020" w14:paraId="29D5CAC7" w14:textId="77777777" w:rsidTr="00BD5020">
        <w:trPr>
          <w:trHeight w:val="320"/>
        </w:trPr>
        <w:tc>
          <w:tcPr>
            <w:tcW w:w="1985" w:type="dxa"/>
            <w:tcBorders>
              <w:top w:val="single" w:sz="4" w:space="0" w:color="auto"/>
              <w:left w:val="nil"/>
              <w:bottom w:val="nil"/>
              <w:right w:val="nil"/>
            </w:tcBorders>
            <w:shd w:val="clear" w:color="auto" w:fill="auto"/>
            <w:noWrap/>
            <w:vAlign w:val="center"/>
            <w:hideMark/>
          </w:tcPr>
          <w:p w14:paraId="696960FD"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 </w:t>
            </w:r>
          </w:p>
        </w:tc>
        <w:tc>
          <w:tcPr>
            <w:tcW w:w="4678" w:type="dxa"/>
            <w:gridSpan w:val="4"/>
            <w:tcBorders>
              <w:top w:val="single" w:sz="4" w:space="0" w:color="auto"/>
              <w:left w:val="nil"/>
              <w:bottom w:val="single" w:sz="4" w:space="0" w:color="auto"/>
              <w:right w:val="nil"/>
            </w:tcBorders>
            <w:shd w:val="clear" w:color="auto" w:fill="auto"/>
            <w:noWrap/>
            <w:vAlign w:val="center"/>
            <w:hideMark/>
          </w:tcPr>
          <w:p w14:paraId="0ABABA15" w14:textId="77777777" w:rsidR="00BD5020" w:rsidRPr="00BD5020" w:rsidRDefault="00BD5020" w:rsidP="006A2314">
            <w:pPr>
              <w:jc w:val="cente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Measured</w:t>
            </w:r>
          </w:p>
        </w:tc>
        <w:tc>
          <w:tcPr>
            <w:tcW w:w="283" w:type="dxa"/>
            <w:tcBorders>
              <w:top w:val="single" w:sz="4" w:space="0" w:color="auto"/>
              <w:left w:val="nil"/>
              <w:bottom w:val="nil"/>
              <w:right w:val="nil"/>
            </w:tcBorders>
            <w:shd w:val="clear" w:color="auto" w:fill="auto"/>
            <w:noWrap/>
            <w:vAlign w:val="center"/>
            <w:hideMark/>
          </w:tcPr>
          <w:p w14:paraId="388167E2"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 </w:t>
            </w:r>
          </w:p>
        </w:tc>
        <w:tc>
          <w:tcPr>
            <w:tcW w:w="4962" w:type="dxa"/>
            <w:gridSpan w:val="4"/>
            <w:tcBorders>
              <w:top w:val="single" w:sz="4" w:space="0" w:color="auto"/>
              <w:left w:val="nil"/>
              <w:bottom w:val="single" w:sz="4" w:space="0" w:color="auto"/>
              <w:right w:val="nil"/>
            </w:tcBorders>
            <w:shd w:val="clear" w:color="auto" w:fill="auto"/>
            <w:noWrap/>
            <w:vAlign w:val="center"/>
            <w:hideMark/>
          </w:tcPr>
          <w:p w14:paraId="577B220A" w14:textId="77777777" w:rsidR="00BD5020" w:rsidRPr="00BD5020" w:rsidRDefault="00BD5020" w:rsidP="006A2314">
            <w:pPr>
              <w:jc w:val="cente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Estimated</w:t>
            </w:r>
          </w:p>
        </w:tc>
      </w:tr>
      <w:tr w:rsidR="00BD5020" w:rsidRPr="00BD5020" w14:paraId="5DC5B882" w14:textId="77777777" w:rsidTr="00BD5020">
        <w:trPr>
          <w:trHeight w:val="340"/>
        </w:trPr>
        <w:tc>
          <w:tcPr>
            <w:tcW w:w="1985" w:type="dxa"/>
            <w:tcBorders>
              <w:top w:val="nil"/>
              <w:left w:val="nil"/>
              <w:bottom w:val="single" w:sz="4" w:space="0" w:color="auto"/>
              <w:right w:val="nil"/>
            </w:tcBorders>
            <w:shd w:val="clear" w:color="auto" w:fill="auto"/>
            <w:noWrap/>
            <w:vAlign w:val="center"/>
            <w:hideMark/>
          </w:tcPr>
          <w:p w14:paraId="09D0F26A"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Treatment</w:t>
            </w:r>
          </w:p>
        </w:tc>
        <w:tc>
          <w:tcPr>
            <w:tcW w:w="992" w:type="dxa"/>
            <w:tcBorders>
              <w:top w:val="nil"/>
              <w:left w:val="nil"/>
              <w:bottom w:val="single" w:sz="4" w:space="0" w:color="auto"/>
              <w:right w:val="nil"/>
            </w:tcBorders>
            <w:shd w:val="clear" w:color="auto" w:fill="auto"/>
            <w:noWrap/>
            <w:vAlign w:val="center"/>
            <w:hideMark/>
          </w:tcPr>
          <w:p w14:paraId="2FF06FE0"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Salinity</w:t>
            </w:r>
          </w:p>
        </w:tc>
        <w:tc>
          <w:tcPr>
            <w:tcW w:w="1134" w:type="dxa"/>
            <w:tcBorders>
              <w:top w:val="nil"/>
              <w:left w:val="nil"/>
              <w:bottom w:val="single" w:sz="4" w:space="0" w:color="auto"/>
              <w:right w:val="nil"/>
            </w:tcBorders>
            <w:shd w:val="clear" w:color="auto" w:fill="auto"/>
            <w:noWrap/>
            <w:vAlign w:val="center"/>
            <w:hideMark/>
          </w:tcPr>
          <w:p w14:paraId="3600B406" w14:textId="0D463A71"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 xml:space="preserve">Temp </w:t>
            </w:r>
            <w:r>
              <w:rPr>
                <w:rFonts w:ascii="Times New Roman" w:eastAsia="Times New Roman" w:hAnsi="Times New Roman" w:cs="Times New Roman"/>
                <w:color w:val="000000"/>
                <w:sz w:val="19"/>
                <w:szCs w:val="19"/>
              </w:rPr>
              <w:t>(</w:t>
            </w:r>
            <w:r w:rsidRPr="00BD5020">
              <w:rPr>
                <w:rFonts w:ascii="Times New Roman" w:eastAsia="Times New Roman" w:hAnsi="Times New Roman" w:cs="Times New Roman"/>
                <w:color w:val="000000"/>
                <w:sz w:val="19"/>
                <w:szCs w:val="19"/>
              </w:rPr>
              <w:t>ºC</w:t>
            </w:r>
            <w:r>
              <w:rPr>
                <w:rFonts w:ascii="Times New Roman" w:eastAsia="Times New Roman" w:hAnsi="Times New Roman" w:cs="Times New Roman"/>
                <w:color w:val="000000"/>
                <w:sz w:val="19"/>
                <w:szCs w:val="19"/>
              </w:rPr>
              <w:t>)</w:t>
            </w:r>
          </w:p>
        </w:tc>
        <w:tc>
          <w:tcPr>
            <w:tcW w:w="1134" w:type="dxa"/>
            <w:tcBorders>
              <w:top w:val="nil"/>
              <w:left w:val="nil"/>
              <w:bottom w:val="single" w:sz="4" w:space="0" w:color="auto"/>
              <w:right w:val="nil"/>
            </w:tcBorders>
            <w:shd w:val="clear" w:color="auto" w:fill="auto"/>
            <w:noWrap/>
            <w:vAlign w:val="center"/>
            <w:hideMark/>
          </w:tcPr>
          <w:p w14:paraId="5407273D" w14:textId="77777777" w:rsidR="00BD5020" w:rsidRPr="00BD5020" w:rsidRDefault="00BD5020" w:rsidP="006A2314">
            <w:pPr>
              <w:rPr>
                <w:rFonts w:ascii="Times New Roman" w:eastAsia="Times New Roman" w:hAnsi="Times New Roman" w:cs="Times New Roman"/>
                <w:color w:val="000000"/>
                <w:sz w:val="19"/>
                <w:szCs w:val="19"/>
              </w:rPr>
            </w:pPr>
            <w:proofErr w:type="spellStart"/>
            <w:r w:rsidRPr="00BD5020">
              <w:rPr>
                <w:rFonts w:ascii="Times New Roman" w:eastAsia="Times New Roman" w:hAnsi="Times New Roman" w:cs="Times New Roman"/>
                <w:color w:val="000000"/>
                <w:sz w:val="19"/>
                <w:szCs w:val="19"/>
              </w:rPr>
              <w:t>pH</w:t>
            </w:r>
            <w:r w:rsidRPr="00BD5020">
              <w:rPr>
                <w:rFonts w:ascii="Times New Roman" w:eastAsia="Times New Roman" w:hAnsi="Times New Roman" w:cs="Times New Roman"/>
                <w:color w:val="000000"/>
                <w:sz w:val="19"/>
                <w:szCs w:val="19"/>
                <w:vertAlign w:val="subscript"/>
              </w:rPr>
              <w:t>T</w:t>
            </w:r>
            <w:proofErr w:type="spellEnd"/>
          </w:p>
        </w:tc>
        <w:tc>
          <w:tcPr>
            <w:tcW w:w="1418" w:type="dxa"/>
            <w:tcBorders>
              <w:top w:val="nil"/>
              <w:left w:val="nil"/>
              <w:bottom w:val="single" w:sz="4" w:space="0" w:color="auto"/>
              <w:right w:val="nil"/>
            </w:tcBorders>
            <w:shd w:val="clear" w:color="auto" w:fill="auto"/>
            <w:noWrap/>
            <w:vAlign w:val="center"/>
            <w:hideMark/>
          </w:tcPr>
          <w:p w14:paraId="31793FEE" w14:textId="77777777" w:rsidR="00BD5020" w:rsidRPr="00BD5020" w:rsidRDefault="00BD5020" w:rsidP="006A2314">
            <w:pPr>
              <w:rPr>
                <w:rFonts w:ascii="Times New Roman" w:eastAsia="Times New Roman" w:hAnsi="Times New Roman" w:cs="Times New Roman"/>
                <w:i/>
                <w:iCs/>
                <w:color w:val="000000"/>
                <w:sz w:val="19"/>
                <w:szCs w:val="19"/>
              </w:rPr>
            </w:pPr>
            <w:r w:rsidRPr="00BD5020">
              <w:rPr>
                <w:rFonts w:ascii="Times New Roman" w:eastAsia="Times New Roman" w:hAnsi="Times New Roman" w:cs="Times New Roman"/>
                <w:i/>
                <w:iCs/>
                <w:color w:val="000000"/>
                <w:sz w:val="19"/>
                <w:szCs w:val="19"/>
              </w:rPr>
              <w:t>A</w:t>
            </w:r>
            <w:r w:rsidRPr="00BD5020">
              <w:rPr>
                <w:rFonts w:ascii="Times New Roman" w:eastAsia="Times New Roman" w:hAnsi="Times New Roman" w:cs="Times New Roman"/>
                <w:color w:val="000000"/>
                <w:sz w:val="19"/>
                <w:szCs w:val="19"/>
                <w:vertAlign w:val="subscript"/>
              </w:rPr>
              <w:t xml:space="preserve">T </w:t>
            </w:r>
            <w:r w:rsidRPr="00BD5020">
              <w:rPr>
                <w:rFonts w:ascii="Times New Roman" w:eastAsia="Times New Roman" w:hAnsi="Times New Roman" w:cs="Times New Roman"/>
                <w:color w:val="000000"/>
                <w:sz w:val="19"/>
                <w:szCs w:val="19"/>
              </w:rPr>
              <w:t xml:space="preserve">(µmol </w:t>
            </w:r>
            <w:proofErr w:type="gramStart"/>
            <w:r w:rsidRPr="00BD5020">
              <w:rPr>
                <w:rFonts w:ascii="Times New Roman" w:eastAsia="Times New Roman" w:hAnsi="Times New Roman" w:cs="Times New Roman"/>
                <w:color w:val="000000"/>
                <w:sz w:val="19"/>
                <w:szCs w:val="19"/>
              </w:rPr>
              <w:t>kg</w:t>
            </w:r>
            <w:r w:rsidRPr="00BD5020">
              <w:rPr>
                <w:rFonts w:ascii="Times New Roman" w:eastAsia="Times New Roman" w:hAnsi="Times New Roman" w:cs="Times New Roman"/>
                <w:color w:val="000000"/>
                <w:sz w:val="19"/>
                <w:szCs w:val="19"/>
                <w:vertAlign w:val="superscript"/>
              </w:rPr>
              <w:t>-1</w:t>
            </w:r>
            <w:proofErr w:type="gramEnd"/>
            <w:r w:rsidRPr="00BD5020">
              <w:rPr>
                <w:rFonts w:ascii="Times New Roman" w:eastAsia="Times New Roman" w:hAnsi="Times New Roman" w:cs="Times New Roman"/>
                <w:color w:val="000000"/>
                <w:sz w:val="19"/>
                <w:szCs w:val="19"/>
              </w:rPr>
              <w:t>)</w:t>
            </w:r>
          </w:p>
        </w:tc>
        <w:tc>
          <w:tcPr>
            <w:tcW w:w="283" w:type="dxa"/>
            <w:tcBorders>
              <w:top w:val="nil"/>
              <w:left w:val="nil"/>
              <w:bottom w:val="single" w:sz="4" w:space="0" w:color="auto"/>
              <w:right w:val="nil"/>
            </w:tcBorders>
            <w:shd w:val="clear" w:color="auto" w:fill="auto"/>
            <w:noWrap/>
            <w:vAlign w:val="center"/>
            <w:hideMark/>
          </w:tcPr>
          <w:p w14:paraId="13964F1A"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 </w:t>
            </w:r>
          </w:p>
        </w:tc>
        <w:tc>
          <w:tcPr>
            <w:tcW w:w="1560" w:type="dxa"/>
            <w:tcBorders>
              <w:top w:val="nil"/>
              <w:left w:val="nil"/>
              <w:bottom w:val="single" w:sz="4" w:space="0" w:color="auto"/>
              <w:right w:val="nil"/>
            </w:tcBorders>
            <w:shd w:val="clear" w:color="auto" w:fill="auto"/>
            <w:noWrap/>
            <w:vAlign w:val="center"/>
            <w:hideMark/>
          </w:tcPr>
          <w:p w14:paraId="0865506C"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TCO</w:t>
            </w:r>
            <w:r w:rsidRPr="00BD5020">
              <w:rPr>
                <w:rFonts w:ascii="Times New Roman" w:eastAsia="Times New Roman" w:hAnsi="Times New Roman" w:cs="Times New Roman"/>
                <w:color w:val="000000"/>
                <w:sz w:val="19"/>
                <w:szCs w:val="19"/>
                <w:vertAlign w:val="subscript"/>
              </w:rPr>
              <w:t xml:space="preserve">2 </w:t>
            </w:r>
            <w:r w:rsidRPr="00BD5020">
              <w:rPr>
                <w:rFonts w:ascii="Times New Roman" w:eastAsia="Times New Roman" w:hAnsi="Times New Roman" w:cs="Times New Roman"/>
                <w:color w:val="000000"/>
                <w:sz w:val="19"/>
                <w:szCs w:val="19"/>
              </w:rPr>
              <w:t xml:space="preserve">(µmol </w:t>
            </w:r>
            <w:proofErr w:type="gramStart"/>
            <w:r w:rsidRPr="00BD5020">
              <w:rPr>
                <w:rFonts w:ascii="Times New Roman" w:eastAsia="Times New Roman" w:hAnsi="Times New Roman" w:cs="Times New Roman"/>
                <w:color w:val="000000"/>
                <w:sz w:val="19"/>
                <w:szCs w:val="19"/>
              </w:rPr>
              <w:t>kg</w:t>
            </w:r>
            <w:r w:rsidRPr="00BD5020">
              <w:rPr>
                <w:rFonts w:ascii="Times New Roman" w:eastAsia="Times New Roman" w:hAnsi="Times New Roman" w:cs="Times New Roman"/>
                <w:color w:val="000000"/>
                <w:sz w:val="19"/>
                <w:szCs w:val="19"/>
                <w:vertAlign w:val="superscript"/>
              </w:rPr>
              <w:t>-1</w:t>
            </w:r>
            <w:proofErr w:type="gramEnd"/>
            <w:r w:rsidRPr="00BD5020">
              <w:rPr>
                <w:rFonts w:ascii="Times New Roman" w:eastAsia="Times New Roman" w:hAnsi="Times New Roman" w:cs="Times New Roman"/>
                <w:color w:val="000000"/>
                <w:sz w:val="19"/>
                <w:szCs w:val="19"/>
              </w:rPr>
              <w:t>)</w:t>
            </w:r>
          </w:p>
        </w:tc>
        <w:tc>
          <w:tcPr>
            <w:tcW w:w="1417" w:type="dxa"/>
            <w:tcBorders>
              <w:top w:val="nil"/>
              <w:left w:val="nil"/>
              <w:bottom w:val="single" w:sz="4" w:space="0" w:color="auto"/>
              <w:right w:val="nil"/>
            </w:tcBorders>
            <w:shd w:val="clear" w:color="auto" w:fill="auto"/>
            <w:noWrap/>
            <w:vAlign w:val="center"/>
            <w:hideMark/>
          </w:tcPr>
          <w:p w14:paraId="31CAE6A6" w14:textId="77777777" w:rsidR="00BD5020" w:rsidRPr="00BD5020" w:rsidRDefault="00BD5020" w:rsidP="006A2314">
            <w:pPr>
              <w:rPr>
                <w:rFonts w:ascii="Times New Roman" w:eastAsia="Times New Roman" w:hAnsi="Times New Roman" w:cs="Times New Roman"/>
                <w:i/>
                <w:iCs/>
                <w:color w:val="000000"/>
                <w:sz w:val="19"/>
                <w:szCs w:val="19"/>
              </w:rPr>
            </w:pPr>
            <w:r w:rsidRPr="00BD5020">
              <w:rPr>
                <w:rFonts w:ascii="Times New Roman" w:eastAsia="Times New Roman" w:hAnsi="Times New Roman" w:cs="Times New Roman"/>
                <w:i/>
                <w:iCs/>
                <w:color w:val="000000"/>
                <w:sz w:val="19"/>
                <w:szCs w:val="19"/>
              </w:rPr>
              <w:t>p</w:t>
            </w:r>
            <w:r w:rsidRPr="00BD5020">
              <w:rPr>
                <w:rFonts w:ascii="Times New Roman" w:eastAsia="Times New Roman" w:hAnsi="Times New Roman" w:cs="Times New Roman"/>
                <w:color w:val="000000"/>
                <w:sz w:val="19"/>
                <w:szCs w:val="19"/>
              </w:rPr>
              <w:t>CO</w:t>
            </w:r>
            <w:r w:rsidRPr="00BD5020">
              <w:rPr>
                <w:rFonts w:ascii="Times New Roman" w:eastAsia="Times New Roman" w:hAnsi="Times New Roman" w:cs="Times New Roman"/>
                <w:color w:val="000000"/>
                <w:sz w:val="19"/>
                <w:szCs w:val="19"/>
                <w:vertAlign w:val="subscript"/>
              </w:rPr>
              <w:t xml:space="preserve">2 </w:t>
            </w:r>
            <w:r w:rsidRPr="00BD5020">
              <w:rPr>
                <w:rFonts w:ascii="Times New Roman" w:eastAsia="Times New Roman" w:hAnsi="Times New Roman" w:cs="Times New Roman"/>
                <w:color w:val="000000"/>
                <w:sz w:val="19"/>
                <w:szCs w:val="19"/>
              </w:rPr>
              <w:t>(µatm)</w:t>
            </w:r>
          </w:p>
        </w:tc>
        <w:tc>
          <w:tcPr>
            <w:tcW w:w="992" w:type="dxa"/>
            <w:tcBorders>
              <w:top w:val="nil"/>
              <w:left w:val="nil"/>
              <w:bottom w:val="single" w:sz="4" w:space="0" w:color="auto"/>
              <w:right w:val="nil"/>
            </w:tcBorders>
            <w:shd w:val="clear" w:color="auto" w:fill="auto"/>
            <w:noWrap/>
            <w:vAlign w:val="center"/>
            <w:hideMark/>
          </w:tcPr>
          <w:p w14:paraId="4FFF369C"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lang w:val="en-US"/>
              </w:rPr>
              <w:t>Ω</w:t>
            </w:r>
            <w:r w:rsidRPr="00BD5020">
              <w:rPr>
                <w:rFonts w:ascii="Times New Roman" w:eastAsia="Times New Roman" w:hAnsi="Times New Roman" w:cs="Times New Roman"/>
                <w:color w:val="000000"/>
                <w:sz w:val="19"/>
                <w:szCs w:val="19"/>
                <w:vertAlign w:val="subscript"/>
                <w:lang w:val="en-US"/>
              </w:rPr>
              <w:t>calcite</w:t>
            </w:r>
          </w:p>
        </w:tc>
        <w:tc>
          <w:tcPr>
            <w:tcW w:w="993" w:type="dxa"/>
            <w:tcBorders>
              <w:top w:val="nil"/>
              <w:left w:val="nil"/>
              <w:bottom w:val="single" w:sz="4" w:space="0" w:color="auto"/>
              <w:right w:val="nil"/>
            </w:tcBorders>
            <w:shd w:val="clear" w:color="auto" w:fill="auto"/>
            <w:noWrap/>
            <w:vAlign w:val="center"/>
            <w:hideMark/>
          </w:tcPr>
          <w:p w14:paraId="0CDEE361"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lang w:val="en-US"/>
              </w:rPr>
              <w:t>Ω</w:t>
            </w:r>
            <w:r w:rsidRPr="00BD5020">
              <w:rPr>
                <w:rFonts w:ascii="Times New Roman" w:eastAsia="Times New Roman" w:hAnsi="Times New Roman" w:cs="Times New Roman"/>
                <w:color w:val="000000"/>
                <w:sz w:val="19"/>
                <w:szCs w:val="19"/>
                <w:vertAlign w:val="subscript"/>
                <w:lang w:val="en-US"/>
              </w:rPr>
              <w:t>aragonite</w:t>
            </w:r>
          </w:p>
        </w:tc>
      </w:tr>
      <w:tr w:rsidR="00BD5020" w:rsidRPr="00BD5020" w14:paraId="63148FDD" w14:textId="77777777" w:rsidTr="00BD5020">
        <w:trPr>
          <w:trHeight w:val="320"/>
        </w:trPr>
        <w:tc>
          <w:tcPr>
            <w:tcW w:w="1985" w:type="dxa"/>
            <w:tcBorders>
              <w:top w:val="nil"/>
              <w:left w:val="nil"/>
              <w:bottom w:val="nil"/>
              <w:right w:val="nil"/>
            </w:tcBorders>
            <w:shd w:val="clear" w:color="auto" w:fill="auto"/>
            <w:noWrap/>
            <w:vAlign w:val="center"/>
            <w:hideMark/>
          </w:tcPr>
          <w:p w14:paraId="05443CE1" w14:textId="77777777" w:rsidR="00BD5020" w:rsidRPr="00BD5020" w:rsidRDefault="00BD5020" w:rsidP="006A2314">
            <w:pPr>
              <w:rPr>
                <w:rFonts w:ascii="Times New Roman" w:eastAsia="Times New Roman" w:hAnsi="Times New Roman" w:cs="Times New Roman"/>
                <w:color w:val="000000"/>
                <w:sz w:val="19"/>
                <w:szCs w:val="19"/>
              </w:rPr>
            </w:pPr>
            <w:proofErr w:type="spellStart"/>
            <w:r w:rsidRPr="00BD5020">
              <w:rPr>
                <w:rFonts w:ascii="Times New Roman" w:eastAsia="Times New Roman" w:hAnsi="Times New Roman" w:cs="Times New Roman"/>
                <w:color w:val="000000"/>
                <w:sz w:val="19"/>
                <w:szCs w:val="19"/>
              </w:rPr>
              <w:t>Amb</w:t>
            </w:r>
            <w:proofErr w:type="spellEnd"/>
            <w:r w:rsidRPr="00BD5020">
              <w:rPr>
                <w:rFonts w:ascii="Times New Roman" w:eastAsia="Times New Roman" w:hAnsi="Times New Roman" w:cs="Times New Roman"/>
                <w:color w:val="000000"/>
                <w:sz w:val="19"/>
                <w:szCs w:val="19"/>
              </w:rPr>
              <w:t xml:space="preserve"> pH + Low temp</w:t>
            </w:r>
          </w:p>
        </w:tc>
        <w:tc>
          <w:tcPr>
            <w:tcW w:w="992" w:type="dxa"/>
            <w:tcBorders>
              <w:top w:val="nil"/>
              <w:left w:val="nil"/>
              <w:bottom w:val="nil"/>
              <w:right w:val="nil"/>
            </w:tcBorders>
            <w:shd w:val="clear" w:color="auto" w:fill="auto"/>
            <w:noWrap/>
            <w:vAlign w:val="center"/>
            <w:hideMark/>
          </w:tcPr>
          <w:p w14:paraId="25E03B90"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24.4 ± 2.3</w:t>
            </w:r>
          </w:p>
        </w:tc>
        <w:tc>
          <w:tcPr>
            <w:tcW w:w="1134" w:type="dxa"/>
            <w:tcBorders>
              <w:top w:val="nil"/>
              <w:left w:val="nil"/>
              <w:bottom w:val="nil"/>
              <w:right w:val="nil"/>
            </w:tcBorders>
            <w:shd w:val="clear" w:color="auto" w:fill="auto"/>
            <w:noWrap/>
            <w:vAlign w:val="center"/>
            <w:hideMark/>
          </w:tcPr>
          <w:p w14:paraId="2659C327"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15.1 ± 1.3</w:t>
            </w:r>
          </w:p>
        </w:tc>
        <w:tc>
          <w:tcPr>
            <w:tcW w:w="1134" w:type="dxa"/>
            <w:tcBorders>
              <w:top w:val="nil"/>
              <w:left w:val="nil"/>
              <w:bottom w:val="nil"/>
              <w:right w:val="nil"/>
            </w:tcBorders>
            <w:shd w:val="clear" w:color="auto" w:fill="auto"/>
            <w:noWrap/>
            <w:vAlign w:val="center"/>
            <w:hideMark/>
          </w:tcPr>
          <w:p w14:paraId="5CA07FB7"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8.17 ± 0.10</w:t>
            </w:r>
          </w:p>
        </w:tc>
        <w:tc>
          <w:tcPr>
            <w:tcW w:w="1418" w:type="dxa"/>
            <w:tcBorders>
              <w:top w:val="nil"/>
              <w:left w:val="nil"/>
              <w:bottom w:val="nil"/>
              <w:right w:val="nil"/>
            </w:tcBorders>
            <w:shd w:val="clear" w:color="auto" w:fill="auto"/>
            <w:noWrap/>
            <w:vAlign w:val="center"/>
            <w:hideMark/>
          </w:tcPr>
          <w:p w14:paraId="14507370"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2101.6 ± 124.8</w:t>
            </w:r>
          </w:p>
        </w:tc>
        <w:tc>
          <w:tcPr>
            <w:tcW w:w="283" w:type="dxa"/>
            <w:tcBorders>
              <w:top w:val="nil"/>
              <w:left w:val="nil"/>
              <w:bottom w:val="nil"/>
              <w:right w:val="nil"/>
            </w:tcBorders>
            <w:shd w:val="clear" w:color="auto" w:fill="auto"/>
            <w:noWrap/>
            <w:vAlign w:val="bottom"/>
            <w:hideMark/>
          </w:tcPr>
          <w:p w14:paraId="6D694F00" w14:textId="77777777" w:rsidR="00BD5020" w:rsidRPr="00BD5020" w:rsidRDefault="00BD5020" w:rsidP="006A2314">
            <w:pPr>
              <w:rPr>
                <w:rFonts w:ascii="Times New Roman" w:eastAsia="Times New Roman" w:hAnsi="Times New Roman" w:cs="Times New Roman"/>
                <w:color w:val="000000"/>
                <w:sz w:val="19"/>
                <w:szCs w:val="19"/>
              </w:rPr>
            </w:pPr>
          </w:p>
        </w:tc>
        <w:tc>
          <w:tcPr>
            <w:tcW w:w="1560" w:type="dxa"/>
            <w:tcBorders>
              <w:top w:val="nil"/>
              <w:left w:val="nil"/>
              <w:bottom w:val="nil"/>
              <w:right w:val="nil"/>
            </w:tcBorders>
            <w:shd w:val="clear" w:color="auto" w:fill="auto"/>
            <w:noWrap/>
            <w:vAlign w:val="center"/>
            <w:hideMark/>
          </w:tcPr>
          <w:p w14:paraId="7C089F7E"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1908.8 ± 113.3</w:t>
            </w:r>
          </w:p>
        </w:tc>
        <w:tc>
          <w:tcPr>
            <w:tcW w:w="1417" w:type="dxa"/>
            <w:tcBorders>
              <w:top w:val="nil"/>
              <w:left w:val="nil"/>
              <w:bottom w:val="nil"/>
              <w:right w:val="nil"/>
            </w:tcBorders>
            <w:shd w:val="clear" w:color="auto" w:fill="auto"/>
            <w:noWrap/>
            <w:vAlign w:val="center"/>
            <w:hideMark/>
          </w:tcPr>
          <w:p w14:paraId="71DBA593"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298.8 ± 76.9</w:t>
            </w:r>
          </w:p>
        </w:tc>
        <w:tc>
          <w:tcPr>
            <w:tcW w:w="992" w:type="dxa"/>
            <w:tcBorders>
              <w:top w:val="nil"/>
              <w:left w:val="nil"/>
              <w:bottom w:val="nil"/>
              <w:right w:val="nil"/>
            </w:tcBorders>
            <w:shd w:val="clear" w:color="auto" w:fill="auto"/>
            <w:noWrap/>
            <w:vAlign w:val="center"/>
            <w:hideMark/>
          </w:tcPr>
          <w:p w14:paraId="126BDB89"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3.9 ± 1.0</w:t>
            </w:r>
          </w:p>
        </w:tc>
        <w:tc>
          <w:tcPr>
            <w:tcW w:w="993" w:type="dxa"/>
            <w:tcBorders>
              <w:top w:val="nil"/>
              <w:left w:val="nil"/>
              <w:bottom w:val="nil"/>
              <w:right w:val="nil"/>
            </w:tcBorders>
            <w:shd w:val="clear" w:color="auto" w:fill="auto"/>
            <w:noWrap/>
            <w:vAlign w:val="center"/>
            <w:hideMark/>
          </w:tcPr>
          <w:p w14:paraId="4ED1D63C"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2.4 ± 0.6</w:t>
            </w:r>
          </w:p>
        </w:tc>
      </w:tr>
      <w:tr w:rsidR="00BD5020" w:rsidRPr="00BD5020" w14:paraId="68F65467" w14:textId="77777777" w:rsidTr="00BD5020">
        <w:trPr>
          <w:trHeight w:val="320"/>
        </w:trPr>
        <w:tc>
          <w:tcPr>
            <w:tcW w:w="1985" w:type="dxa"/>
            <w:tcBorders>
              <w:top w:val="nil"/>
              <w:left w:val="nil"/>
              <w:bottom w:val="nil"/>
              <w:right w:val="nil"/>
            </w:tcBorders>
            <w:shd w:val="clear" w:color="auto" w:fill="auto"/>
            <w:noWrap/>
            <w:vAlign w:val="center"/>
            <w:hideMark/>
          </w:tcPr>
          <w:p w14:paraId="26E009D9"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Low pH + Low temp</w:t>
            </w:r>
          </w:p>
        </w:tc>
        <w:tc>
          <w:tcPr>
            <w:tcW w:w="992" w:type="dxa"/>
            <w:tcBorders>
              <w:top w:val="nil"/>
              <w:left w:val="nil"/>
              <w:bottom w:val="nil"/>
              <w:right w:val="nil"/>
            </w:tcBorders>
            <w:shd w:val="clear" w:color="auto" w:fill="auto"/>
            <w:noWrap/>
            <w:vAlign w:val="center"/>
            <w:hideMark/>
          </w:tcPr>
          <w:p w14:paraId="7BE68745"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24.4 ± 2.4</w:t>
            </w:r>
          </w:p>
        </w:tc>
        <w:tc>
          <w:tcPr>
            <w:tcW w:w="1134" w:type="dxa"/>
            <w:tcBorders>
              <w:top w:val="nil"/>
              <w:left w:val="nil"/>
              <w:bottom w:val="nil"/>
              <w:right w:val="nil"/>
            </w:tcBorders>
            <w:shd w:val="clear" w:color="auto" w:fill="auto"/>
            <w:noWrap/>
            <w:vAlign w:val="center"/>
            <w:hideMark/>
          </w:tcPr>
          <w:p w14:paraId="55E0602B"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15.0 ± 1.3</w:t>
            </w:r>
          </w:p>
        </w:tc>
        <w:tc>
          <w:tcPr>
            <w:tcW w:w="1134" w:type="dxa"/>
            <w:tcBorders>
              <w:top w:val="nil"/>
              <w:left w:val="nil"/>
              <w:bottom w:val="nil"/>
              <w:right w:val="nil"/>
            </w:tcBorders>
            <w:shd w:val="clear" w:color="auto" w:fill="auto"/>
            <w:noWrap/>
            <w:vAlign w:val="center"/>
            <w:hideMark/>
          </w:tcPr>
          <w:p w14:paraId="1BD64670"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7.49 ± 0.09</w:t>
            </w:r>
          </w:p>
        </w:tc>
        <w:tc>
          <w:tcPr>
            <w:tcW w:w="1418" w:type="dxa"/>
            <w:tcBorders>
              <w:top w:val="nil"/>
              <w:left w:val="nil"/>
              <w:bottom w:val="nil"/>
              <w:right w:val="nil"/>
            </w:tcBorders>
            <w:shd w:val="clear" w:color="auto" w:fill="auto"/>
            <w:noWrap/>
            <w:vAlign w:val="center"/>
            <w:hideMark/>
          </w:tcPr>
          <w:p w14:paraId="0658F0FC"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2139.7 ± 74.7</w:t>
            </w:r>
          </w:p>
        </w:tc>
        <w:tc>
          <w:tcPr>
            <w:tcW w:w="283" w:type="dxa"/>
            <w:tcBorders>
              <w:top w:val="nil"/>
              <w:left w:val="nil"/>
              <w:bottom w:val="nil"/>
              <w:right w:val="nil"/>
            </w:tcBorders>
            <w:shd w:val="clear" w:color="auto" w:fill="auto"/>
            <w:noWrap/>
            <w:vAlign w:val="bottom"/>
            <w:hideMark/>
          </w:tcPr>
          <w:p w14:paraId="1D21B32A" w14:textId="77777777" w:rsidR="00BD5020" w:rsidRPr="00BD5020" w:rsidRDefault="00BD5020" w:rsidP="006A2314">
            <w:pPr>
              <w:rPr>
                <w:rFonts w:ascii="Times New Roman" w:eastAsia="Times New Roman" w:hAnsi="Times New Roman" w:cs="Times New Roman"/>
                <w:color w:val="000000"/>
                <w:sz w:val="19"/>
                <w:szCs w:val="19"/>
              </w:rPr>
            </w:pPr>
          </w:p>
        </w:tc>
        <w:tc>
          <w:tcPr>
            <w:tcW w:w="1560" w:type="dxa"/>
            <w:tcBorders>
              <w:top w:val="nil"/>
              <w:left w:val="nil"/>
              <w:bottom w:val="nil"/>
              <w:right w:val="nil"/>
            </w:tcBorders>
            <w:shd w:val="clear" w:color="auto" w:fill="auto"/>
            <w:noWrap/>
            <w:vAlign w:val="center"/>
            <w:hideMark/>
          </w:tcPr>
          <w:p w14:paraId="30E30DE7"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2162.2 ± 85.1</w:t>
            </w:r>
          </w:p>
        </w:tc>
        <w:tc>
          <w:tcPr>
            <w:tcW w:w="1417" w:type="dxa"/>
            <w:tcBorders>
              <w:top w:val="nil"/>
              <w:left w:val="nil"/>
              <w:bottom w:val="nil"/>
              <w:right w:val="nil"/>
            </w:tcBorders>
            <w:shd w:val="clear" w:color="auto" w:fill="auto"/>
            <w:noWrap/>
            <w:vAlign w:val="center"/>
            <w:hideMark/>
          </w:tcPr>
          <w:p w14:paraId="119920E0"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1694.0 ± 383.1</w:t>
            </w:r>
          </w:p>
        </w:tc>
        <w:tc>
          <w:tcPr>
            <w:tcW w:w="992" w:type="dxa"/>
            <w:tcBorders>
              <w:top w:val="nil"/>
              <w:left w:val="nil"/>
              <w:bottom w:val="nil"/>
              <w:right w:val="nil"/>
            </w:tcBorders>
            <w:shd w:val="clear" w:color="auto" w:fill="auto"/>
            <w:noWrap/>
            <w:vAlign w:val="center"/>
            <w:hideMark/>
          </w:tcPr>
          <w:p w14:paraId="3A8EEF91"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0.9 ± 0.2</w:t>
            </w:r>
          </w:p>
        </w:tc>
        <w:tc>
          <w:tcPr>
            <w:tcW w:w="993" w:type="dxa"/>
            <w:tcBorders>
              <w:top w:val="nil"/>
              <w:left w:val="nil"/>
              <w:bottom w:val="nil"/>
              <w:right w:val="nil"/>
            </w:tcBorders>
            <w:shd w:val="clear" w:color="auto" w:fill="auto"/>
            <w:noWrap/>
            <w:vAlign w:val="center"/>
            <w:hideMark/>
          </w:tcPr>
          <w:p w14:paraId="18895E60"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0.6 ± 0.1</w:t>
            </w:r>
          </w:p>
        </w:tc>
      </w:tr>
      <w:tr w:rsidR="00BD5020" w:rsidRPr="00BD5020" w14:paraId="522DD15A" w14:textId="77777777" w:rsidTr="00BD5020">
        <w:trPr>
          <w:trHeight w:val="320"/>
        </w:trPr>
        <w:tc>
          <w:tcPr>
            <w:tcW w:w="1985" w:type="dxa"/>
            <w:tcBorders>
              <w:top w:val="nil"/>
              <w:left w:val="nil"/>
              <w:bottom w:val="nil"/>
              <w:right w:val="nil"/>
            </w:tcBorders>
            <w:shd w:val="clear" w:color="auto" w:fill="auto"/>
            <w:noWrap/>
            <w:vAlign w:val="center"/>
            <w:hideMark/>
          </w:tcPr>
          <w:p w14:paraId="4D10D0DA" w14:textId="77777777" w:rsidR="00BD5020" w:rsidRPr="00BD5020" w:rsidRDefault="00BD5020" w:rsidP="006A2314">
            <w:pPr>
              <w:rPr>
                <w:rFonts w:ascii="Times New Roman" w:eastAsia="Times New Roman" w:hAnsi="Times New Roman" w:cs="Times New Roman"/>
                <w:color w:val="000000"/>
                <w:sz w:val="19"/>
                <w:szCs w:val="19"/>
              </w:rPr>
            </w:pPr>
            <w:proofErr w:type="spellStart"/>
            <w:r w:rsidRPr="00BD5020">
              <w:rPr>
                <w:rFonts w:ascii="Times New Roman" w:eastAsia="Times New Roman" w:hAnsi="Times New Roman" w:cs="Times New Roman"/>
                <w:color w:val="000000"/>
                <w:sz w:val="19"/>
                <w:szCs w:val="19"/>
              </w:rPr>
              <w:t>Amb</w:t>
            </w:r>
            <w:proofErr w:type="spellEnd"/>
            <w:r w:rsidRPr="00BD5020">
              <w:rPr>
                <w:rFonts w:ascii="Times New Roman" w:eastAsia="Times New Roman" w:hAnsi="Times New Roman" w:cs="Times New Roman"/>
                <w:color w:val="000000"/>
                <w:sz w:val="19"/>
                <w:szCs w:val="19"/>
              </w:rPr>
              <w:t xml:space="preserve"> pH + High temp</w:t>
            </w:r>
          </w:p>
        </w:tc>
        <w:tc>
          <w:tcPr>
            <w:tcW w:w="992" w:type="dxa"/>
            <w:tcBorders>
              <w:top w:val="nil"/>
              <w:left w:val="nil"/>
              <w:bottom w:val="nil"/>
              <w:right w:val="nil"/>
            </w:tcBorders>
            <w:shd w:val="clear" w:color="auto" w:fill="auto"/>
            <w:noWrap/>
            <w:vAlign w:val="center"/>
            <w:hideMark/>
          </w:tcPr>
          <w:p w14:paraId="19292872"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24.4 ± 2.5</w:t>
            </w:r>
          </w:p>
        </w:tc>
        <w:tc>
          <w:tcPr>
            <w:tcW w:w="1134" w:type="dxa"/>
            <w:tcBorders>
              <w:top w:val="nil"/>
              <w:left w:val="nil"/>
              <w:bottom w:val="nil"/>
              <w:right w:val="nil"/>
            </w:tcBorders>
            <w:shd w:val="clear" w:color="auto" w:fill="auto"/>
            <w:noWrap/>
            <w:vAlign w:val="center"/>
            <w:hideMark/>
          </w:tcPr>
          <w:p w14:paraId="5B014A72"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19.3 ± 1.2</w:t>
            </w:r>
          </w:p>
        </w:tc>
        <w:tc>
          <w:tcPr>
            <w:tcW w:w="1134" w:type="dxa"/>
            <w:tcBorders>
              <w:top w:val="nil"/>
              <w:left w:val="nil"/>
              <w:bottom w:val="nil"/>
              <w:right w:val="nil"/>
            </w:tcBorders>
            <w:shd w:val="clear" w:color="auto" w:fill="auto"/>
            <w:noWrap/>
            <w:vAlign w:val="center"/>
            <w:hideMark/>
          </w:tcPr>
          <w:p w14:paraId="5B91D79F"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8.14 ± 0.10</w:t>
            </w:r>
          </w:p>
        </w:tc>
        <w:tc>
          <w:tcPr>
            <w:tcW w:w="1418" w:type="dxa"/>
            <w:tcBorders>
              <w:top w:val="nil"/>
              <w:left w:val="nil"/>
              <w:bottom w:val="nil"/>
              <w:right w:val="nil"/>
            </w:tcBorders>
            <w:shd w:val="clear" w:color="auto" w:fill="auto"/>
            <w:noWrap/>
            <w:vAlign w:val="center"/>
            <w:hideMark/>
          </w:tcPr>
          <w:p w14:paraId="0509D14C"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2110.6 ± 82.1</w:t>
            </w:r>
          </w:p>
        </w:tc>
        <w:tc>
          <w:tcPr>
            <w:tcW w:w="283" w:type="dxa"/>
            <w:tcBorders>
              <w:top w:val="nil"/>
              <w:left w:val="nil"/>
              <w:bottom w:val="nil"/>
              <w:right w:val="nil"/>
            </w:tcBorders>
            <w:shd w:val="clear" w:color="auto" w:fill="auto"/>
            <w:noWrap/>
            <w:vAlign w:val="bottom"/>
            <w:hideMark/>
          </w:tcPr>
          <w:p w14:paraId="64AEFE9D" w14:textId="77777777" w:rsidR="00BD5020" w:rsidRPr="00BD5020" w:rsidRDefault="00BD5020" w:rsidP="006A2314">
            <w:pPr>
              <w:rPr>
                <w:rFonts w:ascii="Times New Roman" w:eastAsia="Times New Roman" w:hAnsi="Times New Roman" w:cs="Times New Roman"/>
                <w:color w:val="000000"/>
                <w:sz w:val="19"/>
                <w:szCs w:val="19"/>
              </w:rPr>
            </w:pPr>
          </w:p>
        </w:tc>
        <w:tc>
          <w:tcPr>
            <w:tcW w:w="1560" w:type="dxa"/>
            <w:tcBorders>
              <w:top w:val="nil"/>
              <w:left w:val="nil"/>
              <w:bottom w:val="nil"/>
              <w:right w:val="nil"/>
            </w:tcBorders>
            <w:shd w:val="clear" w:color="auto" w:fill="auto"/>
            <w:noWrap/>
            <w:vAlign w:val="center"/>
            <w:hideMark/>
          </w:tcPr>
          <w:p w14:paraId="286ABB1B"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1900.4 ± 83.9</w:t>
            </w:r>
          </w:p>
        </w:tc>
        <w:tc>
          <w:tcPr>
            <w:tcW w:w="1417" w:type="dxa"/>
            <w:tcBorders>
              <w:top w:val="nil"/>
              <w:left w:val="nil"/>
              <w:bottom w:val="nil"/>
              <w:right w:val="nil"/>
            </w:tcBorders>
            <w:shd w:val="clear" w:color="auto" w:fill="auto"/>
            <w:noWrap/>
            <w:vAlign w:val="center"/>
            <w:hideMark/>
          </w:tcPr>
          <w:p w14:paraId="2198CE22"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332.1 ± 85.2</w:t>
            </w:r>
          </w:p>
        </w:tc>
        <w:tc>
          <w:tcPr>
            <w:tcW w:w="992" w:type="dxa"/>
            <w:tcBorders>
              <w:top w:val="nil"/>
              <w:left w:val="nil"/>
              <w:bottom w:val="nil"/>
              <w:right w:val="nil"/>
            </w:tcBorders>
            <w:shd w:val="clear" w:color="auto" w:fill="auto"/>
            <w:noWrap/>
            <w:vAlign w:val="center"/>
            <w:hideMark/>
          </w:tcPr>
          <w:p w14:paraId="7E28A139"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4.1 ± 0.9</w:t>
            </w:r>
          </w:p>
        </w:tc>
        <w:tc>
          <w:tcPr>
            <w:tcW w:w="993" w:type="dxa"/>
            <w:tcBorders>
              <w:top w:val="nil"/>
              <w:left w:val="nil"/>
              <w:bottom w:val="nil"/>
              <w:right w:val="nil"/>
            </w:tcBorders>
            <w:shd w:val="clear" w:color="auto" w:fill="auto"/>
            <w:noWrap/>
            <w:vAlign w:val="center"/>
            <w:hideMark/>
          </w:tcPr>
          <w:p w14:paraId="77BE14B8"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2.6 ± 0.6</w:t>
            </w:r>
          </w:p>
        </w:tc>
      </w:tr>
      <w:tr w:rsidR="00BD5020" w:rsidRPr="00BD5020" w14:paraId="50B0912E" w14:textId="77777777" w:rsidTr="00BD5020">
        <w:trPr>
          <w:trHeight w:val="320"/>
        </w:trPr>
        <w:tc>
          <w:tcPr>
            <w:tcW w:w="1985" w:type="dxa"/>
            <w:tcBorders>
              <w:top w:val="nil"/>
              <w:left w:val="nil"/>
              <w:bottom w:val="single" w:sz="4" w:space="0" w:color="auto"/>
              <w:right w:val="nil"/>
            </w:tcBorders>
            <w:shd w:val="clear" w:color="auto" w:fill="auto"/>
            <w:noWrap/>
            <w:vAlign w:val="center"/>
            <w:hideMark/>
          </w:tcPr>
          <w:p w14:paraId="42C542EF"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Low pH + High temp</w:t>
            </w:r>
          </w:p>
        </w:tc>
        <w:tc>
          <w:tcPr>
            <w:tcW w:w="992" w:type="dxa"/>
            <w:tcBorders>
              <w:top w:val="nil"/>
              <w:left w:val="nil"/>
              <w:bottom w:val="single" w:sz="4" w:space="0" w:color="auto"/>
              <w:right w:val="nil"/>
            </w:tcBorders>
            <w:shd w:val="clear" w:color="auto" w:fill="auto"/>
            <w:noWrap/>
            <w:vAlign w:val="center"/>
            <w:hideMark/>
          </w:tcPr>
          <w:p w14:paraId="24A5B17A"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24.4 ± 2.6</w:t>
            </w:r>
          </w:p>
        </w:tc>
        <w:tc>
          <w:tcPr>
            <w:tcW w:w="1134" w:type="dxa"/>
            <w:tcBorders>
              <w:top w:val="nil"/>
              <w:left w:val="nil"/>
              <w:bottom w:val="single" w:sz="4" w:space="0" w:color="auto"/>
              <w:right w:val="nil"/>
            </w:tcBorders>
            <w:shd w:val="clear" w:color="auto" w:fill="auto"/>
            <w:noWrap/>
            <w:vAlign w:val="center"/>
            <w:hideMark/>
          </w:tcPr>
          <w:p w14:paraId="03966952"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19.3 ± 1.2</w:t>
            </w:r>
          </w:p>
        </w:tc>
        <w:tc>
          <w:tcPr>
            <w:tcW w:w="1134" w:type="dxa"/>
            <w:tcBorders>
              <w:top w:val="nil"/>
              <w:left w:val="nil"/>
              <w:bottom w:val="single" w:sz="4" w:space="0" w:color="auto"/>
              <w:right w:val="nil"/>
            </w:tcBorders>
            <w:shd w:val="clear" w:color="auto" w:fill="auto"/>
            <w:noWrap/>
            <w:vAlign w:val="center"/>
            <w:hideMark/>
          </w:tcPr>
          <w:p w14:paraId="3C5313A8"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7.47 ± 0.10</w:t>
            </w:r>
          </w:p>
        </w:tc>
        <w:tc>
          <w:tcPr>
            <w:tcW w:w="1418" w:type="dxa"/>
            <w:tcBorders>
              <w:top w:val="nil"/>
              <w:left w:val="nil"/>
              <w:bottom w:val="single" w:sz="4" w:space="0" w:color="auto"/>
              <w:right w:val="nil"/>
            </w:tcBorders>
            <w:shd w:val="clear" w:color="auto" w:fill="auto"/>
            <w:noWrap/>
            <w:vAlign w:val="center"/>
            <w:hideMark/>
          </w:tcPr>
          <w:p w14:paraId="5A25D598"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2127.8 ± 85.0</w:t>
            </w:r>
          </w:p>
        </w:tc>
        <w:tc>
          <w:tcPr>
            <w:tcW w:w="283" w:type="dxa"/>
            <w:tcBorders>
              <w:top w:val="nil"/>
              <w:left w:val="nil"/>
              <w:bottom w:val="single" w:sz="4" w:space="0" w:color="auto"/>
              <w:right w:val="nil"/>
            </w:tcBorders>
            <w:shd w:val="clear" w:color="auto" w:fill="auto"/>
            <w:noWrap/>
            <w:vAlign w:val="center"/>
            <w:hideMark/>
          </w:tcPr>
          <w:p w14:paraId="787FFF95"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 </w:t>
            </w:r>
          </w:p>
        </w:tc>
        <w:tc>
          <w:tcPr>
            <w:tcW w:w="1560" w:type="dxa"/>
            <w:tcBorders>
              <w:top w:val="nil"/>
              <w:left w:val="nil"/>
              <w:bottom w:val="single" w:sz="4" w:space="0" w:color="auto"/>
              <w:right w:val="nil"/>
            </w:tcBorders>
            <w:shd w:val="clear" w:color="auto" w:fill="auto"/>
            <w:noWrap/>
            <w:vAlign w:val="center"/>
            <w:hideMark/>
          </w:tcPr>
          <w:p w14:paraId="617CEF63"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2138.0 ± 84.7</w:t>
            </w:r>
          </w:p>
        </w:tc>
        <w:tc>
          <w:tcPr>
            <w:tcW w:w="1417" w:type="dxa"/>
            <w:tcBorders>
              <w:top w:val="nil"/>
              <w:left w:val="nil"/>
              <w:bottom w:val="single" w:sz="4" w:space="0" w:color="auto"/>
              <w:right w:val="nil"/>
            </w:tcBorders>
            <w:shd w:val="clear" w:color="auto" w:fill="auto"/>
            <w:noWrap/>
            <w:vAlign w:val="center"/>
            <w:hideMark/>
          </w:tcPr>
          <w:p w14:paraId="10F89756"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1793.3 ± 403.6</w:t>
            </w:r>
          </w:p>
        </w:tc>
        <w:tc>
          <w:tcPr>
            <w:tcW w:w="992" w:type="dxa"/>
            <w:tcBorders>
              <w:top w:val="nil"/>
              <w:left w:val="nil"/>
              <w:bottom w:val="single" w:sz="4" w:space="0" w:color="auto"/>
              <w:right w:val="nil"/>
            </w:tcBorders>
            <w:shd w:val="clear" w:color="auto" w:fill="auto"/>
            <w:noWrap/>
            <w:vAlign w:val="center"/>
            <w:hideMark/>
          </w:tcPr>
          <w:p w14:paraId="2BD28713"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1.1 ± 0.3</w:t>
            </w:r>
          </w:p>
        </w:tc>
        <w:tc>
          <w:tcPr>
            <w:tcW w:w="993" w:type="dxa"/>
            <w:tcBorders>
              <w:top w:val="nil"/>
              <w:left w:val="nil"/>
              <w:bottom w:val="single" w:sz="4" w:space="0" w:color="auto"/>
              <w:right w:val="nil"/>
            </w:tcBorders>
            <w:shd w:val="clear" w:color="auto" w:fill="auto"/>
            <w:noWrap/>
            <w:vAlign w:val="center"/>
            <w:hideMark/>
          </w:tcPr>
          <w:p w14:paraId="4694ACA8"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0.7 ± 0.2</w:t>
            </w:r>
          </w:p>
        </w:tc>
      </w:tr>
    </w:tbl>
    <w:p w14:paraId="19AA44A8" w14:textId="77777777" w:rsidR="00EE49BF" w:rsidRDefault="00EE49BF" w:rsidP="00B251F4">
      <w:pPr>
        <w:suppressLineNumbers/>
        <w:spacing w:after="240" w:line="360" w:lineRule="auto"/>
        <w:jc w:val="both"/>
        <w:rPr>
          <w:rFonts w:ascii="Times New Roman" w:hAnsi="Times New Roman" w:cs="Times New Roman"/>
          <w:i/>
          <w:iCs/>
        </w:rPr>
      </w:pPr>
    </w:p>
    <w:p w14:paraId="2AB8D391" w14:textId="6D18C299" w:rsidR="00247EF3" w:rsidRDefault="00943795" w:rsidP="006A2314">
      <w:pPr>
        <w:spacing w:after="240" w:line="480" w:lineRule="auto"/>
        <w:jc w:val="both"/>
        <w:rPr>
          <w:rFonts w:ascii="Times New Roman" w:hAnsi="Times New Roman" w:cs="Times New Roman"/>
          <w:i/>
          <w:iCs/>
        </w:rPr>
      </w:pPr>
      <w:r>
        <w:rPr>
          <w:rFonts w:ascii="Times New Roman" w:hAnsi="Times New Roman" w:cs="Times New Roman"/>
          <w:i/>
          <w:iCs/>
        </w:rPr>
        <w:t>Behavior</w:t>
      </w:r>
      <w:r w:rsidR="00247EF3">
        <w:rPr>
          <w:rFonts w:ascii="Times New Roman" w:hAnsi="Times New Roman" w:cs="Times New Roman"/>
          <w:i/>
          <w:iCs/>
        </w:rPr>
        <w:t>al assays</w:t>
      </w:r>
    </w:p>
    <w:p w14:paraId="0F993021" w14:textId="6C54F192" w:rsidR="00247EF3" w:rsidRDefault="00943795" w:rsidP="006A2314">
      <w:pPr>
        <w:spacing w:after="240" w:line="480" w:lineRule="auto"/>
        <w:jc w:val="both"/>
        <w:rPr>
          <w:rFonts w:ascii="Times New Roman" w:hAnsi="Times New Roman" w:cs="Times New Roman"/>
        </w:rPr>
      </w:pPr>
      <w:r>
        <w:rPr>
          <w:rFonts w:ascii="Times New Roman" w:hAnsi="Times New Roman" w:cs="Times New Roman"/>
        </w:rPr>
        <w:t>Behavior</w:t>
      </w:r>
      <w:r w:rsidR="00247EF3">
        <w:rPr>
          <w:rFonts w:ascii="Times New Roman" w:hAnsi="Times New Roman" w:cs="Times New Roman"/>
        </w:rPr>
        <w:t xml:space="preserve">al assays were conducted in separate, flow-through experimental tanks (same style as the exposure tanks) under the same abiotic seawater conditions experienced in the exposure period (i.e., low temperature mussels were tested under low temperature conditions, high temperature mussels under high temperature, and so on). A total of 10 experimental tanks were used in a given assay and we were able to conduct two assays per day; all assays took place between 9:00 and 15:00 each day with treatment order randomized. Prior to each assay, mussels were removed from their exposure tank and each one placed into an individual experimental tank where they were left for one hour prior to experimentation. The mantle tissue of the mussels was then gently touched with the round end of a wooden skewer until they closed and the time to visually re-open was recorded (in seconds) with a stopwatch for each individual. This process was repeated for each individual over four consecutive trials every 30 mins from the previous re-opening, allowing us to determine the short-term repeatability in time to open and to compute individual valve closure coefficients of variation. If an animal did not open within 30 mins, the observations for that individual ceased, the individual was assigned a value of 1800 secs, and the animal was given an </w:t>
      </w:r>
      <w:r w:rsidR="00247EF3">
        <w:rPr>
          <w:rFonts w:ascii="Times New Roman" w:hAnsi="Times New Roman" w:cs="Times New Roman"/>
        </w:rPr>
        <w:lastRenderedPageBreak/>
        <w:t>additional 30 mins to re-open before starting the next trial. Data were discarded from the analysis if an animal was not open at the start of a trial, which only occurred for individuals that did not open at all in any trials (</w:t>
      </w:r>
      <w:r w:rsidR="00247EF3">
        <w:rPr>
          <w:rFonts w:ascii="Times New Roman" w:hAnsi="Times New Roman" w:cs="Times New Roman"/>
          <w:i/>
        </w:rPr>
        <w:t>n</w:t>
      </w:r>
      <w:r w:rsidR="00247EF3">
        <w:rPr>
          <w:rFonts w:ascii="Times New Roman" w:hAnsi="Times New Roman" w:cs="Times New Roman"/>
        </w:rPr>
        <w:t xml:space="preserve"> = 44 observations from 11 individuals; see Supplementary File 3). In addition, four animals died during the exposure period. Thus, the total number of individuals for </w:t>
      </w:r>
      <w:r>
        <w:rPr>
          <w:rFonts w:ascii="Times New Roman" w:hAnsi="Times New Roman" w:cs="Times New Roman"/>
        </w:rPr>
        <w:t>behavior</w:t>
      </w:r>
      <w:r w:rsidR="00247EF3">
        <w:rPr>
          <w:rFonts w:ascii="Times New Roman" w:hAnsi="Times New Roman" w:cs="Times New Roman"/>
        </w:rPr>
        <w:t>al assays was reduced by 15, from 120 to 105 (</w:t>
      </w:r>
      <w:r w:rsidR="00AA0107">
        <w:rPr>
          <w:rFonts w:ascii="Times New Roman" w:hAnsi="Times New Roman" w:cs="Times New Roman"/>
        </w:rPr>
        <w:t xml:space="preserve">leaving </w:t>
      </w:r>
      <w:r w:rsidR="00247EF3">
        <w:rPr>
          <w:rFonts w:ascii="Times New Roman" w:hAnsi="Times New Roman" w:cs="Times New Roman"/>
        </w:rPr>
        <w:t>50 small and 55 large</w:t>
      </w:r>
      <w:r w:rsidR="00AA0107">
        <w:rPr>
          <w:rFonts w:ascii="Times New Roman" w:hAnsi="Times New Roman" w:cs="Times New Roman"/>
        </w:rPr>
        <w:t xml:space="preserve"> individuals</w:t>
      </w:r>
      <w:r w:rsidR="00247EF3">
        <w:rPr>
          <w:rFonts w:ascii="Times New Roman" w:hAnsi="Times New Roman" w:cs="Times New Roman"/>
        </w:rPr>
        <w:t xml:space="preserve">). We ensured that all </w:t>
      </w:r>
      <w:r>
        <w:rPr>
          <w:rFonts w:ascii="Times New Roman" w:hAnsi="Times New Roman" w:cs="Times New Roman"/>
        </w:rPr>
        <w:t>behavior</w:t>
      </w:r>
      <w:r w:rsidR="00247EF3">
        <w:rPr>
          <w:rFonts w:ascii="Times New Roman" w:hAnsi="Times New Roman" w:cs="Times New Roman"/>
        </w:rPr>
        <w:t xml:space="preserve">al observations were fully blinded by having one person place the mussels in the experimental tanks prior to </w:t>
      </w:r>
      <w:r>
        <w:rPr>
          <w:rFonts w:ascii="Times New Roman" w:hAnsi="Times New Roman" w:cs="Times New Roman"/>
        </w:rPr>
        <w:t>behavior</w:t>
      </w:r>
      <w:r w:rsidR="00247EF3">
        <w:rPr>
          <w:rFonts w:ascii="Times New Roman" w:hAnsi="Times New Roman" w:cs="Times New Roman"/>
        </w:rPr>
        <w:t>al observations by a different person</w:t>
      </w:r>
      <w:r w:rsidR="006C088B">
        <w:rPr>
          <w:rFonts w:ascii="Times New Roman" w:hAnsi="Times New Roman" w:cs="Times New Roman"/>
        </w:rPr>
        <w:t>; the observer was also blinded to the goals and hypotheses until after the data were collected</w:t>
      </w:r>
      <w:r w:rsidR="00247EF3">
        <w:rPr>
          <w:rFonts w:ascii="Times New Roman" w:hAnsi="Times New Roman" w:cs="Times New Roman"/>
        </w:rPr>
        <w:t xml:space="preserve">. We also dichotomously scored each individual trial according to whether or not the mussel opened within 30 mins after being startled. </w:t>
      </w:r>
    </w:p>
    <w:p w14:paraId="02D81C49" w14:textId="7A310FDC" w:rsidR="00247EF3" w:rsidRPr="00334295" w:rsidRDefault="00247EF3" w:rsidP="006A2314">
      <w:pPr>
        <w:spacing w:after="240" w:line="480" w:lineRule="auto"/>
        <w:jc w:val="both"/>
        <w:rPr>
          <w:rFonts w:ascii="Times New Roman" w:hAnsi="Times New Roman" w:cs="Times New Roman"/>
        </w:rPr>
      </w:pPr>
      <w:r>
        <w:rPr>
          <w:rFonts w:ascii="Times New Roman" w:hAnsi="Times New Roman" w:cs="Times New Roman"/>
        </w:rPr>
        <w:t xml:space="preserve">Once </w:t>
      </w:r>
      <w:r w:rsidR="00943795">
        <w:rPr>
          <w:rFonts w:ascii="Times New Roman" w:hAnsi="Times New Roman" w:cs="Times New Roman"/>
        </w:rPr>
        <w:t>behavior</w:t>
      </w:r>
      <w:r>
        <w:rPr>
          <w:rFonts w:ascii="Times New Roman" w:hAnsi="Times New Roman" w:cs="Times New Roman"/>
        </w:rPr>
        <w:t xml:space="preserve">al assays were concluded, the mussels were once again weighed and measured, and individual changes in shell length and wet weight were calculated as a percentage of the starting length and weight. </w:t>
      </w:r>
    </w:p>
    <w:p w14:paraId="37C1DC22" w14:textId="77777777" w:rsidR="00247EF3" w:rsidRDefault="00247EF3" w:rsidP="006A2314">
      <w:pPr>
        <w:spacing w:after="240" w:line="480" w:lineRule="auto"/>
        <w:jc w:val="both"/>
        <w:rPr>
          <w:rFonts w:ascii="Times New Roman" w:hAnsi="Times New Roman" w:cs="Times New Roman"/>
          <w:i/>
          <w:iCs/>
        </w:rPr>
      </w:pPr>
      <w:r>
        <w:rPr>
          <w:rFonts w:ascii="Times New Roman" w:hAnsi="Times New Roman" w:cs="Times New Roman"/>
          <w:i/>
          <w:iCs/>
        </w:rPr>
        <w:t>Statistical analyses</w:t>
      </w:r>
    </w:p>
    <w:p w14:paraId="2326E65D" w14:textId="42992D36" w:rsidR="00247EF3" w:rsidRDefault="00247EF3" w:rsidP="006A2314">
      <w:pPr>
        <w:spacing w:after="240" w:line="480" w:lineRule="auto"/>
        <w:jc w:val="both"/>
        <w:rPr>
          <w:rFonts w:ascii="Times New Roman" w:hAnsi="Times New Roman" w:cs="Times New Roman"/>
        </w:rPr>
      </w:pPr>
      <w:r>
        <w:rPr>
          <w:rFonts w:ascii="Times New Roman" w:hAnsi="Times New Roman" w:cs="Times New Roman"/>
        </w:rPr>
        <w:t>All statistical analyses were conducted in R version 3.</w:t>
      </w:r>
      <w:r w:rsidR="0086779C">
        <w:rPr>
          <w:rFonts w:ascii="Times New Roman" w:hAnsi="Times New Roman" w:cs="Times New Roman"/>
        </w:rPr>
        <w:t>6</w:t>
      </w:r>
      <w:r>
        <w:rPr>
          <w:rFonts w:ascii="Times New Roman" w:hAnsi="Times New Roman" w:cs="Times New Roman"/>
        </w:rPr>
        <w:t>.3</w:t>
      </w:r>
      <w:r w:rsidR="0086779C">
        <w:rPr>
          <w:rFonts w:ascii="Times New Roman" w:hAnsi="Times New Roman" w:cs="Times New Roman"/>
        </w:rPr>
        <w:t xml:space="preserve"> </w:t>
      </w:r>
      <w:r w:rsidR="0086779C">
        <w:rPr>
          <w:rFonts w:ascii="Times New Roman" w:hAnsi="Times New Roman" w:cs="Times New Roman"/>
        </w:rPr>
        <w:fldChar w:fldCharType="begin"/>
      </w:r>
      <w:r w:rsidR="0086779C">
        <w:rPr>
          <w:rFonts w:ascii="Times New Roman" w:hAnsi="Times New Roman" w:cs="Times New Roman"/>
        </w:rPr>
        <w:instrText xml:space="preserve"> ADDIN ZOTERO_ITEM CSL_CITATION {"citationID":"whEaMrjr","properties":{"formattedCitation":"(R Core Team 2020)","plainCitation":"(R Core Team 2020)","noteIndex":0},"citationItems":[{"id":105,"uris":["http://zotero.org/users/6612280/items/KG77WBW6"],"uri":["http://zotero.org/users/6612280/items/KG77WBW6"],"itemData":{"id":105,"type":"book","event-place":"Vienna, Austria","publisher":"R Foundation for Statistical Computing","publisher-place":"Vienna, Austria","title":"R: A language and environment for statistical computing","URL":"https://www.R-project.org/","author":[{"family":"R Core Team","given":""}],"issued":{"date-parts":[["2020"]]}}}],"schema":"https://github.com/citation-style-language/schema/raw/master/csl-citation.json"} </w:instrText>
      </w:r>
      <w:r w:rsidR="0086779C">
        <w:rPr>
          <w:rFonts w:ascii="Times New Roman" w:hAnsi="Times New Roman" w:cs="Times New Roman"/>
        </w:rPr>
        <w:fldChar w:fldCharType="separate"/>
      </w:r>
      <w:r w:rsidR="0086779C">
        <w:rPr>
          <w:rFonts w:ascii="Times New Roman" w:hAnsi="Times New Roman" w:cs="Times New Roman"/>
          <w:noProof/>
        </w:rPr>
        <w:t>(R Core Team 2020)</w:t>
      </w:r>
      <w:r w:rsidR="0086779C">
        <w:rPr>
          <w:rFonts w:ascii="Times New Roman" w:hAnsi="Times New Roman" w:cs="Times New Roman"/>
        </w:rPr>
        <w:fldChar w:fldCharType="end"/>
      </w:r>
      <w:r>
        <w:rPr>
          <w:rFonts w:ascii="Times New Roman" w:hAnsi="Times New Roman" w:cs="Times New Roman"/>
        </w:rPr>
        <w:t xml:space="preserve">. Normality was visually assessed with Q-Q plots and histograms, and homoscedasticity was visually assessed using fitted-residual plots; all plots for assumptions, and the decisions made based on them, can be found in Supplementary File 2. Main and interactive effects were considered significant at </w:t>
      </w:r>
      <w:r w:rsidRPr="00E14A29">
        <w:rPr>
          <w:rFonts w:ascii="Times New Roman" w:hAnsi="Times New Roman" w:cs="Times New Roman"/>
        </w:rPr>
        <w:t>α = 0.05</w:t>
      </w:r>
      <w:r>
        <w:rPr>
          <w:rFonts w:ascii="Times New Roman" w:hAnsi="Times New Roman" w:cs="Times New Roman"/>
        </w:rPr>
        <w:t xml:space="preserve">. Pairwise comparisons for significant interactive effects or significant independent effects of factors with more than two levels were determine using Tukey HSD post hoc tests with the </w:t>
      </w:r>
      <w:proofErr w:type="spellStart"/>
      <w:r>
        <w:rPr>
          <w:rFonts w:ascii="Times New Roman" w:hAnsi="Times New Roman" w:cs="Times New Roman"/>
        </w:rPr>
        <w:t>glht</w:t>
      </w:r>
      <w:proofErr w:type="spellEnd"/>
      <w:r>
        <w:rPr>
          <w:rFonts w:ascii="Times New Roman" w:hAnsi="Times New Roman" w:cs="Times New Roman"/>
        </w:rPr>
        <w:t xml:space="preserve">() function from the </w:t>
      </w:r>
      <w:proofErr w:type="spellStart"/>
      <w:r>
        <w:rPr>
          <w:rFonts w:ascii="Times New Roman" w:hAnsi="Times New Roman" w:cs="Times New Roman"/>
          <w:i/>
          <w:iCs/>
        </w:rPr>
        <w:t>multcomp</w:t>
      </w:r>
      <w:proofErr w:type="spellEnd"/>
      <w:r>
        <w:rPr>
          <w:rFonts w:ascii="Times New Roman" w:hAnsi="Times New Roman" w:cs="Times New Roman"/>
          <w:i/>
          <w:iCs/>
        </w:rPr>
        <w:t xml:space="preserve"> </w:t>
      </w:r>
      <w:r>
        <w:rPr>
          <w:rFonts w:ascii="Times New Roman" w:hAnsi="Times New Roman" w:cs="Times New Roman"/>
        </w:rPr>
        <w:t>package</w:t>
      </w:r>
      <w:r w:rsidR="0086779C">
        <w:rPr>
          <w:rFonts w:ascii="Times New Roman" w:hAnsi="Times New Roman" w:cs="Times New Roman"/>
        </w:rPr>
        <w:t xml:space="preserve"> </w:t>
      </w:r>
      <w:r w:rsidR="0086779C">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{"citationID":"iEvLaMpQ","properties":{"formattedCitation":"(Hothorn et al. 2008)","plainCitation":"(Hothorn et al. 2008)","noteIndex":0},"citationItems":[{"id":119,"uris":["http://zotero.org/users/6612280/items/MBURYDMH"],"uri":["http://zotero.org/users/6612280/items/MBURYDMH"],"itemData":{"id":119,"type":"article-journal","abstract":"Simultaneous inference is a common problem in many areas of application. If multiple null hypotheses are tested simultaneously, the probability of rejecting erroneously at least one of them increases beyond the pre-specified significance level. Simultaneous inference procedures have to be used which adjust for multiplicity and thus control the overall type I error rate. In this paper we describe simultaneous inference procedures in general parametric models, where the experimental questions are specified through a linear combination of elemental model parameters. The framework described here is quite general and extends the canonical theory of multiple comparison procedures in ANOVA models to linear regression problems, generalized linear models, linear mixed effects models, the Cox model, robust linear models, etc. Several examples using a variety of different statistical models illustrate the breadth of the results. For the analyses we use the R add-on package multcomp, which provides a convenient interface to the general approach adopted here.","container-title":"Biometrical Journal","DOI":"10.1002/bimj.200810425","ISSN":"03233847, 15214036","journalAbbreviation":"Biom. J.","language":"en","page":"346-363","source":"DOI.org (Crossref)","title":"Simultaneous inference in general parametric models","volume":"50","author":[{"family":"Hothorn","given":"T."},{"family":"Bretz","given":"F."},{"family":"Westfall","given":"P."}],"issued":{"date-parts":[["2008",6]]}}}],"schema":"https://github.com/citation-style-language/schema/raw/master/csl-citation.json"} </w:instrText>
      </w:r>
      <w:r w:rsidR="0086779C">
        <w:rPr>
          <w:rFonts w:ascii="Times New Roman" w:hAnsi="Times New Roman" w:cs="Times New Roman"/>
        </w:rPr>
        <w:fldChar w:fldCharType="separate"/>
      </w:r>
      <w:r w:rsidR="0086779C">
        <w:rPr>
          <w:rFonts w:ascii="Times New Roman" w:hAnsi="Times New Roman" w:cs="Times New Roman"/>
          <w:noProof/>
        </w:rPr>
        <w:t>(Hothorn et al. 2008)</w:t>
      </w:r>
      <w:r w:rsidR="0086779C">
        <w:rPr>
          <w:rFonts w:ascii="Times New Roman" w:hAnsi="Times New Roman" w:cs="Times New Roman"/>
        </w:rPr>
        <w:fldChar w:fldCharType="end"/>
      </w:r>
      <w:r>
        <w:rPr>
          <w:rFonts w:ascii="Times New Roman" w:hAnsi="Times New Roman" w:cs="Times New Roman"/>
        </w:rPr>
        <w:t xml:space="preserve">. </w:t>
      </w:r>
      <w:r w:rsidR="00A52C91">
        <w:rPr>
          <w:rFonts w:ascii="Times New Roman" w:hAnsi="Times New Roman" w:cs="Times New Roman"/>
        </w:rPr>
        <w:t xml:space="preserve">Supplementary figures and tables are contained in Supplementary File 1. </w:t>
      </w:r>
      <w:r>
        <w:rPr>
          <w:rFonts w:ascii="Times New Roman" w:hAnsi="Times New Roman" w:cs="Times New Roman"/>
        </w:rPr>
        <w:t xml:space="preserve">Annotated R script </w:t>
      </w:r>
      <w:r w:rsidR="00A949F3">
        <w:rPr>
          <w:rFonts w:ascii="Times New Roman" w:hAnsi="Times New Roman" w:cs="Times New Roman"/>
        </w:rPr>
        <w:t xml:space="preserve">and all raw data are </w:t>
      </w:r>
      <w:r>
        <w:rPr>
          <w:rFonts w:ascii="Times New Roman" w:hAnsi="Times New Roman" w:cs="Times New Roman"/>
        </w:rPr>
        <w:t>in Supplementary File</w:t>
      </w:r>
      <w:r w:rsidR="00A949F3">
        <w:rPr>
          <w:rFonts w:ascii="Times New Roman" w:hAnsi="Times New Roman" w:cs="Times New Roman"/>
        </w:rPr>
        <w:t>s</w:t>
      </w:r>
      <w:r>
        <w:rPr>
          <w:rFonts w:ascii="Times New Roman" w:hAnsi="Times New Roman" w:cs="Times New Roman"/>
        </w:rPr>
        <w:t xml:space="preserve"> </w:t>
      </w:r>
      <w:r>
        <w:rPr>
          <w:rFonts w:ascii="Times New Roman" w:hAnsi="Times New Roman" w:cs="Times New Roman"/>
        </w:rPr>
        <w:lastRenderedPageBreak/>
        <w:t xml:space="preserve">2 and </w:t>
      </w:r>
      <w:r w:rsidR="00A949F3">
        <w:rPr>
          <w:rFonts w:ascii="Times New Roman" w:hAnsi="Times New Roman" w:cs="Times New Roman"/>
        </w:rPr>
        <w:t>3, respectively</w:t>
      </w:r>
      <w:r w:rsidR="009E3983">
        <w:rPr>
          <w:rFonts w:ascii="Times New Roman" w:hAnsi="Times New Roman" w:cs="Times New Roman"/>
        </w:rPr>
        <w:t>.</w:t>
      </w:r>
      <w:r>
        <w:rPr>
          <w:rFonts w:ascii="Times New Roman" w:hAnsi="Times New Roman" w:cs="Times New Roman"/>
        </w:rPr>
        <w:t xml:space="preserve"> </w:t>
      </w:r>
      <w:r w:rsidR="009E3983">
        <w:rPr>
          <w:rFonts w:ascii="Times New Roman" w:hAnsi="Times New Roman" w:cs="Times New Roman"/>
        </w:rPr>
        <w:t>O</w:t>
      </w:r>
      <w:r>
        <w:rPr>
          <w:rFonts w:ascii="Times New Roman" w:hAnsi="Times New Roman" w:cs="Times New Roman"/>
        </w:rPr>
        <w:t xml:space="preserve">riginal </w:t>
      </w:r>
      <w:r w:rsidR="009E3983">
        <w:rPr>
          <w:rFonts w:ascii="Times New Roman" w:hAnsi="Times New Roman" w:cs="Times New Roman"/>
        </w:rPr>
        <w:t xml:space="preserve">R </w:t>
      </w:r>
      <w:r>
        <w:rPr>
          <w:rFonts w:ascii="Times New Roman" w:hAnsi="Times New Roman" w:cs="Times New Roman"/>
        </w:rPr>
        <w:t>datafiles used in the analyses are also provided as Supplem</w:t>
      </w:r>
      <w:r w:rsidRPr="00C16B4E">
        <w:rPr>
          <w:rFonts w:ascii="Times New Roman" w:hAnsi="Times New Roman" w:cs="Times New Roman"/>
        </w:rPr>
        <w:t xml:space="preserve">entary files </w:t>
      </w:r>
      <w:r>
        <w:rPr>
          <w:rFonts w:ascii="Times New Roman" w:hAnsi="Times New Roman" w:cs="Times New Roman"/>
        </w:rPr>
        <w:t>4</w:t>
      </w:r>
      <w:r w:rsidRPr="00C16B4E">
        <w:rPr>
          <w:rFonts w:ascii="Times New Roman" w:hAnsi="Times New Roman" w:cs="Times New Roman"/>
        </w:rPr>
        <w:t>–</w:t>
      </w:r>
      <w:r w:rsidR="00A52C91">
        <w:rPr>
          <w:rFonts w:ascii="Times New Roman" w:hAnsi="Times New Roman" w:cs="Times New Roman"/>
        </w:rPr>
        <w:t>8</w:t>
      </w:r>
      <w:r w:rsidRPr="00C16B4E">
        <w:rPr>
          <w:rFonts w:ascii="Times New Roman" w:hAnsi="Times New Roman" w:cs="Times New Roman"/>
        </w:rPr>
        <w:t>.</w:t>
      </w:r>
      <w:r>
        <w:rPr>
          <w:rFonts w:ascii="Times New Roman" w:hAnsi="Times New Roman" w:cs="Times New Roman"/>
        </w:rPr>
        <w:t xml:space="preserve"> All data </w:t>
      </w:r>
      <w:r w:rsidR="00A949F3">
        <w:rPr>
          <w:rFonts w:ascii="Times New Roman" w:hAnsi="Times New Roman" w:cs="Times New Roman"/>
        </w:rPr>
        <w:t xml:space="preserve">in text are </w:t>
      </w:r>
      <w:r>
        <w:rPr>
          <w:rFonts w:ascii="Times New Roman" w:hAnsi="Times New Roman" w:cs="Times New Roman"/>
        </w:rPr>
        <w:t xml:space="preserve">reported as mean ± one standard deviation. </w:t>
      </w:r>
    </w:p>
    <w:p w14:paraId="26603862" w14:textId="51B5A2FA" w:rsidR="00247EF3" w:rsidRPr="007967DC" w:rsidRDefault="00247EF3" w:rsidP="006A2314">
      <w:pPr>
        <w:spacing w:after="240" w:line="480" w:lineRule="auto"/>
        <w:jc w:val="both"/>
        <w:rPr>
          <w:rFonts w:ascii="Times New Roman" w:hAnsi="Times New Roman" w:cs="Times New Roman"/>
        </w:rPr>
      </w:pPr>
      <w:r>
        <w:rPr>
          <w:rFonts w:ascii="Times New Roman" w:hAnsi="Times New Roman" w:cs="Times New Roman"/>
        </w:rPr>
        <w:t xml:space="preserve">Linear models were used to determine if shell length and wet weights differed between size classes both prior to and after the exposure period using the </w:t>
      </w:r>
      <w:proofErr w:type="spellStart"/>
      <w:proofErr w:type="gramStart"/>
      <w:r>
        <w:rPr>
          <w:rFonts w:ascii="Times New Roman" w:hAnsi="Times New Roman" w:cs="Times New Roman"/>
        </w:rPr>
        <w:t>lm</w:t>
      </w:r>
      <w:proofErr w:type="spellEnd"/>
      <w:r>
        <w:rPr>
          <w:rFonts w:ascii="Times New Roman" w:hAnsi="Times New Roman" w:cs="Times New Roman"/>
        </w:rPr>
        <w:t>(</w:t>
      </w:r>
      <w:proofErr w:type="gramEnd"/>
      <w:r>
        <w:rPr>
          <w:rFonts w:ascii="Times New Roman" w:hAnsi="Times New Roman" w:cs="Times New Roman"/>
        </w:rPr>
        <w:t xml:space="preserve">) function followed by the </w:t>
      </w:r>
      <w:proofErr w:type="spellStart"/>
      <w:r>
        <w:rPr>
          <w:rFonts w:ascii="Times New Roman" w:hAnsi="Times New Roman" w:cs="Times New Roman"/>
        </w:rPr>
        <w:t>anova</w:t>
      </w:r>
      <w:proofErr w:type="spellEnd"/>
      <w:r>
        <w:rPr>
          <w:rFonts w:ascii="Times New Roman" w:hAnsi="Times New Roman" w:cs="Times New Roman"/>
        </w:rPr>
        <w:t xml:space="preserve">() function to determine significance. </w:t>
      </w:r>
      <w:r w:rsidRPr="00FF0E8F">
        <w:rPr>
          <w:rFonts w:ascii="Times New Roman" w:hAnsi="Times New Roman" w:cs="Times New Roman"/>
        </w:rPr>
        <w:t xml:space="preserve">Wet weights and post-exposure shell lengths were </w:t>
      </w:r>
      <w:r w:rsidR="00CF013F">
        <w:rPr>
          <w:rFonts w:ascii="Times New Roman" w:hAnsi="Times New Roman" w:cs="Times New Roman"/>
        </w:rPr>
        <w:t xml:space="preserve">natural </w:t>
      </w:r>
      <w:r w:rsidRPr="00FF0E8F">
        <w:rPr>
          <w:rFonts w:ascii="Times New Roman" w:hAnsi="Times New Roman" w:cs="Times New Roman"/>
        </w:rPr>
        <w:t>log transformed prior to analysis</w:t>
      </w:r>
      <w:r>
        <w:rPr>
          <w:rFonts w:ascii="Times New Roman" w:hAnsi="Times New Roman" w:cs="Times New Roman"/>
        </w:rPr>
        <w:t xml:space="preserve"> to assume normality (see Supplementary File 2). Generalized linear models (GLMs) were used to test for the fixed effects of initial size (continuous), </w:t>
      </w:r>
      <w:proofErr w:type="spellStart"/>
      <w:r>
        <w:rPr>
          <w:rFonts w:ascii="Times New Roman" w:hAnsi="Times New Roman" w:cs="Times New Roman"/>
        </w:rPr>
        <w:t>pH</w:t>
      </w:r>
      <w:r>
        <w:rPr>
          <w:rFonts w:ascii="Times New Roman" w:hAnsi="Times New Roman" w:cs="Times New Roman"/>
          <w:vertAlign w:val="subscript"/>
        </w:rPr>
        <w:t>T</w:t>
      </w:r>
      <w:proofErr w:type="spellEnd"/>
      <w:r>
        <w:rPr>
          <w:rFonts w:ascii="Times New Roman" w:hAnsi="Times New Roman" w:cs="Times New Roman"/>
          <w:vertAlign w:val="subscript"/>
        </w:rPr>
        <w:t xml:space="preserve"> </w:t>
      </w:r>
      <w:r>
        <w:rPr>
          <w:rFonts w:ascii="Times New Roman" w:hAnsi="Times New Roman" w:cs="Times New Roman"/>
        </w:rPr>
        <w:t xml:space="preserve">(categorical, 2 levels), temperature (categorical, 2 levels), and their interactions on % changes in shell length and wet weight; GLMMs were selected because data transformations were unsuccessful at fixing initial violations of normality and homoscedasticity). We initially built generalized linear mixed models with tank as a random variable, but singularity errors suggested that these models were overfitting the data and we therefore chose to drop the random effect. GLMs were constructed using the </w:t>
      </w:r>
      <w:proofErr w:type="spellStart"/>
      <w:r>
        <w:rPr>
          <w:rFonts w:ascii="Times New Roman" w:hAnsi="Times New Roman" w:cs="Times New Roman"/>
        </w:rPr>
        <w:t>glm</w:t>
      </w:r>
      <w:proofErr w:type="spellEnd"/>
      <w:r>
        <w:rPr>
          <w:rFonts w:ascii="Times New Roman" w:hAnsi="Times New Roman" w:cs="Times New Roman"/>
        </w:rPr>
        <w:t xml:space="preserve">() function in the </w:t>
      </w:r>
      <w:proofErr w:type="spellStart"/>
      <w:r w:rsidRPr="006F09D8">
        <w:rPr>
          <w:rFonts w:ascii="Times New Roman" w:hAnsi="Times New Roman" w:cs="Times New Roman"/>
          <w:i/>
          <w:iCs/>
        </w:rPr>
        <w:t>lmerTest</w:t>
      </w:r>
      <w:proofErr w:type="spellEnd"/>
      <w:r w:rsidRPr="006F09D8">
        <w:rPr>
          <w:rFonts w:ascii="Times New Roman" w:hAnsi="Times New Roman" w:cs="Times New Roman"/>
          <w:i/>
          <w:iCs/>
        </w:rPr>
        <w:t xml:space="preserve"> </w:t>
      </w:r>
      <w:r>
        <w:rPr>
          <w:rFonts w:ascii="Times New Roman" w:hAnsi="Times New Roman" w:cs="Times New Roman"/>
        </w:rPr>
        <w:t>package</w:t>
      </w:r>
      <w:r w:rsidR="00B758F0">
        <w:rPr>
          <w:rFonts w:ascii="Times New Roman" w:hAnsi="Times New Roman" w:cs="Times New Roman"/>
        </w:rPr>
        <w:t xml:space="preserve"> </w:t>
      </w:r>
      <w:r w:rsidR="00B758F0">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{"citationID":"hRT06OKX","properties":{"formattedCitation":"(Kuznetsova et al. 2017)","plainCitation":"(Kuznetsova et al. 2017)","noteIndex":0},"citationItems":[{"id":107,"uris":["http://zotero.org/users/6612280/items/R77IFG2B"],"uri":["http://zotero.org/users/6612280/items/R77IFG2B"],"itemData":{"id":107,"type":"article-journal","abstract":"One of the frequent questions by users of the mixed model function lmer of the lme4 package has been: How can I get p values for the F and t tests for objects returned by lmer? The lmerTest package extends the ‘lmerMod’ class of the lme4 package, by overloading the anova and summary functions by providing p values for tests for ﬁxed eﬀects. We have implemented the Satterthwaite’s method for approximating degrees of freedom for the t and F tests. We have also implemented the construction of Type I–III ANOVA tables. Furthermore, one may also obtain the summary as well as the anova table using the Kenward-Roger approximation for denominator degrees of freedom (based on the KRmodcomp function from the pbkrtest package). Some other convenient mixed model analysis tools such as a step method, that performs backward elimination of nonsigniﬁcant eﬀects – both random and ﬁxed, calculation of population means and multiple comparison tests together with plot facilities are provided by the package as well.","container-title":"Journal of Statistical Software","DOI":"10.18637/jss.v082.i13","ISSN":"1548-7660","journalAbbreviation":"J. Stat. Soft.","language":"en","page":"1-26","source":"DOI.org (Crossref)","title":"lmerTest package: Tests in linear mixed effects models","title-short":"&lt;b&gt;lmerTest&lt;/b&gt; Package","volume":"82","author":[{"family":"Kuznetsova","given":"A."},{"family":"Brockhoff","given":"P.B."},{"family":"Christensen","given":"Rune H. B."}],"issued":{"date-parts":[["2017"]]}}}],"schema":"https://github.com/citation-style-language/schema/raw/master/csl-citation.json"} </w:instrText>
      </w:r>
      <w:r w:rsidR="00B758F0">
        <w:rPr>
          <w:rFonts w:ascii="Times New Roman" w:hAnsi="Times New Roman" w:cs="Times New Roman"/>
        </w:rPr>
        <w:fldChar w:fldCharType="separate"/>
      </w:r>
      <w:r w:rsidR="00B758F0">
        <w:rPr>
          <w:rFonts w:ascii="Times New Roman" w:hAnsi="Times New Roman" w:cs="Times New Roman"/>
          <w:noProof/>
        </w:rPr>
        <w:t>(Kuznetsova et al. 2017)</w:t>
      </w:r>
      <w:r w:rsidR="00B758F0">
        <w:rPr>
          <w:rFonts w:ascii="Times New Roman" w:hAnsi="Times New Roman" w:cs="Times New Roman"/>
        </w:rPr>
        <w:fldChar w:fldCharType="end"/>
      </w:r>
      <w:r>
        <w:rPr>
          <w:rFonts w:ascii="Times New Roman" w:hAnsi="Times New Roman" w:cs="Times New Roman"/>
        </w:rPr>
        <w:t xml:space="preserve"> using a Gamma distribution (for continuous, right skewed data);. Significant effects were determined using the </w:t>
      </w:r>
      <w:proofErr w:type="spellStart"/>
      <w:proofErr w:type="gramStart"/>
      <w:r>
        <w:rPr>
          <w:rFonts w:ascii="Times New Roman" w:hAnsi="Times New Roman" w:cs="Times New Roman"/>
        </w:rPr>
        <w:t>Anova</w:t>
      </w:r>
      <w:proofErr w:type="spellEnd"/>
      <w:r>
        <w:rPr>
          <w:rFonts w:ascii="Times New Roman" w:hAnsi="Times New Roman" w:cs="Times New Roman"/>
        </w:rPr>
        <w:t>(</w:t>
      </w:r>
      <w:proofErr w:type="gramEnd"/>
      <w:r>
        <w:rPr>
          <w:rFonts w:ascii="Times New Roman" w:hAnsi="Times New Roman" w:cs="Times New Roman"/>
        </w:rPr>
        <w:t xml:space="preserve">) function in the </w:t>
      </w:r>
      <w:r>
        <w:rPr>
          <w:rFonts w:ascii="Times New Roman" w:hAnsi="Times New Roman" w:cs="Times New Roman"/>
          <w:i/>
          <w:iCs/>
        </w:rPr>
        <w:t>car</w:t>
      </w:r>
      <w:r>
        <w:rPr>
          <w:rFonts w:ascii="Times New Roman" w:hAnsi="Times New Roman" w:cs="Times New Roman"/>
        </w:rPr>
        <w:t xml:space="preserve"> package. </w:t>
      </w:r>
    </w:p>
    <w:p w14:paraId="545FBCBA" w14:textId="1750CF14" w:rsidR="00247EF3" w:rsidRPr="0095475C" w:rsidRDefault="00247EF3" w:rsidP="006A2314">
      <w:pPr>
        <w:spacing w:after="240" w:line="480" w:lineRule="auto"/>
        <w:jc w:val="both"/>
        <w:rPr>
          <w:rFonts w:ascii="Times New Roman" w:hAnsi="Times New Roman" w:cs="Times New Roman"/>
        </w:rPr>
      </w:pPr>
      <w:r>
        <w:rPr>
          <w:rFonts w:ascii="Times New Roman" w:hAnsi="Times New Roman" w:cs="Times New Roman"/>
        </w:rPr>
        <w:t>Repeatability (R) of time to open was estimated using generalized linear mixed models (GLMMs) after</w:t>
      </w:r>
      <w:r w:rsidR="00B758F0">
        <w:rPr>
          <w:rFonts w:ascii="Times New Roman" w:hAnsi="Times New Roman" w:cs="Times New Roman"/>
        </w:rPr>
        <w:t xml:space="preserve"> </w:t>
      </w:r>
      <w:r w:rsidR="00B758F0">
        <w:rPr>
          <w:rFonts w:ascii="Times New Roman" w:hAnsi="Times New Roman" w:cs="Times New Roman"/>
        </w:rPr>
        <w:fldChar w:fldCharType="begin"/>
      </w:r>
      <w:r w:rsidR="00BF2836">
        <w:rPr>
          <w:rFonts w:ascii="Times New Roman" w:hAnsi="Times New Roman" w:cs="Times New Roman"/>
        </w:rPr>
        <w:instrText xml:space="preserve"> ADDIN ZOTERO_ITEM CSL_CITATION {"citationID":"lpaTyoKK","properties":{"formattedCitation":"(Dingemanse and Dochtermann 2013)","plainCitation":"(Dingemanse and Dochtermann 2013)","noteIndex":0},"citationItems":[{"id":114,"uris":["http://zotero.org/users/6612280/items/DCZFY6DT"],"uri":["http://zotero.org/users/6612280/items/DCZFY6DT"],"itemData":{"id":114,"type":"article-journal","container-title":"Journal of Animal Ecology","DOI":"10.1111/1365-2656.12013","ISSN":"00218790","journalAbbreviation":"J. Anim. Ecol.","language":"en","page":"39-54","source":"DOI.org (Crossref)","title":"Quantifying individual variation in behaviour: Mixed-effect modelling approaches","title-short":"Quantifying individual variation in behaviour","volume":"82","author":[{"family":"Dingemanse","given":"N.J."},{"family":"Dochtermann","given":"N.A."}],"issued":{"date-parts":[["2013",1]]}}}],"schema":"https://github.com/citation-style-language/schema/raw/master/csl-citation.json"} </w:instrText>
      </w:r>
      <w:r w:rsidR="00B758F0">
        <w:rPr>
          <w:rFonts w:ascii="Times New Roman" w:hAnsi="Times New Roman" w:cs="Times New Roman"/>
        </w:rPr>
        <w:fldChar w:fldCharType="separate"/>
      </w:r>
      <w:r w:rsidR="00B758F0">
        <w:rPr>
          <w:rFonts w:ascii="Times New Roman" w:hAnsi="Times New Roman" w:cs="Times New Roman"/>
          <w:noProof/>
        </w:rPr>
        <w:t>(Dingemanse and Dochtermann 2013)</w:t>
      </w:r>
      <w:r w:rsidR="00B758F0">
        <w:rPr>
          <w:rFonts w:ascii="Times New Roman" w:hAnsi="Times New Roman" w:cs="Times New Roman"/>
        </w:rPr>
        <w:fldChar w:fldCharType="end"/>
      </w:r>
      <w:r>
        <w:rPr>
          <w:rFonts w:ascii="Times New Roman" w:hAnsi="Times New Roman" w:cs="Times New Roman"/>
        </w:rPr>
        <w:t xml:space="preserve"> and interpreted in a Bayesian fashion according to</w:t>
      </w:r>
      <w:r w:rsidR="00B758F0">
        <w:rPr>
          <w:rFonts w:ascii="Times New Roman" w:hAnsi="Times New Roman" w:cs="Times New Roman"/>
        </w:rPr>
        <w:t xml:space="preserve"> </w:t>
      </w:r>
      <w:r w:rsidR="00B758F0">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{"citationID":"0kH4GOup","properties":{"formattedCitation":"(Bell et al. 2009)","plainCitation":"(Bell et al. 2009)","noteIndex":0},"citationItems":[{"id":112,"uris":["http://zotero.org/users/6612280/items/6SB6IIHC"],"uri":["http://zotero.org/users/6612280/items/6SB6IIHC"],"itemData":{"id":112,"type":"article-journal","container-title":"Animal Behaviour","DOI":"10.1016/j.anbehav.2008.12.022","ISSN":"00033472","journalAbbreviation":"Anim. Behav.","language":"en","page":"771-783","source":"DOI.org (Crossref)","title":"The repeatability of behaviour: A meta-analysis","title-short":"The repeatability of behaviour","volume":"77","author":[{"family":"Bell","given":"A.M."},{"family":"Hankison","given":"S.J."},{"family":"Laskowski","given":"K.L."}],"issued":{"date-parts":[["2009",4]]}}}],"schema":"https://github.com/citation-style-language/schema/raw/master/csl-citation.json"} </w:instrText>
      </w:r>
      <w:r w:rsidR="00B758F0">
        <w:rPr>
          <w:rFonts w:ascii="Times New Roman" w:hAnsi="Times New Roman" w:cs="Times New Roman"/>
        </w:rPr>
        <w:fldChar w:fldCharType="separate"/>
      </w:r>
      <w:r w:rsidR="00B758F0">
        <w:rPr>
          <w:rFonts w:ascii="Times New Roman" w:hAnsi="Times New Roman" w:cs="Times New Roman"/>
          <w:noProof/>
        </w:rPr>
        <w:t>(Bell et al. 2009)</w:t>
      </w:r>
      <w:r w:rsidR="00B758F0">
        <w:rPr>
          <w:rFonts w:ascii="Times New Roman" w:hAnsi="Times New Roman" w:cs="Times New Roman"/>
        </w:rPr>
        <w:fldChar w:fldCharType="end"/>
      </w:r>
      <w:r>
        <w:rPr>
          <w:rFonts w:ascii="Times New Roman" w:hAnsi="Times New Roman" w:cs="Times New Roman"/>
        </w:rPr>
        <w:t xml:space="preserve"> (i.e., </w:t>
      </w:r>
      <w:r w:rsidR="00943795">
        <w:rPr>
          <w:rFonts w:ascii="Times New Roman" w:hAnsi="Times New Roman" w:cs="Times New Roman"/>
        </w:rPr>
        <w:t>behavior</w:t>
      </w:r>
      <w:r>
        <w:rPr>
          <w:rFonts w:ascii="Times New Roman" w:hAnsi="Times New Roman" w:cs="Times New Roman"/>
        </w:rPr>
        <w:t xml:space="preserve"> can be considered ‘significantly’ repeatable at R </w:t>
      </w:r>
      <w:r>
        <w:rPr>
          <w:rFonts w:ascii="Times New Roman" w:hAnsi="Times New Roman" w:cs="Times New Roman"/>
        </w:rPr>
        <w:sym w:font="Symbol" w:char="F0B3"/>
      </w:r>
      <w:r>
        <w:rPr>
          <w:rFonts w:ascii="Times New Roman" w:hAnsi="Times New Roman" w:cs="Times New Roman"/>
        </w:rPr>
        <w:t xml:space="preserve"> 0.37). Two GLMMs were constructed: one to estimate agreements repeatability (</w:t>
      </w:r>
      <w:proofErr w:type="spellStart"/>
      <w:r>
        <w:rPr>
          <w:rFonts w:ascii="Times New Roman" w:hAnsi="Times New Roman" w:cs="Times New Roman"/>
        </w:rPr>
        <w:t>R</w:t>
      </w:r>
      <w:r>
        <w:rPr>
          <w:rFonts w:ascii="Times New Roman" w:hAnsi="Times New Roman" w:cs="Times New Roman"/>
          <w:vertAlign w:val="subscript"/>
        </w:rPr>
        <w:t>agree</w:t>
      </w:r>
      <w:proofErr w:type="spellEnd"/>
      <w:r>
        <w:rPr>
          <w:rFonts w:ascii="Times New Roman" w:hAnsi="Times New Roman" w:cs="Times New Roman"/>
        </w:rPr>
        <w:t>; repeatability without accounting for any fixed effects) and another to estimate adjusted repeatability (</w:t>
      </w:r>
      <w:proofErr w:type="spellStart"/>
      <w:r>
        <w:rPr>
          <w:rFonts w:ascii="Times New Roman" w:hAnsi="Times New Roman" w:cs="Times New Roman"/>
        </w:rPr>
        <w:t>R</w:t>
      </w:r>
      <w:r>
        <w:rPr>
          <w:rFonts w:ascii="Times New Roman" w:hAnsi="Times New Roman" w:cs="Times New Roman"/>
          <w:vertAlign w:val="subscript"/>
        </w:rPr>
        <w:t>adj</w:t>
      </w:r>
      <w:proofErr w:type="spellEnd"/>
      <w:r>
        <w:rPr>
          <w:rFonts w:ascii="Times New Roman" w:hAnsi="Times New Roman" w:cs="Times New Roman"/>
        </w:rPr>
        <w:t xml:space="preserve">; repeatability accounting for fixed effects of size class, </w:t>
      </w:r>
      <w:proofErr w:type="spellStart"/>
      <w:r>
        <w:rPr>
          <w:rFonts w:ascii="Times New Roman" w:hAnsi="Times New Roman" w:cs="Times New Roman"/>
        </w:rPr>
        <w:t>pH</w:t>
      </w:r>
      <w:r>
        <w:rPr>
          <w:rFonts w:ascii="Times New Roman" w:hAnsi="Times New Roman" w:cs="Times New Roman"/>
          <w:vertAlign w:val="subscript"/>
        </w:rPr>
        <w:t>T</w:t>
      </w:r>
      <w:proofErr w:type="spellEnd"/>
      <w:r>
        <w:rPr>
          <w:rFonts w:ascii="Times New Roman" w:hAnsi="Times New Roman" w:cs="Times New Roman"/>
        </w:rPr>
        <w:t xml:space="preserve">, and temperature). The GLMMs were build using the </w:t>
      </w:r>
      <w:proofErr w:type="spellStart"/>
      <w:r>
        <w:rPr>
          <w:rFonts w:ascii="Times New Roman" w:hAnsi="Times New Roman" w:cs="Times New Roman"/>
        </w:rPr>
        <w:t>MCMCglmm</w:t>
      </w:r>
      <w:proofErr w:type="spellEnd"/>
      <w:r>
        <w:rPr>
          <w:rFonts w:ascii="Times New Roman" w:hAnsi="Times New Roman" w:cs="Times New Roman"/>
        </w:rPr>
        <w:t xml:space="preserve">() function in the </w:t>
      </w:r>
      <w:proofErr w:type="spellStart"/>
      <w:r>
        <w:rPr>
          <w:rFonts w:ascii="Times New Roman" w:hAnsi="Times New Roman" w:cs="Times New Roman"/>
          <w:i/>
          <w:iCs/>
        </w:rPr>
        <w:t>MCMCglmm</w:t>
      </w:r>
      <w:proofErr w:type="spellEnd"/>
      <w:r>
        <w:rPr>
          <w:rFonts w:ascii="Times New Roman" w:hAnsi="Times New Roman" w:cs="Times New Roman"/>
          <w:i/>
          <w:iCs/>
        </w:rPr>
        <w:t xml:space="preserve"> </w:t>
      </w:r>
      <w:r>
        <w:rPr>
          <w:rFonts w:ascii="Times New Roman" w:hAnsi="Times New Roman" w:cs="Times New Roman"/>
        </w:rPr>
        <w:t>R package</w:t>
      </w:r>
      <w:r w:rsidR="002E6BF4">
        <w:rPr>
          <w:rFonts w:ascii="Times New Roman" w:hAnsi="Times New Roman" w:cs="Times New Roman"/>
        </w:rPr>
        <w:t xml:space="preserve"> </w:t>
      </w:r>
      <w:r w:rsidR="002E6BF4">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{"citationID":"p3KVXmt4","properties":{"formattedCitation":"(Hadfield 2010)","plainCitation":"(Hadfield 2010)","noteIndex":0},"citationItems":[{"id":116,"uris":["http://zotero.org/users/6612280/items/DGH7F957"],"uri":["http://zotero.org/users/6612280/items/DGH7F957"],"itemData":{"id":116,"type":"article-journal","abstract":"Generalized linear mixed models provide a ﬂexible framework for modeling a range of data, although with non-Gaussian response variables the likelihood cannot be obtained in closed form. Markov chain Monte Carlo methods solve this problem by sampling from a series of simpler conditional distributions that can be evaluated. The R package MCMCglmm implements such an algorithm for a range of model ﬁtting problems. More than one response variable can be analyzed simultaneously, and these variables are allowed to follow Gaussian, Poisson, multi(bi)nominal, exponential, zero-inﬂated and censored distributions. A range of variance structures are permitted for the random eﬀects, including interactions with categorical or continuous variables (i.e., random regression), and more complicated variance structures that arise through shared ancestry, either through a pedigree or through a phylogeny. Missing values are permitted in the response variable(s) and data can be known up to some level of measurement error as in meta-analysis. All simulation is done in C/ C++ using the CSparse library for sparse linear systems.","container-title":"Journal of Statistical Software","DOI":"10.18637/jss.v033.i02","ISSN":"1548-7660","journalAbbreviation":"J. Stat. Soft.","language":"en","page":"1-22","source":"DOI.org (Crossref)","title":"MCMC methods for multi-response generalized linear mixed models: The MCMCglmm &lt;i&gt;R&lt;/i&gt; package","title-short":"MCMC Methods for Multi-Response Generalized Linear Mixed Models","volume":"33","author":[{"family":"Hadfield","given":"J.D."}],"issued":{"date-parts":[["2010"]]}}}],"schema":"https://github.com/citation-style-language/schema/raw/master/csl-citation.json"} </w:instrText>
      </w:r>
      <w:r w:rsidR="002E6BF4">
        <w:rPr>
          <w:rFonts w:ascii="Times New Roman" w:hAnsi="Times New Roman" w:cs="Times New Roman"/>
        </w:rPr>
        <w:fldChar w:fldCharType="separate"/>
      </w:r>
      <w:r w:rsidR="002E6BF4">
        <w:rPr>
          <w:rFonts w:ascii="Times New Roman" w:hAnsi="Times New Roman" w:cs="Times New Roman"/>
          <w:noProof/>
        </w:rPr>
        <w:t>(Hadfield 2010)</w:t>
      </w:r>
      <w:r w:rsidR="002E6BF4">
        <w:rPr>
          <w:rFonts w:ascii="Times New Roman" w:hAnsi="Times New Roman" w:cs="Times New Roman"/>
        </w:rPr>
        <w:fldChar w:fldCharType="end"/>
      </w:r>
      <w:r>
        <w:rPr>
          <w:rFonts w:ascii="Times New Roman" w:hAnsi="Times New Roman" w:cs="Times New Roman"/>
        </w:rPr>
        <w:t xml:space="preserve">. Estimates and 90% </w:t>
      </w:r>
      <w:r>
        <w:rPr>
          <w:rFonts w:ascii="Times New Roman" w:hAnsi="Times New Roman" w:cs="Times New Roman"/>
        </w:rPr>
        <w:lastRenderedPageBreak/>
        <w:t xml:space="preserve">confidence intervals for </w:t>
      </w:r>
      <w:proofErr w:type="spellStart"/>
      <w:r>
        <w:rPr>
          <w:rFonts w:ascii="Times New Roman" w:hAnsi="Times New Roman" w:cs="Times New Roman"/>
        </w:rPr>
        <w:t>R</w:t>
      </w:r>
      <w:r>
        <w:rPr>
          <w:rFonts w:ascii="Times New Roman" w:hAnsi="Times New Roman" w:cs="Times New Roman"/>
          <w:vertAlign w:val="subscript"/>
        </w:rPr>
        <w:t>agree</w:t>
      </w:r>
      <w:proofErr w:type="spellEnd"/>
      <w:r>
        <w:rPr>
          <w:rFonts w:ascii="Times New Roman" w:hAnsi="Times New Roman" w:cs="Times New Roman"/>
          <w:vertAlign w:val="subscript"/>
        </w:rPr>
        <w:softHyphen/>
        <w:t xml:space="preserve"> </w:t>
      </w:r>
      <w:r>
        <w:rPr>
          <w:rFonts w:ascii="Times New Roman" w:hAnsi="Times New Roman" w:cs="Times New Roman"/>
        </w:rPr>
        <w:t xml:space="preserve">and </w:t>
      </w:r>
      <w:proofErr w:type="spellStart"/>
      <w:r>
        <w:rPr>
          <w:rFonts w:ascii="Times New Roman" w:hAnsi="Times New Roman" w:cs="Times New Roman"/>
        </w:rPr>
        <w:t>R</w:t>
      </w:r>
      <w:r>
        <w:rPr>
          <w:rFonts w:ascii="Times New Roman" w:hAnsi="Times New Roman" w:cs="Times New Roman"/>
          <w:vertAlign w:val="subscript"/>
        </w:rPr>
        <w:t>adj</w:t>
      </w:r>
      <w:proofErr w:type="spellEnd"/>
      <w:r>
        <w:rPr>
          <w:rFonts w:ascii="Times New Roman" w:hAnsi="Times New Roman" w:cs="Times New Roman"/>
          <w:vertAlign w:val="subscript"/>
        </w:rPr>
        <w:t xml:space="preserve"> </w:t>
      </w:r>
      <w:r>
        <w:rPr>
          <w:rFonts w:ascii="Times New Roman" w:hAnsi="Times New Roman" w:cs="Times New Roman"/>
        </w:rPr>
        <w:t xml:space="preserve">were obtained using the </w:t>
      </w:r>
      <w:proofErr w:type="spellStart"/>
      <w:r>
        <w:rPr>
          <w:rFonts w:ascii="Times New Roman" w:hAnsi="Times New Roman" w:cs="Times New Roman"/>
        </w:rPr>
        <w:t>posteriormode</w:t>
      </w:r>
      <w:proofErr w:type="spellEnd"/>
      <w:r>
        <w:rPr>
          <w:rFonts w:ascii="Times New Roman" w:hAnsi="Times New Roman" w:cs="Times New Roman"/>
        </w:rPr>
        <w:t xml:space="preserve">() and </w:t>
      </w:r>
      <w:proofErr w:type="spellStart"/>
      <w:r>
        <w:rPr>
          <w:rFonts w:ascii="Times New Roman" w:hAnsi="Times New Roman" w:cs="Times New Roman"/>
        </w:rPr>
        <w:t>HPDinterval</w:t>
      </w:r>
      <w:proofErr w:type="spellEnd"/>
      <w:r>
        <w:rPr>
          <w:rFonts w:ascii="Times New Roman" w:hAnsi="Times New Roman" w:cs="Times New Roman"/>
        </w:rPr>
        <w:t>() functions, respectively, with code adapted from</w:t>
      </w:r>
      <w:r w:rsidR="00B758F0">
        <w:rPr>
          <w:rFonts w:ascii="Times New Roman" w:hAnsi="Times New Roman" w:cs="Times New Roman"/>
        </w:rPr>
        <w:t xml:space="preserve"> </w:t>
      </w:r>
      <w:r w:rsidR="00B758F0">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{"citationID":"0f2JOIyN","properties":{"formattedCitation":"(Roche et al. 2016)","plainCitation":"(Roche et al. 2016)","noteIndex":0},"citationItems":[{"id":110,"uris":["http://zotero.org/users/6612280/items/MKIW73BE"],"uri":["http://zotero.org/users/6612280/items/MKIW73BE"],"itemData":{"id":110,"type":"article-journal","abstract":"Animal ‘personality’, defined as repeatable inter-individual differences in behaviour, is a concept in biology that faces intense controversy. Critics argue that the field is riddled with terminological and methodological inconsistencies and lacks a sound theoretical framework. Nevertheless, experimental biologists are increasingly studying individual differences in physiology and relating these to differences in behaviour, which can lead to fascinating insights. We encourage this trend, and in this Commentary we highlight some of the benefits of estimating variation in (and covariation among) phenotypic traits at the inter- and intra-individual levels. We focus on behaviour while drawing parallels with physiological and performance-related traits. First, we outline some of the confusion surrounding the terminology used to describe repeatable inter-individual differences in behaviour. Second, we argue that acknowledging individual behavioural differences can help researchers avoid sampling and experimental bias, increase explanatory power and, ultimately, understand how selection acts on physiological traits. Third, we summarize the latest methods to collect, analyse and present data on individual trait variation. We note that, while measuring the repeatability of phenotypic traits is informative in its own right, it is only the first step towards understanding how natural selection and genetic architecture shape intra-specific variation in complex, labile traits. Thus, understanding how and why behavioural traits evolve requires linking repeatable inter-individual behavioural differences with core aspects of physiology (e.g. neurophysiology, endocrinology, energy metabolism) and evolutionary biology (e.g. selection gradients, heritability).","container-title":"The Journal of Experimental Biology","DOI":"10.1242/jeb.146712","ISSN":"0022-0949, 1477-9145","journalAbbreviation":"J. Exp. Biol.","language":"en","page":"3832-3843","source":"DOI.org (Crossref)","title":"Demystifying animal ‘personality’ (or not): why individual variation matters to experimental biologists","title-short":"Demystifying animal ‘personality’ (or not)","volume":"219","author":[{"family":"Roche","given":"D.G."},{"family":"Careau","given":"V."},{"family":"Binning","given":"S.A."}],"issued":{"date-parts":[["2016",12,15]]}}}],"schema":"https://github.com/citation-style-language/schema/raw/master/csl-citation.json"} </w:instrText>
      </w:r>
      <w:r w:rsidR="00B758F0">
        <w:rPr>
          <w:rFonts w:ascii="Times New Roman" w:hAnsi="Times New Roman" w:cs="Times New Roman"/>
        </w:rPr>
        <w:fldChar w:fldCharType="separate"/>
      </w:r>
      <w:r w:rsidR="00B758F0">
        <w:rPr>
          <w:rFonts w:ascii="Times New Roman" w:hAnsi="Times New Roman" w:cs="Times New Roman"/>
          <w:noProof/>
        </w:rPr>
        <w:t>(Roche et al. 2016)</w:t>
      </w:r>
      <w:r w:rsidR="00B758F0">
        <w:rPr>
          <w:rFonts w:ascii="Times New Roman" w:hAnsi="Times New Roman" w:cs="Times New Roman"/>
        </w:rPr>
        <w:fldChar w:fldCharType="end"/>
      </w:r>
      <w:r>
        <w:rPr>
          <w:rFonts w:ascii="Times New Roman" w:hAnsi="Times New Roman" w:cs="Times New Roman"/>
        </w:rPr>
        <w:t xml:space="preserve">. </w:t>
      </w:r>
    </w:p>
    <w:p w14:paraId="77D7FD17" w14:textId="71C863C0" w:rsidR="00247EF3" w:rsidRPr="00F73E11" w:rsidRDefault="00943795" w:rsidP="006A2314">
      <w:pPr>
        <w:spacing w:after="240" w:line="480" w:lineRule="auto"/>
        <w:jc w:val="both"/>
        <w:rPr>
          <w:rFonts w:ascii="Times New Roman" w:hAnsi="Times New Roman" w:cs="Times New Roman"/>
        </w:rPr>
      </w:pPr>
      <w:r>
        <w:rPr>
          <w:rFonts w:ascii="Times New Roman" w:hAnsi="Times New Roman" w:cs="Times New Roman"/>
        </w:rPr>
        <w:t>Behavior</w:t>
      </w:r>
      <w:r w:rsidR="00247EF3">
        <w:rPr>
          <w:rFonts w:ascii="Times New Roman" w:hAnsi="Times New Roman" w:cs="Times New Roman"/>
        </w:rPr>
        <w:t xml:space="preserve">al assays were limited to 30 mins and if an animal did not open its valves in that time it was assigned a </w:t>
      </w:r>
      <w:r w:rsidR="00211F64">
        <w:rPr>
          <w:rFonts w:ascii="Times New Roman" w:hAnsi="Times New Roman" w:cs="Times New Roman"/>
        </w:rPr>
        <w:t>value</w:t>
      </w:r>
      <w:r w:rsidR="00247EF3">
        <w:rPr>
          <w:rFonts w:ascii="Times New Roman" w:hAnsi="Times New Roman" w:cs="Times New Roman"/>
        </w:rPr>
        <w:t xml:space="preserve"> of 1800 secs</w:t>
      </w:r>
      <w:r w:rsidR="00211F64">
        <w:rPr>
          <w:rFonts w:ascii="Times New Roman" w:hAnsi="Times New Roman" w:cs="Times New Roman"/>
        </w:rPr>
        <w:t>;</w:t>
      </w:r>
      <w:r w:rsidR="00247EF3">
        <w:rPr>
          <w:rFonts w:ascii="Times New Roman" w:hAnsi="Times New Roman" w:cs="Times New Roman"/>
        </w:rPr>
        <w:t xml:space="preserve"> some observations were </w:t>
      </w:r>
      <w:r w:rsidR="00211F64">
        <w:rPr>
          <w:rFonts w:ascii="Times New Roman" w:hAnsi="Times New Roman" w:cs="Times New Roman"/>
        </w:rPr>
        <w:t xml:space="preserve">thus </w:t>
      </w:r>
      <w:r w:rsidR="00247EF3">
        <w:rPr>
          <w:rFonts w:ascii="Times New Roman" w:hAnsi="Times New Roman" w:cs="Times New Roman"/>
        </w:rPr>
        <w:t xml:space="preserve">censored. To account for this, the effects of size class, </w:t>
      </w:r>
      <w:proofErr w:type="spellStart"/>
      <w:r w:rsidR="00247EF3">
        <w:rPr>
          <w:rFonts w:ascii="Times New Roman" w:hAnsi="Times New Roman" w:cs="Times New Roman"/>
        </w:rPr>
        <w:t>pH</w:t>
      </w:r>
      <w:r w:rsidR="00247EF3">
        <w:rPr>
          <w:rFonts w:ascii="Times New Roman" w:hAnsi="Times New Roman" w:cs="Times New Roman"/>
          <w:vertAlign w:val="subscript"/>
        </w:rPr>
        <w:t>T</w:t>
      </w:r>
      <w:proofErr w:type="spellEnd"/>
      <w:r w:rsidR="00247EF3">
        <w:rPr>
          <w:rFonts w:ascii="Times New Roman" w:hAnsi="Times New Roman" w:cs="Times New Roman"/>
        </w:rPr>
        <w:t>, temperature, trial, and their interactions time to open were tested using time-to-event analysis (</w:t>
      </w:r>
      <w:r w:rsidR="00211F64">
        <w:rPr>
          <w:rFonts w:ascii="Times New Roman" w:hAnsi="Times New Roman" w:cs="Times New Roman"/>
        </w:rPr>
        <w:t>or</w:t>
      </w:r>
      <w:r w:rsidR="00247EF3">
        <w:rPr>
          <w:rFonts w:ascii="Times New Roman" w:hAnsi="Times New Roman" w:cs="Times New Roman"/>
        </w:rPr>
        <w:t xml:space="preserve"> survival analysis). A mixed effect Cox proportional hazard model based on Kaplan Meier estimations was built using the </w:t>
      </w:r>
      <w:proofErr w:type="spellStart"/>
      <w:r w:rsidR="00247EF3">
        <w:rPr>
          <w:rFonts w:ascii="Times New Roman" w:hAnsi="Times New Roman" w:cs="Times New Roman"/>
        </w:rPr>
        <w:t>Surv</w:t>
      </w:r>
      <w:proofErr w:type="spellEnd"/>
      <w:r w:rsidR="00247EF3">
        <w:rPr>
          <w:rFonts w:ascii="Times New Roman" w:hAnsi="Times New Roman" w:cs="Times New Roman"/>
        </w:rPr>
        <w:t xml:space="preserve">() function in the </w:t>
      </w:r>
      <w:r w:rsidR="00247EF3" w:rsidRPr="00B71380">
        <w:rPr>
          <w:rFonts w:ascii="Times New Roman" w:hAnsi="Times New Roman" w:cs="Times New Roman"/>
          <w:i/>
          <w:iCs/>
        </w:rPr>
        <w:t xml:space="preserve">survival </w:t>
      </w:r>
      <w:r w:rsidR="00247EF3" w:rsidRPr="00B71380">
        <w:rPr>
          <w:rFonts w:ascii="Times New Roman" w:hAnsi="Times New Roman" w:cs="Times New Roman"/>
        </w:rPr>
        <w:t>package</w:t>
      </w:r>
      <w:r w:rsidR="00A03306">
        <w:rPr>
          <w:rFonts w:ascii="Times New Roman" w:hAnsi="Times New Roman" w:cs="Times New Roman"/>
        </w:rPr>
        <w:t xml:space="preserve"> </w:t>
      </w:r>
      <w:r w:rsidR="001D2C8D">
        <w:rPr>
          <w:rFonts w:ascii="Times New Roman" w:hAnsi="Times New Roman" w:cs="Times New Roman"/>
        </w:rPr>
        <w:fldChar w:fldCharType="begin"/>
      </w:r>
      <w:r w:rsidR="001D2C8D">
        <w:rPr>
          <w:rFonts w:ascii="Times New Roman" w:hAnsi="Times New Roman" w:cs="Times New Roman"/>
        </w:rPr>
        <w:instrText xml:space="preserve"> ADDIN ZOTERO_ITEM CSL_CITATION {"citationID":"oLeAtbhb","properties":{"formattedCitation":"(Therneau and Grambsch 2000)","plainCitation":"(Therneau and Grambsch 2000)","noteIndex":0},"citationItems":[{"id":413,"uris":["http://zotero.org/users/6612280/items/IJY62N36"],"uri":["http://zotero.org/users/6612280/items/IJY62N36"],"itemData":{"id":413,"type":"book","event-place":"New York","ISBN":"978-0-387-98784-2","number-of-pages":"350","publisher":"Springer-Verlag","publisher-place":"New York","title":"Modeling survival data: Extending the Cox model","author":[{"family":"Therneau","given":"Terry M"},{"family":"Grambsch","given":"Patricia M"}],"issued":{"date-parts":[["2000"]]}}}],"schema":"https://github.com/citation-style-language/schema/raw/master/csl-citation.json"} </w:instrText>
      </w:r>
      <w:r w:rsidR="001D2C8D">
        <w:rPr>
          <w:rFonts w:ascii="Times New Roman" w:hAnsi="Times New Roman" w:cs="Times New Roman"/>
        </w:rPr>
        <w:fldChar w:fldCharType="separate"/>
      </w:r>
      <w:r w:rsidR="001D2C8D">
        <w:rPr>
          <w:rFonts w:ascii="Times New Roman" w:hAnsi="Times New Roman" w:cs="Times New Roman"/>
          <w:noProof/>
        </w:rPr>
        <w:t>(Therneau and Grambsch 2000)</w:t>
      </w:r>
      <w:r w:rsidR="001D2C8D">
        <w:rPr>
          <w:rFonts w:ascii="Times New Roman" w:hAnsi="Times New Roman" w:cs="Times New Roman"/>
        </w:rPr>
        <w:fldChar w:fldCharType="end"/>
      </w:r>
      <w:r w:rsidR="00A03306">
        <w:rPr>
          <w:rFonts w:ascii="Times New Roman" w:hAnsi="Times New Roman" w:cs="Times New Roman"/>
        </w:rPr>
        <w:t xml:space="preserve"> </w:t>
      </w:r>
      <w:r w:rsidR="00247EF3" w:rsidRPr="00B71380">
        <w:rPr>
          <w:rFonts w:ascii="Times New Roman" w:hAnsi="Times New Roman" w:cs="Times New Roman"/>
        </w:rPr>
        <w:t xml:space="preserve">and the </w:t>
      </w:r>
      <w:proofErr w:type="spellStart"/>
      <w:r w:rsidR="00247EF3" w:rsidRPr="00B71380">
        <w:rPr>
          <w:rFonts w:ascii="Times New Roman" w:hAnsi="Times New Roman" w:cs="Times New Roman"/>
        </w:rPr>
        <w:t>coxme</w:t>
      </w:r>
      <w:proofErr w:type="spellEnd"/>
      <w:r w:rsidR="00247EF3" w:rsidRPr="00B71380">
        <w:rPr>
          <w:rFonts w:ascii="Times New Roman" w:hAnsi="Times New Roman" w:cs="Times New Roman"/>
        </w:rPr>
        <w:t xml:space="preserve">() function in the </w:t>
      </w:r>
      <w:proofErr w:type="spellStart"/>
      <w:r w:rsidR="00247EF3" w:rsidRPr="00B71380">
        <w:rPr>
          <w:rFonts w:ascii="Times New Roman" w:hAnsi="Times New Roman" w:cs="Times New Roman"/>
          <w:i/>
          <w:iCs/>
        </w:rPr>
        <w:t>coxme</w:t>
      </w:r>
      <w:proofErr w:type="spellEnd"/>
      <w:r w:rsidR="00247EF3" w:rsidRPr="00B71380">
        <w:rPr>
          <w:rFonts w:ascii="Times New Roman" w:hAnsi="Times New Roman" w:cs="Times New Roman"/>
          <w:i/>
          <w:iCs/>
        </w:rPr>
        <w:t xml:space="preserve"> </w:t>
      </w:r>
      <w:r w:rsidR="00247EF3" w:rsidRPr="00B71380">
        <w:rPr>
          <w:rFonts w:ascii="Times New Roman" w:hAnsi="Times New Roman" w:cs="Times New Roman"/>
        </w:rPr>
        <w:t>package</w:t>
      </w:r>
      <w:r w:rsidR="001D2C8D">
        <w:rPr>
          <w:rFonts w:ascii="Times New Roman" w:hAnsi="Times New Roman" w:cs="Times New Roman"/>
        </w:rPr>
        <w:t xml:space="preserve"> </w:t>
      </w:r>
      <w:r w:rsidR="001D2C8D">
        <w:rPr>
          <w:rFonts w:ascii="Times New Roman" w:hAnsi="Times New Roman" w:cs="Times New Roman"/>
        </w:rPr>
        <w:fldChar w:fldCharType="begin"/>
      </w:r>
      <w:r w:rsidR="001D2C8D">
        <w:rPr>
          <w:rFonts w:ascii="Times New Roman" w:hAnsi="Times New Roman" w:cs="Times New Roman"/>
        </w:rPr>
        <w:instrText xml:space="preserve"> ADDIN ZOTERO_ITEM CSL_CITATION {"citationID":"GX8tB6Eo","properties":{"formattedCitation":"(Therneau 2020)","plainCitation":"(Therneau 2020)","noteIndex":0},"citationItems":[{"id":415,"uris":["http://zotero.org/users/6612280/items/WDJF3CPA"],"uri":["http://zotero.org/users/6612280/items/WDJF3CPA"],"itemData":{"id":415,"type":"article","publisher":"R package version 2.2-16","title":"coxme: Mixed effects Cox models","URL":"https://cran.csiro.au/web/packages/coxme/coxme.pdf","author":[{"family":"Therneau","given":"Terry M"}],"accessed":{"date-parts":[["2020",6,5]]},"issued":{"date-parts":[["2020"]]}}}],"schema":"https://github.com/citation-style-language/schema/raw/master/csl-citation.json"} </w:instrText>
      </w:r>
      <w:r w:rsidR="001D2C8D">
        <w:rPr>
          <w:rFonts w:ascii="Times New Roman" w:hAnsi="Times New Roman" w:cs="Times New Roman"/>
        </w:rPr>
        <w:fldChar w:fldCharType="separate"/>
      </w:r>
      <w:r w:rsidR="001D2C8D">
        <w:rPr>
          <w:rFonts w:ascii="Times New Roman" w:hAnsi="Times New Roman" w:cs="Times New Roman"/>
          <w:noProof/>
        </w:rPr>
        <w:t>(Therneau 2020)</w:t>
      </w:r>
      <w:r w:rsidR="001D2C8D">
        <w:rPr>
          <w:rFonts w:ascii="Times New Roman" w:hAnsi="Times New Roman" w:cs="Times New Roman"/>
        </w:rPr>
        <w:fldChar w:fldCharType="end"/>
      </w:r>
      <w:r w:rsidR="00247EF3" w:rsidRPr="00B71380">
        <w:rPr>
          <w:rFonts w:ascii="Times New Roman" w:hAnsi="Times New Roman" w:cs="Times New Roman"/>
        </w:rPr>
        <w:t xml:space="preserve"> and the </w:t>
      </w:r>
      <w:proofErr w:type="spellStart"/>
      <w:r w:rsidR="00247EF3" w:rsidRPr="00B71380">
        <w:rPr>
          <w:rFonts w:ascii="Times New Roman" w:hAnsi="Times New Roman" w:cs="Times New Roman"/>
        </w:rPr>
        <w:t>Anova</w:t>
      </w:r>
      <w:proofErr w:type="spellEnd"/>
      <w:r w:rsidR="00247EF3" w:rsidRPr="00B71380">
        <w:rPr>
          <w:rFonts w:ascii="Times New Roman" w:hAnsi="Times New Roman" w:cs="Times New Roman"/>
        </w:rPr>
        <w:t xml:space="preserve">() function was subsequently used to test for significant effects </w:t>
      </w:r>
      <w:r w:rsidR="00A03306">
        <w:rPr>
          <w:rFonts w:ascii="Times New Roman" w:hAnsi="Times New Roman" w:cs="Times New Roman"/>
        </w:rPr>
        <w:fldChar w:fldCharType="begin"/>
      </w:r>
      <w:r w:rsidR="00A03306">
        <w:rPr>
          <w:rFonts w:ascii="Times New Roman" w:hAnsi="Times New Roman" w:cs="Times New Roman"/>
        </w:rPr>
        <w:instrText xml:space="preserve"> ADDIN ZOTERO_ITEM CSL_CITATION {"citationID":"upuhAFDs","properties":{"formattedCitation":"(Fox and Weisberg 2019)","plainCitation":"(Fox and Weisberg 2019)","noteIndex":0},"citationItems":[{"id":388,"uris":["http://zotero.org/users/6612280/items/YEB559E6"],"uri":["http://zotero.org/users/6612280/items/YEB559E6"],"itemData":{"id":388,"type":"book","edition":"Third Edition","event-place":"Thousand Oaks CA","number-of-pages":"608","publisher":"Sage","publisher-place":"Thousand Oaks CA","title":"An {R} Companion to Applied Regression","author":[{"family":"Fox","given":"John"},{"family":"Weisberg","given":"Sanford"}],"issued":{"date-parts":[["2019"]]}}}],"schema":"https://github.com/citation-style-language/schema/raw/master/csl-citation.json"} </w:instrText>
      </w:r>
      <w:r w:rsidR="00A03306">
        <w:rPr>
          <w:rFonts w:ascii="Times New Roman" w:hAnsi="Times New Roman" w:cs="Times New Roman"/>
        </w:rPr>
        <w:fldChar w:fldCharType="separate"/>
      </w:r>
      <w:r w:rsidR="00A03306">
        <w:rPr>
          <w:rFonts w:ascii="Times New Roman" w:hAnsi="Times New Roman" w:cs="Times New Roman"/>
          <w:noProof/>
        </w:rPr>
        <w:t>(Fox and Weisberg 2019)</w:t>
      </w:r>
      <w:r w:rsidR="00A03306">
        <w:rPr>
          <w:rFonts w:ascii="Times New Roman" w:hAnsi="Times New Roman" w:cs="Times New Roman"/>
        </w:rPr>
        <w:fldChar w:fldCharType="end"/>
      </w:r>
      <w:r w:rsidR="00247EF3" w:rsidRPr="00B71380">
        <w:rPr>
          <w:rFonts w:ascii="Times New Roman" w:hAnsi="Times New Roman" w:cs="Times New Roman"/>
        </w:rPr>
        <w:t>.</w:t>
      </w:r>
    </w:p>
    <w:p w14:paraId="34154D2C" w14:textId="2237B97C" w:rsidR="00247EF3" w:rsidRPr="006F09D8" w:rsidRDefault="00247EF3" w:rsidP="006A2314">
      <w:pPr>
        <w:spacing w:after="240" w:line="480" w:lineRule="auto"/>
        <w:jc w:val="both"/>
        <w:rPr>
          <w:rFonts w:ascii="Times New Roman" w:hAnsi="Times New Roman" w:cs="Times New Roman"/>
        </w:rPr>
      </w:pPr>
      <w:r>
        <w:rPr>
          <w:rFonts w:ascii="Times New Roman" w:hAnsi="Times New Roman" w:cs="Times New Roman"/>
        </w:rPr>
        <w:t xml:space="preserve">To test for the fixed effects of size class, </w:t>
      </w:r>
      <w:proofErr w:type="spellStart"/>
      <w:r>
        <w:rPr>
          <w:rFonts w:ascii="Times New Roman" w:hAnsi="Times New Roman" w:cs="Times New Roman"/>
        </w:rPr>
        <w:t>pH</w:t>
      </w:r>
      <w:r>
        <w:rPr>
          <w:rFonts w:ascii="Times New Roman" w:hAnsi="Times New Roman" w:cs="Times New Roman"/>
          <w:vertAlign w:val="subscript"/>
        </w:rPr>
        <w:t>T</w:t>
      </w:r>
      <w:proofErr w:type="spellEnd"/>
      <w:r>
        <w:rPr>
          <w:rFonts w:ascii="Times New Roman" w:hAnsi="Times New Roman" w:cs="Times New Roman"/>
        </w:rPr>
        <w:t>, temperature, trial, and their interactions on individual coefficients of variation (</w:t>
      </w:r>
      <w:proofErr w:type="spellStart"/>
      <w:r>
        <w:rPr>
          <w:rFonts w:ascii="Times New Roman" w:hAnsi="Times New Roman" w:cs="Times New Roman"/>
        </w:rPr>
        <w:t>CoV</w:t>
      </w:r>
      <w:proofErr w:type="spellEnd"/>
      <w:r>
        <w:rPr>
          <w:rFonts w:ascii="Times New Roman" w:hAnsi="Times New Roman" w:cs="Times New Roman"/>
        </w:rPr>
        <w:t xml:space="preserve">; of time to open), we built linear mixed effects models using the </w:t>
      </w:r>
      <w:proofErr w:type="spellStart"/>
      <w:proofErr w:type="gramStart"/>
      <w:r>
        <w:rPr>
          <w:rFonts w:ascii="Times New Roman" w:hAnsi="Times New Roman" w:cs="Times New Roman"/>
        </w:rPr>
        <w:t>lmer</w:t>
      </w:r>
      <w:proofErr w:type="spellEnd"/>
      <w:r>
        <w:rPr>
          <w:rFonts w:ascii="Times New Roman" w:hAnsi="Times New Roman" w:cs="Times New Roman"/>
        </w:rPr>
        <w:t>(</w:t>
      </w:r>
      <w:proofErr w:type="gramEnd"/>
      <w:r>
        <w:rPr>
          <w:rFonts w:ascii="Times New Roman" w:hAnsi="Times New Roman" w:cs="Times New Roman"/>
        </w:rPr>
        <w:t xml:space="preserve">) function in the </w:t>
      </w:r>
      <w:proofErr w:type="spellStart"/>
      <w:r>
        <w:rPr>
          <w:rFonts w:ascii="Times New Roman" w:hAnsi="Times New Roman" w:cs="Times New Roman"/>
          <w:i/>
          <w:iCs/>
        </w:rPr>
        <w:t>lmerTest</w:t>
      </w:r>
      <w:proofErr w:type="spellEnd"/>
      <w:r>
        <w:rPr>
          <w:rFonts w:ascii="Times New Roman" w:hAnsi="Times New Roman" w:cs="Times New Roman"/>
          <w:i/>
          <w:iCs/>
        </w:rPr>
        <w:t xml:space="preserve"> </w:t>
      </w:r>
      <w:r>
        <w:rPr>
          <w:rFonts w:ascii="Times New Roman" w:hAnsi="Times New Roman" w:cs="Times New Roman"/>
        </w:rPr>
        <w:t xml:space="preserve">package. Significant effects were determined using the </w:t>
      </w:r>
      <w:proofErr w:type="spellStart"/>
      <w:proofErr w:type="gramStart"/>
      <w:r>
        <w:rPr>
          <w:rFonts w:ascii="Times New Roman" w:hAnsi="Times New Roman" w:cs="Times New Roman"/>
        </w:rPr>
        <w:t>anova</w:t>
      </w:r>
      <w:proofErr w:type="spellEnd"/>
      <w:r>
        <w:rPr>
          <w:rFonts w:ascii="Times New Roman" w:hAnsi="Times New Roman" w:cs="Times New Roman"/>
        </w:rPr>
        <w:t>(</w:t>
      </w:r>
      <w:proofErr w:type="gramEnd"/>
      <w:r>
        <w:rPr>
          <w:rFonts w:ascii="Times New Roman" w:hAnsi="Times New Roman" w:cs="Times New Roman"/>
        </w:rPr>
        <w:t xml:space="preserve">) function. Data were natural log transformed prior to analysis to achieve normality and homoscedasticity (see Supplementary File 2). Independent and interactive effects of the same factors on the number of </w:t>
      </w:r>
      <w:r w:rsidR="00943795">
        <w:rPr>
          <w:rFonts w:ascii="Times New Roman" w:hAnsi="Times New Roman" w:cs="Times New Roman"/>
        </w:rPr>
        <w:t>behavior</w:t>
      </w:r>
      <w:r>
        <w:rPr>
          <w:rFonts w:ascii="Times New Roman" w:hAnsi="Times New Roman" w:cs="Times New Roman"/>
        </w:rPr>
        <w:t xml:space="preserve">al trials in which individual animals did not open were tested for with logistic regression using the </w:t>
      </w:r>
      <w:proofErr w:type="spellStart"/>
      <w:proofErr w:type="gramStart"/>
      <w:r>
        <w:rPr>
          <w:rFonts w:ascii="Times New Roman" w:hAnsi="Times New Roman" w:cs="Times New Roman"/>
        </w:rPr>
        <w:t>glm</w:t>
      </w:r>
      <w:proofErr w:type="spellEnd"/>
      <w:r>
        <w:rPr>
          <w:rFonts w:ascii="Times New Roman" w:hAnsi="Times New Roman" w:cs="Times New Roman"/>
        </w:rPr>
        <w:t>(</w:t>
      </w:r>
      <w:proofErr w:type="gramEnd"/>
      <w:r>
        <w:rPr>
          <w:rFonts w:ascii="Times New Roman" w:hAnsi="Times New Roman" w:cs="Times New Roman"/>
        </w:rPr>
        <w:t xml:space="preserve">) function with a binomial distribution family and the </w:t>
      </w:r>
      <w:proofErr w:type="spellStart"/>
      <w:r>
        <w:rPr>
          <w:rFonts w:ascii="Times New Roman" w:hAnsi="Times New Roman" w:cs="Times New Roman"/>
        </w:rPr>
        <w:t>Anova</w:t>
      </w:r>
      <w:proofErr w:type="spellEnd"/>
      <w:r>
        <w:rPr>
          <w:rFonts w:ascii="Times New Roman" w:hAnsi="Times New Roman" w:cs="Times New Roman"/>
        </w:rPr>
        <w:t xml:space="preserve">() function to determine significant effects. </w:t>
      </w:r>
    </w:p>
    <w:p w14:paraId="303E6787" w14:textId="77777777" w:rsidR="00247EF3" w:rsidRDefault="00247EF3" w:rsidP="006A2314">
      <w:pPr>
        <w:spacing w:after="240" w:line="480" w:lineRule="auto"/>
        <w:jc w:val="both"/>
        <w:rPr>
          <w:rFonts w:ascii="Times New Roman" w:hAnsi="Times New Roman" w:cs="Times New Roman"/>
          <w:b/>
          <w:bCs/>
        </w:rPr>
      </w:pPr>
      <w:r>
        <w:rPr>
          <w:rFonts w:ascii="Times New Roman" w:hAnsi="Times New Roman" w:cs="Times New Roman"/>
          <w:b/>
          <w:bCs/>
        </w:rPr>
        <w:t>Results</w:t>
      </w:r>
    </w:p>
    <w:p w14:paraId="65167803" w14:textId="77777777" w:rsidR="00247EF3" w:rsidRDefault="00247EF3" w:rsidP="006A2314">
      <w:pPr>
        <w:spacing w:after="240" w:line="480" w:lineRule="auto"/>
        <w:jc w:val="both"/>
        <w:rPr>
          <w:rFonts w:ascii="Times New Roman" w:hAnsi="Times New Roman" w:cs="Times New Roman"/>
          <w:i/>
          <w:iCs/>
        </w:rPr>
      </w:pPr>
      <w:r>
        <w:rPr>
          <w:rFonts w:ascii="Times New Roman" w:hAnsi="Times New Roman" w:cs="Times New Roman"/>
          <w:i/>
          <w:iCs/>
        </w:rPr>
        <w:t>Shell length and wet weight</w:t>
      </w:r>
    </w:p>
    <w:p w14:paraId="2A07005B" w14:textId="33E88C5B" w:rsidR="00247EF3" w:rsidRPr="00961D96" w:rsidRDefault="00247EF3" w:rsidP="006A2314">
      <w:pPr>
        <w:spacing w:after="240" w:line="480" w:lineRule="auto"/>
        <w:jc w:val="both"/>
        <w:rPr>
          <w:rFonts w:ascii="Times New Roman" w:hAnsi="Times New Roman" w:cs="Times New Roman"/>
        </w:rPr>
      </w:pPr>
      <w:r w:rsidRPr="00445F9D">
        <w:rPr>
          <w:rFonts w:ascii="Times New Roman" w:hAnsi="Times New Roman" w:cs="Times New Roman"/>
        </w:rPr>
        <w:t>Following exposure, shell lengths and wet weights were significantly different between the two size classes</w:t>
      </w:r>
      <w:r>
        <w:rPr>
          <w:rFonts w:ascii="Times New Roman" w:hAnsi="Times New Roman" w:cs="Times New Roman"/>
        </w:rPr>
        <w:t>, with mean shell lengths of 67.5 ± 5.1 mm, 50.9 ±</w:t>
      </w:r>
      <w:r w:rsidRPr="00445F9D">
        <w:rPr>
          <w:rFonts w:ascii="Times New Roman" w:hAnsi="Times New Roman" w:cs="Times New Roman"/>
        </w:rPr>
        <w:t xml:space="preserve"> </w:t>
      </w:r>
      <w:r>
        <w:rPr>
          <w:rFonts w:ascii="Times New Roman" w:hAnsi="Times New Roman" w:cs="Times New Roman"/>
        </w:rPr>
        <w:t xml:space="preserve">4.1 mm, and mean wet weights of </w:t>
      </w:r>
      <w:r>
        <w:rPr>
          <w:rFonts w:ascii="Times New Roman" w:hAnsi="Times New Roman" w:cs="Times New Roman"/>
        </w:rPr>
        <w:lastRenderedPageBreak/>
        <w:t xml:space="preserve">40.8 ± 8.9 g and 17.6 ± 4.2 g, in the large and small size classes, respectively </w:t>
      </w:r>
      <w:r w:rsidRPr="00445F9D">
        <w:rPr>
          <w:rFonts w:ascii="Times New Roman" w:hAnsi="Times New Roman" w:cs="Times New Roman"/>
        </w:rPr>
        <w:t>(</w:t>
      </w:r>
      <w:r>
        <w:rPr>
          <w:rFonts w:ascii="Times New Roman" w:hAnsi="Times New Roman" w:cs="Times New Roman"/>
        </w:rPr>
        <w:t>Figure 1a-c; T</w:t>
      </w:r>
      <w:r w:rsidRPr="00445F9D">
        <w:rPr>
          <w:rFonts w:ascii="Times New Roman" w:hAnsi="Times New Roman" w:cs="Times New Roman"/>
        </w:rPr>
        <w:t xml:space="preserve">able S1). </w:t>
      </w:r>
      <w:r>
        <w:rPr>
          <w:rFonts w:ascii="Times New Roman" w:hAnsi="Times New Roman" w:cs="Times New Roman"/>
        </w:rPr>
        <w:t>For growth rates (i.e., changes in shell length and wet weight), initial size had a significant independent effect on growth rate, with smaller animals growing showing larger increases in both shell length and wet weight than larger individuals (Figure 1</w:t>
      </w:r>
      <w:proofErr w:type="gramStart"/>
      <w:r>
        <w:rPr>
          <w:rFonts w:ascii="Times New Roman" w:hAnsi="Times New Roman" w:cs="Times New Roman"/>
        </w:rPr>
        <w:t>d,e</w:t>
      </w:r>
      <w:proofErr w:type="gramEnd"/>
      <w:r>
        <w:rPr>
          <w:rFonts w:ascii="Times New Roman" w:hAnsi="Times New Roman" w:cs="Times New Roman"/>
        </w:rPr>
        <w:t xml:space="preserve">). There were no significant effects of temperature, </w:t>
      </w:r>
      <w:proofErr w:type="spellStart"/>
      <w:r>
        <w:rPr>
          <w:rFonts w:ascii="Times New Roman" w:hAnsi="Times New Roman" w:cs="Times New Roman"/>
        </w:rPr>
        <w:t>pH</w:t>
      </w:r>
      <w:r>
        <w:rPr>
          <w:rFonts w:ascii="Times New Roman" w:hAnsi="Times New Roman" w:cs="Times New Roman"/>
          <w:vertAlign w:val="subscript"/>
        </w:rPr>
        <w:t>T</w:t>
      </w:r>
      <w:proofErr w:type="spellEnd"/>
      <w:r>
        <w:rPr>
          <w:rFonts w:ascii="Times New Roman" w:hAnsi="Times New Roman" w:cs="Times New Roman"/>
        </w:rPr>
        <w:t>, or any interactions on growth rates (Table S2).</w:t>
      </w:r>
      <w:r w:rsidRPr="00445F9D" w:rsidDel="00A4445A">
        <w:rPr>
          <w:rFonts w:ascii="Times New Roman" w:hAnsi="Times New Roman" w:cs="Times New Roman"/>
        </w:rPr>
        <w:t xml:space="preserve"> </w:t>
      </w:r>
    </w:p>
    <w:p w14:paraId="69A560CC" w14:textId="1DF10EDD" w:rsidR="00247EF3" w:rsidRDefault="00B251F4" w:rsidP="00247EF3">
      <w:pPr>
        <w:suppressLineNumbers/>
        <w:spacing w:after="240" w:line="360" w:lineRule="auto"/>
        <w:contextualSpacing/>
        <w:jc w:val="center"/>
        <w:rPr>
          <w:rFonts w:ascii="Times New Roman" w:hAnsi="Times New Roman" w:cs="Times New Roman"/>
          <w:i/>
          <w:iCs/>
        </w:rPr>
      </w:pPr>
      <w:r>
        <w:rPr>
          <w:rFonts w:ascii="Times New Roman" w:hAnsi="Times New Roman" w:cs="Times New Roman"/>
          <w:i/>
          <w:iCs/>
          <w:noProof/>
        </w:rPr>
        <w:drawing>
          <wp:inline distT="0" distB="0" distL="0" distR="0" wp14:anchorId="43D3F27A" wp14:editId="232B0B2C">
            <wp:extent cx="2926857" cy="3639185"/>
            <wp:effectExtent l="0" t="0" r="0" b="5715"/>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e 1_March 27 2020.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75498" cy="3699665"/>
                    </a:xfrm>
                    <a:prstGeom prst="rect">
                      <a:avLst/>
                    </a:prstGeom>
                  </pic:spPr>
                </pic:pic>
              </a:graphicData>
            </a:graphic>
          </wp:inline>
        </w:drawing>
      </w:r>
    </w:p>
    <w:p w14:paraId="087F65BA" w14:textId="13B4A752" w:rsidR="00247EF3" w:rsidRDefault="00247EF3" w:rsidP="00247EF3">
      <w:pPr>
        <w:suppressLineNumbers/>
        <w:spacing w:after="240"/>
        <w:jc w:val="both"/>
        <w:rPr>
          <w:rFonts w:ascii="Times New Roman" w:hAnsi="Times New Roman" w:cs="Times New Roman"/>
          <w:sz w:val="20"/>
          <w:szCs w:val="20"/>
          <w:lang w:val="en-US"/>
        </w:rPr>
      </w:pPr>
      <w:r w:rsidRPr="00CA6DE8">
        <w:rPr>
          <w:rFonts w:ascii="Times New Roman" w:hAnsi="Times New Roman" w:cs="Times New Roman"/>
          <w:b/>
          <w:bCs/>
          <w:sz w:val="20"/>
          <w:szCs w:val="20"/>
          <w:lang w:val="en-US"/>
        </w:rPr>
        <w:t xml:space="preserve">Figure 1. </w:t>
      </w:r>
      <w:r w:rsidRPr="00AC5E89">
        <w:rPr>
          <w:rFonts w:ascii="Times New Roman" w:hAnsi="Times New Roman" w:cs="Times New Roman"/>
          <w:b/>
          <w:bCs/>
          <w:sz w:val="20"/>
          <w:szCs w:val="20"/>
          <w:lang w:val="en-US"/>
        </w:rPr>
        <w:t>(a)</w:t>
      </w:r>
      <w:r>
        <w:rPr>
          <w:rFonts w:ascii="Times New Roman" w:hAnsi="Times New Roman" w:cs="Times New Roman"/>
          <w:sz w:val="20"/>
          <w:szCs w:val="20"/>
          <w:lang w:val="en-US"/>
        </w:rPr>
        <w:t xml:space="preserve"> </w:t>
      </w:r>
      <w:r w:rsidRPr="00AC5E89">
        <w:rPr>
          <w:rFonts w:ascii="Times New Roman" w:hAnsi="Times New Roman" w:cs="Times New Roman"/>
          <w:sz w:val="20"/>
          <w:szCs w:val="20"/>
          <w:lang w:val="en-US"/>
        </w:rPr>
        <w:t xml:space="preserve">Frequency distribution of shell lengths used to define mussel size classes at the beginning of the experiment. </w:t>
      </w:r>
      <w:r>
        <w:rPr>
          <w:rFonts w:ascii="Times New Roman" w:hAnsi="Times New Roman" w:cs="Times New Roman"/>
          <w:sz w:val="20"/>
          <w:szCs w:val="20"/>
          <w:lang w:val="en-US"/>
        </w:rPr>
        <w:t>Green</w:t>
      </w:r>
      <w:r w:rsidRPr="00AC5E89">
        <w:rPr>
          <w:rFonts w:ascii="Times New Roman" w:hAnsi="Times New Roman" w:cs="Times New Roman"/>
          <w:sz w:val="20"/>
          <w:szCs w:val="20"/>
          <w:lang w:val="en-US"/>
        </w:rPr>
        <w:t xml:space="preserve"> bars are the small size class and pink bars are the large size class</w:t>
      </w:r>
      <w:r>
        <w:rPr>
          <w:rFonts w:ascii="Times New Roman" w:hAnsi="Times New Roman" w:cs="Times New Roman"/>
          <w:sz w:val="20"/>
          <w:szCs w:val="20"/>
          <w:lang w:val="en-US"/>
        </w:rPr>
        <w:t xml:space="preserve"> (</w:t>
      </w:r>
      <w:r w:rsidRPr="00CA0EA9">
        <w:rPr>
          <w:rFonts w:ascii="Times New Roman" w:hAnsi="Times New Roman" w:cs="Times New Roman"/>
          <w:i/>
          <w:iCs/>
          <w:sz w:val="20"/>
          <w:szCs w:val="20"/>
          <w:lang w:val="en-US"/>
        </w:rPr>
        <w:t>n</w:t>
      </w:r>
      <w:r>
        <w:rPr>
          <w:rFonts w:ascii="Times New Roman" w:hAnsi="Times New Roman" w:cs="Times New Roman"/>
          <w:sz w:val="20"/>
          <w:szCs w:val="20"/>
          <w:lang w:val="en-US"/>
        </w:rPr>
        <w:t xml:space="preserve"> = 60 for each size class)</w:t>
      </w:r>
      <w:r w:rsidRPr="00AC5E89">
        <w:rPr>
          <w:rFonts w:ascii="Times New Roman" w:hAnsi="Times New Roman" w:cs="Times New Roman"/>
          <w:sz w:val="20"/>
          <w:szCs w:val="20"/>
          <w:lang w:val="en-US"/>
        </w:rPr>
        <w:t xml:space="preserve">. </w:t>
      </w:r>
      <w:r>
        <w:rPr>
          <w:rFonts w:ascii="Times New Roman" w:hAnsi="Times New Roman" w:cs="Times New Roman"/>
          <w:b/>
          <w:bCs/>
          <w:sz w:val="20"/>
          <w:szCs w:val="20"/>
          <w:lang w:val="en-US"/>
        </w:rPr>
        <w:t xml:space="preserve">(b-c) </w:t>
      </w:r>
      <w:r w:rsidRPr="00CA6DE8">
        <w:rPr>
          <w:rFonts w:ascii="Times New Roman" w:hAnsi="Times New Roman" w:cs="Times New Roman"/>
          <w:sz w:val="20"/>
          <w:szCs w:val="20"/>
          <w:lang w:val="en-US"/>
        </w:rPr>
        <w:t>Boxplots of</w:t>
      </w:r>
      <w:r w:rsidRPr="00AC5E89">
        <w:rPr>
          <w:rFonts w:ascii="Times New Roman" w:hAnsi="Times New Roman" w:cs="Times New Roman"/>
          <w:sz w:val="20"/>
          <w:szCs w:val="20"/>
          <w:lang w:val="en-US"/>
        </w:rPr>
        <w:t xml:space="preserve"> </w:t>
      </w:r>
      <w:r>
        <w:rPr>
          <w:rFonts w:ascii="Times New Roman" w:hAnsi="Times New Roman" w:cs="Times New Roman"/>
          <w:sz w:val="20"/>
          <w:szCs w:val="20"/>
          <w:lang w:val="en-US"/>
        </w:rPr>
        <w:t xml:space="preserve">post-experiment </w:t>
      </w:r>
      <w:r w:rsidRPr="00AC5E89">
        <w:rPr>
          <w:rFonts w:ascii="Times New Roman" w:hAnsi="Times New Roman" w:cs="Times New Roman"/>
          <w:sz w:val="20"/>
          <w:szCs w:val="20"/>
          <w:lang w:val="en-US"/>
        </w:rPr>
        <w:t>shell length (a) and wet weight</w:t>
      </w:r>
      <w:r>
        <w:rPr>
          <w:rFonts w:ascii="Times New Roman" w:hAnsi="Times New Roman" w:cs="Times New Roman"/>
          <w:sz w:val="20"/>
          <w:szCs w:val="20"/>
          <w:lang w:val="en-US"/>
        </w:rPr>
        <w:t xml:space="preserve"> (b) for each of the two size classes (</w:t>
      </w:r>
      <w:r w:rsidRPr="00CA0EA9">
        <w:rPr>
          <w:rFonts w:ascii="Times New Roman" w:hAnsi="Times New Roman" w:cs="Times New Roman"/>
          <w:i/>
          <w:iCs/>
          <w:sz w:val="20"/>
          <w:szCs w:val="20"/>
          <w:lang w:val="en-US"/>
        </w:rPr>
        <w:t>n</w:t>
      </w:r>
      <w:r>
        <w:rPr>
          <w:rFonts w:ascii="Times New Roman" w:hAnsi="Times New Roman" w:cs="Times New Roman"/>
          <w:sz w:val="20"/>
          <w:szCs w:val="20"/>
          <w:lang w:val="en-US"/>
        </w:rPr>
        <w:t xml:space="preserve"> = 58 for each size class). </w:t>
      </w:r>
      <w:r>
        <w:rPr>
          <w:rFonts w:ascii="Times New Roman" w:hAnsi="Times New Roman" w:cs="Times New Roman"/>
          <w:b/>
          <w:bCs/>
          <w:sz w:val="20"/>
          <w:szCs w:val="20"/>
          <w:lang w:val="en-US"/>
        </w:rPr>
        <w:t xml:space="preserve">(d-e) </w:t>
      </w:r>
      <w:r w:rsidR="00460D24">
        <w:rPr>
          <w:rFonts w:ascii="Times New Roman" w:hAnsi="Times New Roman" w:cs="Times New Roman"/>
          <w:sz w:val="20"/>
          <w:szCs w:val="20"/>
          <w:lang w:val="en-US"/>
        </w:rPr>
        <w:t>Scatter</w:t>
      </w:r>
      <w:r w:rsidRPr="00CA6DE8">
        <w:rPr>
          <w:rFonts w:ascii="Times New Roman" w:hAnsi="Times New Roman" w:cs="Times New Roman"/>
          <w:sz w:val="20"/>
          <w:szCs w:val="20"/>
          <w:lang w:val="en-US"/>
        </w:rPr>
        <w:t>plots of</w:t>
      </w:r>
      <w:r>
        <w:rPr>
          <w:rFonts w:ascii="Times New Roman" w:hAnsi="Times New Roman" w:cs="Times New Roman"/>
          <w:sz w:val="20"/>
          <w:szCs w:val="20"/>
          <w:lang w:val="en-US"/>
        </w:rPr>
        <w:t xml:space="preserve"> changes in (</w:t>
      </w:r>
      <w:r>
        <w:rPr>
          <w:rFonts w:ascii="Times New Roman" w:hAnsi="Times New Roman" w:cs="Times New Roman"/>
          <w:sz w:val="20"/>
          <w:szCs w:val="20"/>
          <w:lang w:val="en-US"/>
        </w:rPr>
        <w:sym w:font="Symbol" w:char="F044"/>
      </w:r>
      <w:r>
        <w:rPr>
          <w:rFonts w:ascii="Times New Roman" w:hAnsi="Times New Roman" w:cs="Times New Roman"/>
          <w:sz w:val="20"/>
          <w:szCs w:val="20"/>
          <w:lang w:val="en-US"/>
        </w:rPr>
        <w:t>) shell length (d) and wet weight (e)</w:t>
      </w:r>
      <w:r w:rsidRPr="00AC5E89">
        <w:rPr>
          <w:rFonts w:ascii="Times New Roman" w:hAnsi="Times New Roman" w:cs="Times New Roman"/>
          <w:sz w:val="20"/>
          <w:szCs w:val="20"/>
          <w:lang w:val="en-US"/>
        </w:rPr>
        <w:t xml:space="preserve"> </w:t>
      </w:r>
      <w:r w:rsidR="00460D24">
        <w:rPr>
          <w:rFonts w:ascii="Times New Roman" w:hAnsi="Times New Roman" w:cs="Times New Roman"/>
          <w:sz w:val="20"/>
          <w:szCs w:val="20"/>
          <w:lang w:val="en-US"/>
        </w:rPr>
        <w:t xml:space="preserve">as a function of initial size for each of the four treatments: ambient </w:t>
      </w:r>
      <w:proofErr w:type="spellStart"/>
      <w:r w:rsidR="00460D24">
        <w:rPr>
          <w:rFonts w:ascii="Times New Roman" w:hAnsi="Times New Roman" w:cs="Times New Roman"/>
          <w:sz w:val="20"/>
          <w:szCs w:val="20"/>
          <w:lang w:val="en-US"/>
        </w:rPr>
        <w:t>pH</w:t>
      </w:r>
      <w:r w:rsidR="00460D24" w:rsidRPr="00460D24">
        <w:rPr>
          <w:rFonts w:ascii="Times New Roman" w:hAnsi="Times New Roman" w:cs="Times New Roman"/>
          <w:sz w:val="20"/>
          <w:szCs w:val="20"/>
          <w:vertAlign w:val="subscript"/>
          <w:lang w:val="en-US"/>
        </w:rPr>
        <w:t>T</w:t>
      </w:r>
      <w:proofErr w:type="spellEnd"/>
      <w:r w:rsidR="00460D24">
        <w:rPr>
          <w:rFonts w:ascii="Times New Roman" w:hAnsi="Times New Roman" w:cs="Times New Roman"/>
          <w:sz w:val="20"/>
          <w:szCs w:val="20"/>
          <w:lang w:val="en-US"/>
        </w:rPr>
        <w:t xml:space="preserve"> + low temperature (gray circles), low </w:t>
      </w:r>
      <w:proofErr w:type="spellStart"/>
      <w:r w:rsidR="00460D24">
        <w:rPr>
          <w:rFonts w:ascii="Times New Roman" w:hAnsi="Times New Roman" w:cs="Times New Roman"/>
          <w:sz w:val="20"/>
          <w:szCs w:val="20"/>
          <w:lang w:val="en-US"/>
        </w:rPr>
        <w:t>pH</w:t>
      </w:r>
      <w:r w:rsidR="00460D24" w:rsidRPr="00460D24">
        <w:rPr>
          <w:rFonts w:ascii="Times New Roman" w:hAnsi="Times New Roman" w:cs="Times New Roman"/>
          <w:sz w:val="20"/>
          <w:szCs w:val="20"/>
          <w:vertAlign w:val="subscript"/>
          <w:lang w:val="en-US"/>
        </w:rPr>
        <w:t>T</w:t>
      </w:r>
      <w:proofErr w:type="spellEnd"/>
      <w:r w:rsidR="00460D24">
        <w:rPr>
          <w:rFonts w:ascii="Times New Roman" w:hAnsi="Times New Roman" w:cs="Times New Roman"/>
          <w:sz w:val="20"/>
          <w:szCs w:val="20"/>
          <w:lang w:val="en-US"/>
        </w:rPr>
        <w:t xml:space="preserve"> + low temperature (blue circles), ambient </w:t>
      </w:r>
      <w:proofErr w:type="spellStart"/>
      <w:r w:rsidR="00460D24">
        <w:rPr>
          <w:rFonts w:ascii="Times New Roman" w:hAnsi="Times New Roman" w:cs="Times New Roman"/>
          <w:sz w:val="20"/>
          <w:szCs w:val="20"/>
          <w:lang w:val="en-US"/>
        </w:rPr>
        <w:t>pH</w:t>
      </w:r>
      <w:r w:rsidR="00460D24" w:rsidRPr="00460D24">
        <w:rPr>
          <w:rFonts w:ascii="Times New Roman" w:hAnsi="Times New Roman" w:cs="Times New Roman"/>
          <w:sz w:val="20"/>
          <w:szCs w:val="20"/>
          <w:vertAlign w:val="subscript"/>
          <w:lang w:val="en-US"/>
        </w:rPr>
        <w:t>T</w:t>
      </w:r>
      <w:proofErr w:type="spellEnd"/>
      <w:r w:rsidR="00460D24">
        <w:rPr>
          <w:rFonts w:ascii="Times New Roman" w:hAnsi="Times New Roman" w:cs="Times New Roman"/>
          <w:sz w:val="20"/>
          <w:szCs w:val="20"/>
          <w:lang w:val="en-US"/>
        </w:rPr>
        <w:t xml:space="preserve"> + high temperature (red circles),</w:t>
      </w:r>
      <w:r w:rsidR="00460D24" w:rsidRPr="00460D24">
        <w:rPr>
          <w:rFonts w:ascii="Times New Roman" w:hAnsi="Times New Roman" w:cs="Times New Roman"/>
          <w:sz w:val="20"/>
          <w:szCs w:val="20"/>
          <w:lang w:val="en-US"/>
        </w:rPr>
        <w:t xml:space="preserve"> </w:t>
      </w:r>
      <w:r w:rsidR="00460D24">
        <w:rPr>
          <w:rFonts w:ascii="Times New Roman" w:hAnsi="Times New Roman" w:cs="Times New Roman"/>
          <w:sz w:val="20"/>
          <w:szCs w:val="20"/>
          <w:lang w:val="en-US"/>
        </w:rPr>
        <w:t xml:space="preserve">low </w:t>
      </w:r>
      <w:proofErr w:type="spellStart"/>
      <w:r w:rsidR="00460D24">
        <w:rPr>
          <w:rFonts w:ascii="Times New Roman" w:hAnsi="Times New Roman" w:cs="Times New Roman"/>
          <w:sz w:val="20"/>
          <w:szCs w:val="20"/>
          <w:lang w:val="en-US"/>
        </w:rPr>
        <w:t>pH</w:t>
      </w:r>
      <w:r w:rsidR="00460D24" w:rsidRPr="00460D24">
        <w:rPr>
          <w:rFonts w:ascii="Times New Roman" w:hAnsi="Times New Roman" w:cs="Times New Roman"/>
          <w:sz w:val="20"/>
          <w:szCs w:val="20"/>
          <w:vertAlign w:val="subscript"/>
          <w:lang w:val="en-US"/>
        </w:rPr>
        <w:t>T</w:t>
      </w:r>
      <w:proofErr w:type="spellEnd"/>
      <w:r w:rsidR="00460D24">
        <w:rPr>
          <w:rFonts w:ascii="Times New Roman" w:hAnsi="Times New Roman" w:cs="Times New Roman"/>
          <w:sz w:val="20"/>
          <w:szCs w:val="20"/>
          <w:lang w:val="en-US"/>
        </w:rPr>
        <w:t xml:space="preserve"> + high temperature (purple circles)</w:t>
      </w:r>
      <w:r w:rsidRPr="00CA6DE8">
        <w:rPr>
          <w:rFonts w:ascii="Times New Roman" w:hAnsi="Times New Roman" w:cs="Times New Roman"/>
          <w:sz w:val="20"/>
          <w:szCs w:val="20"/>
          <w:lang w:val="en-US"/>
        </w:rPr>
        <w:t xml:space="preserve">. </w:t>
      </w:r>
      <w:r w:rsidRPr="00CA6DE8">
        <w:rPr>
          <w:rFonts w:ascii="Times New Roman" w:hAnsi="Times New Roman" w:cs="Times New Roman"/>
          <w:i/>
          <w:iCs/>
          <w:sz w:val="20"/>
          <w:szCs w:val="20"/>
          <w:lang w:val="en-US"/>
        </w:rPr>
        <w:t>P</w:t>
      </w:r>
      <w:r w:rsidRPr="00CA6DE8">
        <w:rPr>
          <w:rFonts w:ascii="Times New Roman" w:hAnsi="Times New Roman" w:cs="Times New Roman"/>
          <w:sz w:val="20"/>
          <w:szCs w:val="20"/>
          <w:lang w:val="en-US"/>
        </w:rPr>
        <w:t xml:space="preserve">-values represent results of linear models (see Table S1 in Supplementary file 2). </w:t>
      </w:r>
    </w:p>
    <w:p w14:paraId="1483A845" w14:textId="77777777" w:rsidR="00AA0107" w:rsidRPr="0027489C" w:rsidRDefault="00AA0107" w:rsidP="00247EF3">
      <w:pPr>
        <w:suppressLineNumbers/>
        <w:spacing w:after="240"/>
        <w:jc w:val="both"/>
        <w:rPr>
          <w:rFonts w:ascii="Times New Roman" w:hAnsi="Times New Roman" w:cs="Times New Roman"/>
          <w:sz w:val="20"/>
          <w:szCs w:val="20"/>
          <w:lang w:val="en-US"/>
        </w:rPr>
      </w:pPr>
    </w:p>
    <w:p w14:paraId="1A6E4E77" w14:textId="7B5D5440" w:rsidR="00247EF3" w:rsidRPr="00F10056" w:rsidRDefault="00247EF3" w:rsidP="006A2314">
      <w:pPr>
        <w:spacing w:after="240" w:line="480" w:lineRule="auto"/>
        <w:jc w:val="both"/>
        <w:rPr>
          <w:rFonts w:ascii="Times New Roman" w:hAnsi="Times New Roman" w:cs="Times New Roman"/>
          <w:i/>
          <w:iCs/>
        </w:rPr>
      </w:pPr>
      <w:r w:rsidRPr="00F10056">
        <w:rPr>
          <w:rFonts w:ascii="Times New Roman" w:hAnsi="Times New Roman" w:cs="Times New Roman"/>
          <w:i/>
          <w:iCs/>
        </w:rPr>
        <w:t xml:space="preserve">Short-term repeatability in </w:t>
      </w:r>
      <w:r>
        <w:rPr>
          <w:rFonts w:ascii="Times New Roman" w:hAnsi="Times New Roman" w:cs="Times New Roman"/>
          <w:i/>
          <w:iCs/>
        </w:rPr>
        <w:t>time to open</w:t>
      </w:r>
    </w:p>
    <w:p w14:paraId="14C4E00F" w14:textId="01788787" w:rsidR="00247EF3" w:rsidRDefault="00247EF3" w:rsidP="006A2314">
      <w:pPr>
        <w:spacing w:after="240" w:line="480" w:lineRule="auto"/>
        <w:jc w:val="both"/>
        <w:rPr>
          <w:rFonts w:ascii="Times New Roman" w:hAnsi="Times New Roman" w:cs="Times New Roman"/>
        </w:rPr>
      </w:pPr>
      <w:r>
        <w:rPr>
          <w:rFonts w:ascii="Times New Roman" w:hAnsi="Times New Roman" w:cs="Times New Roman"/>
        </w:rPr>
        <w:t>Time to open was highly repeatable. Agreement repeatability</w:t>
      </w:r>
      <w:r w:rsidRPr="00F10056">
        <w:rPr>
          <w:rFonts w:ascii="Times New Roman" w:hAnsi="Times New Roman" w:cs="Times New Roman"/>
        </w:rPr>
        <w:t xml:space="preserve"> </w:t>
      </w:r>
      <w:r>
        <w:rPr>
          <w:rFonts w:ascii="Times New Roman" w:hAnsi="Times New Roman" w:cs="Times New Roman"/>
        </w:rPr>
        <w:t>(</w:t>
      </w:r>
      <w:proofErr w:type="spellStart"/>
      <w:r w:rsidRPr="00F10056">
        <w:rPr>
          <w:rFonts w:ascii="Times New Roman" w:hAnsi="Times New Roman" w:cs="Times New Roman"/>
        </w:rPr>
        <w:t>R</w:t>
      </w:r>
      <w:r w:rsidRPr="00F10056">
        <w:rPr>
          <w:rFonts w:ascii="Times New Roman" w:hAnsi="Times New Roman" w:cs="Times New Roman"/>
          <w:vertAlign w:val="subscript"/>
        </w:rPr>
        <w:t>agree</w:t>
      </w:r>
      <w:proofErr w:type="spellEnd"/>
      <w:r>
        <w:rPr>
          <w:rFonts w:ascii="Times New Roman" w:hAnsi="Times New Roman" w:cs="Times New Roman"/>
        </w:rPr>
        <w:t>; repeatability without accounting for any fixed effects) was estimated to be</w:t>
      </w:r>
      <w:r w:rsidRPr="00F10056">
        <w:rPr>
          <w:rFonts w:ascii="Times New Roman" w:hAnsi="Times New Roman" w:cs="Times New Roman"/>
          <w:vertAlign w:val="subscript"/>
        </w:rPr>
        <w:t xml:space="preserve"> </w:t>
      </w:r>
      <w:r w:rsidRPr="00F10056">
        <w:rPr>
          <w:rFonts w:ascii="Times New Roman" w:hAnsi="Times New Roman" w:cs="Times New Roman"/>
        </w:rPr>
        <w:t>0.64 [0.56–0.77</w:t>
      </w:r>
      <w:r>
        <w:rPr>
          <w:rFonts w:ascii="Times New Roman" w:hAnsi="Times New Roman" w:cs="Times New Roman"/>
        </w:rPr>
        <w:t>,</w:t>
      </w:r>
      <w:r w:rsidRPr="00F10056">
        <w:rPr>
          <w:rFonts w:ascii="Times New Roman" w:hAnsi="Times New Roman" w:cs="Times New Roman"/>
        </w:rPr>
        <w:t xml:space="preserve"> 95% CI]</w:t>
      </w:r>
      <w:r>
        <w:rPr>
          <w:rFonts w:ascii="Times New Roman" w:hAnsi="Times New Roman" w:cs="Times New Roman"/>
        </w:rPr>
        <w:t xml:space="preserve">. Similarly, adjusted </w:t>
      </w:r>
      <w:r>
        <w:rPr>
          <w:rFonts w:ascii="Times New Roman" w:hAnsi="Times New Roman" w:cs="Times New Roman"/>
        </w:rPr>
        <w:lastRenderedPageBreak/>
        <w:t>repeatability</w:t>
      </w:r>
      <w:r w:rsidRPr="00F10056">
        <w:rPr>
          <w:rFonts w:ascii="Times New Roman" w:hAnsi="Times New Roman" w:cs="Times New Roman"/>
        </w:rPr>
        <w:t xml:space="preserve"> </w:t>
      </w:r>
      <w:r>
        <w:rPr>
          <w:rFonts w:ascii="Times New Roman" w:hAnsi="Times New Roman" w:cs="Times New Roman"/>
        </w:rPr>
        <w:t>(</w:t>
      </w:r>
      <w:proofErr w:type="spellStart"/>
      <w:r w:rsidRPr="00F10056">
        <w:rPr>
          <w:rFonts w:ascii="Times New Roman" w:hAnsi="Times New Roman" w:cs="Times New Roman"/>
        </w:rPr>
        <w:t>R</w:t>
      </w:r>
      <w:r w:rsidRPr="00F10056">
        <w:rPr>
          <w:rFonts w:ascii="Times New Roman" w:hAnsi="Times New Roman" w:cs="Times New Roman"/>
          <w:vertAlign w:val="subscript"/>
        </w:rPr>
        <w:t>adj</w:t>
      </w:r>
      <w:proofErr w:type="spellEnd"/>
      <w:r>
        <w:rPr>
          <w:rFonts w:ascii="Times New Roman" w:hAnsi="Times New Roman" w:cs="Times New Roman"/>
        </w:rPr>
        <w:t xml:space="preserve">; repeatability accounting for fixed effects of size, </w:t>
      </w:r>
      <w:proofErr w:type="spellStart"/>
      <w:r>
        <w:rPr>
          <w:rFonts w:ascii="Times New Roman" w:hAnsi="Times New Roman" w:cs="Times New Roman"/>
        </w:rPr>
        <w:t>pH</w:t>
      </w:r>
      <w:r>
        <w:rPr>
          <w:rFonts w:ascii="Times New Roman" w:hAnsi="Times New Roman" w:cs="Times New Roman"/>
          <w:vertAlign w:val="subscript"/>
        </w:rPr>
        <w:t>T</w:t>
      </w:r>
      <w:proofErr w:type="spellEnd"/>
      <w:r>
        <w:rPr>
          <w:rFonts w:ascii="Times New Roman" w:hAnsi="Times New Roman" w:cs="Times New Roman"/>
        </w:rPr>
        <w:t>, and temperature)</w:t>
      </w:r>
      <w:r w:rsidRPr="00F10056">
        <w:rPr>
          <w:rFonts w:ascii="Times New Roman" w:hAnsi="Times New Roman" w:cs="Times New Roman"/>
          <w:vertAlign w:val="subscript"/>
        </w:rPr>
        <w:t xml:space="preserve"> </w:t>
      </w:r>
      <w:r>
        <w:rPr>
          <w:rFonts w:ascii="Times New Roman" w:hAnsi="Times New Roman" w:cs="Times New Roman"/>
        </w:rPr>
        <w:t>was</w:t>
      </w:r>
      <w:r w:rsidRPr="00F10056">
        <w:rPr>
          <w:rFonts w:ascii="Times New Roman" w:hAnsi="Times New Roman" w:cs="Times New Roman"/>
        </w:rPr>
        <w:t xml:space="preserve"> 0.56 [0.43–0.63</w:t>
      </w:r>
      <w:r>
        <w:rPr>
          <w:rFonts w:ascii="Times New Roman" w:hAnsi="Times New Roman" w:cs="Times New Roman"/>
        </w:rPr>
        <w:t>,</w:t>
      </w:r>
      <w:r w:rsidRPr="00F10056">
        <w:rPr>
          <w:rFonts w:ascii="Times New Roman" w:hAnsi="Times New Roman" w:cs="Times New Roman"/>
        </w:rPr>
        <w:t xml:space="preserve"> 95% CI]. </w:t>
      </w:r>
    </w:p>
    <w:p w14:paraId="5FD45519" w14:textId="357426AA" w:rsidR="00247EF3" w:rsidRDefault="00B251F4" w:rsidP="00247EF3">
      <w:pPr>
        <w:suppressLineNumbers/>
        <w:spacing w:after="240" w:line="360" w:lineRule="auto"/>
        <w:contextualSpacing/>
        <w:jc w:val="center"/>
        <w:rPr>
          <w:rFonts w:ascii="Times New Roman" w:hAnsi="Times New Roman" w:cs="Times New Roman"/>
        </w:rPr>
      </w:pPr>
      <w:r>
        <w:rPr>
          <w:rFonts w:ascii="Times New Roman" w:hAnsi="Times New Roman" w:cs="Times New Roman"/>
          <w:noProof/>
        </w:rPr>
        <w:drawing>
          <wp:inline distT="0" distB="0" distL="0" distR="0" wp14:anchorId="43FC2113" wp14:editId="6C1869E4">
            <wp:extent cx="2661719" cy="3554931"/>
            <wp:effectExtent l="0" t="0" r="5715" b="1270"/>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e 2_March 27 202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70225" cy="3566292"/>
                    </a:xfrm>
                    <a:prstGeom prst="rect">
                      <a:avLst/>
                    </a:prstGeom>
                  </pic:spPr>
                </pic:pic>
              </a:graphicData>
            </a:graphic>
          </wp:inline>
        </w:drawing>
      </w:r>
    </w:p>
    <w:p w14:paraId="6FD17C04" w14:textId="1CDF25E9" w:rsidR="00247EF3" w:rsidRPr="00D176E6" w:rsidRDefault="00247EF3" w:rsidP="00247EF3">
      <w:pPr>
        <w:suppressLineNumbers/>
        <w:spacing w:after="240"/>
        <w:contextualSpacing/>
        <w:jc w:val="both"/>
        <w:rPr>
          <w:rFonts w:ascii="Times New Roman" w:hAnsi="Times New Roman" w:cs="Times New Roman"/>
          <w:sz w:val="20"/>
          <w:szCs w:val="20"/>
        </w:rPr>
      </w:pPr>
      <w:r w:rsidRPr="008F6507">
        <w:rPr>
          <w:rFonts w:ascii="Times New Roman" w:hAnsi="Times New Roman" w:cs="Times New Roman"/>
          <w:b/>
          <w:bCs/>
          <w:sz w:val="20"/>
          <w:szCs w:val="20"/>
          <w:lang w:val="en-US"/>
        </w:rPr>
        <w:t>Figure 2.</w:t>
      </w:r>
      <w:r>
        <w:rPr>
          <w:rFonts w:ascii="Times New Roman" w:hAnsi="Times New Roman" w:cs="Times New Roman"/>
          <w:b/>
          <w:bCs/>
          <w:sz w:val="20"/>
          <w:szCs w:val="20"/>
          <w:lang w:val="en-US"/>
        </w:rPr>
        <w:t xml:space="preserve"> </w:t>
      </w:r>
      <w:r w:rsidRPr="00B55843">
        <w:rPr>
          <w:rFonts w:ascii="Times New Roman" w:hAnsi="Times New Roman" w:cs="Times New Roman"/>
          <w:sz w:val="20"/>
          <w:szCs w:val="20"/>
          <w:lang w:val="en-US"/>
        </w:rPr>
        <w:t>Individual (</w:t>
      </w:r>
      <w:r>
        <w:rPr>
          <w:rFonts w:ascii="Times New Roman" w:hAnsi="Times New Roman" w:cs="Times New Roman"/>
          <w:i/>
          <w:iCs/>
          <w:sz w:val="20"/>
          <w:szCs w:val="20"/>
          <w:lang w:val="en-US"/>
        </w:rPr>
        <w:t>n</w:t>
      </w:r>
      <w:r w:rsidRPr="00B55843">
        <w:rPr>
          <w:rFonts w:ascii="Times New Roman" w:hAnsi="Times New Roman" w:cs="Times New Roman"/>
          <w:sz w:val="20"/>
          <w:szCs w:val="20"/>
          <w:lang w:val="en-US"/>
        </w:rPr>
        <w:t xml:space="preserve"> = 1</w:t>
      </w:r>
      <w:r>
        <w:rPr>
          <w:rFonts w:ascii="Times New Roman" w:hAnsi="Times New Roman" w:cs="Times New Roman"/>
          <w:sz w:val="20"/>
          <w:szCs w:val="20"/>
          <w:lang w:val="en-US"/>
        </w:rPr>
        <w:t>05</w:t>
      </w:r>
      <w:r w:rsidRPr="00B55843">
        <w:rPr>
          <w:rFonts w:ascii="Times New Roman" w:hAnsi="Times New Roman" w:cs="Times New Roman"/>
          <w:sz w:val="20"/>
          <w:szCs w:val="20"/>
          <w:lang w:val="en-US"/>
        </w:rPr>
        <w:t xml:space="preserve">) </w:t>
      </w:r>
      <w:r>
        <w:rPr>
          <w:rFonts w:ascii="Times New Roman" w:hAnsi="Times New Roman" w:cs="Times New Roman"/>
          <w:sz w:val="20"/>
          <w:szCs w:val="20"/>
          <w:lang w:val="en-US"/>
        </w:rPr>
        <w:t>time to open</w:t>
      </w:r>
      <w:r w:rsidRPr="00B55843">
        <w:rPr>
          <w:rFonts w:ascii="Times New Roman" w:hAnsi="Times New Roman" w:cs="Times New Roman"/>
          <w:sz w:val="20"/>
          <w:szCs w:val="20"/>
          <w:lang w:val="en-US"/>
        </w:rPr>
        <w:t xml:space="preserve"> across the f</w:t>
      </w:r>
      <w:r>
        <w:rPr>
          <w:rFonts w:ascii="Times New Roman" w:hAnsi="Times New Roman" w:cs="Times New Roman"/>
          <w:sz w:val="20"/>
          <w:szCs w:val="20"/>
          <w:lang w:val="en-US"/>
        </w:rPr>
        <w:t>our</w:t>
      </w:r>
      <w:r w:rsidRPr="00B55843">
        <w:rPr>
          <w:rFonts w:ascii="Times New Roman" w:hAnsi="Times New Roman" w:cs="Times New Roman"/>
          <w:sz w:val="20"/>
          <w:szCs w:val="20"/>
          <w:lang w:val="en-US"/>
        </w:rPr>
        <w:t xml:space="preserve"> trials. Black points and error bars represent the </w:t>
      </w:r>
      <w:r>
        <w:rPr>
          <w:rFonts w:ascii="Times New Roman" w:hAnsi="Times New Roman" w:cs="Times New Roman"/>
          <w:sz w:val="20"/>
          <w:szCs w:val="20"/>
          <w:lang w:val="en-US"/>
        </w:rPr>
        <w:t xml:space="preserve">pooled </w:t>
      </w:r>
      <w:r w:rsidRPr="00B55843">
        <w:rPr>
          <w:rFonts w:ascii="Times New Roman" w:hAnsi="Times New Roman" w:cs="Times New Roman"/>
          <w:sz w:val="20"/>
          <w:szCs w:val="20"/>
          <w:lang w:val="en-US"/>
        </w:rPr>
        <w:t xml:space="preserve">mean ± 95% CI for </w:t>
      </w:r>
      <w:r>
        <w:rPr>
          <w:rFonts w:ascii="Times New Roman" w:hAnsi="Times New Roman" w:cs="Times New Roman"/>
          <w:sz w:val="20"/>
          <w:szCs w:val="20"/>
          <w:lang w:val="en-US"/>
        </w:rPr>
        <w:t>time to open</w:t>
      </w:r>
      <w:r w:rsidRPr="00B55843">
        <w:rPr>
          <w:rFonts w:ascii="Times New Roman" w:hAnsi="Times New Roman" w:cs="Times New Roman"/>
          <w:sz w:val="20"/>
          <w:szCs w:val="20"/>
          <w:lang w:val="en-US"/>
        </w:rPr>
        <w:t xml:space="preserve"> time in each trial.</w:t>
      </w:r>
      <w:r w:rsidRPr="00B55843">
        <w:rPr>
          <w:rFonts w:ascii="Times New Roman" w:hAnsi="Times New Roman" w:cs="Times New Roman"/>
          <w:b/>
          <w:bCs/>
          <w:sz w:val="20"/>
          <w:szCs w:val="20"/>
          <w:lang w:val="en-US"/>
        </w:rPr>
        <w:t xml:space="preserve"> </w:t>
      </w:r>
      <w:r w:rsidRPr="00215B0F">
        <w:rPr>
          <w:rFonts w:ascii="Times New Roman" w:hAnsi="Times New Roman" w:cs="Times New Roman"/>
          <w:sz w:val="20"/>
          <w:szCs w:val="20"/>
          <w:lang w:val="en-US"/>
        </w:rPr>
        <w:t xml:space="preserve"> </w:t>
      </w:r>
    </w:p>
    <w:p w14:paraId="528FA0C9" w14:textId="77777777" w:rsidR="00247EF3" w:rsidRDefault="00247EF3" w:rsidP="00247EF3">
      <w:pPr>
        <w:suppressLineNumbers/>
        <w:spacing w:after="240" w:line="360" w:lineRule="auto"/>
        <w:jc w:val="both"/>
        <w:rPr>
          <w:rFonts w:ascii="Times New Roman" w:hAnsi="Times New Roman" w:cs="Times New Roman"/>
          <w:i/>
          <w:iCs/>
        </w:rPr>
      </w:pPr>
    </w:p>
    <w:p w14:paraId="6B181842" w14:textId="37BE1AA9" w:rsidR="00247EF3" w:rsidRPr="004E1CEB" w:rsidRDefault="00247EF3" w:rsidP="006A2314">
      <w:pPr>
        <w:spacing w:after="240" w:line="480" w:lineRule="auto"/>
        <w:jc w:val="both"/>
        <w:rPr>
          <w:rFonts w:ascii="Times New Roman" w:hAnsi="Times New Roman" w:cs="Times New Roman"/>
          <w:i/>
          <w:iCs/>
        </w:rPr>
      </w:pPr>
      <w:r w:rsidRPr="004E1CEB">
        <w:rPr>
          <w:rFonts w:ascii="Times New Roman" w:hAnsi="Times New Roman" w:cs="Times New Roman"/>
          <w:i/>
          <w:iCs/>
        </w:rPr>
        <w:t xml:space="preserve">Effects of size, </w:t>
      </w:r>
      <w:proofErr w:type="spellStart"/>
      <w:r w:rsidRPr="004E1CEB">
        <w:rPr>
          <w:rFonts w:ascii="Times New Roman" w:hAnsi="Times New Roman" w:cs="Times New Roman"/>
          <w:i/>
          <w:iCs/>
        </w:rPr>
        <w:t>p</w:t>
      </w:r>
      <w:r>
        <w:rPr>
          <w:rFonts w:ascii="Times New Roman" w:hAnsi="Times New Roman" w:cs="Times New Roman"/>
          <w:i/>
          <w:iCs/>
        </w:rPr>
        <w:t>H</w:t>
      </w:r>
      <w:r>
        <w:rPr>
          <w:rFonts w:ascii="Times New Roman" w:hAnsi="Times New Roman" w:cs="Times New Roman"/>
          <w:i/>
          <w:iCs/>
          <w:vertAlign w:val="subscript"/>
        </w:rPr>
        <w:t>T</w:t>
      </w:r>
      <w:proofErr w:type="spellEnd"/>
      <w:r w:rsidRPr="004E1CEB">
        <w:rPr>
          <w:rFonts w:ascii="Times New Roman" w:hAnsi="Times New Roman" w:cs="Times New Roman"/>
          <w:i/>
          <w:iCs/>
        </w:rPr>
        <w:t xml:space="preserve">, temperature, and trial on </w:t>
      </w:r>
      <w:r>
        <w:rPr>
          <w:rFonts w:ascii="Times New Roman" w:hAnsi="Times New Roman" w:cs="Times New Roman"/>
          <w:i/>
          <w:iCs/>
        </w:rPr>
        <w:t>time to open</w:t>
      </w:r>
    </w:p>
    <w:p w14:paraId="166782A2" w14:textId="49A91366" w:rsidR="00247EF3" w:rsidRDefault="00247EF3" w:rsidP="006A2314">
      <w:pPr>
        <w:spacing w:after="240" w:line="480" w:lineRule="auto"/>
        <w:jc w:val="both"/>
        <w:rPr>
          <w:rFonts w:ascii="Times New Roman" w:hAnsi="Times New Roman" w:cs="Times New Roman"/>
        </w:rPr>
      </w:pPr>
      <w:r>
        <w:rPr>
          <w:rFonts w:ascii="Times New Roman" w:hAnsi="Times New Roman" w:cs="Times New Roman"/>
        </w:rPr>
        <w:t>Time to open</w:t>
      </w:r>
      <w:r w:rsidRPr="004E1CEB">
        <w:rPr>
          <w:rFonts w:ascii="Times New Roman" w:hAnsi="Times New Roman" w:cs="Times New Roman"/>
        </w:rPr>
        <w:t xml:space="preserve"> was independently affected by </w:t>
      </w:r>
      <w:r>
        <w:rPr>
          <w:rFonts w:ascii="Times New Roman" w:hAnsi="Times New Roman" w:cs="Times New Roman"/>
        </w:rPr>
        <w:t xml:space="preserve">size class, temperature, and trial (Table S4). The small mussels had a time to open that was, on average, </w:t>
      </w:r>
      <w:r w:rsidRPr="00B16D99">
        <w:rPr>
          <w:rFonts w:ascii="Times New Roman" w:hAnsi="Times New Roman" w:cs="Times New Roman"/>
        </w:rPr>
        <w:t>≈</w:t>
      </w:r>
      <w:r>
        <w:rPr>
          <w:rFonts w:ascii="Times New Roman" w:hAnsi="Times New Roman" w:cs="Times New Roman"/>
        </w:rPr>
        <w:t>3</w:t>
      </w:r>
      <w:r>
        <w:rPr>
          <w:rFonts w:ascii="Times New Roman" w:hAnsi="Times New Roman" w:cs="Times New Roman"/>
        </w:rPr>
        <w:sym w:font="Symbol" w:char="F0B4"/>
      </w:r>
      <w:r>
        <w:rPr>
          <w:rFonts w:ascii="Times New Roman" w:hAnsi="Times New Roman" w:cs="Times New Roman"/>
        </w:rPr>
        <w:t xml:space="preserve"> longer than their larger counterparts (453.4 ± 449.9 secs for small mussels </w:t>
      </w:r>
      <w:r>
        <w:rPr>
          <w:rFonts w:ascii="Times New Roman" w:hAnsi="Times New Roman" w:cs="Times New Roman"/>
          <w:i/>
          <w:iCs/>
        </w:rPr>
        <w:t xml:space="preserve">versus </w:t>
      </w:r>
      <w:r>
        <w:rPr>
          <w:rFonts w:ascii="Times New Roman" w:hAnsi="Times New Roman" w:cs="Times New Roman"/>
        </w:rPr>
        <w:t>154.1 ± 236.0 secs for large; Figure 3</w:t>
      </w:r>
      <w:proofErr w:type="gramStart"/>
      <w:r>
        <w:rPr>
          <w:rFonts w:ascii="Times New Roman" w:hAnsi="Times New Roman" w:cs="Times New Roman"/>
        </w:rPr>
        <w:t>a,c</w:t>
      </w:r>
      <w:proofErr w:type="gramEnd"/>
      <w:r w:rsidR="00F24185">
        <w:rPr>
          <w:rFonts w:ascii="Times New Roman" w:hAnsi="Times New Roman" w:cs="Times New Roman"/>
        </w:rPr>
        <w:t>, S3</w:t>
      </w:r>
      <w:r>
        <w:rPr>
          <w:rFonts w:ascii="Times New Roman" w:hAnsi="Times New Roman" w:cs="Times New Roman"/>
        </w:rPr>
        <w:t xml:space="preserve">). Likewise, mussels from the high temperature treatment remained closed </w:t>
      </w:r>
      <w:r w:rsidRPr="00B16D99">
        <w:rPr>
          <w:rFonts w:ascii="Times New Roman" w:hAnsi="Times New Roman" w:cs="Times New Roman"/>
        </w:rPr>
        <w:t>≈</w:t>
      </w:r>
      <w:r>
        <w:rPr>
          <w:rFonts w:ascii="Times New Roman" w:hAnsi="Times New Roman" w:cs="Times New Roman"/>
        </w:rPr>
        <w:t>2</w:t>
      </w:r>
      <w:r>
        <w:rPr>
          <w:rFonts w:ascii="Times New Roman" w:hAnsi="Times New Roman" w:cs="Times New Roman"/>
        </w:rPr>
        <w:sym w:font="Symbol" w:char="F0B4"/>
      </w:r>
      <w:r>
        <w:rPr>
          <w:rFonts w:ascii="Times New Roman" w:hAnsi="Times New Roman" w:cs="Times New Roman"/>
        </w:rPr>
        <w:t xml:space="preserve"> longer than those in the low temperature treatment (422.1± 535.8 secs for high temperature </w:t>
      </w:r>
      <w:r>
        <w:rPr>
          <w:rFonts w:ascii="Times New Roman" w:hAnsi="Times New Roman" w:cs="Times New Roman"/>
          <w:i/>
          <w:iCs/>
        </w:rPr>
        <w:t xml:space="preserve">versus </w:t>
      </w:r>
      <w:r>
        <w:rPr>
          <w:rFonts w:ascii="Times New Roman" w:hAnsi="Times New Roman" w:cs="Times New Roman"/>
        </w:rPr>
        <w:t>182.6 ± 270.9 secs for low temperature; Figure 3</w:t>
      </w:r>
      <w:proofErr w:type="gramStart"/>
      <w:r>
        <w:rPr>
          <w:rFonts w:ascii="Times New Roman" w:hAnsi="Times New Roman" w:cs="Times New Roman"/>
        </w:rPr>
        <w:t>b,c</w:t>
      </w:r>
      <w:proofErr w:type="gramEnd"/>
      <w:r w:rsidR="00F24185">
        <w:rPr>
          <w:rFonts w:ascii="Times New Roman" w:hAnsi="Times New Roman" w:cs="Times New Roman"/>
        </w:rPr>
        <w:t>, S3</w:t>
      </w:r>
      <w:r>
        <w:rPr>
          <w:rFonts w:ascii="Times New Roman" w:hAnsi="Times New Roman" w:cs="Times New Roman"/>
        </w:rPr>
        <w:t>). With respect to trial, time to open decreased linearly across the four trials with the fourth trial being significantly lower than the first trial (Figure 3d</w:t>
      </w:r>
      <w:r w:rsidR="00F24185">
        <w:rPr>
          <w:rFonts w:ascii="Times New Roman" w:hAnsi="Times New Roman" w:cs="Times New Roman"/>
        </w:rPr>
        <w:t>, S3;</w:t>
      </w:r>
      <w:r>
        <w:rPr>
          <w:rFonts w:ascii="Times New Roman" w:hAnsi="Times New Roman" w:cs="Times New Roman"/>
        </w:rPr>
        <w:t xml:space="preserve"> Table S6).</w:t>
      </w:r>
      <w:r w:rsidR="00AA0107">
        <w:rPr>
          <w:rFonts w:ascii="Times New Roman" w:hAnsi="Times New Roman" w:cs="Times New Roman"/>
        </w:rPr>
        <w:t xml:space="preserve"> </w:t>
      </w:r>
      <w:r w:rsidR="00983D3A">
        <w:rPr>
          <w:rFonts w:ascii="Times New Roman" w:hAnsi="Times New Roman" w:cs="Times New Roman"/>
        </w:rPr>
        <w:lastRenderedPageBreak/>
        <w:t>Seawater</w:t>
      </w:r>
      <w:r w:rsidR="00AA0107">
        <w:rPr>
          <w:rFonts w:ascii="Times New Roman" w:hAnsi="Times New Roman" w:cs="Times New Roman"/>
        </w:rPr>
        <w:t xml:space="preserve"> </w:t>
      </w:r>
      <w:proofErr w:type="spellStart"/>
      <w:r w:rsidR="00AA0107">
        <w:rPr>
          <w:rFonts w:ascii="Times New Roman" w:hAnsi="Times New Roman" w:cs="Times New Roman"/>
        </w:rPr>
        <w:t>pH</w:t>
      </w:r>
      <w:r w:rsidR="00983D3A">
        <w:rPr>
          <w:rFonts w:ascii="Times New Roman" w:hAnsi="Times New Roman" w:cs="Times New Roman"/>
          <w:vertAlign w:val="subscript"/>
        </w:rPr>
        <w:t>T</w:t>
      </w:r>
      <w:proofErr w:type="spellEnd"/>
      <w:r w:rsidR="00AA0107">
        <w:rPr>
          <w:rFonts w:ascii="Times New Roman" w:hAnsi="Times New Roman" w:cs="Times New Roman"/>
        </w:rPr>
        <w:t xml:space="preserve"> had no effect on time to open (</w:t>
      </w:r>
      <w:proofErr w:type="spellStart"/>
      <w:r w:rsidR="00AA0107">
        <w:rPr>
          <w:rFonts w:ascii="Times New Roman" w:hAnsi="Times New Roman" w:cs="Times New Roman"/>
        </w:rPr>
        <w:t>Amb</w:t>
      </w:r>
      <w:proofErr w:type="spellEnd"/>
      <w:r w:rsidR="00CB6E3C">
        <w:rPr>
          <w:rFonts w:ascii="Times New Roman" w:hAnsi="Times New Roman" w:cs="Times New Roman"/>
        </w:rPr>
        <w:t>.</w:t>
      </w:r>
      <w:r w:rsidR="00AA0107">
        <w:rPr>
          <w:rFonts w:ascii="Times New Roman" w:hAnsi="Times New Roman" w:cs="Times New Roman"/>
        </w:rPr>
        <w:t xml:space="preserve"> pH: 290.2 ± 426.4 secs, Low pH: 302.0 ± 442.6 secs)</w:t>
      </w:r>
      <w:r w:rsidR="00DA0B3C">
        <w:rPr>
          <w:rFonts w:ascii="Times New Roman" w:hAnsi="Times New Roman" w:cs="Times New Roman"/>
        </w:rPr>
        <w:t xml:space="preserve"> and there were no interactive effects (</w:t>
      </w:r>
      <w:r w:rsidR="00F24185">
        <w:rPr>
          <w:rFonts w:ascii="Times New Roman" w:hAnsi="Times New Roman" w:cs="Times New Roman"/>
        </w:rPr>
        <w:t xml:space="preserve">Figure S3; </w:t>
      </w:r>
      <w:r w:rsidR="00DA0B3C">
        <w:rPr>
          <w:rFonts w:ascii="Times New Roman" w:hAnsi="Times New Roman" w:cs="Times New Roman"/>
        </w:rPr>
        <w:t>Table S4)</w:t>
      </w:r>
      <w:r w:rsidR="00AA0107">
        <w:rPr>
          <w:rFonts w:ascii="Times New Roman" w:hAnsi="Times New Roman" w:cs="Times New Roman"/>
        </w:rPr>
        <w:t xml:space="preserve">. </w:t>
      </w:r>
    </w:p>
    <w:p w14:paraId="1C0B2EA3" w14:textId="524396F2" w:rsidR="00247EF3" w:rsidRDefault="00B251F4" w:rsidP="00247EF3">
      <w:pPr>
        <w:suppressLineNumbers/>
        <w:spacing w:after="240" w:line="360" w:lineRule="auto"/>
        <w:contextualSpacing/>
        <w:jc w:val="center"/>
        <w:rPr>
          <w:rFonts w:ascii="Times New Roman" w:hAnsi="Times New Roman" w:cs="Times New Roman"/>
        </w:rPr>
      </w:pPr>
      <w:r>
        <w:rPr>
          <w:rFonts w:ascii="Times New Roman" w:hAnsi="Times New Roman" w:cs="Times New Roman"/>
          <w:noProof/>
        </w:rPr>
        <w:drawing>
          <wp:inline distT="0" distB="0" distL="0" distR="0" wp14:anchorId="06029769" wp14:editId="2AB1E29C">
            <wp:extent cx="5943600" cy="3962400"/>
            <wp:effectExtent l="0" t="0" r="0" b="0"/>
            <wp:docPr id="8" name="Picture 8" descr="A picture containing crossword,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e 3_March 27 2020.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7408D603" w14:textId="1506E279" w:rsidR="00247EF3" w:rsidRDefault="00247EF3" w:rsidP="006A2314">
      <w:pPr>
        <w:suppressLineNumbers/>
        <w:spacing w:after="240"/>
        <w:contextualSpacing/>
        <w:jc w:val="both"/>
        <w:rPr>
          <w:rFonts w:ascii="Times New Roman" w:hAnsi="Times New Roman" w:cs="Times New Roman"/>
          <w:sz w:val="20"/>
          <w:szCs w:val="20"/>
          <w:lang w:val="en-US"/>
        </w:rPr>
      </w:pPr>
      <w:r w:rsidRPr="00760BF8">
        <w:rPr>
          <w:rFonts w:ascii="Times New Roman" w:hAnsi="Times New Roman" w:cs="Times New Roman"/>
          <w:b/>
          <w:bCs/>
          <w:sz w:val="20"/>
          <w:szCs w:val="20"/>
          <w:lang w:val="en-US"/>
        </w:rPr>
        <w:t xml:space="preserve">Figure 3. </w:t>
      </w:r>
      <w:r w:rsidRPr="00C60F21">
        <w:rPr>
          <w:rFonts w:ascii="Times New Roman" w:hAnsi="Times New Roman" w:cs="Times New Roman"/>
          <w:b/>
          <w:bCs/>
          <w:sz w:val="20"/>
          <w:szCs w:val="20"/>
          <w:lang w:val="en-US"/>
        </w:rPr>
        <w:t>(a)</w:t>
      </w:r>
      <w:r w:rsidRPr="00760BF8">
        <w:rPr>
          <w:rFonts w:ascii="Times New Roman" w:hAnsi="Times New Roman" w:cs="Times New Roman"/>
          <w:b/>
          <w:bCs/>
          <w:sz w:val="20"/>
          <w:szCs w:val="20"/>
          <w:lang w:val="en-US"/>
        </w:rPr>
        <w:t xml:space="preserve"> </w:t>
      </w:r>
      <w:r w:rsidRPr="00760BF8">
        <w:rPr>
          <w:rFonts w:ascii="Times New Roman" w:hAnsi="Times New Roman" w:cs="Times New Roman"/>
          <w:sz w:val="20"/>
          <w:szCs w:val="20"/>
          <w:lang w:val="en-US"/>
        </w:rPr>
        <w:t xml:space="preserve">Boxplot of </w:t>
      </w:r>
      <w:r>
        <w:rPr>
          <w:rFonts w:ascii="Times New Roman" w:hAnsi="Times New Roman" w:cs="Times New Roman"/>
          <w:sz w:val="20"/>
          <w:szCs w:val="20"/>
          <w:lang w:val="en-US"/>
        </w:rPr>
        <w:t>time to open</w:t>
      </w:r>
      <w:r w:rsidRPr="00760BF8">
        <w:rPr>
          <w:rFonts w:ascii="Times New Roman" w:hAnsi="Times New Roman" w:cs="Times New Roman"/>
          <w:sz w:val="20"/>
          <w:szCs w:val="20"/>
          <w:lang w:val="en-US"/>
        </w:rPr>
        <w:t xml:space="preserve"> for each size class (</w:t>
      </w:r>
      <w:proofErr w:type="spellStart"/>
      <w:r w:rsidRPr="00760BF8">
        <w:rPr>
          <w:rFonts w:ascii="Times New Roman" w:hAnsi="Times New Roman" w:cs="Times New Roman"/>
          <w:i/>
          <w:iCs/>
          <w:sz w:val="20"/>
          <w:szCs w:val="20"/>
          <w:lang w:val="en-US"/>
        </w:rPr>
        <w:t>n</w:t>
      </w:r>
      <w:r w:rsidRPr="00760BF8">
        <w:rPr>
          <w:rFonts w:ascii="Times New Roman" w:hAnsi="Times New Roman" w:cs="Times New Roman"/>
          <w:sz w:val="20"/>
          <w:szCs w:val="20"/>
          <w:vertAlign w:val="subscript"/>
          <w:lang w:val="en-US"/>
        </w:rPr>
        <w:t>large</w:t>
      </w:r>
      <w:proofErr w:type="spellEnd"/>
      <w:r w:rsidRPr="00760BF8">
        <w:rPr>
          <w:rFonts w:ascii="Times New Roman" w:hAnsi="Times New Roman" w:cs="Times New Roman"/>
          <w:sz w:val="20"/>
          <w:szCs w:val="20"/>
          <w:vertAlign w:val="subscript"/>
          <w:lang w:val="en-US"/>
        </w:rPr>
        <w:t xml:space="preserve"> </w:t>
      </w:r>
      <w:r w:rsidRPr="00760BF8">
        <w:rPr>
          <w:rFonts w:ascii="Times New Roman" w:hAnsi="Times New Roman" w:cs="Times New Roman"/>
          <w:sz w:val="20"/>
          <w:szCs w:val="20"/>
          <w:lang w:val="en-US"/>
        </w:rPr>
        <w:t xml:space="preserve">= 55, </w:t>
      </w:r>
      <w:proofErr w:type="spellStart"/>
      <w:r w:rsidRPr="00760BF8">
        <w:rPr>
          <w:rFonts w:ascii="Times New Roman" w:hAnsi="Times New Roman" w:cs="Times New Roman"/>
          <w:i/>
          <w:iCs/>
          <w:sz w:val="20"/>
          <w:szCs w:val="20"/>
          <w:lang w:val="en-US"/>
        </w:rPr>
        <w:t>n</w:t>
      </w:r>
      <w:r w:rsidRPr="00760BF8">
        <w:rPr>
          <w:rFonts w:ascii="Times New Roman" w:hAnsi="Times New Roman" w:cs="Times New Roman"/>
          <w:sz w:val="20"/>
          <w:szCs w:val="20"/>
          <w:vertAlign w:val="subscript"/>
          <w:lang w:val="en-US"/>
        </w:rPr>
        <w:t>small</w:t>
      </w:r>
      <w:proofErr w:type="spellEnd"/>
      <w:r w:rsidRPr="00760BF8">
        <w:rPr>
          <w:rFonts w:ascii="Times New Roman" w:hAnsi="Times New Roman" w:cs="Times New Roman"/>
          <w:sz w:val="20"/>
          <w:szCs w:val="20"/>
          <w:vertAlign w:val="subscript"/>
          <w:lang w:val="en-US"/>
        </w:rPr>
        <w:t xml:space="preserve"> </w:t>
      </w:r>
      <w:r w:rsidRPr="00760BF8">
        <w:rPr>
          <w:rFonts w:ascii="Times New Roman" w:hAnsi="Times New Roman" w:cs="Times New Roman"/>
          <w:sz w:val="20"/>
          <w:szCs w:val="20"/>
          <w:lang w:val="en-US"/>
        </w:rPr>
        <w:t>= 50)</w:t>
      </w:r>
      <w:r w:rsidRPr="00760BF8">
        <w:rPr>
          <w:rFonts w:ascii="Times New Roman" w:hAnsi="Times New Roman" w:cs="Times New Roman"/>
          <w:i/>
          <w:iCs/>
          <w:sz w:val="20"/>
          <w:szCs w:val="20"/>
          <w:lang w:val="en-US"/>
        </w:rPr>
        <w:t>.</w:t>
      </w:r>
      <w:r w:rsidRPr="00760BF8">
        <w:rPr>
          <w:rFonts w:ascii="Times New Roman" w:hAnsi="Times New Roman" w:cs="Times New Roman"/>
          <w:b/>
          <w:bCs/>
          <w:sz w:val="20"/>
          <w:szCs w:val="20"/>
          <w:lang w:val="en-US"/>
        </w:rPr>
        <w:t xml:space="preserve"> </w:t>
      </w:r>
      <w:r w:rsidRPr="00C60F21">
        <w:rPr>
          <w:rFonts w:ascii="Times New Roman" w:hAnsi="Times New Roman" w:cs="Times New Roman"/>
          <w:b/>
          <w:bCs/>
          <w:sz w:val="20"/>
          <w:szCs w:val="20"/>
          <w:lang w:val="en-US"/>
        </w:rPr>
        <w:t>(b)</w:t>
      </w:r>
      <w:r w:rsidRPr="00760BF8">
        <w:rPr>
          <w:rFonts w:ascii="Times New Roman" w:hAnsi="Times New Roman" w:cs="Times New Roman"/>
          <w:b/>
          <w:bCs/>
          <w:sz w:val="20"/>
          <w:szCs w:val="20"/>
          <w:lang w:val="en-US"/>
        </w:rPr>
        <w:t xml:space="preserve"> </w:t>
      </w:r>
      <w:r w:rsidRPr="00760BF8">
        <w:rPr>
          <w:rFonts w:ascii="Times New Roman" w:hAnsi="Times New Roman" w:cs="Times New Roman"/>
          <w:sz w:val="20"/>
          <w:szCs w:val="20"/>
          <w:lang w:val="en-US"/>
        </w:rPr>
        <w:t xml:space="preserve">Boxplot of </w:t>
      </w:r>
      <w:r>
        <w:rPr>
          <w:rFonts w:ascii="Times New Roman" w:hAnsi="Times New Roman" w:cs="Times New Roman"/>
          <w:sz w:val="20"/>
          <w:szCs w:val="20"/>
          <w:lang w:val="en-US"/>
        </w:rPr>
        <w:t>time to open</w:t>
      </w:r>
      <w:r w:rsidRPr="00760BF8">
        <w:rPr>
          <w:rFonts w:ascii="Times New Roman" w:hAnsi="Times New Roman" w:cs="Times New Roman"/>
          <w:sz w:val="20"/>
          <w:szCs w:val="20"/>
          <w:lang w:val="en-US"/>
        </w:rPr>
        <w:t xml:space="preserve"> for each experimental temperature (</w:t>
      </w:r>
      <w:r>
        <w:rPr>
          <w:rFonts w:ascii="Times New Roman" w:hAnsi="Times New Roman" w:cs="Times New Roman"/>
          <w:sz w:val="20"/>
          <w:szCs w:val="20"/>
          <w:lang w:val="en-US"/>
        </w:rPr>
        <w:sym w:font="Symbol" w:char="F0B0"/>
      </w:r>
      <w:r>
        <w:rPr>
          <w:rFonts w:ascii="Times New Roman" w:hAnsi="Times New Roman" w:cs="Times New Roman"/>
          <w:sz w:val="20"/>
          <w:szCs w:val="20"/>
          <w:lang w:val="en-US"/>
        </w:rPr>
        <w:t xml:space="preserve">C; </w:t>
      </w:r>
      <w:proofErr w:type="spellStart"/>
      <w:r w:rsidRPr="00760BF8">
        <w:rPr>
          <w:rFonts w:ascii="Times New Roman" w:hAnsi="Times New Roman" w:cs="Times New Roman"/>
          <w:i/>
          <w:iCs/>
          <w:sz w:val="20"/>
          <w:szCs w:val="20"/>
          <w:lang w:val="en-US"/>
        </w:rPr>
        <w:t>n</w:t>
      </w:r>
      <w:r w:rsidRPr="00760BF8">
        <w:rPr>
          <w:rFonts w:ascii="Times New Roman" w:hAnsi="Times New Roman" w:cs="Times New Roman"/>
          <w:sz w:val="20"/>
          <w:szCs w:val="20"/>
          <w:vertAlign w:val="subscript"/>
          <w:lang w:val="en-US"/>
        </w:rPr>
        <w:t>control</w:t>
      </w:r>
      <w:proofErr w:type="spellEnd"/>
      <w:r w:rsidRPr="00760BF8">
        <w:rPr>
          <w:rFonts w:ascii="Times New Roman" w:hAnsi="Times New Roman" w:cs="Times New Roman"/>
          <w:sz w:val="20"/>
          <w:szCs w:val="20"/>
          <w:vertAlign w:val="subscript"/>
          <w:lang w:val="en-US"/>
        </w:rPr>
        <w:t xml:space="preserve"> </w:t>
      </w:r>
      <w:r w:rsidRPr="00760BF8">
        <w:rPr>
          <w:rFonts w:ascii="Times New Roman" w:hAnsi="Times New Roman" w:cs="Times New Roman"/>
          <w:sz w:val="20"/>
          <w:szCs w:val="20"/>
          <w:lang w:val="en-US"/>
        </w:rPr>
        <w:t xml:space="preserve">= 55, </w:t>
      </w:r>
      <w:proofErr w:type="spellStart"/>
      <w:r w:rsidRPr="00760BF8">
        <w:rPr>
          <w:rFonts w:ascii="Times New Roman" w:hAnsi="Times New Roman" w:cs="Times New Roman"/>
          <w:i/>
          <w:iCs/>
          <w:sz w:val="20"/>
          <w:szCs w:val="20"/>
          <w:lang w:val="en-US"/>
        </w:rPr>
        <w:t>n</w:t>
      </w:r>
      <w:r w:rsidRPr="00760BF8">
        <w:rPr>
          <w:rFonts w:ascii="Times New Roman" w:hAnsi="Times New Roman" w:cs="Times New Roman"/>
          <w:sz w:val="20"/>
          <w:szCs w:val="20"/>
          <w:vertAlign w:val="subscript"/>
          <w:lang w:val="en-US"/>
        </w:rPr>
        <w:t>high</w:t>
      </w:r>
      <w:proofErr w:type="spellEnd"/>
      <w:r w:rsidRPr="00760BF8">
        <w:rPr>
          <w:rFonts w:ascii="Times New Roman" w:hAnsi="Times New Roman" w:cs="Times New Roman"/>
          <w:sz w:val="20"/>
          <w:szCs w:val="20"/>
          <w:vertAlign w:val="subscript"/>
          <w:lang w:val="en-US"/>
        </w:rPr>
        <w:t xml:space="preserve"> </w:t>
      </w:r>
      <w:r w:rsidRPr="00760BF8">
        <w:rPr>
          <w:rFonts w:ascii="Times New Roman" w:hAnsi="Times New Roman" w:cs="Times New Roman"/>
          <w:sz w:val="20"/>
          <w:szCs w:val="20"/>
          <w:lang w:val="en-US"/>
        </w:rPr>
        <w:t>= 50).</w:t>
      </w:r>
      <w:r w:rsidRPr="00760BF8">
        <w:rPr>
          <w:rFonts w:ascii="Times New Roman" w:hAnsi="Times New Roman" w:cs="Times New Roman"/>
          <w:b/>
          <w:bCs/>
          <w:sz w:val="20"/>
          <w:szCs w:val="20"/>
          <w:lang w:val="en-US"/>
        </w:rPr>
        <w:t xml:space="preserve"> </w:t>
      </w:r>
      <w:r>
        <w:rPr>
          <w:rFonts w:ascii="Times New Roman" w:hAnsi="Times New Roman" w:cs="Times New Roman"/>
          <w:b/>
          <w:bCs/>
          <w:sz w:val="20"/>
          <w:szCs w:val="20"/>
          <w:lang w:val="en-US"/>
        </w:rPr>
        <w:t xml:space="preserve">(c) </w:t>
      </w:r>
      <w:r w:rsidRPr="00C6508E">
        <w:rPr>
          <w:rFonts w:ascii="Times New Roman" w:hAnsi="Times New Roman" w:cs="Times New Roman"/>
          <w:sz w:val="20"/>
          <w:szCs w:val="20"/>
          <w:lang w:val="en-US"/>
        </w:rPr>
        <w:t>Boxplot of startle response times for each of the four trials (</w:t>
      </w:r>
      <w:r w:rsidRPr="00C6508E">
        <w:rPr>
          <w:rFonts w:ascii="Times New Roman" w:hAnsi="Times New Roman" w:cs="Times New Roman"/>
          <w:i/>
          <w:iCs/>
          <w:sz w:val="20"/>
          <w:szCs w:val="20"/>
          <w:lang w:val="en-US"/>
        </w:rPr>
        <w:t>n</w:t>
      </w:r>
      <w:r w:rsidRPr="00C6508E">
        <w:rPr>
          <w:rFonts w:ascii="Times New Roman" w:hAnsi="Times New Roman" w:cs="Times New Roman"/>
          <w:sz w:val="20"/>
          <w:szCs w:val="20"/>
          <w:lang w:val="en-US"/>
        </w:rPr>
        <w:t xml:space="preserve"> = 105 individuals per trial)</w:t>
      </w:r>
      <w:r w:rsidRPr="00C6508E">
        <w:rPr>
          <w:rFonts w:ascii="Times New Roman" w:hAnsi="Times New Roman" w:cs="Times New Roman"/>
          <w:i/>
          <w:iCs/>
          <w:sz w:val="20"/>
          <w:szCs w:val="20"/>
          <w:lang w:val="en-US"/>
        </w:rPr>
        <w:t>.</w:t>
      </w:r>
      <w:r w:rsidRPr="00C6508E">
        <w:rPr>
          <w:rFonts w:ascii="Times New Roman" w:hAnsi="Times New Roman" w:cs="Times New Roman"/>
          <w:sz w:val="20"/>
          <w:szCs w:val="20"/>
          <w:lang w:val="en-US"/>
        </w:rPr>
        <w:t xml:space="preserve"> Note that the y-axis is log scaled. Dashed line is the linear best fit trendline. </w:t>
      </w:r>
      <w:r w:rsidRPr="00C6508E">
        <w:rPr>
          <w:rFonts w:ascii="Times New Roman" w:hAnsi="Times New Roman" w:cs="Times New Roman"/>
          <w:i/>
          <w:iCs/>
          <w:sz w:val="20"/>
          <w:szCs w:val="20"/>
          <w:lang w:val="en-US"/>
        </w:rPr>
        <w:t>P</w:t>
      </w:r>
      <w:r w:rsidRPr="00C6508E">
        <w:rPr>
          <w:rFonts w:ascii="Times New Roman" w:hAnsi="Times New Roman" w:cs="Times New Roman"/>
          <w:sz w:val="20"/>
          <w:szCs w:val="20"/>
          <w:lang w:val="en-US"/>
        </w:rPr>
        <w:t>-value represents the main effect of trial from the linear mixed effects model and letters above plots denote Tukey HSD pairwise differences (see Table S3).</w:t>
      </w:r>
      <w:r w:rsidRPr="00C6508E">
        <w:rPr>
          <w:rFonts w:ascii="Times New Roman" w:hAnsi="Times New Roman" w:cs="Times New Roman"/>
          <w:b/>
          <w:bCs/>
          <w:sz w:val="15"/>
          <w:szCs w:val="15"/>
          <w:lang w:val="en-US"/>
        </w:rPr>
        <w:t xml:space="preserve"> </w:t>
      </w:r>
      <w:r w:rsidRPr="00C60F21">
        <w:rPr>
          <w:rFonts w:ascii="Times New Roman" w:hAnsi="Times New Roman" w:cs="Times New Roman"/>
          <w:b/>
          <w:bCs/>
          <w:sz w:val="20"/>
          <w:szCs w:val="20"/>
          <w:lang w:val="en-US"/>
        </w:rPr>
        <w:t>(d)</w:t>
      </w:r>
      <w:r w:rsidRPr="00760BF8">
        <w:rPr>
          <w:rFonts w:ascii="Times New Roman" w:hAnsi="Times New Roman" w:cs="Times New Roman"/>
          <w:b/>
          <w:bCs/>
          <w:sz w:val="20"/>
          <w:szCs w:val="20"/>
          <w:lang w:val="en-US"/>
        </w:rPr>
        <w:t xml:space="preserve"> </w:t>
      </w:r>
      <w:r w:rsidRPr="00760BF8">
        <w:rPr>
          <w:rFonts w:ascii="Times New Roman" w:hAnsi="Times New Roman" w:cs="Times New Roman"/>
          <w:sz w:val="20"/>
          <w:szCs w:val="20"/>
          <w:lang w:val="en-US"/>
        </w:rPr>
        <w:t xml:space="preserve">Boxplot of </w:t>
      </w:r>
      <w:r>
        <w:rPr>
          <w:rFonts w:ascii="Times New Roman" w:hAnsi="Times New Roman" w:cs="Times New Roman"/>
          <w:sz w:val="20"/>
          <w:szCs w:val="20"/>
          <w:lang w:val="en-US"/>
        </w:rPr>
        <w:t>time to open</w:t>
      </w:r>
      <w:r w:rsidRPr="00760BF8">
        <w:rPr>
          <w:rFonts w:ascii="Times New Roman" w:hAnsi="Times New Roman" w:cs="Times New Roman"/>
          <w:sz w:val="20"/>
          <w:szCs w:val="20"/>
          <w:lang w:val="en-US"/>
        </w:rPr>
        <w:t xml:space="preserve"> as a function of size class and experimental treatment. (</w:t>
      </w:r>
      <w:proofErr w:type="spellStart"/>
      <w:r w:rsidRPr="00760BF8">
        <w:rPr>
          <w:rFonts w:ascii="Times New Roman" w:hAnsi="Times New Roman" w:cs="Times New Roman"/>
          <w:i/>
          <w:iCs/>
          <w:sz w:val="20"/>
          <w:szCs w:val="20"/>
          <w:lang w:val="en-US"/>
        </w:rPr>
        <w:t>n</w:t>
      </w:r>
      <w:r w:rsidR="00922D9F">
        <w:rPr>
          <w:rFonts w:ascii="Times New Roman" w:hAnsi="Times New Roman" w:cs="Times New Roman"/>
          <w:sz w:val="20"/>
          <w:szCs w:val="20"/>
          <w:vertAlign w:val="subscript"/>
          <w:lang w:val="en-US"/>
        </w:rPr>
        <w:t>amb</w:t>
      </w:r>
      <w:proofErr w:type="spellEnd"/>
      <w:r w:rsidR="00922D9F">
        <w:rPr>
          <w:rFonts w:ascii="Times New Roman" w:hAnsi="Times New Roman" w:cs="Times New Roman"/>
          <w:sz w:val="20"/>
          <w:szCs w:val="20"/>
          <w:vertAlign w:val="subscript"/>
          <w:lang w:val="en-US"/>
        </w:rPr>
        <w:t xml:space="preserve"> </w:t>
      </w:r>
      <w:proofErr w:type="spellStart"/>
      <w:r w:rsidR="00922D9F">
        <w:rPr>
          <w:rFonts w:ascii="Times New Roman" w:hAnsi="Times New Roman" w:cs="Times New Roman"/>
          <w:sz w:val="20"/>
          <w:szCs w:val="20"/>
          <w:vertAlign w:val="subscript"/>
          <w:lang w:val="en-US"/>
        </w:rPr>
        <w:t>pH+low</w:t>
      </w:r>
      <w:proofErr w:type="spellEnd"/>
      <w:r w:rsidR="00922D9F">
        <w:rPr>
          <w:rFonts w:ascii="Times New Roman" w:hAnsi="Times New Roman" w:cs="Times New Roman"/>
          <w:sz w:val="20"/>
          <w:szCs w:val="20"/>
          <w:vertAlign w:val="subscript"/>
          <w:lang w:val="en-US"/>
        </w:rPr>
        <w:t xml:space="preserve"> temp, </w:t>
      </w:r>
      <w:r w:rsidRPr="00760BF8">
        <w:rPr>
          <w:rFonts w:ascii="Times New Roman" w:hAnsi="Times New Roman" w:cs="Times New Roman"/>
          <w:sz w:val="20"/>
          <w:szCs w:val="20"/>
          <w:vertAlign w:val="subscript"/>
          <w:lang w:val="en-US"/>
        </w:rPr>
        <w:t xml:space="preserve">large </w:t>
      </w:r>
      <w:r w:rsidRPr="00760BF8">
        <w:rPr>
          <w:rFonts w:ascii="Times New Roman" w:hAnsi="Times New Roman" w:cs="Times New Roman"/>
          <w:sz w:val="20"/>
          <w:szCs w:val="20"/>
          <w:lang w:val="en-US"/>
        </w:rPr>
        <w:t xml:space="preserve">= 14; </w:t>
      </w:r>
      <w:proofErr w:type="spellStart"/>
      <w:r w:rsidRPr="00760BF8">
        <w:rPr>
          <w:rFonts w:ascii="Times New Roman" w:hAnsi="Times New Roman" w:cs="Times New Roman"/>
          <w:i/>
          <w:iCs/>
          <w:sz w:val="20"/>
          <w:szCs w:val="20"/>
          <w:lang w:val="en-US"/>
        </w:rPr>
        <w:t>n</w:t>
      </w:r>
      <w:r w:rsidR="00922D9F">
        <w:rPr>
          <w:rFonts w:ascii="Times New Roman" w:hAnsi="Times New Roman" w:cs="Times New Roman"/>
          <w:sz w:val="20"/>
          <w:szCs w:val="20"/>
          <w:vertAlign w:val="subscript"/>
          <w:lang w:val="en-US"/>
        </w:rPr>
        <w:t>amb</w:t>
      </w:r>
      <w:proofErr w:type="spellEnd"/>
      <w:r w:rsidR="00922D9F">
        <w:rPr>
          <w:rFonts w:ascii="Times New Roman" w:hAnsi="Times New Roman" w:cs="Times New Roman"/>
          <w:sz w:val="20"/>
          <w:szCs w:val="20"/>
          <w:vertAlign w:val="subscript"/>
          <w:lang w:val="en-US"/>
        </w:rPr>
        <w:t xml:space="preserve"> </w:t>
      </w:r>
      <w:proofErr w:type="spellStart"/>
      <w:r w:rsidR="00922D9F">
        <w:rPr>
          <w:rFonts w:ascii="Times New Roman" w:hAnsi="Times New Roman" w:cs="Times New Roman"/>
          <w:sz w:val="20"/>
          <w:szCs w:val="20"/>
          <w:vertAlign w:val="subscript"/>
          <w:lang w:val="en-US"/>
        </w:rPr>
        <w:t>pH+low</w:t>
      </w:r>
      <w:proofErr w:type="spellEnd"/>
      <w:r w:rsidR="00922D9F">
        <w:rPr>
          <w:rFonts w:ascii="Times New Roman" w:hAnsi="Times New Roman" w:cs="Times New Roman"/>
          <w:sz w:val="20"/>
          <w:szCs w:val="20"/>
          <w:vertAlign w:val="subscript"/>
          <w:lang w:val="en-US"/>
        </w:rPr>
        <w:t xml:space="preserve"> temp, </w:t>
      </w:r>
      <w:r w:rsidRPr="00760BF8">
        <w:rPr>
          <w:rFonts w:ascii="Times New Roman" w:hAnsi="Times New Roman" w:cs="Times New Roman"/>
          <w:sz w:val="20"/>
          <w:szCs w:val="20"/>
          <w:vertAlign w:val="subscript"/>
          <w:lang w:val="en-US"/>
        </w:rPr>
        <w:t xml:space="preserve">small </w:t>
      </w:r>
      <w:r w:rsidRPr="00760BF8">
        <w:rPr>
          <w:rFonts w:ascii="Times New Roman" w:hAnsi="Times New Roman" w:cs="Times New Roman"/>
          <w:sz w:val="20"/>
          <w:szCs w:val="20"/>
          <w:lang w:val="en-US"/>
        </w:rPr>
        <w:t>= 15;</w:t>
      </w:r>
      <w:r w:rsidRPr="00760BF8">
        <w:rPr>
          <w:rFonts w:ascii="Times New Roman" w:hAnsi="Times New Roman" w:cs="Times New Roman"/>
          <w:i/>
          <w:iCs/>
          <w:sz w:val="20"/>
          <w:szCs w:val="20"/>
          <w:lang w:val="en-US"/>
        </w:rPr>
        <w:t xml:space="preserve"> </w:t>
      </w:r>
      <w:proofErr w:type="spellStart"/>
      <w:r w:rsidRPr="00760BF8">
        <w:rPr>
          <w:rFonts w:ascii="Times New Roman" w:hAnsi="Times New Roman" w:cs="Times New Roman"/>
          <w:i/>
          <w:iCs/>
          <w:sz w:val="20"/>
          <w:szCs w:val="20"/>
          <w:lang w:val="en-US"/>
        </w:rPr>
        <w:t>n</w:t>
      </w:r>
      <w:r>
        <w:rPr>
          <w:rFonts w:ascii="Times New Roman" w:hAnsi="Times New Roman" w:cs="Times New Roman"/>
          <w:sz w:val="20"/>
          <w:szCs w:val="20"/>
          <w:vertAlign w:val="subscript"/>
          <w:lang w:val="en-US"/>
        </w:rPr>
        <w:t>low</w:t>
      </w:r>
      <w:proofErr w:type="spellEnd"/>
      <w:r>
        <w:rPr>
          <w:rFonts w:ascii="Times New Roman" w:hAnsi="Times New Roman" w:cs="Times New Roman"/>
          <w:sz w:val="20"/>
          <w:szCs w:val="20"/>
          <w:vertAlign w:val="subscript"/>
          <w:lang w:val="en-US"/>
        </w:rPr>
        <w:t xml:space="preserve"> </w:t>
      </w:r>
      <w:proofErr w:type="spellStart"/>
      <w:r>
        <w:rPr>
          <w:rFonts w:ascii="Times New Roman" w:hAnsi="Times New Roman" w:cs="Times New Roman"/>
          <w:sz w:val="20"/>
          <w:szCs w:val="20"/>
          <w:vertAlign w:val="subscript"/>
          <w:lang w:val="en-US"/>
        </w:rPr>
        <w:t>pH</w:t>
      </w:r>
      <w:r w:rsidR="00922D9F">
        <w:rPr>
          <w:rFonts w:ascii="Times New Roman" w:hAnsi="Times New Roman" w:cs="Times New Roman"/>
          <w:sz w:val="20"/>
          <w:szCs w:val="20"/>
          <w:vertAlign w:val="subscript"/>
          <w:lang w:val="en-US"/>
        </w:rPr>
        <w:t>+low</w:t>
      </w:r>
      <w:proofErr w:type="spellEnd"/>
      <w:r w:rsidR="00922D9F">
        <w:rPr>
          <w:rFonts w:ascii="Times New Roman" w:hAnsi="Times New Roman" w:cs="Times New Roman"/>
          <w:sz w:val="20"/>
          <w:szCs w:val="20"/>
          <w:vertAlign w:val="subscript"/>
          <w:lang w:val="en-US"/>
        </w:rPr>
        <w:t xml:space="preserve"> temp,</w:t>
      </w:r>
      <w:r w:rsidRPr="00760BF8">
        <w:rPr>
          <w:rFonts w:ascii="Times New Roman" w:hAnsi="Times New Roman" w:cs="Times New Roman"/>
          <w:sz w:val="20"/>
          <w:szCs w:val="20"/>
          <w:vertAlign w:val="subscript"/>
          <w:lang w:val="en-US"/>
        </w:rPr>
        <w:t xml:space="preserve"> large </w:t>
      </w:r>
      <w:r w:rsidRPr="00760BF8">
        <w:rPr>
          <w:rFonts w:ascii="Times New Roman" w:hAnsi="Times New Roman" w:cs="Times New Roman"/>
          <w:sz w:val="20"/>
          <w:szCs w:val="20"/>
          <w:lang w:val="en-US"/>
        </w:rPr>
        <w:t xml:space="preserve">= 13; </w:t>
      </w:r>
      <w:proofErr w:type="spellStart"/>
      <w:r w:rsidRPr="00760BF8">
        <w:rPr>
          <w:rFonts w:ascii="Times New Roman" w:hAnsi="Times New Roman" w:cs="Times New Roman"/>
          <w:i/>
          <w:iCs/>
          <w:sz w:val="20"/>
          <w:szCs w:val="20"/>
          <w:lang w:val="en-US"/>
        </w:rPr>
        <w:t>n</w:t>
      </w:r>
      <w:r>
        <w:rPr>
          <w:rFonts w:ascii="Times New Roman" w:hAnsi="Times New Roman" w:cs="Times New Roman"/>
          <w:sz w:val="20"/>
          <w:szCs w:val="20"/>
          <w:vertAlign w:val="subscript"/>
          <w:lang w:val="en-US"/>
        </w:rPr>
        <w:t>low</w:t>
      </w:r>
      <w:proofErr w:type="spellEnd"/>
      <w:r>
        <w:rPr>
          <w:rFonts w:ascii="Times New Roman" w:hAnsi="Times New Roman" w:cs="Times New Roman"/>
          <w:sz w:val="20"/>
          <w:szCs w:val="20"/>
          <w:vertAlign w:val="subscript"/>
          <w:lang w:val="en-US"/>
        </w:rPr>
        <w:t xml:space="preserve"> </w:t>
      </w:r>
      <w:proofErr w:type="spellStart"/>
      <w:r>
        <w:rPr>
          <w:rFonts w:ascii="Times New Roman" w:hAnsi="Times New Roman" w:cs="Times New Roman"/>
          <w:sz w:val="20"/>
          <w:szCs w:val="20"/>
          <w:vertAlign w:val="subscript"/>
          <w:lang w:val="en-US"/>
        </w:rPr>
        <w:t>pH</w:t>
      </w:r>
      <w:r w:rsidR="00922D9F">
        <w:rPr>
          <w:rFonts w:ascii="Times New Roman" w:hAnsi="Times New Roman" w:cs="Times New Roman"/>
          <w:sz w:val="20"/>
          <w:szCs w:val="20"/>
          <w:vertAlign w:val="subscript"/>
          <w:lang w:val="en-US"/>
        </w:rPr>
        <w:t>+low</w:t>
      </w:r>
      <w:proofErr w:type="spellEnd"/>
      <w:r w:rsidR="00922D9F">
        <w:rPr>
          <w:rFonts w:ascii="Times New Roman" w:hAnsi="Times New Roman" w:cs="Times New Roman"/>
          <w:sz w:val="20"/>
          <w:szCs w:val="20"/>
          <w:vertAlign w:val="subscript"/>
          <w:lang w:val="en-US"/>
        </w:rPr>
        <w:t xml:space="preserve"> temp</w:t>
      </w:r>
      <w:r w:rsidRPr="00760BF8">
        <w:rPr>
          <w:rFonts w:ascii="Times New Roman" w:hAnsi="Times New Roman" w:cs="Times New Roman"/>
          <w:sz w:val="20"/>
          <w:szCs w:val="20"/>
          <w:vertAlign w:val="subscript"/>
          <w:lang w:val="en-US"/>
        </w:rPr>
        <w:t xml:space="preserve"> small </w:t>
      </w:r>
      <w:r w:rsidRPr="00760BF8">
        <w:rPr>
          <w:rFonts w:ascii="Times New Roman" w:hAnsi="Times New Roman" w:cs="Times New Roman"/>
          <w:sz w:val="20"/>
          <w:szCs w:val="20"/>
          <w:lang w:val="en-US"/>
        </w:rPr>
        <w:t>= 13;</w:t>
      </w:r>
      <w:r w:rsidRPr="00760BF8">
        <w:rPr>
          <w:rFonts w:ascii="Times New Roman" w:hAnsi="Times New Roman" w:cs="Times New Roman"/>
          <w:i/>
          <w:iCs/>
          <w:sz w:val="20"/>
          <w:szCs w:val="20"/>
          <w:lang w:val="en-US"/>
        </w:rPr>
        <w:t xml:space="preserve"> n</w:t>
      </w:r>
      <w:r w:rsidR="00922D9F" w:rsidRPr="00922D9F">
        <w:rPr>
          <w:rFonts w:ascii="Times New Roman" w:hAnsi="Times New Roman" w:cs="Times New Roman"/>
          <w:sz w:val="20"/>
          <w:szCs w:val="20"/>
          <w:vertAlign w:val="subscript"/>
          <w:lang w:val="en-US"/>
        </w:rPr>
        <w:t xml:space="preserve"> </w:t>
      </w:r>
      <w:proofErr w:type="spellStart"/>
      <w:r w:rsidR="00922D9F">
        <w:rPr>
          <w:rFonts w:ascii="Times New Roman" w:hAnsi="Times New Roman" w:cs="Times New Roman"/>
          <w:sz w:val="20"/>
          <w:szCs w:val="20"/>
          <w:vertAlign w:val="subscript"/>
          <w:lang w:val="en-US"/>
        </w:rPr>
        <w:t>amb</w:t>
      </w:r>
      <w:proofErr w:type="spellEnd"/>
      <w:r w:rsidR="00922D9F">
        <w:rPr>
          <w:rFonts w:ascii="Times New Roman" w:hAnsi="Times New Roman" w:cs="Times New Roman"/>
          <w:sz w:val="20"/>
          <w:szCs w:val="20"/>
          <w:vertAlign w:val="subscript"/>
          <w:lang w:val="en-US"/>
        </w:rPr>
        <w:t xml:space="preserve"> </w:t>
      </w:r>
      <w:proofErr w:type="spellStart"/>
      <w:r w:rsidR="00922D9F">
        <w:rPr>
          <w:rFonts w:ascii="Times New Roman" w:hAnsi="Times New Roman" w:cs="Times New Roman"/>
          <w:sz w:val="20"/>
          <w:szCs w:val="20"/>
          <w:vertAlign w:val="subscript"/>
          <w:lang w:val="en-US"/>
        </w:rPr>
        <w:t>pH+</w:t>
      </w:r>
      <w:r w:rsidRPr="00760BF8">
        <w:rPr>
          <w:rFonts w:ascii="Times New Roman" w:hAnsi="Times New Roman" w:cs="Times New Roman"/>
          <w:sz w:val="20"/>
          <w:szCs w:val="20"/>
          <w:vertAlign w:val="subscript"/>
          <w:lang w:val="en-US"/>
        </w:rPr>
        <w:t>high</w:t>
      </w:r>
      <w:proofErr w:type="spellEnd"/>
      <w:r w:rsidRPr="00760BF8">
        <w:rPr>
          <w:rFonts w:ascii="Times New Roman" w:hAnsi="Times New Roman" w:cs="Times New Roman"/>
          <w:sz w:val="20"/>
          <w:szCs w:val="20"/>
          <w:vertAlign w:val="subscript"/>
          <w:lang w:val="en-US"/>
        </w:rPr>
        <w:t xml:space="preserve"> temp, large </w:t>
      </w:r>
      <w:r w:rsidRPr="00760BF8">
        <w:rPr>
          <w:rFonts w:ascii="Times New Roman" w:hAnsi="Times New Roman" w:cs="Times New Roman"/>
          <w:sz w:val="20"/>
          <w:szCs w:val="20"/>
          <w:lang w:val="en-US"/>
        </w:rPr>
        <w:t xml:space="preserve">= 12; </w:t>
      </w:r>
      <w:r w:rsidRPr="00760BF8">
        <w:rPr>
          <w:rFonts w:ascii="Times New Roman" w:hAnsi="Times New Roman" w:cs="Times New Roman"/>
          <w:i/>
          <w:iCs/>
          <w:sz w:val="20"/>
          <w:szCs w:val="20"/>
          <w:lang w:val="en-US"/>
        </w:rPr>
        <w:t>n</w:t>
      </w:r>
      <w:r w:rsidR="00922D9F" w:rsidRPr="00922D9F">
        <w:rPr>
          <w:rFonts w:ascii="Times New Roman" w:hAnsi="Times New Roman" w:cs="Times New Roman"/>
          <w:sz w:val="20"/>
          <w:szCs w:val="20"/>
          <w:vertAlign w:val="subscript"/>
          <w:lang w:val="en-US"/>
        </w:rPr>
        <w:t xml:space="preserve"> </w:t>
      </w:r>
      <w:proofErr w:type="spellStart"/>
      <w:r w:rsidR="00922D9F">
        <w:rPr>
          <w:rFonts w:ascii="Times New Roman" w:hAnsi="Times New Roman" w:cs="Times New Roman"/>
          <w:sz w:val="20"/>
          <w:szCs w:val="20"/>
          <w:vertAlign w:val="subscript"/>
          <w:lang w:val="en-US"/>
        </w:rPr>
        <w:t>amb</w:t>
      </w:r>
      <w:proofErr w:type="spellEnd"/>
      <w:r w:rsidR="00922D9F">
        <w:rPr>
          <w:rFonts w:ascii="Times New Roman" w:hAnsi="Times New Roman" w:cs="Times New Roman"/>
          <w:sz w:val="20"/>
          <w:szCs w:val="20"/>
          <w:vertAlign w:val="subscript"/>
          <w:lang w:val="en-US"/>
        </w:rPr>
        <w:t xml:space="preserve"> </w:t>
      </w:r>
      <w:proofErr w:type="spellStart"/>
      <w:r w:rsidR="00922D9F">
        <w:rPr>
          <w:rFonts w:ascii="Times New Roman" w:hAnsi="Times New Roman" w:cs="Times New Roman"/>
          <w:sz w:val="20"/>
          <w:szCs w:val="20"/>
          <w:vertAlign w:val="subscript"/>
          <w:lang w:val="en-US"/>
        </w:rPr>
        <w:t>pH+</w:t>
      </w:r>
      <w:r w:rsidRPr="00760BF8">
        <w:rPr>
          <w:rFonts w:ascii="Times New Roman" w:hAnsi="Times New Roman" w:cs="Times New Roman"/>
          <w:sz w:val="20"/>
          <w:szCs w:val="20"/>
          <w:vertAlign w:val="subscript"/>
          <w:lang w:val="en-US"/>
        </w:rPr>
        <w:t>high</w:t>
      </w:r>
      <w:proofErr w:type="spellEnd"/>
      <w:r w:rsidRPr="00760BF8">
        <w:rPr>
          <w:rFonts w:ascii="Times New Roman" w:hAnsi="Times New Roman" w:cs="Times New Roman"/>
          <w:sz w:val="20"/>
          <w:szCs w:val="20"/>
          <w:vertAlign w:val="subscript"/>
          <w:lang w:val="en-US"/>
        </w:rPr>
        <w:t xml:space="preserve"> temp, small </w:t>
      </w:r>
      <w:r w:rsidRPr="00760BF8">
        <w:rPr>
          <w:rFonts w:ascii="Times New Roman" w:hAnsi="Times New Roman" w:cs="Times New Roman"/>
          <w:sz w:val="20"/>
          <w:szCs w:val="20"/>
          <w:lang w:val="en-US"/>
        </w:rPr>
        <w:t>= 14;</w:t>
      </w:r>
      <w:r w:rsidRPr="00760BF8">
        <w:rPr>
          <w:rFonts w:ascii="Times New Roman" w:hAnsi="Times New Roman" w:cs="Times New Roman"/>
          <w:i/>
          <w:iCs/>
          <w:sz w:val="20"/>
          <w:szCs w:val="20"/>
          <w:lang w:val="en-US"/>
        </w:rPr>
        <w:t xml:space="preserve"> </w:t>
      </w:r>
      <w:proofErr w:type="spellStart"/>
      <w:r w:rsidRPr="00760BF8">
        <w:rPr>
          <w:rFonts w:ascii="Times New Roman" w:hAnsi="Times New Roman" w:cs="Times New Roman"/>
          <w:i/>
          <w:iCs/>
          <w:sz w:val="20"/>
          <w:szCs w:val="20"/>
          <w:lang w:val="en-US"/>
        </w:rPr>
        <w:t>n</w:t>
      </w:r>
      <w:r>
        <w:rPr>
          <w:rFonts w:ascii="Times New Roman" w:hAnsi="Times New Roman" w:cs="Times New Roman"/>
          <w:sz w:val="20"/>
          <w:szCs w:val="20"/>
          <w:vertAlign w:val="subscript"/>
          <w:lang w:val="en-US"/>
        </w:rPr>
        <w:t>low</w:t>
      </w:r>
      <w:proofErr w:type="spellEnd"/>
      <w:r>
        <w:rPr>
          <w:rFonts w:ascii="Times New Roman" w:hAnsi="Times New Roman" w:cs="Times New Roman"/>
          <w:sz w:val="20"/>
          <w:szCs w:val="20"/>
          <w:vertAlign w:val="subscript"/>
          <w:lang w:val="en-US"/>
        </w:rPr>
        <w:t xml:space="preserve"> </w:t>
      </w:r>
      <w:proofErr w:type="spellStart"/>
      <w:r>
        <w:rPr>
          <w:rFonts w:ascii="Times New Roman" w:hAnsi="Times New Roman" w:cs="Times New Roman"/>
          <w:sz w:val="20"/>
          <w:szCs w:val="20"/>
          <w:vertAlign w:val="subscript"/>
          <w:lang w:val="en-US"/>
        </w:rPr>
        <w:t>pH</w:t>
      </w:r>
      <w:r w:rsidR="00922D9F">
        <w:rPr>
          <w:rFonts w:ascii="Times New Roman" w:hAnsi="Times New Roman" w:cs="Times New Roman"/>
          <w:sz w:val="20"/>
          <w:szCs w:val="20"/>
          <w:vertAlign w:val="subscript"/>
          <w:lang w:val="en-US"/>
        </w:rPr>
        <w:t>+</w:t>
      </w:r>
      <w:r>
        <w:rPr>
          <w:rFonts w:ascii="Times New Roman" w:hAnsi="Times New Roman" w:cs="Times New Roman"/>
          <w:sz w:val="20"/>
          <w:szCs w:val="20"/>
          <w:vertAlign w:val="subscript"/>
          <w:lang w:val="en-US"/>
        </w:rPr>
        <w:t>high</w:t>
      </w:r>
      <w:proofErr w:type="spellEnd"/>
      <w:r>
        <w:rPr>
          <w:rFonts w:ascii="Times New Roman" w:hAnsi="Times New Roman" w:cs="Times New Roman"/>
          <w:sz w:val="20"/>
          <w:szCs w:val="20"/>
          <w:vertAlign w:val="subscript"/>
          <w:lang w:val="en-US"/>
        </w:rPr>
        <w:t xml:space="preserve"> </w:t>
      </w:r>
      <w:r w:rsidRPr="00760BF8">
        <w:rPr>
          <w:rFonts w:ascii="Times New Roman" w:hAnsi="Times New Roman" w:cs="Times New Roman"/>
          <w:sz w:val="20"/>
          <w:szCs w:val="20"/>
          <w:vertAlign w:val="subscript"/>
          <w:lang w:val="en-US"/>
        </w:rPr>
        <w:t xml:space="preserve">temp, large </w:t>
      </w:r>
      <w:r w:rsidRPr="00760BF8">
        <w:rPr>
          <w:rFonts w:ascii="Times New Roman" w:hAnsi="Times New Roman" w:cs="Times New Roman"/>
          <w:sz w:val="20"/>
          <w:szCs w:val="20"/>
          <w:lang w:val="en-US"/>
        </w:rPr>
        <w:t xml:space="preserve">= 9; </w:t>
      </w:r>
      <w:proofErr w:type="spellStart"/>
      <w:r w:rsidRPr="00760BF8">
        <w:rPr>
          <w:rFonts w:ascii="Times New Roman" w:hAnsi="Times New Roman" w:cs="Times New Roman"/>
          <w:i/>
          <w:iCs/>
          <w:sz w:val="20"/>
          <w:szCs w:val="20"/>
          <w:lang w:val="en-US"/>
        </w:rPr>
        <w:t>n</w:t>
      </w:r>
      <w:r>
        <w:rPr>
          <w:rFonts w:ascii="Times New Roman" w:hAnsi="Times New Roman" w:cs="Times New Roman"/>
          <w:sz w:val="20"/>
          <w:szCs w:val="20"/>
          <w:vertAlign w:val="subscript"/>
          <w:lang w:val="en-US"/>
        </w:rPr>
        <w:t>low</w:t>
      </w:r>
      <w:proofErr w:type="spellEnd"/>
      <w:r>
        <w:rPr>
          <w:rFonts w:ascii="Times New Roman" w:hAnsi="Times New Roman" w:cs="Times New Roman"/>
          <w:sz w:val="20"/>
          <w:szCs w:val="20"/>
          <w:vertAlign w:val="subscript"/>
          <w:lang w:val="en-US"/>
        </w:rPr>
        <w:t xml:space="preserve"> </w:t>
      </w:r>
      <w:proofErr w:type="spellStart"/>
      <w:r>
        <w:rPr>
          <w:rFonts w:ascii="Times New Roman" w:hAnsi="Times New Roman" w:cs="Times New Roman"/>
          <w:sz w:val="20"/>
          <w:szCs w:val="20"/>
          <w:vertAlign w:val="subscript"/>
          <w:lang w:val="en-US"/>
        </w:rPr>
        <w:t>pH</w:t>
      </w:r>
      <w:r w:rsidRPr="00760BF8">
        <w:rPr>
          <w:rFonts w:ascii="Times New Roman" w:hAnsi="Times New Roman" w:cs="Times New Roman"/>
          <w:sz w:val="20"/>
          <w:szCs w:val="20"/>
          <w:vertAlign w:val="subscript"/>
          <w:lang w:val="en-US"/>
        </w:rPr>
        <w:t>+</w:t>
      </w:r>
      <w:r>
        <w:rPr>
          <w:rFonts w:ascii="Times New Roman" w:hAnsi="Times New Roman" w:cs="Times New Roman"/>
          <w:sz w:val="20"/>
          <w:szCs w:val="20"/>
          <w:vertAlign w:val="subscript"/>
          <w:lang w:val="en-US"/>
        </w:rPr>
        <w:t>high</w:t>
      </w:r>
      <w:proofErr w:type="spellEnd"/>
      <w:r>
        <w:rPr>
          <w:rFonts w:ascii="Times New Roman" w:hAnsi="Times New Roman" w:cs="Times New Roman"/>
          <w:sz w:val="20"/>
          <w:szCs w:val="20"/>
          <w:vertAlign w:val="subscript"/>
          <w:lang w:val="en-US"/>
        </w:rPr>
        <w:t xml:space="preserve"> </w:t>
      </w:r>
      <w:r w:rsidRPr="00760BF8">
        <w:rPr>
          <w:rFonts w:ascii="Times New Roman" w:hAnsi="Times New Roman" w:cs="Times New Roman"/>
          <w:sz w:val="20"/>
          <w:szCs w:val="20"/>
          <w:vertAlign w:val="subscript"/>
          <w:lang w:val="en-US"/>
        </w:rPr>
        <w:t xml:space="preserve">temp, small </w:t>
      </w:r>
      <w:r w:rsidRPr="00760BF8">
        <w:rPr>
          <w:rFonts w:ascii="Times New Roman" w:hAnsi="Times New Roman" w:cs="Times New Roman"/>
          <w:sz w:val="20"/>
          <w:szCs w:val="20"/>
          <w:lang w:val="en-US"/>
        </w:rPr>
        <w:t xml:space="preserve">= 15). </w:t>
      </w:r>
      <w:r w:rsidR="00550C32">
        <w:rPr>
          <w:rFonts w:ascii="Times New Roman" w:hAnsi="Times New Roman" w:cs="Times New Roman"/>
          <w:sz w:val="20"/>
          <w:szCs w:val="20"/>
          <w:lang w:val="en-US"/>
        </w:rPr>
        <w:t xml:space="preserve">Small and large </w:t>
      </w:r>
      <w:r w:rsidRPr="00661DF0">
        <w:rPr>
          <w:rFonts w:ascii="Times New Roman" w:hAnsi="Times New Roman" w:cs="Times New Roman"/>
          <w:sz w:val="20"/>
          <w:szCs w:val="20"/>
          <w:lang w:val="en-US"/>
        </w:rPr>
        <w:t xml:space="preserve">size classes are represented by </w:t>
      </w:r>
      <w:r w:rsidR="00550C32">
        <w:rPr>
          <w:rFonts w:ascii="Times New Roman" w:hAnsi="Times New Roman" w:cs="Times New Roman"/>
          <w:sz w:val="20"/>
          <w:szCs w:val="20"/>
          <w:lang w:val="en-US"/>
        </w:rPr>
        <w:t xml:space="preserve">open and </w:t>
      </w:r>
      <w:r w:rsidRPr="00661DF0">
        <w:rPr>
          <w:rFonts w:ascii="Times New Roman" w:hAnsi="Times New Roman" w:cs="Times New Roman"/>
          <w:sz w:val="20"/>
          <w:szCs w:val="20"/>
          <w:lang w:val="en-US"/>
        </w:rPr>
        <w:t>filled boxes, respectively.</w:t>
      </w:r>
      <w:r w:rsidRPr="00760BF8">
        <w:rPr>
          <w:rFonts w:ascii="Times New Roman" w:hAnsi="Times New Roman" w:cs="Times New Roman"/>
          <w:sz w:val="20"/>
          <w:szCs w:val="20"/>
          <w:lang w:val="en-US"/>
        </w:rPr>
        <w:t xml:space="preserve"> </w:t>
      </w:r>
      <w:r w:rsidRPr="00C60F21">
        <w:rPr>
          <w:rFonts w:ascii="Times New Roman" w:hAnsi="Times New Roman" w:cs="Times New Roman"/>
          <w:b/>
          <w:bCs/>
          <w:sz w:val="20"/>
          <w:szCs w:val="20"/>
          <w:lang w:val="en-US"/>
        </w:rPr>
        <w:t>(</w:t>
      </w:r>
      <w:r>
        <w:rPr>
          <w:rFonts w:ascii="Times New Roman" w:hAnsi="Times New Roman" w:cs="Times New Roman"/>
          <w:b/>
          <w:bCs/>
          <w:sz w:val="20"/>
          <w:szCs w:val="20"/>
          <w:lang w:val="en-US"/>
        </w:rPr>
        <w:t>e</w:t>
      </w:r>
      <w:r w:rsidRPr="00C60F21">
        <w:rPr>
          <w:rFonts w:ascii="Times New Roman" w:hAnsi="Times New Roman" w:cs="Times New Roman"/>
          <w:b/>
          <w:bCs/>
          <w:sz w:val="20"/>
          <w:szCs w:val="20"/>
          <w:lang w:val="en-US"/>
        </w:rPr>
        <w:t>)</w:t>
      </w:r>
      <w:r w:rsidRPr="00760BF8">
        <w:rPr>
          <w:rFonts w:ascii="Times New Roman" w:hAnsi="Times New Roman" w:cs="Times New Roman"/>
          <w:b/>
          <w:bCs/>
          <w:sz w:val="20"/>
          <w:szCs w:val="20"/>
          <w:lang w:val="en-US"/>
        </w:rPr>
        <w:t xml:space="preserve"> </w:t>
      </w:r>
      <w:r w:rsidRPr="00760BF8">
        <w:rPr>
          <w:rFonts w:ascii="Times New Roman" w:hAnsi="Times New Roman" w:cs="Times New Roman"/>
          <w:sz w:val="20"/>
          <w:szCs w:val="20"/>
          <w:lang w:val="en-US"/>
        </w:rPr>
        <w:t xml:space="preserve">Boxplot of </w:t>
      </w:r>
      <w:r>
        <w:rPr>
          <w:rFonts w:ascii="Times New Roman" w:hAnsi="Times New Roman" w:cs="Times New Roman"/>
          <w:sz w:val="20"/>
          <w:szCs w:val="20"/>
          <w:lang w:val="en-US"/>
        </w:rPr>
        <w:t>time to open</w:t>
      </w:r>
      <w:r w:rsidRPr="00760BF8">
        <w:rPr>
          <w:rFonts w:ascii="Times New Roman" w:hAnsi="Times New Roman" w:cs="Times New Roman"/>
          <w:sz w:val="20"/>
          <w:szCs w:val="20"/>
          <w:lang w:val="en-US"/>
        </w:rPr>
        <w:t xml:space="preserve"> coefficient of variation </w:t>
      </w:r>
      <w:r w:rsidR="00AA0107">
        <w:rPr>
          <w:rFonts w:ascii="Times New Roman" w:hAnsi="Times New Roman" w:cs="Times New Roman"/>
          <w:sz w:val="20"/>
          <w:szCs w:val="20"/>
          <w:lang w:val="en-US"/>
        </w:rPr>
        <w:t>(</w:t>
      </w:r>
      <w:proofErr w:type="spellStart"/>
      <w:r w:rsidR="00AA0107">
        <w:rPr>
          <w:rFonts w:ascii="Times New Roman" w:hAnsi="Times New Roman" w:cs="Times New Roman"/>
          <w:sz w:val="20"/>
          <w:szCs w:val="20"/>
          <w:lang w:val="en-US"/>
        </w:rPr>
        <w:t>CoV</w:t>
      </w:r>
      <w:proofErr w:type="spellEnd"/>
      <w:r w:rsidR="00AA0107">
        <w:rPr>
          <w:rFonts w:ascii="Times New Roman" w:hAnsi="Times New Roman" w:cs="Times New Roman"/>
          <w:sz w:val="20"/>
          <w:szCs w:val="20"/>
          <w:lang w:val="en-US"/>
        </w:rPr>
        <w:t xml:space="preserve">) </w:t>
      </w:r>
      <w:r w:rsidRPr="00760BF8">
        <w:rPr>
          <w:rFonts w:ascii="Times New Roman" w:hAnsi="Times New Roman" w:cs="Times New Roman"/>
          <w:sz w:val="20"/>
          <w:szCs w:val="20"/>
          <w:lang w:val="en-US"/>
        </w:rPr>
        <w:t>for each size class (</w:t>
      </w:r>
      <w:proofErr w:type="spellStart"/>
      <w:r w:rsidRPr="00760BF8">
        <w:rPr>
          <w:rFonts w:ascii="Times New Roman" w:hAnsi="Times New Roman" w:cs="Times New Roman"/>
          <w:i/>
          <w:iCs/>
          <w:sz w:val="20"/>
          <w:szCs w:val="20"/>
          <w:lang w:val="en-US"/>
        </w:rPr>
        <w:t>n</w:t>
      </w:r>
      <w:r w:rsidRPr="00760BF8">
        <w:rPr>
          <w:rFonts w:ascii="Times New Roman" w:hAnsi="Times New Roman" w:cs="Times New Roman"/>
          <w:sz w:val="20"/>
          <w:szCs w:val="20"/>
          <w:vertAlign w:val="subscript"/>
          <w:lang w:val="en-US"/>
        </w:rPr>
        <w:t>large</w:t>
      </w:r>
      <w:proofErr w:type="spellEnd"/>
      <w:r w:rsidRPr="00760BF8">
        <w:rPr>
          <w:rFonts w:ascii="Times New Roman" w:hAnsi="Times New Roman" w:cs="Times New Roman"/>
          <w:sz w:val="20"/>
          <w:szCs w:val="20"/>
          <w:vertAlign w:val="subscript"/>
          <w:lang w:val="en-US"/>
        </w:rPr>
        <w:t xml:space="preserve"> </w:t>
      </w:r>
      <w:r w:rsidRPr="00760BF8">
        <w:rPr>
          <w:rFonts w:ascii="Times New Roman" w:hAnsi="Times New Roman" w:cs="Times New Roman"/>
          <w:sz w:val="20"/>
          <w:szCs w:val="20"/>
          <w:lang w:val="en-US"/>
        </w:rPr>
        <w:t xml:space="preserve">= 55, </w:t>
      </w:r>
      <w:proofErr w:type="spellStart"/>
      <w:r w:rsidRPr="00760BF8">
        <w:rPr>
          <w:rFonts w:ascii="Times New Roman" w:hAnsi="Times New Roman" w:cs="Times New Roman"/>
          <w:i/>
          <w:iCs/>
          <w:sz w:val="20"/>
          <w:szCs w:val="20"/>
          <w:lang w:val="en-US"/>
        </w:rPr>
        <w:t>n</w:t>
      </w:r>
      <w:r w:rsidRPr="00760BF8">
        <w:rPr>
          <w:rFonts w:ascii="Times New Roman" w:hAnsi="Times New Roman" w:cs="Times New Roman"/>
          <w:sz w:val="20"/>
          <w:szCs w:val="20"/>
          <w:vertAlign w:val="subscript"/>
          <w:lang w:val="en-US"/>
        </w:rPr>
        <w:t>small</w:t>
      </w:r>
      <w:proofErr w:type="spellEnd"/>
      <w:r w:rsidRPr="00760BF8">
        <w:rPr>
          <w:rFonts w:ascii="Times New Roman" w:hAnsi="Times New Roman" w:cs="Times New Roman"/>
          <w:sz w:val="20"/>
          <w:szCs w:val="20"/>
          <w:vertAlign w:val="subscript"/>
          <w:lang w:val="en-US"/>
        </w:rPr>
        <w:t xml:space="preserve"> </w:t>
      </w:r>
      <w:r w:rsidRPr="00760BF8">
        <w:rPr>
          <w:rFonts w:ascii="Times New Roman" w:hAnsi="Times New Roman" w:cs="Times New Roman"/>
          <w:sz w:val="20"/>
          <w:szCs w:val="20"/>
          <w:lang w:val="en-US"/>
        </w:rPr>
        <w:t>= 50).</w:t>
      </w:r>
      <w:r w:rsidRPr="00760BF8">
        <w:rPr>
          <w:rFonts w:ascii="Times New Roman" w:hAnsi="Times New Roman" w:cs="Times New Roman"/>
          <w:b/>
          <w:bCs/>
          <w:sz w:val="20"/>
          <w:szCs w:val="20"/>
          <w:lang w:val="en-US"/>
        </w:rPr>
        <w:t xml:space="preserve"> </w:t>
      </w:r>
      <w:r w:rsidRPr="00760BF8">
        <w:rPr>
          <w:rFonts w:ascii="Times New Roman" w:hAnsi="Times New Roman" w:cs="Times New Roman"/>
          <w:sz w:val="20"/>
          <w:szCs w:val="20"/>
          <w:lang w:val="en-US"/>
        </w:rPr>
        <w:t xml:space="preserve">Note that all y-axes are log scaled. Sample sizes are number of individuals. </w:t>
      </w:r>
      <w:r w:rsidRPr="00760BF8">
        <w:rPr>
          <w:rFonts w:ascii="Times New Roman" w:hAnsi="Times New Roman" w:cs="Times New Roman"/>
          <w:i/>
          <w:iCs/>
          <w:sz w:val="20"/>
          <w:szCs w:val="20"/>
          <w:lang w:val="en-US"/>
        </w:rPr>
        <w:t>P</w:t>
      </w:r>
      <w:r w:rsidRPr="00760BF8">
        <w:rPr>
          <w:rFonts w:ascii="Times New Roman" w:hAnsi="Times New Roman" w:cs="Times New Roman"/>
          <w:sz w:val="20"/>
          <w:szCs w:val="20"/>
          <w:lang w:val="en-US"/>
        </w:rPr>
        <w:t xml:space="preserve">-values represent main effect results from the </w:t>
      </w:r>
      <w:r>
        <w:rPr>
          <w:rFonts w:ascii="Times New Roman" w:hAnsi="Times New Roman" w:cs="Times New Roman"/>
          <w:sz w:val="20"/>
          <w:szCs w:val="20"/>
          <w:lang w:val="en-US"/>
        </w:rPr>
        <w:t xml:space="preserve">mixed effect Cox proportional hazards model for time to open (a-c), and </w:t>
      </w:r>
      <w:r w:rsidRPr="00760BF8">
        <w:rPr>
          <w:rFonts w:ascii="Times New Roman" w:hAnsi="Times New Roman" w:cs="Times New Roman"/>
          <w:sz w:val="20"/>
          <w:szCs w:val="20"/>
          <w:lang w:val="en-US"/>
        </w:rPr>
        <w:t>linear mixed effects model</w:t>
      </w:r>
      <w:r>
        <w:rPr>
          <w:rFonts w:ascii="Times New Roman" w:hAnsi="Times New Roman" w:cs="Times New Roman"/>
          <w:sz w:val="20"/>
          <w:szCs w:val="20"/>
          <w:lang w:val="en-US"/>
        </w:rPr>
        <w:t xml:space="preserve"> for </w:t>
      </w:r>
      <w:proofErr w:type="spellStart"/>
      <w:r>
        <w:rPr>
          <w:rFonts w:ascii="Times New Roman" w:hAnsi="Times New Roman" w:cs="Times New Roman"/>
          <w:sz w:val="20"/>
          <w:szCs w:val="20"/>
          <w:lang w:val="en-US"/>
        </w:rPr>
        <w:t>CoV</w:t>
      </w:r>
      <w:proofErr w:type="spellEnd"/>
      <w:r w:rsidRPr="00760BF8">
        <w:rPr>
          <w:rFonts w:ascii="Times New Roman" w:hAnsi="Times New Roman" w:cs="Times New Roman"/>
          <w:sz w:val="20"/>
          <w:szCs w:val="20"/>
          <w:lang w:val="en-US"/>
        </w:rPr>
        <w:t xml:space="preserve"> (see </w:t>
      </w:r>
      <w:r>
        <w:rPr>
          <w:rFonts w:ascii="Times New Roman" w:hAnsi="Times New Roman" w:cs="Times New Roman"/>
          <w:sz w:val="20"/>
          <w:szCs w:val="20"/>
          <w:lang w:val="en-US"/>
        </w:rPr>
        <w:t>T</w:t>
      </w:r>
      <w:r w:rsidRPr="00760BF8">
        <w:rPr>
          <w:rFonts w:ascii="Times New Roman" w:hAnsi="Times New Roman" w:cs="Times New Roman"/>
          <w:sz w:val="20"/>
          <w:szCs w:val="20"/>
          <w:lang w:val="en-US"/>
        </w:rPr>
        <w:t>ables S2 and S</w:t>
      </w:r>
      <w:r>
        <w:rPr>
          <w:rFonts w:ascii="Times New Roman" w:hAnsi="Times New Roman" w:cs="Times New Roman"/>
          <w:sz w:val="20"/>
          <w:szCs w:val="20"/>
          <w:lang w:val="en-US"/>
        </w:rPr>
        <w:t>5</w:t>
      </w:r>
      <w:r w:rsidRPr="00760BF8">
        <w:rPr>
          <w:rFonts w:ascii="Times New Roman" w:hAnsi="Times New Roman" w:cs="Times New Roman"/>
          <w:sz w:val="20"/>
          <w:szCs w:val="20"/>
          <w:lang w:val="en-US"/>
        </w:rPr>
        <w:t>).</w:t>
      </w:r>
    </w:p>
    <w:p w14:paraId="12073724" w14:textId="77777777" w:rsidR="00247EF3" w:rsidRDefault="00247EF3" w:rsidP="00247EF3">
      <w:pPr>
        <w:suppressLineNumbers/>
        <w:spacing w:after="240"/>
        <w:contextualSpacing/>
        <w:jc w:val="both"/>
        <w:rPr>
          <w:rFonts w:ascii="Times New Roman" w:hAnsi="Times New Roman" w:cs="Times New Roman"/>
          <w:sz w:val="20"/>
          <w:szCs w:val="20"/>
          <w:lang w:val="en-US"/>
        </w:rPr>
      </w:pPr>
    </w:p>
    <w:p w14:paraId="39DB11E8" w14:textId="77777777" w:rsidR="00247EF3" w:rsidRPr="00B827CA" w:rsidRDefault="00247EF3" w:rsidP="00247EF3">
      <w:pPr>
        <w:suppressLineNumbers/>
        <w:spacing w:after="240"/>
        <w:contextualSpacing/>
        <w:jc w:val="both"/>
        <w:rPr>
          <w:rFonts w:ascii="Times New Roman" w:hAnsi="Times New Roman" w:cs="Times New Roman"/>
          <w:sz w:val="20"/>
          <w:szCs w:val="20"/>
        </w:rPr>
      </w:pPr>
    </w:p>
    <w:p w14:paraId="244AC31B" w14:textId="4CF89853" w:rsidR="00247EF3" w:rsidRDefault="00247EF3" w:rsidP="006A2314">
      <w:pPr>
        <w:spacing w:after="240" w:line="480" w:lineRule="auto"/>
        <w:jc w:val="both"/>
        <w:rPr>
          <w:rFonts w:ascii="Times New Roman" w:hAnsi="Times New Roman" w:cs="Times New Roman"/>
        </w:rPr>
      </w:pPr>
      <w:r>
        <w:rPr>
          <w:rFonts w:ascii="Times New Roman" w:hAnsi="Times New Roman" w:cs="Times New Roman"/>
        </w:rPr>
        <w:t>Alongside staying closed longer, smaller mussels also had a higher individual coefficient of variation (</w:t>
      </w:r>
      <w:proofErr w:type="spellStart"/>
      <w:r>
        <w:rPr>
          <w:rFonts w:ascii="Times New Roman" w:hAnsi="Times New Roman" w:cs="Times New Roman"/>
        </w:rPr>
        <w:t>CoV</w:t>
      </w:r>
      <w:proofErr w:type="spellEnd"/>
      <w:r>
        <w:rPr>
          <w:rFonts w:ascii="Times New Roman" w:hAnsi="Times New Roman" w:cs="Times New Roman"/>
        </w:rPr>
        <w:t xml:space="preserve">) in time to open than larger mussels (59.9 ± 37.0 % in small </w:t>
      </w:r>
      <w:r>
        <w:rPr>
          <w:rFonts w:ascii="Times New Roman" w:hAnsi="Times New Roman" w:cs="Times New Roman"/>
          <w:i/>
          <w:iCs/>
        </w:rPr>
        <w:t xml:space="preserve">versus </w:t>
      </w:r>
      <w:r>
        <w:rPr>
          <w:rFonts w:ascii="Times New Roman" w:hAnsi="Times New Roman" w:cs="Times New Roman"/>
        </w:rPr>
        <w:t xml:space="preserve">41.2 ± 28.6 % in large; Figure 3e). Time to open </w:t>
      </w:r>
      <w:proofErr w:type="spellStart"/>
      <w:r>
        <w:rPr>
          <w:rFonts w:ascii="Times New Roman" w:hAnsi="Times New Roman" w:cs="Times New Roman"/>
        </w:rPr>
        <w:t>CoV</w:t>
      </w:r>
      <w:proofErr w:type="spellEnd"/>
      <w:r>
        <w:rPr>
          <w:rFonts w:ascii="Times New Roman" w:hAnsi="Times New Roman" w:cs="Times New Roman"/>
        </w:rPr>
        <w:t xml:space="preserve"> was not significantly affected by any other factor </w:t>
      </w:r>
      <w:r w:rsidR="0078579A">
        <w:rPr>
          <w:rFonts w:ascii="Times New Roman" w:hAnsi="Times New Roman" w:cs="Times New Roman"/>
        </w:rPr>
        <w:t xml:space="preserve">(or interaction) </w:t>
      </w:r>
      <w:r>
        <w:rPr>
          <w:rFonts w:ascii="Times New Roman" w:hAnsi="Times New Roman" w:cs="Times New Roman"/>
        </w:rPr>
        <w:t xml:space="preserve">aside from size class (Table S5). </w:t>
      </w:r>
    </w:p>
    <w:p w14:paraId="632BA3C5" w14:textId="406685A4" w:rsidR="00247EF3" w:rsidRPr="00190CA1" w:rsidRDefault="00247EF3" w:rsidP="006A2314">
      <w:pPr>
        <w:spacing w:after="240" w:line="480" w:lineRule="auto"/>
        <w:jc w:val="both"/>
        <w:rPr>
          <w:rFonts w:ascii="Times New Roman" w:hAnsi="Times New Roman" w:cs="Times New Roman"/>
        </w:rPr>
      </w:pPr>
      <w:r w:rsidRPr="00B43A8A">
        <w:rPr>
          <w:rFonts w:ascii="Times New Roman" w:hAnsi="Times New Roman" w:cs="Times New Roman"/>
        </w:rPr>
        <w:lastRenderedPageBreak/>
        <w:t xml:space="preserve">The propensity </w:t>
      </w:r>
      <w:r>
        <w:rPr>
          <w:rFonts w:ascii="Times New Roman" w:hAnsi="Times New Roman" w:cs="Times New Roman"/>
        </w:rPr>
        <w:t xml:space="preserve">of individuals to remain closed for the duration of a given trial was independently affect by size class and temperature but not by </w:t>
      </w:r>
      <w:proofErr w:type="spellStart"/>
      <w:r>
        <w:rPr>
          <w:rFonts w:ascii="Times New Roman" w:hAnsi="Times New Roman" w:cs="Times New Roman"/>
        </w:rPr>
        <w:t>pH</w:t>
      </w:r>
      <w:r>
        <w:rPr>
          <w:rFonts w:ascii="Times New Roman" w:hAnsi="Times New Roman" w:cs="Times New Roman"/>
          <w:vertAlign w:val="subscript"/>
        </w:rPr>
        <w:t>T</w:t>
      </w:r>
      <w:proofErr w:type="spellEnd"/>
      <w:r>
        <w:rPr>
          <w:rFonts w:ascii="Times New Roman" w:hAnsi="Times New Roman" w:cs="Times New Roman"/>
        </w:rPr>
        <w:t xml:space="preserve"> or trial (Figure S4</w:t>
      </w:r>
      <w:r w:rsidR="00F24185">
        <w:rPr>
          <w:rFonts w:ascii="Times New Roman" w:hAnsi="Times New Roman" w:cs="Times New Roman"/>
        </w:rPr>
        <w:t>;</w:t>
      </w:r>
      <w:r>
        <w:rPr>
          <w:rFonts w:ascii="Times New Roman" w:hAnsi="Times New Roman" w:cs="Times New Roman"/>
        </w:rPr>
        <w:t xml:space="preserve"> Table S7). The proportion of trials in which individuals did not open was higher in the small size class and under high temperatures (Figure S4). Overall, however, the percentage of trials in which individuals did not open was low (13.1%).</w:t>
      </w:r>
    </w:p>
    <w:p w14:paraId="1C36A8EA" w14:textId="77777777" w:rsidR="00247EF3" w:rsidRDefault="00247EF3" w:rsidP="006A2314">
      <w:pPr>
        <w:spacing w:after="240" w:line="480" w:lineRule="auto"/>
        <w:jc w:val="both"/>
        <w:rPr>
          <w:rFonts w:ascii="Times New Roman" w:hAnsi="Times New Roman" w:cs="Times New Roman"/>
          <w:b/>
          <w:bCs/>
        </w:rPr>
      </w:pPr>
      <w:r>
        <w:rPr>
          <w:rFonts w:ascii="Times New Roman" w:hAnsi="Times New Roman" w:cs="Times New Roman"/>
          <w:b/>
          <w:bCs/>
        </w:rPr>
        <w:t>Discussion</w:t>
      </w:r>
    </w:p>
    <w:p w14:paraId="77FAE582" w14:textId="19C7A346" w:rsidR="00247EF3" w:rsidRDefault="00247EF3" w:rsidP="006A2314">
      <w:pPr>
        <w:spacing w:after="240" w:line="480" w:lineRule="auto"/>
        <w:jc w:val="both"/>
        <w:rPr>
          <w:rFonts w:ascii="Times New Roman" w:hAnsi="Times New Roman" w:cs="Times New Roman"/>
        </w:rPr>
      </w:pPr>
      <w:r>
        <w:rPr>
          <w:rFonts w:ascii="Times New Roman" w:hAnsi="Times New Roman" w:cs="Times New Roman"/>
        </w:rPr>
        <w:t xml:space="preserve">This study provides novel insights into the </w:t>
      </w:r>
      <w:r w:rsidR="00943795">
        <w:rPr>
          <w:rFonts w:ascii="Times New Roman" w:hAnsi="Times New Roman" w:cs="Times New Roman"/>
        </w:rPr>
        <w:t>behavior</w:t>
      </w:r>
      <w:r>
        <w:rPr>
          <w:rFonts w:ascii="Times New Roman" w:hAnsi="Times New Roman" w:cs="Times New Roman"/>
        </w:rPr>
        <w:t xml:space="preserve">al ecology of a bivalve startle response (time to open) and how this </w:t>
      </w:r>
      <w:r w:rsidR="00943795">
        <w:rPr>
          <w:rFonts w:ascii="Times New Roman" w:hAnsi="Times New Roman" w:cs="Times New Roman"/>
        </w:rPr>
        <w:t>behavior</w:t>
      </w:r>
      <w:r>
        <w:rPr>
          <w:rFonts w:ascii="Times New Roman" w:hAnsi="Times New Roman" w:cs="Times New Roman"/>
        </w:rPr>
        <w:t xml:space="preserve"> might be impacted under global changes. Results suggest that startle responses in bivalves are repeatable in short-term contexts. In addition, these responses appear to be a function of relative </w:t>
      </w:r>
      <w:r w:rsidR="00914A8A">
        <w:rPr>
          <w:rFonts w:ascii="Times New Roman" w:hAnsi="Times New Roman" w:cs="Times New Roman"/>
        </w:rPr>
        <w:t xml:space="preserve">vulnerability to </w:t>
      </w:r>
      <w:r>
        <w:rPr>
          <w:rFonts w:ascii="Times New Roman" w:hAnsi="Times New Roman" w:cs="Times New Roman"/>
        </w:rPr>
        <w:t xml:space="preserve">predation and are negatively affected by elevated temperatures but not </w:t>
      </w:r>
      <w:r w:rsidR="00983D3A">
        <w:rPr>
          <w:rFonts w:ascii="Times New Roman" w:hAnsi="Times New Roman" w:cs="Times New Roman"/>
        </w:rPr>
        <w:t>by reduced</w:t>
      </w:r>
      <w:r>
        <w:rPr>
          <w:rFonts w:ascii="Times New Roman" w:hAnsi="Times New Roman" w:cs="Times New Roman"/>
        </w:rPr>
        <w:t xml:space="preserve"> </w:t>
      </w:r>
      <w:proofErr w:type="spellStart"/>
      <w:r>
        <w:rPr>
          <w:rFonts w:ascii="Times New Roman" w:hAnsi="Times New Roman" w:cs="Times New Roman"/>
        </w:rPr>
        <w:t>pH</w:t>
      </w:r>
      <w:r>
        <w:rPr>
          <w:rFonts w:ascii="Times New Roman" w:hAnsi="Times New Roman" w:cs="Times New Roman"/>
          <w:vertAlign w:val="subscript"/>
        </w:rPr>
        <w:t>T</w:t>
      </w:r>
      <w:proofErr w:type="spellEnd"/>
      <w:r>
        <w:rPr>
          <w:rFonts w:ascii="Times New Roman" w:hAnsi="Times New Roman" w:cs="Times New Roman"/>
        </w:rPr>
        <w:t xml:space="preserve">. </w:t>
      </w:r>
    </w:p>
    <w:p w14:paraId="42142B8E" w14:textId="296254E1" w:rsidR="00BB11DD" w:rsidRDefault="00BB11DD" w:rsidP="006A2314">
      <w:pPr>
        <w:spacing w:after="240" w:line="480" w:lineRule="auto"/>
        <w:jc w:val="both"/>
        <w:rPr>
          <w:rFonts w:ascii="Times New Roman" w:hAnsi="Times New Roman" w:cs="Times New Roman"/>
        </w:rPr>
      </w:pPr>
      <w:r>
        <w:rPr>
          <w:rFonts w:ascii="Times New Roman" w:hAnsi="Times New Roman" w:cs="Times New Roman"/>
        </w:rPr>
        <w:t>Contrary to our prediction that increased temperatures would reduce time to open, exposure to elevated temperature resulted in</w:t>
      </w:r>
      <w:r w:rsidRPr="0013459F">
        <w:rPr>
          <w:rFonts w:ascii="Times New Roman" w:hAnsi="Times New Roman" w:cs="Times New Roman"/>
        </w:rPr>
        <w:t xml:space="preserve"> increased </w:t>
      </w:r>
      <w:r>
        <w:rPr>
          <w:rFonts w:ascii="Times New Roman" w:hAnsi="Times New Roman" w:cs="Times New Roman"/>
        </w:rPr>
        <w:t>time to open</w:t>
      </w:r>
      <w:r w:rsidRPr="0013459F">
        <w:rPr>
          <w:rFonts w:ascii="Times New Roman" w:hAnsi="Times New Roman" w:cs="Times New Roman"/>
        </w:rPr>
        <w:t xml:space="preserve"> and </w:t>
      </w:r>
      <w:r>
        <w:rPr>
          <w:rFonts w:ascii="Times New Roman" w:hAnsi="Times New Roman" w:cs="Times New Roman"/>
        </w:rPr>
        <w:t>drove a significantly higher</w:t>
      </w:r>
      <w:r w:rsidRPr="0013459F">
        <w:rPr>
          <w:rFonts w:ascii="Times New Roman" w:hAnsi="Times New Roman" w:cs="Times New Roman"/>
        </w:rPr>
        <w:t xml:space="preserve"> proportion of observations where animals did not open </w:t>
      </w:r>
      <w:r>
        <w:rPr>
          <w:rFonts w:ascii="Times New Roman" w:hAnsi="Times New Roman" w:cs="Times New Roman"/>
        </w:rPr>
        <w:t>during a given trial</w:t>
      </w:r>
      <w:r w:rsidRPr="0013459F">
        <w:rPr>
          <w:rFonts w:ascii="Times New Roman" w:hAnsi="Times New Roman" w:cs="Times New Roman"/>
        </w:rPr>
        <w:t xml:space="preserve">. </w:t>
      </w:r>
      <w:r>
        <w:rPr>
          <w:rFonts w:ascii="Times New Roman" w:hAnsi="Times New Roman" w:cs="Times New Roman"/>
        </w:rPr>
        <w:t>Our initial prediction was generated f</w:t>
      </w:r>
      <w:r w:rsidRPr="0013459F">
        <w:rPr>
          <w:rFonts w:ascii="Times New Roman" w:hAnsi="Times New Roman" w:cs="Times New Roman"/>
        </w:rPr>
        <w:t>rom a physiological perspective</w:t>
      </w:r>
      <w:r>
        <w:rPr>
          <w:rFonts w:ascii="Times New Roman" w:hAnsi="Times New Roman" w:cs="Times New Roman"/>
        </w:rPr>
        <w:t xml:space="preserve"> with the reasoning </w:t>
      </w:r>
      <w:r w:rsidRPr="0013459F">
        <w:rPr>
          <w:rFonts w:ascii="Times New Roman" w:hAnsi="Times New Roman" w:cs="Times New Roman"/>
        </w:rPr>
        <w:t xml:space="preserve">that </w:t>
      </w:r>
      <w:r>
        <w:rPr>
          <w:rFonts w:ascii="Times New Roman" w:hAnsi="Times New Roman" w:cs="Times New Roman"/>
        </w:rPr>
        <w:t>higher temperatures</w:t>
      </w:r>
      <w:r w:rsidRPr="0013459F">
        <w:rPr>
          <w:rFonts w:ascii="Times New Roman" w:hAnsi="Times New Roman" w:cs="Times New Roman"/>
        </w:rPr>
        <w:t xml:space="preserve"> </w:t>
      </w:r>
      <w:r>
        <w:rPr>
          <w:rFonts w:ascii="Times New Roman" w:hAnsi="Times New Roman" w:cs="Times New Roman"/>
        </w:rPr>
        <w:t xml:space="preserve">raise metabolic rates, which increase the need for oxygen and nutrient uptake. Similar results are reported for Mediterranean mussels, </w:t>
      </w:r>
      <w:r>
        <w:rPr>
          <w:rFonts w:ascii="Times New Roman" w:hAnsi="Times New Roman" w:cs="Times New Roman"/>
          <w:i/>
          <w:iCs/>
        </w:rPr>
        <w:t xml:space="preserve">Mytilus </w:t>
      </w:r>
      <w:proofErr w:type="spellStart"/>
      <w:r>
        <w:rPr>
          <w:rFonts w:ascii="Times New Roman" w:hAnsi="Times New Roman" w:cs="Times New Roman"/>
          <w:i/>
          <w:iCs/>
        </w:rPr>
        <w:t>galloprovincialis</w:t>
      </w:r>
      <w:proofErr w:type="spellEnd"/>
      <w:r>
        <w:rPr>
          <w:rFonts w:ascii="Times New Roman" w:hAnsi="Times New Roman" w:cs="Times New Roman"/>
        </w:rPr>
        <w:t xml:space="preserve">, which increased time to open under higher temperature </w:t>
      </w:r>
      <w:r w:rsidR="006828B4">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{"citationID":"smkacdVZ","properties":{"formattedCitation":"(Anestis et al. 2007)","plainCitation":"(Anestis et al. 2007)","noteIndex":0},"citationItems":[{"id":302,"uris":["http://zotero.org/users/6612280/items/XW5W5XY8"],"uri":["http://zotero.org/users/6612280/items/XW5W5XY8"],"itemData":{"id":302,"type":"article-journal","abstract":"The present study aimed to determine the thermal response of the Mediterranean mussel Mytilus galloprovincialis by integrating information from various levels of biological organization including behavior, metabolic adjustments, heat shock protein expression, and protein kinase activity. Behavioral responses were determined by examining the effect of warming on valve closure and opening. Metabolic impacts were assessed by examining the activity of the key glycolytic enzyme pyruvate kinase (PK). Molecular responses were addressed through the expression of Hsp70 and Hsp90 and the phosphorylation of stress-activated protein kinases, p38 mitogen-activated protein kinase (p38 MAPK) and cJun-N-terminal kinases (JNKs). Mussels increased the duration of valve closure by about sixfold when acclimated to 24°C rather than to 17°C. As indicated by the activity of PK, such behavior caused metabolic depression and probably a shift from aerobic to anaerobic metabolism. Acclimation to temperatures higher than 24°C caused an increase in mortality and induced the expression of Hsp72. Increased phosphorylation of p38 MAPK and JNKs indicated activation of MAPK signaling cascades. The potential involvement of MAPKs in the induction of Hsp genes in the tissues of M. galloprovincialis is discussed. In conclusion, it seems that M. galloprovincialis lives close to its acclimation limits and incipient lethal temperature and that a small degree of warming will elicit stress responses at whole organism and molecular levels.","container-title":"American Journal of Physiology-Regulatory, Integrative and Comparative Physiology","DOI":"10.1152/ajpregu.00124.2007","ISSN":"0363-6119, 1522-1490","journalAbbreviation":"Am J Physiol - Reg Integr Comp Physiol","language":"en","page":"R911-R921","source":"DOI.org (Crossref)","title":"Behavioral, metabolic, and molecular stress responses of marine bivalve &lt;i&gt;Mytilus galloprovincialis&lt;/i&gt; during long-term acclimation at increasing ambient temperature","volume":"293","author":[{"family":"Anestis","given":"A."},{"family":"Lazou","given":"A."},{"family":"Pörtner","given":"H.-O."},{"family":"Michaelidis","given":"B."}],"issued":{"date-parts":[["2007",8]]}}}],"schema":"https://github.com/citation-style-language/schema/raw/master/csl-citation.json"} </w:instrText>
      </w:r>
      <w:r w:rsidR="006828B4">
        <w:rPr>
          <w:rFonts w:ascii="Times New Roman" w:hAnsi="Times New Roman" w:cs="Times New Roman"/>
        </w:rPr>
        <w:fldChar w:fldCharType="separate"/>
      </w:r>
      <w:r w:rsidR="006828B4">
        <w:rPr>
          <w:rFonts w:ascii="Times New Roman" w:hAnsi="Times New Roman" w:cs="Times New Roman"/>
          <w:noProof/>
        </w:rPr>
        <w:t>(Anestis et al. 2007)</w:t>
      </w:r>
      <w:r w:rsidR="006828B4">
        <w:rPr>
          <w:rFonts w:ascii="Times New Roman" w:hAnsi="Times New Roman" w:cs="Times New Roman"/>
        </w:rPr>
        <w:fldChar w:fldCharType="end"/>
      </w:r>
      <w:r>
        <w:rPr>
          <w:rFonts w:ascii="Times New Roman" w:hAnsi="Times New Roman" w:cs="Times New Roman"/>
        </w:rPr>
        <w:t>. In addition, continually opening and closing would incur energetic costs for individual mussels</w:t>
      </w:r>
      <w:r w:rsidR="0013769C">
        <w:rPr>
          <w:rFonts w:ascii="Times New Roman" w:hAnsi="Times New Roman" w:cs="Times New Roman"/>
        </w:rPr>
        <w:t>. R</w:t>
      </w:r>
      <w:r>
        <w:rPr>
          <w:rFonts w:ascii="Times New Roman" w:hAnsi="Times New Roman" w:cs="Times New Roman"/>
        </w:rPr>
        <w:t xml:space="preserve">emaining closed for a longer period of time under the risk of predation at higher temperatures </w:t>
      </w:r>
      <w:r w:rsidR="0013769C">
        <w:rPr>
          <w:rFonts w:ascii="Times New Roman" w:hAnsi="Times New Roman" w:cs="Times New Roman"/>
        </w:rPr>
        <w:t xml:space="preserve">(where metabolic activity, and thus basal energetic expenditure, is higher) </w:t>
      </w:r>
      <w:r>
        <w:rPr>
          <w:rFonts w:ascii="Times New Roman" w:hAnsi="Times New Roman" w:cs="Times New Roman"/>
        </w:rPr>
        <w:t xml:space="preserve">could potentially be a strategy to reduce energetic costs if the mussels would have to close again after re-opening. Rather than increasing oxygen and nutrient uptake, it seems </w:t>
      </w:r>
      <w:r>
        <w:rPr>
          <w:rFonts w:ascii="Times New Roman" w:hAnsi="Times New Roman" w:cs="Times New Roman"/>
        </w:rPr>
        <w:lastRenderedPageBreak/>
        <w:t>that bivalves generally increase the time spent closed</w:t>
      </w:r>
      <w:r w:rsidR="0013769C">
        <w:rPr>
          <w:rFonts w:ascii="Times New Roman" w:hAnsi="Times New Roman" w:cs="Times New Roman"/>
        </w:rPr>
        <w:t>, possibly</w:t>
      </w:r>
      <w:r>
        <w:rPr>
          <w:rFonts w:ascii="Times New Roman" w:hAnsi="Times New Roman" w:cs="Times New Roman"/>
        </w:rPr>
        <w:t xml:space="preserve"> to depress metabolism and offset the energy demand associated with higher temperature</w:t>
      </w:r>
      <w:r w:rsidR="006828B4">
        <w:rPr>
          <w:rFonts w:ascii="Times New Roman" w:hAnsi="Times New Roman" w:cs="Times New Roman"/>
        </w:rPr>
        <w:t xml:space="preserve"> </w:t>
      </w:r>
      <w:r w:rsidR="006828B4">
        <w:rPr>
          <w:rFonts w:ascii="Times New Roman" w:hAnsi="Times New Roman" w:cs="Times New Roman"/>
        </w:rPr>
        <w:fldChar w:fldCharType="begin"/>
      </w:r>
      <w:r w:rsidR="00BF2836">
        <w:rPr>
          <w:rFonts w:ascii="Times New Roman" w:hAnsi="Times New Roman" w:cs="Times New Roman"/>
        </w:rPr>
        <w:instrText xml:space="preserve"> ADDIN ZOTERO_ITEM CSL_CITATION {"citationID":"nETHBQ0f","properties":{"formattedCitation":"(de Zwaan et al. 1980; Ortmann and Grieshaber 2003; Anestis et al. 2007)","plainCitation":"(de Zwaan et al. 1980; Ortmann and Grieshaber 2003; Anestis et al. 2007)","noteIndex":0},"citationItems":[{"id":305,"uris":["http://zotero.org/users/6612280/items/BEAJXFRJ"],"uri":["http://zotero.org/users/6612280/items/BEAJXFRJ"],"itemData":{"id":305,"type":"article-journal","container-title":"Journal of Comparative Physiology B","journalAbbreviation":"J. Comp. Physiol. B","language":"en","page":"105-114","source":"Zotero","title":"Physiological and biochemical aspects of the valve snap and valve closure responses in the giant scallop &lt;i&gt;Placopecten magellanicus&lt;/i&gt;","volume":"137","author":[{"family":"Zwaan","given":"A.","non-dropping-particle":"de"},{"family":"Thompson","given":"R.J."},{"family":"Livingstone","given":"D.R."}],"issued":{"date-parts":[["1980"]]}}},{"id":303,"uris":["http://zotero.org/users/6612280/items/NM494SSC"],"uri":["http://zotero.org/users/6612280/items/NM494SSC"],"itemData":{"id":303,"type":"article-journal","abstract":"Since its invasion of Europe in the early 1980s, the Asian clam Corbicula ﬂuminea has become very abundant in nearly all western river systems. Today this species is one of the most important biomass producers in the River Rhine. Monitoring the valve movements of C. ﬂuminea over a period of 2 years revealed a circadian rhythm in summer, with extended periods (10–12·h) of valve closure, predominantly in the morning hours. Altogether valve movements were very scarce, frequently fewer than four movements per individual per day.","container-title":"Journal of Experimental Biology","DOI":"10.1242/jeb.00656","ISSN":"0022-0949, 1477-9145","journalAbbreviation":"Journal of Experimental Biology","language":"en","page":"4167-4178","source":"DOI.org (Crossref)","title":"Energy metabolism and valve closure behaviour in the Asian clam Corbicula fluminea","volume":"206","author":[{"family":"Ortmann","given":"C."},{"family":"Grieshaber","given":"M.K."}],"issued":{"date-parts":[["2003",11,15]]}}},{"id":302,"uris":["http://zotero.org/users/6612280/items/XW5W5XY8"],"uri":["http://zotero.org/users/6612280/items/XW5W5XY8"],"itemData":{"id":302,"type":"article-journal","abstract":"The present study aimed to determine the thermal response of the Mediterranean mussel Mytilus galloprovincialis by integrating information from various levels of biological organization including behavior, metabolic adjustments, heat shock protein expression, and protein kinase activity. Behavioral responses were determined by examining the effect of warming on valve closure and opening. Metabolic impacts were assessed by examining the activity of the key glycolytic enzyme pyruvate kinase (PK). Molecular responses were addressed through the expression of Hsp70 and Hsp90 and the phosphorylation of stress-activated protein kinases, p38 mitogen-activated protein kinase (p38 MAPK) and cJun-N-terminal kinases (JNKs). Mussels increased the duration of valve closure by about sixfold when acclimated to 24°C rather than to 17°C. As indicated by the activity of PK, such behavior caused metabolic depression and probably a shift from aerobic to anaerobic metabolism. Acclimation to temperatures higher than 24°C caused an increase in mortality and induced the expression of Hsp72. Increased phosphorylation of p38 MAPK and JNKs indicated activation of MAPK signaling cascades. The potential involvement of MAPKs in the induction of Hsp genes in the tissues of M. galloprovincialis is discussed. In conclusion, it seems that M. galloprovincialis lives close to its acclimation limits and incipient lethal temperature and that a small degree of warming will elicit stress responses at whole organism and molecular levels.","container-title":"American Journal of Physiology-Regulatory, Integrative and Comparative Physiology","DOI":"10.1152/ajpregu.00124.2007","ISSN":"0363-6119, 1522-1490","journalAbbreviation":"Am J Physiol - Reg Integr Comp Physiol","language":"en","page":"R911-R921","source":"DOI.org (Crossref)","title":"Behavioral, metabolic, and molecular stress responses of marine bivalve &lt;i&gt;Mytilus galloprovincialis&lt;/i&gt; during long-term acclimation at increasing ambient temperature","volume":"293","author":[{"family":"Anestis","given":"A."},{"family":"Lazou","given":"A."},{"family":"Pörtner","given":"H.-O."},{"family":"Michaelidis","given":"B."}],"issued":{"date-parts":[["2007",8]]}}}],"schema":"https://github.com/citation-style-language/schema/raw/master/csl-citation.json"} </w:instrText>
      </w:r>
      <w:r w:rsidR="006828B4">
        <w:rPr>
          <w:rFonts w:ascii="Times New Roman" w:hAnsi="Times New Roman" w:cs="Times New Roman"/>
        </w:rPr>
        <w:fldChar w:fldCharType="separate"/>
      </w:r>
      <w:r w:rsidR="006828B4">
        <w:rPr>
          <w:rFonts w:ascii="Times New Roman" w:hAnsi="Times New Roman" w:cs="Times New Roman"/>
          <w:noProof/>
        </w:rPr>
        <w:t>(de Zwaan et al. 1980; Ortmann and Grieshaber 2003; Anestis et al. 2007)</w:t>
      </w:r>
      <w:r w:rsidR="006828B4">
        <w:rPr>
          <w:rFonts w:ascii="Times New Roman" w:hAnsi="Times New Roman" w:cs="Times New Roman"/>
        </w:rPr>
        <w:fldChar w:fldCharType="end"/>
      </w:r>
      <w:r w:rsidR="006828B4">
        <w:rPr>
          <w:rFonts w:ascii="Times New Roman" w:hAnsi="Times New Roman" w:cs="Times New Roman"/>
        </w:rPr>
        <w:t xml:space="preserve">. </w:t>
      </w:r>
      <w:r>
        <w:rPr>
          <w:rFonts w:ascii="Times New Roman" w:hAnsi="Times New Roman" w:cs="Times New Roman"/>
        </w:rPr>
        <w:t xml:space="preserve">Such a strategy </w:t>
      </w:r>
      <w:r w:rsidR="0013769C">
        <w:rPr>
          <w:rFonts w:ascii="Times New Roman" w:hAnsi="Times New Roman" w:cs="Times New Roman"/>
        </w:rPr>
        <w:t>could help</w:t>
      </w:r>
      <w:r>
        <w:rPr>
          <w:rFonts w:ascii="Times New Roman" w:hAnsi="Times New Roman" w:cs="Times New Roman"/>
        </w:rPr>
        <w:t xml:space="preserve"> explain reports of reduced growth and condition under higher temperatures</w:t>
      </w:r>
      <w:r w:rsidR="006828B4">
        <w:rPr>
          <w:rFonts w:ascii="Times New Roman" w:hAnsi="Times New Roman" w:cs="Times New Roman"/>
        </w:rPr>
        <w:t xml:space="preserve"> </w:t>
      </w:r>
      <w:r w:rsidR="006828B4">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{"citationID":"Ftj34Oiz","properties":{"formattedCitation":"(Mackenzie et al. 2014; Clements, Hicks, et al. 2018)","plainCitation":"(Mackenzie et al. 2014; Clements, Hicks, et al. 2018)","noteIndex":0},"citationItems":[{"id":166,"uris":["http://zotero.org/users/6612280/items/KQWQJXZ9"],"uri":["http://zotero.org/users/6612280/items/KQWQJXZ9"],"itemData":{"id":166,"type":"article-journal","abstract":"Ocean surface pH levels are predicted to fall by 0.3–0.4 pH units by the end of the century and are likely to coincide with an increase in sea surface temperature of 2–4uC. The combined effect of ocean acidification and warming on the functional properties of bivalve shells is largely unknown and of growing concern as the shell provides protection from mechanical and environmental challenges. We examined the effects of near-future pH (ambient pH –0.4 pH units) and warming (ambient temperature +4uC) on the shells of the commercially important bivalve, Mytilus edulis when fed for a limited period (4–6 h day21). After six months exposure, warming, but not acidification, significantly reduced shell strength determined as reductions in the maximum load endured by the shells. However, acidification resulted in a reduction in shell flex before failure. Reductions in shell strength with warming could not be explained by alterations in morphology, or shell composition but were accompanied by reductions in shell surface area, and by a fall in whole-body condition index. It appears that warming has an indirect effect on shell strength by re-allocating energy from shell formation to support temperature-related increases in maintenance costs, especially as food supply was limited and the mussels were probably relying on internal energy reserves. The maintenance of shell strength despite seawater acidification suggests that biomineralisation processes are unaffected by the associated changes in CaCO3 saturation levels. We conclude that under near-future climate change conditions, ocean warming will pose a greater risk to shell integrity in M. edulis than ocean acidification when food availability is limited.","container-title":"PLoS ONE","DOI":"10.1371/journal.pone.0086764","ISSN":"1932-6203","journalAbbreviation":"PLoS ONE","language":"en","page":"e86764","source":"DOI.org (Crossref)","title":"Ocean warming, more than acidification, reduces shell strength in a commercial shellfish species during food limitation","volume":"9","author":[{"family":"Mackenzie","given":"C.L."},{"family":"Ormondroyd","given":"G.A."},{"family":"Curling","given":"S.F."},{"family":"Ball","given":"R.J."},{"family":"Whiteley","given":"N.M."},{"family":"Malham","given":"S.K."}],"issued":{"date-parts":[["2014",1,28]]}}},{"id":24,"uris":["http://zotero.org/users/6612280/items/PTP7UH2Y"],"uri":["http://zotero.org/users/6612280/items/PTP7UH2Y"],"itemData":{"id":24,"type":"article-journal","abstract":"Pre-spawning blue mussels (Mytilus edulis) appear sensitive to elevated temperature and robust to elevated pCO2; however, the eﬀects of these stressors soon after investing energy into spawning remain unknown. Furthermore, while studies suggest that elevated pCO2 aﬀects the byssal attachment strength of Mytilus trossulus from southern latitudes, pCO2 and temperature impacts on the byssus strength of other species at higher latitudes remain undocumented. In a 90 day laboratory experiment, we exposed post-spawning adult blue mussels (M. edulis) from Atlantic Canada to three pCO2 levels (pCO2 ~625, 1295 and 2440 μatm) at two diﬀerent temperatures (16°C and 22°C) and assessed energetic reserves on Day 90, byssal attachment strength on Days 30 and 60, and condition index and mortality on Days 30, 60 and 90. Results indicated that glycogen content was negatively aﬀected under elevated temperature, but protein, lipid, and overall energy content were unaﬀected. Reduced glycogen content under elevated temperature was associated with reduced condition index, reduced byssal thread attachment strength, and increased mortality; elevated pCO2 had no eﬀects. Overall, these results suggest that the glycogen reserves of post-spawning adult M. edulis are sensitive to elevated temperature, and can result in reduced health and byssal attachment strength, leading to increased mortality. These results are similar to those reported for pre-spawning mussels and suggest that post-spawning blue mussels are tolerant to elevated pCO2 and sensitive to elevated temperature. In contrast to previous studies, however, elevated pCO2 did not aﬀect byssus strength, suggesting that negative eﬀects of elevated pCO2 on byssus strength are not universal.","container-title":"Conservation Physiology","DOI":"10.1093/conphys/cox078","ISSN":"2051-1434","journalAbbreviation":"Cons. Physiol.","language":"en","page":"cox078","source":"DOI.org (Crossref)","title":"Elevated seawater temperature, not &lt;i&gt;p&lt;/i&gt;CO&lt;sub&gt;2&lt;/sub&gt;, negatively affects post-spawning adult mussels (&lt;i&gt;Mytilus edulis&lt;/i&gt;) under food limitation","volume":"6","author":[{"family":"Clements","given":"J.C."},{"family":"Hicks","given":"C."},{"family":"Tremblay","given":"R."},{"family":"Comeau","given":"L.A."}],"issued":{"date-parts":[["2018",1,1]]}}}],"schema":"https://github.com/citation-style-language/schema/raw/master/csl-citation.json"} </w:instrText>
      </w:r>
      <w:r w:rsidR="006828B4">
        <w:rPr>
          <w:rFonts w:ascii="Times New Roman" w:hAnsi="Times New Roman" w:cs="Times New Roman"/>
        </w:rPr>
        <w:fldChar w:fldCharType="separate"/>
      </w:r>
      <w:r w:rsidR="00A10CF3">
        <w:rPr>
          <w:rFonts w:ascii="Times New Roman" w:hAnsi="Times New Roman" w:cs="Times New Roman"/>
          <w:noProof/>
        </w:rPr>
        <w:t>(Mackenzie et al. 2014; Clements, Hicks, et al. 2018)</w:t>
      </w:r>
      <w:r w:rsidR="006828B4">
        <w:rPr>
          <w:rFonts w:ascii="Times New Roman" w:hAnsi="Times New Roman" w:cs="Times New Roman"/>
        </w:rPr>
        <w:fldChar w:fldCharType="end"/>
      </w:r>
      <w:r>
        <w:rPr>
          <w:rFonts w:ascii="Times New Roman" w:hAnsi="Times New Roman" w:cs="Times New Roman"/>
        </w:rPr>
        <w:t>, observations which have been verified in the field by mussel farmers in eastern Canada</w:t>
      </w:r>
      <w:r w:rsidR="006828B4">
        <w:rPr>
          <w:rFonts w:ascii="Times New Roman" w:hAnsi="Times New Roman" w:cs="Times New Roman"/>
          <w:noProof/>
        </w:rPr>
        <w:t xml:space="preserve"> </w:t>
      </w:r>
      <w:r w:rsidR="006828B4">
        <w:rPr>
          <w:rFonts w:ascii="Times New Roman" w:hAnsi="Times New Roman" w:cs="Times New Roman"/>
          <w:noProof/>
        </w:rPr>
        <w:fldChar w:fldCharType="begin"/>
      </w:r>
      <w:r w:rsidR="004F04C1">
        <w:rPr>
          <w:rFonts w:ascii="Times New Roman" w:hAnsi="Times New Roman" w:cs="Times New Roman"/>
          <w:noProof/>
        </w:rPr>
        <w:instrText xml:space="preserve"> ADDIN ZOTERO_ITEM CSL_CITATION {"citationID":"0HFjE1K0","properties":{"formattedCitation":"(Clements, Hicks, et al. 2018)","plainCitation":"(Clements, Hicks, et al. 2018)","noteIndex":0},"citationItems":[{"id":24,"uris":["http://zotero.org/users/6612280/items/PTP7UH2Y"],"uri":["http://zotero.org/users/6612280/items/PTP7UH2Y"],"itemData":{"id":24,"type":"article-journal","abstract":"Pre-spawning blue mussels (Mytilus edulis) appear sensitive to elevated temperature and robust to elevated pCO2; however, the eﬀects of these stressors soon after investing energy into spawning remain unknown. Furthermore, while studies suggest that elevated pCO2 aﬀects the byssal attachment strength of Mytilus trossulus from southern latitudes, pCO2 and temperature impacts on the byssus strength of other species at higher latitudes remain undocumented. In a 90 day laboratory experiment, we exposed post-spawning adult blue mussels (M. edulis) from Atlantic Canada to three pCO2 levels (pCO2 ~625, 1295 and 2440 μatm) at two diﬀerent temperatures (16°C and 22°C) and assessed energetic reserves on Day 90, byssal attachment strength on Days 30 and 60, and condition index and mortality on Days 30, 60 and 90. Results indicated that glycogen content was negatively aﬀected under elevated temperature, but protein, lipid, and overall energy content were unaﬀected. Reduced glycogen content under elevated temperature was associated with reduced condition index, reduced byssal thread attachment strength, and increased mortality; elevated pCO2 had no eﬀects. Overall, these results suggest that the glycogen reserves of post-spawning adult M. edulis are sensitive to elevated temperature, and can result in reduced health and byssal attachment strength, leading to increased mortality. These results are similar to those reported for pre-spawning mussels and suggest that post-spawning blue mussels are tolerant to elevated pCO2 and sensitive to elevated temperature. In contrast to previous studies, however, elevated pCO2 did not aﬀect byssus strength, suggesting that negative eﬀects of elevated pCO2 on byssus strength are not universal.","container-title":"Conservation Physiology","DOI":"10.1093/conphys/cox078","ISSN":"2051-1434","journalAbbreviation":"Cons. Physiol.","language":"en","page":"cox078","source":"DOI.org (Crossref)","title":"Elevated seawater temperature, not &lt;i&gt;p&lt;/i&gt;CO&lt;sub&gt;2&lt;/sub&gt;, negatively affects post-spawning adult mussels (&lt;i&gt;Mytilus edulis&lt;/i&gt;) under food limitation","volume":"6","author":[{"family":"Clements","given":"J.C."},{"family":"Hicks","given":"C."},{"family":"Tremblay","given":"R."},{"family":"Comeau","given":"L.A."}],"issued":{"date-parts":[["2018",1,1]]}}}],"schema":"https://github.com/citation-style-language/schema/raw/master/csl-citation.json"} </w:instrText>
      </w:r>
      <w:r w:rsidR="006828B4">
        <w:rPr>
          <w:rFonts w:ascii="Times New Roman" w:hAnsi="Times New Roman" w:cs="Times New Roman"/>
          <w:noProof/>
        </w:rPr>
        <w:fldChar w:fldCharType="separate"/>
      </w:r>
      <w:r w:rsidR="00A10CF3">
        <w:rPr>
          <w:rFonts w:ascii="Times New Roman" w:hAnsi="Times New Roman" w:cs="Times New Roman"/>
          <w:noProof/>
        </w:rPr>
        <w:t>(Clements, Hicks, et al. 2018)</w:t>
      </w:r>
      <w:r w:rsidR="006828B4">
        <w:rPr>
          <w:rFonts w:ascii="Times New Roman" w:hAnsi="Times New Roman" w:cs="Times New Roman"/>
          <w:noProof/>
        </w:rPr>
        <w:fldChar w:fldCharType="end"/>
      </w:r>
      <w:r>
        <w:rPr>
          <w:rFonts w:ascii="Times New Roman" w:hAnsi="Times New Roman" w:cs="Times New Roman"/>
        </w:rPr>
        <w:t>. This strategy appears ineffective for blue mussels, however, as prolonged exposure to higher temperatures is also associated with higher mortality</w:t>
      </w:r>
      <w:r w:rsidR="006828B4">
        <w:rPr>
          <w:rFonts w:ascii="Times New Roman" w:hAnsi="Times New Roman" w:cs="Times New Roman"/>
        </w:rPr>
        <w:t xml:space="preserve"> </w:t>
      </w:r>
      <w:r w:rsidR="006828B4">
        <w:rPr>
          <w:rFonts w:ascii="Times New Roman" w:hAnsi="Times New Roman" w:cs="Times New Roman"/>
          <w:noProof/>
        </w:rPr>
        <w:fldChar w:fldCharType="begin"/>
      </w:r>
      <w:r w:rsidR="004F04C1">
        <w:rPr>
          <w:rFonts w:ascii="Times New Roman" w:hAnsi="Times New Roman" w:cs="Times New Roman"/>
          <w:noProof/>
        </w:rPr>
        <w:instrText xml:space="preserve"> ADDIN ZOTERO_ITEM CSL_CITATION {"citationID":"ITZJi26f","properties":{"formattedCitation":"(Clements, Hicks, et al. 2018)","plainCitation":"(Clements, Hicks, et al. 2018)","noteIndex":0},"citationItems":[{"id":24,"uris":["http://zotero.org/users/6612280/items/PTP7UH2Y"],"uri":["http://zotero.org/users/6612280/items/PTP7UH2Y"],"itemData":{"id":24,"type":"article-journal","abstract":"Pre-spawning blue mussels (Mytilus edulis) appear sensitive to elevated temperature and robust to elevated pCO2; however, the eﬀects of these stressors soon after investing energy into spawning remain unknown. Furthermore, while studies suggest that elevated pCO2 aﬀects the byssal attachment strength of Mytilus trossulus from southern latitudes, pCO2 and temperature impacts on the byssus strength of other species at higher latitudes remain undocumented. In a 90 day laboratory experiment, we exposed post-spawning adult blue mussels (M. edulis) from Atlantic Canada to three pCO2 levels (pCO2 ~625, 1295 and 2440 μatm) at two diﬀerent temperatures (16°C and 22°C) and assessed energetic reserves on Day 90, byssal attachment strength on Days 30 and 60, and condition index and mortality on Days 30, 60 and 90. Results indicated that glycogen content was negatively aﬀected under elevated temperature, but protein, lipid, and overall energy content were unaﬀected. Reduced glycogen content under elevated temperature was associated with reduced condition index, reduced byssal thread attachment strength, and increased mortality; elevated pCO2 had no eﬀects. Overall, these results suggest that the glycogen reserves of post-spawning adult M. edulis are sensitive to elevated temperature, and can result in reduced health and byssal attachment strength, leading to increased mortality. These results are similar to those reported for pre-spawning mussels and suggest that post-spawning blue mussels are tolerant to elevated pCO2 and sensitive to elevated temperature. In contrast to previous studies, however, elevated pCO2 did not aﬀect byssus strength, suggesting that negative eﬀects of elevated pCO2 on byssus strength are not universal.","container-title":"Conservation Physiology","DOI":"10.1093/conphys/cox078","ISSN":"2051-1434","journalAbbreviation":"Cons. Physiol.","language":"en","page":"cox078","source":"DOI.org (Crossref)","title":"Elevated seawater temperature, not &lt;i&gt;p&lt;/i&gt;CO&lt;sub&gt;2&lt;/sub&gt;, negatively affects post-spawning adult mussels (&lt;i&gt;Mytilus edulis&lt;/i&gt;) under food limitation","volume":"6","author":[{"family":"Clements","given":"J.C."},{"family":"Hicks","given":"C."},{"family":"Tremblay","given":"R."},{"family":"Comeau","given":"L.A."}],"issued":{"date-parts":[["2018",1,1]]}}}],"schema":"https://github.com/citation-style-language/schema/raw/master/csl-citation.json"} </w:instrText>
      </w:r>
      <w:r w:rsidR="006828B4">
        <w:rPr>
          <w:rFonts w:ascii="Times New Roman" w:hAnsi="Times New Roman" w:cs="Times New Roman"/>
          <w:noProof/>
        </w:rPr>
        <w:fldChar w:fldCharType="separate"/>
      </w:r>
      <w:r w:rsidR="00A10CF3">
        <w:rPr>
          <w:rFonts w:ascii="Times New Roman" w:hAnsi="Times New Roman" w:cs="Times New Roman"/>
          <w:noProof/>
        </w:rPr>
        <w:t>(Clements, Hicks, et al. 2018)</w:t>
      </w:r>
      <w:r w:rsidR="006828B4">
        <w:rPr>
          <w:rFonts w:ascii="Times New Roman" w:hAnsi="Times New Roman" w:cs="Times New Roman"/>
          <w:noProof/>
        </w:rPr>
        <w:fldChar w:fldCharType="end"/>
      </w:r>
      <w:r>
        <w:rPr>
          <w:rFonts w:ascii="Times New Roman" w:hAnsi="Times New Roman" w:cs="Times New Roman"/>
        </w:rPr>
        <w:t xml:space="preserve">. Given that the amount of time spent at temperatures at or above 20. </w:t>
      </w:r>
      <w:r w:rsidRPr="0009615B">
        <w:rPr>
          <w:rFonts w:ascii="Times New Roman" w:hAnsi="Times New Roman" w:cs="Times New Roman"/>
        </w:rPr>
        <w:t>°</w:t>
      </w:r>
      <w:r>
        <w:rPr>
          <w:rFonts w:ascii="Times New Roman" w:hAnsi="Times New Roman" w:cs="Times New Roman"/>
        </w:rPr>
        <w:t>C will increase as global temperatures increase, ocean warming may pose a significant threat to these mussels unless they can adapt to increasing temperatures</w:t>
      </w:r>
    </w:p>
    <w:p w14:paraId="1AD7C00E" w14:textId="212ED2EA" w:rsidR="00BB11DD" w:rsidRPr="00B15818" w:rsidRDefault="00BB11DD" w:rsidP="006A2314">
      <w:pPr>
        <w:spacing w:after="240" w:line="480" w:lineRule="auto"/>
        <w:jc w:val="both"/>
        <w:rPr>
          <w:rFonts w:ascii="Times New Roman" w:hAnsi="Times New Roman" w:cs="Times New Roman"/>
        </w:rPr>
      </w:pPr>
      <w:r w:rsidRPr="0009615B">
        <w:rPr>
          <w:rFonts w:ascii="Times New Roman" w:hAnsi="Times New Roman" w:cs="Times New Roman"/>
        </w:rPr>
        <w:t xml:space="preserve">When closed, bivalve feeding activity ceases. As such, longer periods spent closed under higher temperatures have the potential to reduce energy intake if feeding rates (when open) at higher temperatures are insufficient to compensate for the lost time feeding. </w:t>
      </w:r>
      <w:r w:rsidR="001D2C8D">
        <w:rPr>
          <w:rFonts w:ascii="Times New Roman" w:hAnsi="Times New Roman" w:cs="Times New Roman"/>
        </w:rPr>
        <w:fldChar w:fldCharType="begin"/>
      </w:r>
      <w:r w:rsidR="006D521F">
        <w:rPr>
          <w:rFonts w:ascii="Times New Roman" w:hAnsi="Times New Roman" w:cs="Times New Roman"/>
        </w:rPr>
        <w:instrText xml:space="preserve"> ADDIN ZOTERO_ITEM CSL_CITATION {"citationID":"AIfn3LpF","properties":{"formattedCitation":"(Kittner and Riisg\\uc0\\u229{}rd 2005)","plainCitation":"(Kittner and Riisgård 2005)","dontUpdate":true,"noteIndex":0},"citationItems":[{"id":417,"uris":["http://zotero.org/users/6612280/items/GRVWBCSZ"],"uri":["http://zotero.org/users/6612280/items/GRVWBCSZ"],"itemData":{"id":417,"type":"article-journal","abstract":"The filtration rate of Mytilus edulis as a function of acute change in temperature was measured by means of the clearance method in a group of mussels seasonally acclimated to 18°C. This was done by stepwise changes in temperature in order to both determine the temperaturetolerance interval within which the mussels were fully open, and to ensure that the acute effects were reversible. The filtration rate (F, ml min–1 ind.–1) as a function of temperature (T, °C) could be expressed by a regression line with the equation: F = 3.27T + 38.2 in the temperature-tolerance interval between 8.3 and 20°C. A reduction in temperature to below 8.3°C initiated valve closure, and at 6.1°C all mussels were completely closed. The same group of mussels was then acclimated to 11°C over a period of 5 d before the measurements were repeated, and the filtration rate as a function of temperature was subsequently found to be: F = 3.27T + 38.1 in the temperature-tolerance interval which had extended down to 4.1°C. Next, a group of mussels seasonally acclimated to about 15°C was split up into 3 subgroups which were exposed to 10.2, 15.6 and 20.3°C over the following 23 d. During the acclimation period, the filtration rate of fully open mussels was measured every 3 to 4 d in the 3 groups. Because none of the slopes of the 3 regression lines appreciably differed from 0, it is concluded that the acute effect of a change in temperature is not modified in M. edulis over a 3 wk acclimation period; i.e., there is no evidence for temperature compensation.","container-title":"Marine Ecology Progress Series","DOI":"10.3354/meps305147","ISSN":"0171-8630, 1616-1599","journalAbbreviation":"Mar. Ecol. Prog. Ser.","language":"en","page":"147-152","source":"DOI.org (Crossref)","title":"Effect of temperature on filtration rate in the mussel &lt;i&gt;Mytilus edulis&lt;/i&gt;: no evidence for temperature compensation","title-short":"Effect of temperature on filtration rate in the mussel Mytilus edulis","volume":"305","author":[{"family":"Kittner","given":"Christina"},{"family":"Riisgård","given":"Hans Ulrik"}],"issued":{"date-parts":[["2005"]]}}}],"schema":"https://github.com/citation-style-language/schema/raw/master/csl-citation.json"} </w:instrText>
      </w:r>
      <w:r w:rsidR="001D2C8D">
        <w:rPr>
          <w:rFonts w:ascii="Times New Roman" w:hAnsi="Times New Roman" w:cs="Times New Roman"/>
        </w:rPr>
        <w:fldChar w:fldCharType="separate"/>
      </w:r>
      <w:r w:rsidR="001D2C8D" w:rsidRPr="001D2C8D">
        <w:rPr>
          <w:rFonts w:ascii="Times New Roman" w:hAnsi="Times New Roman" w:cs="Times New Roman"/>
          <w:lang w:val="en-US"/>
        </w:rPr>
        <w:t xml:space="preserve">Kittner and Riisgård </w:t>
      </w:r>
      <w:r w:rsidR="001D2C8D">
        <w:rPr>
          <w:rFonts w:ascii="Times New Roman" w:hAnsi="Times New Roman" w:cs="Times New Roman"/>
          <w:lang w:val="en-US"/>
        </w:rPr>
        <w:t>(</w:t>
      </w:r>
      <w:r w:rsidR="001D2C8D" w:rsidRPr="001D2C8D">
        <w:rPr>
          <w:rFonts w:ascii="Times New Roman" w:hAnsi="Times New Roman" w:cs="Times New Roman"/>
          <w:lang w:val="en-US"/>
        </w:rPr>
        <w:t>2005)</w:t>
      </w:r>
      <w:r w:rsidR="001D2C8D">
        <w:rPr>
          <w:rFonts w:ascii="Times New Roman" w:hAnsi="Times New Roman" w:cs="Times New Roman"/>
        </w:rPr>
        <w:fldChar w:fldCharType="end"/>
      </w:r>
      <w:r w:rsidR="001D2C8D">
        <w:rPr>
          <w:rFonts w:ascii="Times New Roman" w:hAnsi="Times New Roman" w:cs="Times New Roman"/>
        </w:rPr>
        <w:t xml:space="preserve"> </w:t>
      </w:r>
      <w:r w:rsidRPr="0009615B">
        <w:rPr>
          <w:rFonts w:ascii="Times New Roman" w:hAnsi="Times New Roman" w:cs="Times New Roman"/>
        </w:rPr>
        <w:t xml:space="preserve">reported that individual blue mussels increase their filtration rates from </w:t>
      </w:r>
      <w:r>
        <w:rPr>
          <w:rFonts w:ascii="Times New Roman" w:hAnsi="Times New Roman" w:cs="Times New Roman"/>
        </w:rPr>
        <w:t>5.1</w:t>
      </w:r>
      <w:r w:rsidRPr="0009615B">
        <w:rPr>
          <w:rFonts w:ascii="Times New Roman" w:hAnsi="Times New Roman" w:cs="Times New Roman"/>
        </w:rPr>
        <w:t xml:space="preserve"> L h</w:t>
      </w:r>
      <w:r w:rsidRPr="0009615B">
        <w:rPr>
          <w:rFonts w:ascii="Times New Roman" w:hAnsi="Times New Roman" w:cs="Times New Roman"/>
          <w:vertAlign w:val="superscript"/>
        </w:rPr>
        <w:t>-1</w:t>
      </w:r>
      <w:r w:rsidRPr="0009615B">
        <w:rPr>
          <w:rFonts w:ascii="Times New Roman" w:hAnsi="Times New Roman" w:cs="Times New Roman"/>
        </w:rPr>
        <w:t xml:space="preserve"> at 15.6 °C to </w:t>
      </w:r>
      <w:r>
        <w:rPr>
          <w:rFonts w:ascii="Times New Roman" w:hAnsi="Times New Roman" w:cs="Times New Roman"/>
        </w:rPr>
        <w:t>5.5</w:t>
      </w:r>
      <w:r w:rsidRPr="0009615B">
        <w:rPr>
          <w:rFonts w:ascii="Times New Roman" w:hAnsi="Times New Roman" w:cs="Times New Roman"/>
        </w:rPr>
        <w:t xml:space="preserve"> L h</w:t>
      </w:r>
      <w:r w:rsidRPr="0009615B">
        <w:rPr>
          <w:rFonts w:ascii="Times New Roman" w:hAnsi="Times New Roman" w:cs="Times New Roman"/>
          <w:vertAlign w:val="superscript"/>
        </w:rPr>
        <w:t xml:space="preserve">-1 </w:t>
      </w:r>
      <w:r w:rsidRPr="0009615B">
        <w:rPr>
          <w:rFonts w:ascii="Times New Roman" w:hAnsi="Times New Roman" w:cs="Times New Roman"/>
        </w:rPr>
        <w:t>at 20.3 °C (on average), with no effect of time up to 22 mins</w:t>
      </w:r>
      <w:r>
        <w:rPr>
          <w:rFonts w:ascii="Times New Roman" w:hAnsi="Times New Roman" w:cs="Times New Roman"/>
        </w:rPr>
        <w:t xml:space="preserve"> (estimated from Figure 3a at 22 mins using ImageJ)</w:t>
      </w:r>
      <w:r w:rsidRPr="0009615B">
        <w:rPr>
          <w:rFonts w:ascii="Times New Roman" w:hAnsi="Times New Roman" w:cs="Times New Roman"/>
        </w:rPr>
        <w:t>. Based on 30 min observation periods in our experiment, mussels at 16 °C remained closed, on average, for 182.6 secs (≈3mins</w:t>
      </w:r>
      <w:r>
        <w:rPr>
          <w:rFonts w:ascii="Times New Roman" w:hAnsi="Times New Roman" w:cs="Times New Roman"/>
        </w:rPr>
        <w:t xml:space="preserve">, or 6 mins </w:t>
      </w:r>
      <w:proofErr w:type="gramStart"/>
      <w:r>
        <w:rPr>
          <w:rFonts w:ascii="Times New Roman" w:hAnsi="Times New Roman" w:cs="Times New Roman"/>
        </w:rPr>
        <w:t>hour</w:t>
      </w:r>
      <w:r>
        <w:rPr>
          <w:rFonts w:ascii="Times New Roman" w:hAnsi="Times New Roman" w:cs="Times New Roman"/>
          <w:vertAlign w:val="superscript"/>
        </w:rPr>
        <w:t>-1</w:t>
      </w:r>
      <w:proofErr w:type="gramEnd"/>
      <w:r w:rsidRPr="0009615B">
        <w:rPr>
          <w:rFonts w:ascii="Times New Roman" w:hAnsi="Times New Roman" w:cs="Times New Roman"/>
        </w:rPr>
        <w:t>). In contrast, mussels at 20 °C remained</w:t>
      </w:r>
      <w:r>
        <w:rPr>
          <w:rFonts w:ascii="Times New Roman" w:hAnsi="Times New Roman" w:cs="Times New Roman"/>
        </w:rPr>
        <w:t xml:space="preserve"> closed for an </w:t>
      </w:r>
      <w:r w:rsidRPr="006D4E91">
        <w:rPr>
          <w:rFonts w:ascii="Times New Roman" w:hAnsi="Times New Roman" w:cs="Times New Roman"/>
        </w:rPr>
        <w:t xml:space="preserve">average of 422.1 secs (≈7 mins, or 14 mins </w:t>
      </w:r>
      <w:proofErr w:type="gramStart"/>
      <w:r w:rsidRPr="006D4E91">
        <w:rPr>
          <w:rFonts w:ascii="Times New Roman" w:hAnsi="Times New Roman" w:cs="Times New Roman"/>
        </w:rPr>
        <w:t>hour</w:t>
      </w:r>
      <w:r w:rsidRPr="006D4E91">
        <w:rPr>
          <w:rFonts w:ascii="Times New Roman" w:hAnsi="Times New Roman" w:cs="Times New Roman"/>
          <w:vertAlign w:val="superscript"/>
        </w:rPr>
        <w:t>-1</w:t>
      </w:r>
      <w:proofErr w:type="gramEnd"/>
      <w:r w:rsidRPr="006D4E91">
        <w:rPr>
          <w:rFonts w:ascii="Times New Roman" w:hAnsi="Times New Roman" w:cs="Times New Roman"/>
        </w:rPr>
        <w:t xml:space="preserve">). </w:t>
      </w:r>
      <w:r w:rsidR="008A468D">
        <w:rPr>
          <w:rFonts w:ascii="Times New Roman" w:hAnsi="Times New Roman" w:cs="Times New Roman"/>
        </w:rPr>
        <w:t>B</w:t>
      </w:r>
      <w:r w:rsidRPr="006D4E91">
        <w:rPr>
          <w:rFonts w:ascii="Times New Roman" w:hAnsi="Times New Roman" w:cs="Times New Roman"/>
        </w:rPr>
        <w:t>ased on our data</w:t>
      </w:r>
      <w:r w:rsidR="008A468D">
        <w:rPr>
          <w:rFonts w:ascii="Times New Roman" w:hAnsi="Times New Roman" w:cs="Times New Roman"/>
        </w:rPr>
        <w:t xml:space="preserve">, </w:t>
      </w:r>
      <w:r w:rsidRPr="006D4E91">
        <w:rPr>
          <w:rFonts w:ascii="Times New Roman" w:hAnsi="Times New Roman" w:cs="Times New Roman"/>
        </w:rPr>
        <w:t>some back-of-the-envelope calculations reveal that mussels at 16 °C can filter a total of 4.6 L hour</w:t>
      </w:r>
      <w:r w:rsidRPr="006D4E91">
        <w:rPr>
          <w:rFonts w:ascii="Times New Roman" w:hAnsi="Times New Roman" w:cs="Times New Roman"/>
          <w:vertAlign w:val="superscript"/>
        </w:rPr>
        <w:t>-1</w:t>
      </w:r>
      <w:r w:rsidRPr="006D4E91">
        <w:rPr>
          <w:rFonts w:ascii="Times New Roman" w:hAnsi="Times New Roman" w:cs="Times New Roman"/>
        </w:rPr>
        <w:t>, while those at 20 °C only filter 4.2 L hour</w:t>
      </w:r>
      <w:r w:rsidRPr="006D4E91">
        <w:rPr>
          <w:rFonts w:ascii="Times New Roman" w:hAnsi="Times New Roman" w:cs="Times New Roman"/>
          <w:vertAlign w:val="superscript"/>
        </w:rPr>
        <w:t>-1</w:t>
      </w:r>
      <w:r w:rsidRPr="006D4E91">
        <w:rPr>
          <w:rFonts w:ascii="Times New Roman" w:hAnsi="Times New Roman" w:cs="Times New Roman"/>
        </w:rPr>
        <w:t xml:space="preserve"> (≈10 % less). Furthermore, differences in baseline opening times at similar temperature</w:t>
      </w:r>
      <w:r>
        <w:rPr>
          <w:rFonts w:ascii="Times New Roman" w:hAnsi="Times New Roman" w:cs="Times New Roman"/>
        </w:rPr>
        <w:t xml:space="preserve"> reveal a similar trend </w:t>
      </w:r>
      <w:r w:rsidR="00F516C4">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{"citationID":"oCcE1SzF","properties":{"formattedCitation":"(Anestis et al. 2007)","plainCitation":"(Anestis et al. 2007)","noteIndex":0},"citationItems":[{"id":302,"uris":["http://zotero.org/users/6612280/items/XW5W5XY8"],"uri":["http://zotero.org/users/6612280/items/XW5W5XY8"],"itemData":{"id":302,"type":"article-journal","abstract":"The present study aimed to determine the thermal response of the Mediterranean mussel Mytilus galloprovincialis by integrating information from various levels of biological organization including behavior, metabolic adjustments, heat shock protein expression, and protein kinase activity. Behavioral responses were determined by examining the effect of warming on valve closure and opening. Metabolic impacts were assessed by examining the activity of the key glycolytic enzyme pyruvate kinase (PK). Molecular responses were addressed through the expression of Hsp70 and Hsp90 and the phosphorylation of stress-activated protein kinases, p38 mitogen-activated protein kinase (p38 MAPK) and cJun-N-terminal kinases (JNKs). Mussels increased the duration of valve closure by about sixfold when acclimated to 24°C rather than to 17°C. As indicated by the activity of PK, such behavior caused metabolic depression and probably a shift from aerobic to anaerobic metabolism. Acclimation to temperatures higher than 24°C caused an increase in mortality and induced the expression of Hsp72. Increased phosphorylation of p38 MAPK and JNKs indicated activation of MAPK signaling cascades. The potential involvement of MAPKs in the induction of Hsp genes in the tissues of M. galloprovincialis is discussed. In conclusion, it seems that M. galloprovincialis lives close to its acclimation limits and incipient lethal temperature and that a small degree of warming will elicit stress responses at whole organism and molecular levels.","container-title":"American Journal of Physiology-Regulatory, Integrative and Comparative Physiology","DOI":"10.1152/ajpregu.00124.2007","ISSN":"0363-6119, 1522-1490","journalAbbreviation":"Am J Physiol - Reg Integr Comp Physiol","language":"en","page":"R911-R921","source":"DOI.org (Crossref)","title":"Behavioral, metabolic, and molecular stress responses of marine bivalve &lt;i&gt;Mytilus galloprovincialis&lt;/i&gt; during long-term acclimation at increasing ambient temperature","volume":"293","author":[{"family":"Anestis","given":"A."},{"family":"Lazou","given":"A."},{"family":"Pörtner","given":"H.-O."},{"family":"Michaelidis","given":"B."}],"issued":{"date-parts":[["2007",8]]}}}],"schema":"https://github.com/citation-style-language/schema/raw/master/csl-citation.json"} </w:instrText>
      </w:r>
      <w:r w:rsidR="00F516C4">
        <w:rPr>
          <w:rFonts w:ascii="Times New Roman" w:hAnsi="Times New Roman" w:cs="Times New Roman"/>
        </w:rPr>
        <w:fldChar w:fldCharType="separate"/>
      </w:r>
      <w:r w:rsidR="00F516C4">
        <w:rPr>
          <w:rFonts w:ascii="Times New Roman" w:hAnsi="Times New Roman" w:cs="Times New Roman"/>
          <w:noProof/>
        </w:rPr>
        <w:t>(Anestis et al. 2007)</w:t>
      </w:r>
      <w:r w:rsidR="00F516C4">
        <w:rPr>
          <w:rFonts w:ascii="Times New Roman" w:hAnsi="Times New Roman" w:cs="Times New Roman"/>
        </w:rPr>
        <w:fldChar w:fldCharType="end"/>
      </w:r>
      <w:r>
        <w:rPr>
          <w:rFonts w:ascii="Times New Roman" w:hAnsi="Times New Roman" w:cs="Times New Roman"/>
        </w:rPr>
        <w:t>. While studies testing this association more specifically for the mussel population</w:t>
      </w:r>
      <w:r w:rsidRPr="00D47FEB">
        <w:rPr>
          <w:rFonts w:ascii="Times New Roman" w:hAnsi="Times New Roman" w:cs="Times New Roman"/>
        </w:rPr>
        <w:t xml:space="preserve"> </w:t>
      </w:r>
      <w:r>
        <w:rPr>
          <w:rFonts w:ascii="Times New Roman" w:hAnsi="Times New Roman" w:cs="Times New Roman"/>
        </w:rPr>
        <w:t xml:space="preserve">used in this study, and a more precise metric of feeding (e.g. ingestion rate instead of filtration rate), would provide a more </w:t>
      </w:r>
      <w:r>
        <w:rPr>
          <w:rFonts w:ascii="Times New Roman" w:hAnsi="Times New Roman" w:cs="Times New Roman"/>
        </w:rPr>
        <w:lastRenderedPageBreak/>
        <w:t>definitive answer, these numbers suggest that net food intake in mussels can be reduced under high temperatures. This finding aligns well with reports of reduced glycogen content, increased mortality, and weakened byssal strength under higher temperature in previous studies</w:t>
      </w:r>
      <w:r w:rsidR="00F516C4">
        <w:rPr>
          <w:rFonts w:ascii="Times New Roman" w:hAnsi="Times New Roman" w:cs="Times New Roman"/>
        </w:rPr>
        <w:t xml:space="preserve"> </w:t>
      </w:r>
      <w:r w:rsidR="00F516C4">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{"citationID":"H0bM3VRd","properties":{"formattedCitation":"(Clements, Hicks, et al. 2018)","plainCitation":"(Clements, Hicks, et al. 2018)","noteIndex":0},"citationItems":[{"id":24,"uris":["http://zotero.org/users/6612280/items/PTP7UH2Y"],"uri":["http://zotero.org/users/6612280/items/PTP7UH2Y"],"itemData":{"id":24,"type":"article-journal","abstract":"Pre-spawning blue mussels (Mytilus edulis) appear sensitive to elevated temperature and robust to elevated pCO2; however, the eﬀects of these stressors soon after investing energy into spawning remain unknown. Furthermore, while studies suggest that elevated pCO2 aﬀects the byssal attachment strength of Mytilus trossulus from southern latitudes, pCO2 and temperature impacts on the byssus strength of other species at higher latitudes remain undocumented. In a 90 day laboratory experiment, we exposed post-spawning adult blue mussels (M. edulis) from Atlantic Canada to three pCO2 levels (pCO2 ~625, 1295 and 2440 μatm) at two diﬀerent temperatures (16°C and 22°C) and assessed energetic reserves on Day 90, byssal attachment strength on Days 30 and 60, and condition index and mortality on Days 30, 60 and 90. Results indicated that glycogen content was negatively aﬀected under elevated temperature, but protein, lipid, and overall energy content were unaﬀected. Reduced glycogen content under elevated temperature was associated with reduced condition index, reduced byssal thread attachment strength, and increased mortality; elevated pCO2 had no eﬀects. Overall, these results suggest that the glycogen reserves of post-spawning adult M. edulis are sensitive to elevated temperature, and can result in reduced health and byssal attachment strength, leading to increased mortality. These results are similar to those reported for pre-spawning mussels and suggest that post-spawning blue mussels are tolerant to elevated pCO2 and sensitive to elevated temperature. In contrast to previous studies, however, elevated pCO2 did not aﬀect byssus strength, suggesting that negative eﬀects of elevated pCO2 on byssus strength are not universal.","container-title":"Conservation Physiology","DOI":"10.1093/conphys/cox078","ISSN":"2051-1434","journalAbbreviation":"Cons. Physiol.","language":"en","page":"cox078","source":"DOI.org (Crossref)","title":"Elevated seawater temperature, not &lt;i&gt;p&lt;/i&gt;CO&lt;sub&gt;2&lt;/sub&gt;, negatively affects post-spawning adult mussels (&lt;i&gt;Mytilus edulis&lt;/i&gt;) under food limitation","volume":"6","author":[{"family":"Clements","given":"J.C."},{"family":"Hicks","given":"C."},{"family":"Tremblay","given":"R."},{"family":"Comeau","given":"L.A."}],"issued":{"date-parts":[["2018",1,1]]}}}],"schema":"https://github.com/citation-style-language/schema/raw/master/csl-citation.json"} </w:instrText>
      </w:r>
      <w:r w:rsidR="00F516C4">
        <w:rPr>
          <w:rFonts w:ascii="Times New Roman" w:hAnsi="Times New Roman" w:cs="Times New Roman"/>
        </w:rPr>
        <w:fldChar w:fldCharType="separate"/>
      </w:r>
      <w:r w:rsidR="00A10CF3">
        <w:rPr>
          <w:rFonts w:ascii="Times New Roman" w:hAnsi="Times New Roman" w:cs="Times New Roman"/>
          <w:noProof/>
        </w:rPr>
        <w:t>(Clements, Hicks, et al. 2018)</w:t>
      </w:r>
      <w:r w:rsidR="00F516C4">
        <w:rPr>
          <w:rFonts w:ascii="Times New Roman" w:hAnsi="Times New Roman" w:cs="Times New Roman"/>
        </w:rPr>
        <w:fldChar w:fldCharType="end"/>
      </w:r>
      <w:r>
        <w:rPr>
          <w:rFonts w:ascii="Times New Roman" w:hAnsi="Times New Roman" w:cs="Times New Roman"/>
        </w:rPr>
        <w:t xml:space="preserve">. </w:t>
      </w:r>
    </w:p>
    <w:p w14:paraId="61EF87EA" w14:textId="2370829C" w:rsidR="00BB11DD" w:rsidRDefault="00BB11DD" w:rsidP="006A2314">
      <w:pPr>
        <w:spacing w:after="240" w:line="480" w:lineRule="auto"/>
        <w:jc w:val="both"/>
        <w:rPr>
          <w:rFonts w:ascii="Times New Roman" w:hAnsi="Times New Roman" w:cs="Times New Roman"/>
        </w:rPr>
      </w:pPr>
      <w:r>
        <w:rPr>
          <w:rFonts w:ascii="Times New Roman" w:hAnsi="Times New Roman" w:cs="Times New Roman"/>
        </w:rPr>
        <w:t xml:space="preserve">Reduced filtration under higher temperatures not only have implications for individual bivalves and their growth but could potentially impact the ecosystem benefits provided by bivalves </w:t>
      </w:r>
      <w:r w:rsidR="00F516C4">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{"citationID":"Z9Q4seGB","properties":{"formattedCitation":"(Clements and Comeau 2019b; van der Schatte Olivier et al. 2020)","plainCitation":"(Clements and Comeau 2019b; van der Schatte Olivier et al. 2020)","noteIndex":0},"citationItems":[{"id":154,"uris":["http://zotero.org/users/6612280/items/VSM5A4BN"],"uri":["http://zotero.org/users/6612280/items/VSM5A4BN"],"itemData":{"id":154,"type":"article-journal","abstract":"Bivalve shellﬁsh aquaculture provides many beneﬁts to society, beyond their traditional market value. This study collates the evidence available on the provisioning, regulating and cultural ecosystem services provided by the bivalve species commonly used in aquaculture. For the ﬁrst time, it synthesises this evidence to provide a global assessment of the potential market and non-market economic value of bivalve aquaculture. Bivalves are ﬁlter feeders, ﬁltering water and particulates, creating substrates which provide habitat to act as nursery grounds for other species. Goods from provisioning services include meat, worth an estimated $23.9 billion as well as, pearls, shell and poultry grit, with oyster shell being the most important, with a global potential worth of $5.2 billion. The most important regulating services are nutrient remediation. Cultivated bivalves remove 49,000 tonnes of nitrogen and 6,000 tonnes of phosphorus, worth a potential $1.20 billion. Currently, there is little evidence on the cultural services per year of bivalve aquaculture, but we argue that these cultural values are broad ranging, although difﬁcult to quantify. Our assessment indicates that the global, non-food bivalve aquaculture services are worth $6.47 billion ($2.95 billion–9.99 billion) per annum. However, this is likely to be an underestimate of the true value of bivalve aquaculture as there are signiﬁcant gaps in evidence of the value for a number of key services. The analysis presented here can be used to indicate the likely scale of payments for ecosystem services provided by bivalve aquaculture, prior to more detailed assessments.","container-title":"Reviews in Aquaculture","DOI":"10.1111/raq.12301","ISSN":"17535123","journalAbbreviation":"Rev. Aquacult.","language":"en","page":"3-25","source":"DOI.org (Crossref)","title":"A global review of the ecosystem services provided by bivalve aquaculture","volume":"12","author":[{"family":"Schatte Olivier","given":"A.","non-dropping-particle":"van der"},{"family":"Jones","given":"L."},{"family":"Vay","given":"L.L."},{"family":"Christie","given":"M."},{"family":"Wilson","given":"J."},{"family":"Malham","given":"S.K."}],"issued":{"date-parts":[["2020"]]}}},{"id":16,"uris":["http://zotero.org/users/6612280/items/XN7DVCU2"],"uri":["http://zotero.org/users/6612280/items/XN7DVCU2"],"itemData":{"id":16,"type":"article-journal","abstract":"Bivalve farming can contribute to nutrient removal in coastal and estuarine systems, as bivalves directly incorporate nutrients into their tissues and shells. We conducted a meta-analysis to compare the nitrogen removal potential (NRP; i.e., percentage of nitrogen in tissues and shells) of mussels, Mytilus edulis, and oysters, Crassostrea virginica. We then used species-speciﬁc NRPs to determine and compare the total and per-hectare NRPs for four shellﬁsh aquaculture methods used in two Atlantic Canadian provinces – New Brunswick (NB) and Prince Edward Island (PEI) – based on current harvest biomasses. Finally, we determined the contribution of current shellﬁsh farming to nitrogen load mitigation for a subset of bays in NB and PEI. Results revealed that on a per-weight basis, NRP was similar for the tissues of mussels and oysters, while mussel shells had a signiﬁcantly higher percentage of nitrogen than oyster shells. Collectively, shellﬁsh harvesting has the capacity to remove a mean annual total of 99088 kg and 204571 kg of nitrogen from NB and PEI, respectively. Given current harvesting practices for four culture methods employed in the region, suspended mussel culture provides the greatest NRP per hectare of farm area, followed in sequence by suspended mussel and oyster mixed culture, suspended oyster culture, and bottom oyster culture. Preliminary analysis suggested that harvests in the region typically remove &lt; 10% of the total nitrogen load on the bay scale, with the exception of bays where nitrogen loads are low and farming intensity is high (where shellﬁsh harvesting can remove higher percentages of nitrogen loads). Ultimately, harvests from shellﬁsh farming in NB and PEI have the capacity to remove substantial amounts of nitrogen from local bays. Future studies assessing the inﬂuence of shellﬁsh farming on full nutrient budgets across bays with varying physicochemical conditions will enhance our understanding the role of shellﬁsh farms in nearshore nutrient dynamics, both regionally and globally.","container-title":"Aquaculture Reports","DOI":"10.1016/j.aqrep.2019.100183","ISSN":"23525134","journalAbbreviation":"Aquacult. Rep.","language":"en","page":"100183","source":"DOI.org (Crossref)","title":"Nitrogen removal potential of shellfish aquaculture harvests in eastern Canada: A comparison of culture methods","title-short":"Nitrogen removal potential of shellfish aquaculture harvests in eastern Canada","volume":"13","author":[{"family":"Clements","given":"J.C."},{"family":"Comeau","given":"L.A."}],"issued":{"date-parts":[["2019",3]]}}}],"schema":"https://github.com/citation-style-language/schema/raw/master/csl-citation.json"} </w:instrText>
      </w:r>
      <w:r w:rsidR="00F516C4">
        <w:rPr>
          <w:rFonts w:ascii="Times New Roman" w:hAnsi="Times New Roman" w:cs="Times New Roman"/>
        </w:rPr>
        <w:fldChar w:fldCharType="separate"/>
      </w:r>
      <w:r w:rsidR="004F04C1">
        <w:rPr>
          <w:rFonts w:ascii="Times New Roman" w:hAnsi="Times New Roman" w:cs="Times New Roman"/>
          <w:noProof/>
        </w:rPr>
        <w:t>(Clements and Comeau 2019b; van der Schatte Olivier et al. 2020)</w:t>
      </w:r>
      <w:r w:rsidR="00F516C4">
        <w:rPr>
          <w:rFonts w:ascii="Times New Roman" w:hAnsi="Times New Roman" w:cs="Times New Roman"/>
        </w:rPr>
        <w:fldChar w:fldCharType="end"/>
      </w:r>
      <w:r w:rsidR="00F516C4">
        <w:rPr>
          <w:rFonts w:ascii="Times New Roman" w:hAnsi="Times New Roman" w:cs="Times New Roman"/>
          <w:noProof/>
        </w:rPr>
        <w:t>.</w:t>
      </w:r>
      <w:r>
        <w:rPr>
          <w:rFonts w:ascii="Times New Roman" w:hAnsi="Times New Roman" w:cs="Times New Roman"/>
        </w:rPr>
        <w:t xml:space="preserve"> Given that mussels remained closed for durations more than two-times longer than their control temperature counterparts, areas of high predation pressure are likely to see less effective filtering capacity, potentially affecting the effectiveness at which bivalves can clean water and cycle nutrients. Similarly, our results, coupled with others</w:t>
      </w:r>
      <w:r w:rsidR="00DD6FF8">
        <w:rPr>
          <w:rFonts w:ascii="Times New Roman" w:hAnsi="Times New Roman" w:cs="Times New Roman"/>
        </w:rPr>
        <w:t xml:space="preserve"> </w:t>
      </w:r>
      <w:r w:rsidR="00DD6FF8">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{"citationID":"oP41sFxx","properties":{"formattedCitation":"(Anestis et al. 2007)","plainCitation":"(Anestis et al. 2007)","noteIndex":0},"citationItems":[{"id":302,"uris":["http://zotero.org/users/6612280/items/XW5W5XY8"],"uri":["http://zotero.org/users/6612280/items/XW5W5XY8"],"itemData":{"id":302,"type":"article-journal","abstract":"The present study aimed to determine the thermal response of the Mediterranean mussel Mytilus galloprovincialis by integrating information from various levels of biological organization including behavior, metabolic adjustments, heat shock protein expression, and protein kinase activity. Behavioral responses were determined by examining the effect of warming on valve closure and opening. Metabolic impacts were assessed by examining the activity of the key glycolytic enzyme pyruvate kinase (PK). Molecular responses were addressed through the expression of Hsp70 and Hsp90 and the phosphorylation of stress-activated protein kinases, p38 mitogen-activated protein kinase (p38 MAPK) and cJun-N-terminal kinases (JNKs). Mussels increased the duration of valve closure by about sixfold when acclimated to 24°C rather than to 17°C. As indicated by the activity of PK, such behavior caused metabolic depression and probably a shift from aerobic to anaerobic metabolism. Acclimation to temperatures higher than 24°C caused an increase in mortality and induced the expression of Hsp72. Increased phosphorylation of p38 MAPK and JNKs indicated activation of MAPK signaling cascades. The potential involvement of MAPKs in the induction of Hsp genes in the tissues of M. galloprovincialis is discussed. In conclusion, it seems that M. galloprovincialis lives close to its acclimation limits and incipient lethal temperature and that a small degree of warming will elicit stress responses at whole organism and molecular levels.","container-title":"American Journal of Physiology-Regulatory, Integrative and Comparative Physiology","DOI":"10.1152/ajpregu.00124.2007","ISSN":"0363-6119, 1522-1490","journalAbbreviation":"Am J Physiol - Reg Integr Comp Physiol","language":"en","page":"R911-R921","source":"DOI.org (Crossref)","title":"Behavioral, metabolic, and molecular stress responses of marine bivalve &lt;i&gt;Mytilus galloprovincialis&lt;/i&gt; during long-term acclimation at increasing ambient temperature","volume":"293","author":[{"family":"Anestis","given":"A."},{"family":"Lazou","given":"A."},{"family":"Pörtner","given":"H.-O."},{"family":"Michaelidis","given":"B."}],"issued":{"date-parts":[["2007",8]]}}}],"schema":"https://github.com/citation-style-language/schema/raw/master/csl-citation.json"} </w:instrText>
      </w:r>
      <w:r w:rsidR="00DD6FF8">
        <w:rPr>
          <w:rFonts w:ascii="Times New Roman" w:hAnsi="Times New Roman" w:cs="Times New Roman"/>
        </w:rPr>
        <w:fldChar w:fldCharType="separate"/>
      </w:r>
      <w:r w:rsidR="00DD6FF8">
        <w:rPr>
          <w:rFonts w:ascii="Times New Roman" w:hAnsi="Times New Roman" w:cs="Times New Roman"/>
          <w:noProof/>
        </w:rPr>
        <w:t>(Anestis et al. 2007)</w:t>
      </w:r>
      <w:r w:rsidR="00DD6FF8">
        <w:rPr>
          <w:rFonts w:ascii="Times New Roman" w:hAnsi="Times New Roman" w:cs="Times New Roman"/>
        </w:rPr>
        <w:fldChar w:fldCharType="end"/>
      </w:r>
      <w:r>
        <w:rPr>
          <w:rFonts w:ascii="Times New Roman" w:hAnsi="Times New Roman" w:cs="Times New Roman"/>
        </w:rPr>
        <w:t xml:space="preserve">, suggest that the filtering capacity of bivalves may decrease in a warmer ocean, which may be amplified in areas where predators exist in high abundance. Given the ubiquitous distribution of marine bivalves and their importance to marine ecosystems globally, it is possible that ocean warming could influence benthic systems worldwide. Furthermore, our results provide a basis for informing spatial planning of shellfish restoration and aquaculture activities globally. More studies of predator encounter rates in the field in conjunction with associated ecosystem service estimates are needed to quantify the effects of temperature and warming on bivalve ecosystem services. Such studies should be accompanied by others quantifying the capacity of various species and populations of bivalves to cope with and/or adapt to shifting temperatures in the context of predator avoidance and feeding. </w:t>
      </w:r>
    </w:p>
    <w:p w14:paraId="3D3E0A01" w14:textId="633257DB" w:rsidR="00BB11DD" w:rsidRDefault="00BB11DD" w:rsidP="006A2314">
      <w:pPr>
        <w:spacing w:after="240" w:line="480" w:lineRule="auto"/>
        <w:jc w:val="both"/>
        <w:rPr>
          <w:rFonts w:ascii="Times New Roman" w:hAnsi="Times New Roman" w:cs="Times New Roman"/>
        </w:rPr>
      </w:pPr>
      <w:r>
        <w:rPr>
          <w:rFonts w:ascii="Times New Roman" w:hAnsi="Times New Roman" w:cs="Times New Roman"/>
        </w:rPr>
        <w:t xml:space="preserve">Some of the most striking effects of ocean acidification have been reported on animal </w:t>
      </w:r>
      <w:r w:rsidR="00943795">
        <w:rPr>
          <w:rFonts w:ascii="Times New Roman" w:hAnsi="Times New Roman" w:cs="Times New Roman"/>
        </w:rPr>
        <w:t>behavior</w:t>
      </w:r>
      <w:r>
        <w:rPr>
          <w:rFonts w:ascii="Times New Roman" w:hAnsi="Times New Roman" w:cs="Times New Roman"/>
        </w:rPr>
        <w:t xml:space="preserve"> </w:t>
      </w:r>
      <w:r w:rsidR="00DD6FF8">
        <w:rPr>
          <w:rFonts w:ascii="Times New Roman" w:hAnsi="Times New Roman" w:cs="Times New Roman"/>
        </w:rPr>
        <w:fldChar w:fldCharType="begin"/>
      </w:r>
      <w:r w:rsidR="00DD6FF8">
        <w:rPr>
          <w:rFonts w:ascii="Times New Roman" w:hAnsi="Times New Roman" w:cs="Times New Roman"/>
        </w:rPr>
        <w:instrText xml:space="preserve"> ADDIN ZOTERO_ITEM CSL_CITATION {"citationID":"kBy014zV","properties":{"formattedCitation":"(Clements and Hunt 2015)","plainCitation":"(Clements and Hunt 2015)","noteIndex":0},"citationItems":[{"id":6,"uris":["http://zotero.org/users/6612280/items/IVKA7V72"],"uri":["http://zotero.org/users/6612280/items/IVKA7V72"],"itemData":{"id":6,"type":"article-journal","abstract":"Recently, the effects of ocean acidification (OA) on marine animal behaviour have garnered considerable attention, as they can impact biological interactions and, in turn, ecosystem structure and functioning. We reviewed current published literature on OA and marine behaviour and synthesize current understanding of how a high CO2 ocean may impact animal behaviour, elucidate critical unknowns, and provide suggestions for future research. Although studies have focused equally on vertebrates and invertebrates, vertebrate studies have primarily focused on coral reef fishes, in contrast to the broader diversity of invertebrate taxa studied. A quantitative synthesis of the direction and magnitude of change in behaviours from current conditions under OA scenarios suggests primarily negative impacts that vary depending on species, ecosystem, and behaviour. The interactive effects of co-occurring environmental parameters with increasing CO2 elicit effects different from those observed under elevated CO2 alone. Although 12% of studies have incorporated multiple factors, only one study has examined the effects of carbonate system variability on the behaviour of a marine animal. Altered GABAA receptor functioning under elevated CO2 appears responsible for many behavioural responses; however, this mechanism is unlikely to be universal. We recommend a new focus on determining the effects of elevated CO2 on marine animal behaviour in the context of multiple environmental drivers and future carbonate system variability, and the mechanisms governing the association between acid-base regulation and GABAA receptor functioning. This knowledge could explain observed species-specificity in behavioural responses to OA and lend to a unifying theory of OA effects on marine animal behaviour.","container-title":"Marine Ecology Progress Series","DOI":"10.3354/meps11426","ISSN":"0171-8630, 1616-1599","journalAbbreviation":"Mar. Ecol. Prog. Ser.","language":"en","page":"259-279","source":"DOI.org (Crossref)","title":"Marine animal behaviour in a high CO&lt;sub&gt;2&lt;/sub&gt; ocean","volume":"536","author":[{"family":"Clements","given":"J.C."},{"family":"Hunt","given":"H.L."}],"issued":{"date-parts":[["2015",9,29]]}}}],"schema":"https://github.com/citation-style-language/schema/raw/master/csl-citation.json"} </w:instrText>
      </w:r>
      <w:r w:rsidR="00DD6FF8">
        <w:rPr>
          <w:rFonts w:ascii="Times New Roman" w:hAnsi="Times New Roman" w:cs="Times New Roman"/>
        </w:rPr>
        <w:fldChar w:fldCharType="separate"/>
      </w:r>
      <w:r w:rsidR="00DD6FF8">
        <w:rPr>
          <w:rFonts w:ascii="Times New Roman" w:hAnsi="Times New Roman" w:cs="Times New Roman"/>
          <w:noProof/>
        </w:rPr>
        <w:t>(Clements and Hunt 2015)</w:t>
      </w:r>
      <w:r w:rsidR="00DD6FF8">
        <w:rPr>
          <w:rFonts w:ascii="Times New Roman" w:hAnsi="Times New Roman" w:cs="Times New Roman"/>
        </w:rPr>
        <w:fldChar w:fldCharType="end"/>
      </w:r>
      <w:r>
        <w:rPr>
          <w:rFonts w:ascii="Times New Roman" w:hAnsi="Times New Roman" w:cs="Times New Roman"/>
        </w:rPr>
        <w:t xml:space="preserve"> which are anticipated to drive ecosystem-level impacts under global change</w:t>
      </w:r>
      <w:r w:rsidR="00DD6FF8">
        <w:rPr>
          <w:rFonts w:ascii="Times New Roman" w:hAnsi="Times New Roman" w:cs="Times New Roman"/>
          <w:noProof/>
        </w:rPr>
        <w:t xml:space="preserve"> </w:t>
      </w:r>
      <w:r w:rsidR="00DD6FF8">
        <w:rPr>
          <w:rFonts w:ascii="Times New Roman" w:hAnsi="Times New Roman" w:cs="Times New Roman"/>
          <w:noProof/>
        </w:rPr>
        <w:fldChar w:fldCharType="begin"/>
      </w:r>
      <w:r w:rsidR="004F04C1">
        <w:rPr>
          <w:rFonts w:ascii="Times New Roman" w:hAnsi="Times New Roman" w:cs="Times New Roman"/>
          <w:noProof/>
        </w:rPr>
        <w:instrText xml:space="preserve"> ADDIN ZOTERO_ITEM CSL_CITATION {"citationID":"Bn1lG00D","properties":{"formattedCitation":"(Nagelkerken and Munday 2016)","plainCitation":"(Nagelkerken and Munday 2016)","noteIndex":0},"citationItems":[{"id":180,"uris":["http://zotero.org/users/6612280/items/Q4YZV55Y"],"uri":["http://zotero.org/users/6612280/items/Q4YZV55Y"],"itemData":{"id":180,"type":"article-journal","abstract":"Biological communities are shaped by complex interactions between organisms and their environment as well as interactions with other species. Humans are rapidly changing the marine environment through increasing greenhouse gas emissions, resulting in ocean warming and acidiﬁcation. The ﬁrst response by animals to environmental change is predominantly through modiﬁcation of their behaviour, which in turn affects species interactions and ecological processes. Yet, many climate change studies ignore animal behaviour. Furthermore, our current knowledge of how global change alters animal behaviour is mostly restricted to single species, life phases and stressors, leading to an incomplete view of how coinciding climate stressors can affect the ecological interactions that structure biological communities. Here, we ﬁrst review studies on the effects of warming and acidiﬁcation on the behaviour of marine animals. We demonstrate how pervasive the effects of global change are on a wide range of critical behaviours that determine the persistence of species and their success in ecological communities. We then evaluate several approaches to studying the ecological effects of warming and acidiﬁcation, and identify knowledge gaps that need to be ﬁlled, to better understand how global change will affect marine populations and communities through altered animal behaviours. Our review provides a synthesis of the far-reaching consequences that behavioural changes could have for marine ecosystems in a rapidly changing environment. Without considering the pervasive effects of climate change on animal behaviour we will limit our ability to forecast the impacts of ocean change and provide insights that can aid management strategies.","container-title":"Global Change Biology","DOI":"10.1111/gcb.13167","ISSN":"13541013","journalAbbreviation":"Glob. Change Biol.","language":"en","page":"974-989","source":"DOI.org (Crossref)","title":"Animal behaviour shapes the ecological effects of ocean acidification and warming: Moving from individual to community-level responses","title-short":"Animal behaviour shapes the ecological effects of ocean acidification and warming","volume":"22","author":[{"family":"Nagelkerken","given":"I."},{"family":"Munday","given":"P.L."}],"issued":{"date-parts":[["2016",3]]}}}],"schema":"https://github.com/citation-style-language/schema/raw/master/csl-citation.json"} </w:instrText>
      </w:r>
      <w:r w:rsidR="00DD6FF8">
        <w:rPr>
          <w:rFonts w:ascii="Times New Roman" w:hAnsi="Times New Roman" w:cs="Times New Roman"/>
          <w:noProof/>
        </w:rPr>
        <w:fldChar w:fldCharType="separate"/>
      </w:r>
      <w:r w:rsidR="00DD6FF8">
        <w:rPr>
          <w:rFonts w:ascii="Times New Roman" w:hAnsi="Times New Roman" w:cs="Times New Roman"/>
          <w:noProof/>
        </w:rPr>
        <w:t>(Nagelkerken and Munday 2016)</w:t>
      </w:r>
      <w:r w:rsidR="00DD6FF8">
        <w:rPr>
          <w:rFonts w:ascii="Times New Roman" w:hAnsi="Times New Roman" w:cs="Times New Roman"/>
          <w:noProof/>
        </w:rPr>
        <w:fldChar w:fldCharType="end"/>
      </w:r>
      <w:r>
        <w:rPr>
          <w:rFonts w:ascii="Times New Roman" w:hAnsi="Times New Roman" w:cs="Times New Roman"/>
        </w:rPr>
        <w:t xml:space="preserve">. Therein, </w:t>
      </w:r>
      <w:r w:rsidR="00943795">
        <w:rPr>
          <w:rFonts w:ascii="Times New Roman" w:hAnsi="Times New Roman" w:cs="Times New Roman"/>
        </w:rPr>
        <w:t>behavior</w:t>
      </w:r>
      <w:r>
        <w:rPr>
          <w:rFonts w:ascii="Times New Roman" w:hAnsi="Times New Roman" w:cs="Times New Roman"/>
        </w:rPr>
        <w:t xml:space="preserve">s involving sensory function are </w:t>
      </w:r>
      <w:r>
        <w:rPr>
          <w:rFonts w:ascii="Times New Roman" w:hAnsi="Times New Roman" w:cs="Times New Roman"/>
        </w:rPr>
        <w:lastRenderedPageBreak/>
        <w:t>thought to be highly sensitive to ocean acidification</w:t>
      </w:r>
      <w:r w:rsidR="00DD6FF8">
        <w:rPr>
          <w:rFonts w:ascii="Times New Roman" w:hAnsi="Times New Roman" w:cs="Times New Roman"/>
        </w:rPr>
        <w:t xml:space="preserve"> </w:t>
      </w:r>
      <w:r w:rsidR="00DD6FF8">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{"citationID":"nDknXv2k","properties":{"formattedCitation":"(Ashur et al. 2017; Draper and Weissburg 2019)","plainCitation":"(Ashur et al. 2017; Draper and Weissburg 2019)","noteIndex":0},"citationItems":[{"id":178,"uris":["http://zotero.org/users/6612280/items/N5CCZ9VC"],"uri":["http://zotero.org/users/6612280/items/N5CCZ9VC"],"itemData":{"id":178,"type":"article-journal","container-title":"Integrative and Comparative Biology","DOI":"10.1093/icb/icx010","ISSN":"1540-7063, 1557-7023","journalAbbreviation":"Integr. Comp. Biol.","language":"en","page":"63-80","source":"DOI.org (Crossref)","title":"Impacts of ocean acidification on sensory function in marine organisms","volume":"57","author":[{"family":"Ashur","given":"M.M."},{"family":"Johnston","given":"N.K."},{"family":"Dixson","given":"D.L."}],"issued":{"date-parts":[["2017",7]]}}},{"id":182,"uris":["http://zotero.org/users/6612280/items/RZ7MKXAG"],"uri":["http://zotero.org/users/6612280/items/RZ7MKXAG"],"itemData":{"id":182,"type":"article-journal","abstract":"Ecosystems are shaped by complex interactions between species and their environment. However, humans are rapidly changing the environment through increased carbon dioxide (CO2) emissions, creating global warming and elevated CO2 levels that affect ecological communities through multiple processes. Understanding community responses to climate change requires examining the consequences of changing behavioral interactions between species, such as those affecting predator and prey. Understanding the underlying sensory process that govern these interactions and how they may be affected by climate change provides a predictive framework, but many studies examine behavioral outcomes only. This review summarizes the current knowledge of global warming and elevated CO2 impacts on predator-prey interactions with respect to the relevant aspects of sensory ecology, and we discuss the potential consequences of these effects. Our speciﬁc questions concern how climate change affects the ability of predators and prey to collect information and how this affects predator-prey interactions. We develop a framework for understanding how warming and elevated CO2 can alter behavioral interactions by examining how the processes (steps) of sensory cue (or signal) production, transmission and reception may change. This includes both direct effects on cue production and reception resulting from changes in organismal physiology, but also effects on cue transmission resulting from modulation of the physical environment via physical and biotic changes. We suggest that some modalities may be particularly prone to disruption, and that aquatic environments may suffer more serious disruptions as a result of elevated CO2 and warming that collectively affect all steps of the signaling process. Temperature by itself may primarily operate on aspects of cue generation and transmission, implying that sensory-mediated disruptions in terrestrial environments may be less severe. However, signiﬁcant biases in the literature in terms of modalities (chemosensation), taxa (ﬁsh), and stressors (elevated CO2) examined currently prevents accurate generalizations. Signiﬁcant issues such as multimodal compensation and altered transmission or other environmental effects remain largely unaddressed. Future studies should strive to ﬁll these knowledge gaps in order to better understand and predict shifts in predator-prey interactions in a changing climate.","container-title":"Frontiers in Ecology and Evolution","DOI":"10.3389/fevo.2019.00072","ISSN":"2296-701X","journalAbbreviation":"Front. Ecol. Evol.","language":"en","page":"72","source":"DOI.org (Crossref)","title":"Impacts of global warming and elevated CO&lt;sub&gt;2&lt;/sub&gt; on sensory behavior in predator-prey interactions: A review and synthesis","title-short":"Impacts of Global Warming and Elevated CO2 on Sensory Behavior in Predator-Prey Interactions","volume":"7","author":[{"family":"Draper","given":"A.M."},{"family":"Weissburg","given":"M.J."}],"issued":{"date-parts":[["2019",3,20]]}}}],"schema":"https://github.com/citation-style-language/schema/raw/master/csl-citation.json"} </w:instrText>
      </w:r>
      <w:r w:rsidR="00DD6FF8">
        <w:rPr>
          <w:rFonts w:ascii="Times New Roman" w:hAnsi="Times New Roman" w:cs="Times New Roman"/>
        </w:rPr>
        <w:fldChar w:fldCharType="separate"/>
      </w:r>
      <w:r w:rsidR="00DD6FF8">
        <w:rPr>
          <w:rFonts w:ascii="Times New Roman" w:hAnsi="Times New Roman" w:cs="Times New Roman"/>
          <w:noProof/>
        </w:rPr>
        <w:t>(Ashur et al. 2017; Draper and Weissburg 2019)</w:t>
      </w:r>
      <w:r w:rsidR="00DD6FF8">
        <w:rPr>
          <w:rFonts w:ascii="Times New Roman" w:hAnsi="Times New Roman" w:cs="Times New Roman"/>
        </w:rPr>
        <w:fldChar w:fldCharType="end"/>
      </w:r>
      <w:r>
        <w:rPr>
          <w:rFonts w:ascii="Times New Roman" w:hAnsi="Times New Roman" w:cs="Times New Roman"/>
        </w:rPr>
        <w:t xml:space="preserve">, and anti-predator </w:t>
      </w:r>
      <w:r w:rsidR="00943795">
        <w:rPr>
          <w:rFonts w:ascii="Times New Roman" w:hAnsi="Times New Roman" w:cs="Times New Roman"/>
        </w:rPr>
        <w:t>behavior</w:t>
      </w:r>
      <w:r>
        <w:rPr>
          <w:rFonts w:ascii="Times New Roman" w:hAnsi="Times New Roman" w:cs="Times New Roman"/>
        </w:rPr>
        <w:t>s in both fish and invertebrates are reported to be impacted by acidi</w:t>
      </w:r>
      <w:r w:rsidRPr="003858BC">
        <w:rPr>
          <w:rFonts w:ascii="Times New Roman" w:hAnsi="Times New Roman" w:cs="Times New Roman"/>
        </w:rPr>
        <w:t>fication</w:t>
      </w:r>
      <w:r w:rsidR="00DD6FF8">
        <w:rPr>
          <w:rFonts w:ascii="Times New Roman" w:hAnsi="Times New Roman" w:cs="Times New Roman"/>
        </w:rPr>
        <w:t xml:space="preserve"> </w:t>
      </w:r>
      <w:r w:rsidR="00DD6FF8">
        <w:rPr>
          <w:rFonts w:ascii="Times New Roman" w:hAnsi="Times New Roman" w:cs="Times New Roman"/>
        </w:rPr>
        <w:fldChar w:fldCharType="begin"/>
      </w:r>
      <w:r w:rsidR="00DD6FF8">
        <w:rPr>
          <w:rFonts w:ascii="Times New Roman" w:hAnsi="Times New Roman" w:cs="Times New Roman"/>
        </w:rPr>
        <w:instrText xml:space="preserve"> ADDIN ZOTERO_ITEM CSL_CITATION {"citationID":"si1FUtDD","properties":{"formattedCitation":"(Clements and Comeau 2019a; Draper and Weissburg 2019)","plainCitation":"(Clements and Comeau 2019a; Draper and Weissburg 2019)","noteIndex":0},"citationItems":[{"id":318,"uris":["http://zotero.org/users/6612280/items/B7RWR83J"],"uri":["http://zotero.org/users/6612280/items/B7RWR83J"],"itemData":{"id":318,"type":"article-journal","abstract":"Biological interactions between predators and prey constitute a key component of the ecology and evolution of marine systems, and animal behavior can affect the outcome of predator–prey interactions. It has been recently demonstrated that CO2-induced ocean acidiﬁcation can alter the behavior of marine organisms and potentially alter predator–prey dynamics. This study combines both quantitative (meta-analysis) and qualitative approaches to review the effects of ocean acidiﬁcation on behavioral prey defenses in marine invertebrates. A systematic literature search identiﬁed 34 studies that experimentally assessed behavioral defenses under elevated pCO2 spanning three phyla: crustaceans, echinoderms, and molluscs. A meta-analysis suggested that exposure to elevated seawater pCO2 can negatively affect behavioral defenses in bivalve molluscs and malacostracan crustaceans. By contrast, defenses of cephalopod molluscs seem to be positively impacted by elevated pCO2, whereas gastropods and echinoids appear unaffected. A qualitative assessment of studies on combined effects of ocean acidiﬁcation and warming revealed that combined effects typically differ from ocean acidiﬁcation–only effects. Based on a qualitative assessment of three studies to date, neurological interference of GABAA receptors under elevated pCO2 may play a major role in ocean acidiﬁcation effects on prey defense behaviors; however, more research is needed, and other mechanistic underpinnings are also important to consider. Ultimately, the results of this study suggest that behavioral prey defenses in some shellﬁsh taxa may be vulnerable to ocean acidiﬁcation, that the effects of ocean acidiﬁcation are often different under warming scenarios than under present-day temperature scenarios, and that GABAA interference may be an important mechanism underpinning behavioral responses of shellﬁsh prey under ocean acidiﬁcation. Despite the importance of shellﬁsh behavioral defenses in the ecology and evolution of marine biological communities, however, research to date has only scraped the surface in understanding ocean acidiﬁcation effects. Increased research efforts on the effects of multiple stressors, acclimation and adaptation, environmental variability, and complex situational and ecological contexts are needed. Studies of ﬁsh behavioral defenses under ocean acidiﬁcation can help streamline hypotheses and experimental approaches, particularly given the similar effects of elevated pCO2 on GABAA function.","container-title":"Journal of Shellfish Research","DOI":"10.2983/035.038.0300","journalAbbreviation":"J. Shellfish Res.","language":"en","page":"1-18","source":"Zotero","title":"Behavioral defenses of shellfish prey under ocean acidification","volume":"38","author":[{"family":"Clements","given":"J.C."},{"family":"Comeau","given":"L.A."}],"issued":{"date-parts":[["2019"]]}}},{"id":182,"uris":["http://zotero.org/users/6612280/items/RZ7MKXAG"],"uri":["http://zotero.org/users/6612280/items/RZ7MKXAG"],"itemData":{"id":182,"type":"article-journal","abstract":"Ecosystems are shaped by complex interactions between species and their environment. However, humans are rapidly changing the environment through increased carbon dioxide (CO2) emissions, creating global warming and elevated CO2 levels that affect ecological communities through multiple processes. Understanding community responses to climate change requires examining the consequences of changing behavioral interactions between species, such as those affecting predator and prey. Understanding the underlying sensory process that govern these interactions and how they may be affected by climate change provides a predictive framework, but many studies examine behavioral outcomes only. This review summarizes the current knowledge of global warming and elevated CO2 impacts on predator-prey interactions with respect to the relevant aspects of sensory ecology, and we discuss the potential consequences of these effects. Our speciﬁc questions concern how climate change affects the ability of predators and prey to collect information and how this affects predator-prey interactions. We develop a framework for understanding how warming and elevated CO2 can alter behavioral interactions by examining how the processes (steps) of sensory cue (or signal) production, transmission and reception may change. This includes both direct effects on cue production and reception resulting from changes in organismal physiology, but also effects on cue transmission resulting from modulation of the physical environment via physical and biotic changes. We suggest that some modalities may be particularly prone to disruption, and that aquatic environments may suffer more serious disruptions as a result of elevated CO2 and warming that collectively affect all steps of the signaling process. Temperature by itself may primarily operate on aspects of cue generation and transmission, implying that sensory-mediated disruptions in terrestrial environments may be less severe. However, signiﬁcant biases in the literature in terms of modalities (chemosensation), taxa (ﬁsh), and stressors (elevated CO2) examined currently prevents accurate generalizations. Signiﬁcant issues such as multimodal compensation and altered transmission or other environmental effects remain largely unaddressed. Future studies should strive to ﬁll these knowledge gaps in order to better understand and predict shifts in predator-prey interactions in a changing climate.","container-title":"Frontiers in Ecology and Evolution","DOI":"10.3389/fevo.2019.00072","ISSN":"2296-701X","journalAbbreviation":"Front. Ecol. Evol.","language":"en","page":"72","source":"DOI.org (Crossref)","title":"Impacts of global warming and elevated CO&lt;sub&gt;2&lt;/sub&gt; on sensory behavior in predator-prey interactions: A review and synthesis","title-short":"Impacts of Global Warming and Elevated CO2 on Sensory Behavior in Predator-Prey Interactions","volume":"7","author":[{"family":"Draper","given":"A.M."},{"family":"Weissburg","given":"M.J."}],"issued":{"date-parts":[["2019",3,20]]}}}],"schema":"https://github.com/citation-style-language/schema/raw/master/csl-citation.json"} </w:instrText>
      </w:r>
      <w:r w:rsidR="00DD6FF8">
        <w:rPr>
          <w:rFonts w:ascii="Times New Roman" w:hAnsi="Times New Roman" w:cs="Times New Roman"/>
        </w:rPr>
        <w:fldChar w:fldCharType="separate"/>
      </w:r>
      <w:r w:rsidR="00DD6FF8">
        <w:rPr>
          <w:rFonts w:ascii="Times New Roman" w:hAnsi="Times New Roman" w:cs="Times New Roman"/>
          <w:noProof/>
        </w:rPr>
        <w:t>(Clements and Comeau 2019a; Draper and Weissburg 2019)</w:t>
      </w:r>
      <w:r w:rsidR="00DD6FF8">
        <w:rPr>
          <w:rFonts w:ascii="Times New Roman" w:hAnsi="Times New Roman" w:cs="Times New Roman"/>
        </w:rPr>
        <w:fldChar w:fldCharType="end"/>
      </w:r>
      <w:r w:rsidRPr="003858BC">
        <w:rPr>
          <w:rFonts w:ascii="Times New Roman" w:hAnsi="Times New Roman" w:cs="Times New Roman"/>
        </w:rPr>
        <w:t>. As</w:t>
      </w:r>
      <w:r>
        <w:rPr>
          <w:rFonts w:ascii="Times New Roman" w:hAnsi="Times New Roman" w:cs="Times New Roman"/>
        </w:rPr>
        <w:t xml:space="preserve"> such, we predicted that exposure to low pH conditions would affect the mussels’ time to open in this experiment. In contrast</w:t>
      </w:r>
      <w:r w:rsidRPr="001F5941">
        <w:rPr>
          <w:rFonts w:ascii="Times New Roman" w:hAnsi="Times New Roman" w:cs="Times New Roman"/>
        </w:rPr>
        <w:t xml:space="preserve"> to </w:t>
      </w:r>
      <w:r>
        <w:rPr>
          <w:rFonts w:ascii="Times New Roman" w:hAnsi="Times New Roman" w:cs="Times New Roman"/>
        </w:rPr>
        <w:t>this</w:t>
      </w:r>
      <w:r w:rsidRPr="001F5941">
        <w:rPr>
          <w:rFonts w:ascii="Times New Roman" w:hAnsi="Times New Roman" w:cs="Times New Roman"/>
        </w:rPr>
        <w:t xml:space="preserve"> prediction, </w:t>
      </w:r>
      <w:r>
        <w:rPr>
          <w:rFonts w:ascii="Times New Roman" w:hAnsi="Times New Roman" w:cs="Times New Roman"/>
        </w:rPr>
        <w:t xml:space="preserve">however, </w:t>
      </w:r>
      <w:r w:rsidRPr="001F5941">
        <w:rPr>
          <w:rFonts w:ascii="Times New Roman" w:hAnsi="Times New Roman" w:cs="Times New Roman"/>
        </w:rPr>
        <w:t>we observed no effect</w:t>
      </w:r>
      <w:r>
        <w:rPr>
          <w:rFonts w:ascii="Times New Roman" w:hAnsi="Times New Roman" w:cs="Times New Roman"/>
        </w:rPr>
        <w:t xml:space="preserve"> of low pH, despite employing an extreme acidification scenario (–0.7 </w:t>
      </w:r>
      <w:proofErr w:type="spellStart"/>
      <w:r>
        <w:rPr>
          <w:rFonts w:ascii="Times New Roman" w:hAnsi="Times New Roman" w:cs="Times New Roman"/>
        </w:rPr>
        <w:t>pH</w:t>
      </w:r>
      <w:r>
        <w:rPr>
          <w:rFonts w:ascii="Times New Roman" w:hAnsi="Times New Roman" w:cs="Times New Roman"/>
          <w:vertAlign w:val="subscript"/>
        </w:rPr>
        <w:t>T</w:t>
      </w:r>
      <w:proofErr w:type="spellEnd"/>
      <w:r>
        <w:rPr>
          <w:rFonts w:ascii="Times New Roman" w:hAnsi="Times New Roman" w:cs="Times New Roman"/>
        </w:rPr>
        <w:t xml:space="preserve">). While clumping </w:t>
      </w:r>
      <w:r w:rsidR="00943795">
        <w:rPr>
          <w:rFonts w:ascii="Times New Roman" w:hAnsi="Times New Roman" w:cs="Times New Roman"/>
        </w:rPr>
        <w:t>behavior</w:t>
      </w:r>
      <w:r>
        <w:rPr>
          <w:rFonts w:ascii="Times New Roman" w:hAnsi="Times New Roman" w:cs="Times New Roman"/>
        </w:rPr>
        <w:t xml:space="preserve"> in </w:t>
      </w:r>
      <w:r>
        <w:rPr>
          <w:rFonts w:ascii="Times New Roman" w:hAnsi="Times New Roman" w:cs="Times New Roman"/>
          <w:i/>
          <w:iCs/>
        </w:rPr>
        <w:t>Myti</w:t>
      </w:r>
      <w:r w:rsidR="008A468D">
        <w:rPr>
          <w:rFonts w:ascii="Times New Roman" w:hAnsi="Times New Roman" w:cs="Times New Roman"/>
          <w:i/>
          <w:iCs/>
        </w:rPr>
        <w:t>lu</w:t>
      </w:r>
      <w:r>
        <w:rPr>
          <w:rFonts w:ascii="Times New Roman" w:hAnsi="Times New Roman" w:cs="Times New Roman"/>
          <w:i/>
          <w:iCs/>
        </w:rPr>
        <w:t xml:space="preserve">s edulis </w:t>
      </w:r>
      <w:r>
        <w:rPr>
          <w:rFonts w:ascii="Times New Roman" w:hAnsi="Times New Roman" w:cs="Times New Roman"/>
        </w:rPr>
        <w:t>was affected by acidification</w:t>
      </w:r>
      <w:r w:rsidR="00A10CF3">
        <w:rPr>
          <w:rFonts w:ascii="Times New Roman" w:hAnsi="Times New Roman" w:cs="Times New Roman"/>
        </w:rPr>
        <w:t xml:space="preserve"> </w:t>
      </w:r>
      <w:r w:rsidR="00A10CF3">
        <w:rPr>
          <w:rFonts w:ascii="Times New Roman" w:hAnsi="Times New Roman" w:cs="Times New Roman"/>
        </w:rPr>
        <w:fldChar w:fldCharType="begin"/>
      </w:r>
      <w:r w:rsidR="00A10CF3">
        <w:rPr>
          <w:rFonts w:ascii="Times New Roman" w:hAnsi="Times New Roman" w:cs="Times New Roman"/>
        </w:rPr>
        <w:instrText xml:space="preserve"> ADDIN ZOTERO_ITEM CSL_CITATION {"citationID":"6N0zB8K3","properties":{"formattedCitation":"(Kong et al. 2019)","plainCitation":"(Kong et al. 2019)","noteIndex":0},"citationItems":[{"id":58,"uris":["http://zotero.org/users/6612280/items/UJ424SLP"],"uri":["http://zotero.org/users/6612280/items/UJ424SLP"],"itemData":{"id":58,"type":"article-journal","abstract":"The eﬀects of short-term (7 days) experimental ocean acidiﬁcation (−0.4 pH units) and warming (+5 °C) on anti-predator defenses of two sympatric Mytilus species from China, M. coruscus and M. edulis, in the presence and absence of predator cues were investigated. Results suggested species-speciﬁc independent negative eﬀects of acidiﬁcation and warming on the number and weight of byssal threads, the force of thread attachment, and total thread plaque area. Similar negative eﬀects were observed for clustering behaviour, with acidiﬁcation and warming independently increasing the number of solitary individuals and decreasing the percentage of mussels in clusters. Acidiﬁcation eﬀects on byssus were strongly exacerbated when predators were present. Ultimately, this study suggests that short-term exposure to experimental warming and acidiﬁcation can negatively impact anti-predator defense strategies in mussels with potential ramiﬁcations for predator-prey interactions and ecological functioning in systems where mussel beds play a key ecological role.","container-title":"Marine Pollution Bulletin","DOI":"10.1016/j.marpolbul.2019.05.040","ISSN":"0025326X","journalAbbreviation":"Mar. Poll. Bull.","language":"en","page":"118-125","source":"DOI.org (Crossref)","title":"Seawater acidification and temperature modulate anti-predator defenses in two co-existing &lt;i&gt;Mytilus&lt;/i&gt; species","volume":"145","author":[{"family":"Kong","given":"H."},{"family":"Clements","given":"J.C."},{"family":"Dupont","given":"S."},{"family":"Wang","given":"T."},{"family":"Huang","given":"X."},{"family":"Shang","given":"Y."},{"family":"Huang","given":"W."},{"family":"Chen","given":"J."},{"family":"Hu","given":"M."},{"family":"Wang","given":"Y."}],"issued":{"date-parts":[["2019",8]]}}}],"schema":"https://github.com/citation-style-language/schema/raw/master/csl-citation.json"} </w:instrText>
      </w:r>
      <w:r w:rsidR="00A10CF3">
        <w:rPr>
          <w:rFonts w:ascii="Times New Roman" w:hAnsi="Times New Roman" w:cs="Times New Roman"/>
        </w:rPr>
        <w:fldChar w:fldCharType="separate"/>
      </w:r>
      <w:r w:rsidR="00A10CF3">
        <w:rPr>
          <w:rFonts w:ascii="Times New Roman" w:hAnsi="Times New Roman" w:cs="Times New Roman"/>
          <w:noProof/>
        </w:rPr>
        <w:t>(Kong et al. 2019)</w:t>
      </w:r>
      <w:r w:rsidR="00A10CF3">
        <w:rPr>
          <w:rFonts w:ascii="Times New Roman" w:hAnsi="Times New Roman" w:cs="Times New Roman"/>
        </w:rPr>
        <w:fldChar w:fldCharType="end"/>
      </w:r>
      <w:r w:rsidR="00A10CF3">
        <w:rPr>
          <w:rFonts w:ascii="Times New Roman" w:hAnsi="Times New Roman" w:cs="Times New Roman"/>
        </w:rPr>
        <w:t xml:space="preserve"> </w:t>
      </w:r>
      <w:r>
        <w:rPr>
          <w:rFonts w:ascii="Times New Roman" w:hAnsi="Times New Roman" w:cs="Times New Roman"/>
        </w:rPr>
        <w:t xml:space="preserve">and median valve openings in </w:t>
      </w:r>
      <w:r>
        <w:rPr>
          <w:rFonts w:ascii="Times New Roman" w:hAnsi="Times New Roman" w:cs="Times New Roman"/>
          <w:i/>
          <w:iCs/>
        </w:rPr>
        <w:t xml:space="preserve">Mytilus </w:t>
      </w:r>
      <w:proofErr w:type="spellStart"/>
      <w:r>
        <w:rPr>
          <w:rFonts w:ascii="Times New Roman" w:hAnsi="Times New Roman" w:cs="Times New Roman"/>
          <w:i/>
          <w:iCs/>
        </w:rPr>
        <w:t>galloprovincialis</w:t>
      </w:r>
      <w:proofErr w:type="spellEnd"/>
      <w:r>
        <w:rPr>
          <w:rFonts w:ascii="Times New Roman" w:hAnsi="Times New Roman" w:cs="Times New Roman"/>
        </w:rPr>
        <w:t xml:space="preserve"> were reduced under 1200 </w:t>
      </w:r>
      <w:r>
        <w:rPr>
          <w:rFonts w:ascii="Times New Roman" w:hAnsi="Times New Roman" w:cs="Times New Roman"/>
        </w:rPr>
        <w:sym w:font="Symbol" w:char="F06D"/>
      </w:r>
      <w:r>
        <w:rPr>
          <w:rFonts w:ascii="Times New Roman" w:hAnsi="Times New Roman" w:cs="Times New Roman"/>
        </w:rPr>
        <w:t xml:space="preserve">atm (from a 500 </w:t>
      </w:r>
      <w:r>
        <w:rPr>
          <w:rFonts w:ascii="Times New Roman" w:hAnsi="Times New Roman" w:cs="Times New Roman"/>
        </w:rPr>
        <w:sym w:font="Symbol" w:char="F06D"/>
      </w:r>
      <w:r>
        <w:rPr>
          <w:rFonts w:ascii="Times New Roman" w:hAnsi="Times New Roman" w:cs="Times New Roman"/>
        </w:rPr>
        <w:t xml:space="preserve">atm control) </w:t>
      </w:r>
      <w:r w:rsidR="00DD6FF8">
        <w:rPr>
          <w:rFonts w:ascii="Times New Roman" w:hAnsi="Times New Roman" w:cs="Times New Roman"/>
        </w:rPr>
        <w:fldChar w:fldCharType="begin"/>
      </w:r>
      <w:r w:rsidR="00DD6FF8">
        <w:rPr>
          <w:rFonts w:ascii="Times New Roman" w:hAnsi="Times New Roman" w:cs="Times New Roman"/>
        </w:rPr>
        <w:instrText xml:space="preserve"> ADDIN ZOTERO_ITEM CSL_CITATION {"citationID":"bV7ENJhn","properties":{"formattedCitation":"(Lassoued et al. 2019)","plainCitation":"(Lassoued et al. 2019)","noteIndex":0},"citationItems":[{"id":170,"uris":["http://zotero.org/users/6612280/items/CRKUDLTR"],"uri":["http://zotero.org/users/6612280/items/CRKUDLTR"],"itemData":{"id":170,"type":"article-journal","abstract":"The carbon dioxide taken up by the ocean is increasing as levels of atmospheric carbon dioxide increase, thus lowering the ocean pH and altering the carbonate system. In this laboratory study, we evaluated the physiological responses of juvenile mussels Mytilus galloprovincialis from Galician waters (NW Iberian Peninsula) exposed to control (500 µatm) and elevated (800 or 1200 µatm) seawater pCO2 conditions under 2 different feeding regimes (optimal and suboptimal). Shell properties such as compressive strength and composition (organic matter and aragonite:calcite ratio) were negatively affected by high seawater pCO2, regardless of food availability. This result suggests that water chemistry is a main driver for shell development. Under the optimal feeding regime, mussel feeding rates increased in response to elevated pCO2, presumably as a strategy to maintain a high strength of attachment. In contrast, mussels on the suboptimal diet showed weak attachment and narrow valve opening at the highest pCO2 condition. Thus, our results suggest that with optimal food availability, mussels were resilient to water acidification with respect to feeding activity, valve opening and attachment strength. Under a suboptimal diet, however, the ability of mussels to respond to acidification was compromised. These results highlight complex ecophysiological interactions for calcifying organisms subjected to climate change.","container-title":"Marine Ecology Progress Series","DOI":"10.3354/meps13075","ISSN":"0171-8630, 1616-1599","journalAbbreviation":"Mar. Ecol. Prog. Ser.","language":"en","page":"97-108","source":"DOI.org (Crossref)","title":"Behavioural and eco-physiological responses of the mussel &lt;i&gt;Mytilus galloprovincialis&lt;/i&gt; to acidification and distinct feeding regimes","volume":"626","author":[{"family":"Lassoued","given":"J."},{"family":"Babarro","given":"J.M.F."},{"family":"Padín","given":"X.A."},{"family":"Comeau","given":"L.A."},{"family":"Bejaoui","given":"N."},{"family":"Pérez","given":"F.F."}],"issued":{"date-parts":[["2019",9,12]]}}}],"schema":"https://github.com/citation-style-language/schema/raw/master/csl-citation.json"} </w:instrText>
      </w:r>
      <w:r w:rsidR="00DD6FF8">
        <w:rPr>
          <w:rFonts w:ascii="Times New Roman" w:hAnsi="Times New Roman" w:cs="Times New Roman"/>
        </w:rPr>
        <w:fldChar w:fldCharType="separate"/>
      </w:r>
      <w:r w:rsidR="00DD6FF8">
        <w:rPr>
          <w:rFonts w:ascii="Times New Roman" w:hAnsi="Times New Roman" w:cs="Times New Roman"/>
          <w:noProof/>
        </w:rPr>
        <w:t>(Lassoued et al. 2019)</w:t>
      </w:r>
      <w:r w:rsidR="00DD6FF8">
        <w:rPr>
          <w:rFonts w:ascii="Times New Roman" w:hAnsi="Times New Roman" w:cs="Times New Roman"/>
        </w:rPr>
        <w:fldChar w:fldCharType="end"/>
      </w:r>
      <w:r>
        <w:rPr>
          <w:rFonts w:ascii="Times New Roman" w:hAnsi="Times New Roman" w:cs="Times New Roman"/>
        </w:rPr>
        <w:t>, multiple studies suggest a lack of acidification effect on baseline valve gaping activity in marine bivalves</w:t>
      </w:r>
      <w:r w:rsidR="00A10CF3">
        <w:rPr>
          <w:rFonts w:ascii="Times New Roman" w:hAnsi="Times New Roman" w:cs="Times New Roman"/>
        </w:rPr>
        <w:t xml:space="preserve"> </w:t>
      </w:r>
      <w:r w:rsidR="00A10CF3">
        <w:rPr>
          <w:rFonts w:ascii="Times New Roman" w:hAnsi="Times New Roman" w:cs="Times New Roman"/>
        </w:rPr>
        <w:fldChar w:fldCharType="begin"/>
      </w:r>
      <w:r w:rsidR="00BF2836">
        <w:rPr>
          <w:rFonts w:ascii="Times New Roman" w:hAnsi="Times New Roman" w:cs="Times New Roman"/>
        </w:rPr>
        <w:instrText xml:space="preserve"> ADDIN ZOTERO_ITEM CSL_CITATION {"citationID":"mjpdEAxJ","properties":{"formattedCitation":"(Jakubowska and Normant 2015; Bamber and Westerlund 2016; Clements, Comeau, et al. 2018)","plainCitation":"(Jakubowska and Normant 2015; Bamber and Westerlund 2016; Clements, Comeau, et al. 2018)","noteIndex":0},"citationItems":[{"id":172,"uris":["http://zotero.org/users/6612280/items/26KGP4HI"],"uri":["http://zotero.org/users/6612280/items/26KGP4HI"],"itemData":{"id":172,"type":"article-journal","container-title":"Marine and Freshwater Behaviour and Physiology","DOI":"10.1080/10236244.2014.986865","ISSN":"1023-6244, 1029-0362","journalAbbreviation":"Mar. Freshw. Behav. Physiol.","language":"en","page":"25-39","source":"DOI.org (Crossref)","title":"Metabolic rate and activity of blue mussel &lt;i&gt;Mytilus edulis trossulus&lt;/i&gt; under short-term exposure to carbon dioxide-induced water acidification and oxygen deficiency","volume":"48","author":[{"family":"Jakubowska","given":"M."},{"family":"Normant","given":"M."}],"issued":{"date-parts":[["2015",1,2]]}}},{"id":168,"uris":["http://zotero.org/users/6612280/items/99TNEREW"],"uri":["http://zotero.org/users/6612280/items/99TNEREW"],"itemData":{"id":168,"type":"article-journal","abstract":"Sub-sea geological storage of carbon dioxide (CO2) provides a viable option for the Carbon Capture and Storage (CCS) approach for reducing atmospheric emissions of this greenhouse gas. Although generally considered to offer a low risk of major leakage, it remains relevant to establish the possible consequences for marine organisms that live in or on sediments overlying these storage areas if such an event may occur. The present study has used a series of laboratory exposures and behavioral bioassays to establish the sensitivity of Arctica islandica to simulated leakages of CO2. This long-lived bivalve mollusc is widely distributed throughout the North Sea, an area where geological storage is currently taking place and where there are plans to expand this operation signiﬁcantly. A recently published model has predicted a maximum drop of 1.9 pH units in seawater at the point source of a substantial escape of CO2 from sub-sea geological storage in this region. Valve movements of A. islandica exposed to reduced pH seawater were recorded continuously using Hall effect proximity sensors. Valve movement regulation is important for optimising the ﬂow of water over the gills, which supplies food and facilitates respiration. A stepwise reduction in seawater pH showed an initial increase in both the rate and extent of valve movements in the majority of individuals tested when pH fell to 6.2 units. Exposing A. islandica to pH 6.2 seawater continuously for seven days resulted in a clear increase in valve movements during the ﬁrst 40 h of exposure, followed by a gradual reduction in activity intensity over the subsequent ﬁve days, suggesting acclimation. The ability of both exposed and control bivalves to burrow successfully into sediment on completion of this exposure was very similar. A ﬁnal exposure trial, testing whether increased valve movements initiated by reduced pH were related to foot extension during attempted burrowing, found no such association. In summary, signiﬁcant changes in valve behavior did not occur until seawater pH fell to 6.2 units. The response took the form of an increase in valve activity rather than closure. The absence of foot extension coincident with increased valve movements indicates A. islandica were not attempting to burrow, leaving the possibility that valve movements are supporting a respiratory response to hypercapnia. In conclusion, A. islandica appears to be tolerant of reductions in seawater pH equivalent to those predicted for substantial losses of CO2 through leakage from sub-sea geological storage.","container-title":"Aquatic Toxicology","DOI":"10.1016/j.aquatox.2016.10.009","ISSN":"0166445X","journalAbbreviation":"Aquat. Toxicol.","language":"en","page":"295-305","source":"DOI.org (Crossref)","title":"Behavioral responses of &lt;i&gt;Arctica islandica&lt;/i&gt; (Bivalvia: Arcticidae) to simulated leakages of carbon dioxide from sub-sea geological storage","title-short":"Behavioral responses of Arctica islandica (Bivalvia","volume":"180","author":[{"family":"Bamber","given":"S.D."},{"family":"Westerlund","given":"S."}],"issued":{"date-parts":[["2016",11]]}}},{"id":60,"uris":["http://zotero.org/users/6612280/items/HJRVYI7I"],"uri":["http://zotero.org/users/6612280/items/HJRVYI7I"],"itemData":{"id":60,"type":"article-journal","abstract":"While many studies document eﬀects of elevated pCO2 on coastal organisms, the environmental variability characteristic of coastal regions is often not directly tested. We tested for eﬀects of elevated pCO2 on the valve gaping activity of adult eastern oysters (Crassostrea virginica) in response to acute heat shock that can occur in nearshore shallow coastal waters. In two consecutive experimental trials, oysters (n = 4) wired with Hall Eﬀect biosensors (that measured valve gaping at one-second intervals) were exposed for 10 days at six diﬀerent pCO2 treatments spanning a range currently observed in nearshore coastal regions, and predicted under near-future ocean acidiﬁcation. After the 10-day acclimation period, oysters from each pCO2 treatment were exposed to a 3h heat shock assay (11-12 </w:instrText>
      </w:r>
      <w:r w:rsidR="00BF2836">
        <w:rPr>
          <w:rFonts w:ascii="Segoe UI Symbol" w:hAnsi="Segoe UI Symbol" w:cs="Segoe UI Symbol"/>
        </w:rPr>
        <w:instrText>➔</w:instrText>
      </w:r>
      <w:r w:rsidR="00BF2836">
        <w:rPr>
          <w:rFonts w:ascii="Times New Roman" w:hAnsi="Times New Roman" w:cs="Times New Roman"/>
        </w:rPr>
        <w:instrText xml:space="preserve"> 30 °C) and valve gaping activity was monitored continuously. During the heat shock assays, valve gaping activity increased with increasing temperature and then ceased when temperature was reduced back to 11-12 °C; however, these valve gaping rate increases during heat shock were not characteristic of overly-stressed oysters. Exposure to elevated pCO2 had no eﬀect on the valve gaping response of oysters to acute heat shock. Our results suggest that the valve gaping responses of adult eastern oysters to acute temperature increases are unaﬀected by short-term elevations in seawater pCO2. Future studies incorporating the roles of local adaptation, food availability, and direct functional consequences of valve gaping (e.g. physiological rates, predator avoidance, response to environmental toxins) are warranted.","container-title":"Journal of Experimental Marine Biology and Ecology","DOI":"10.1016/j.jembe.2018.05.005","ISSN":"00220981","journalAbbreviation":"J. Exp. Mar. Biol. Ecol.","language":"en","page":"9-17","source":"DOI.org (Crossref)","title":"Short-term exposure to elevated &lt;i&gt;p&lt;/i&gt;CO&lt;sub&gt;2&lt;/sub&gt; does not affect the valve gaping response of adult eastern oysters, &lt;i&gt;Crassostrea virginica&lt;/i&gt;, to acute heat shock under an &lt;i&gt;ad libitum&lt;/i&gt; feeding regime","volume":"506","author":[{"family":"Clements","given":"J.C."},{"family":"Comeau","given":"L.A."},{"family":"Carver","given":"C.E."},{"family":"Mayrand","given":"E."},{"family":"Plante","given":"S."},{"family":"Mallet","given":"A.L."}],"issued":{"date-parts":[["2018",9]]}}}],"schema":"https://github.com/citation-style-language/schema/raw/master/csl-citation.json"} </w:instrText>
      </w:r>
      <w:r w:rsidR="00A10CF3">
        <w:rPr>
          <w:rFonts w:ascii="Times New Roman" w:hAnsi="Times New Roman" w:cs="Times New Roman"/>
        </w:rPr>
        <w:fldChar w:fldCharType="separate"/>
      </w:r>
      <w:r w:rsidR="00A10CF3">
        <w:rPr>
          <w:rFonts w:ascii="Times New Roman" w:hAnsi="Times New Roman" w:cs="Times New Roman"/>
          <w:noProof/>
        </w:rPr>
        <w:t>(Jakubowska and Normant 2015; Bamber and Westerlund 2016; Clements, Comeau, et al. 2018)</w:t>
      </w:r>
      <w:r w:rsidR="00A10CF3">
        <w:rPr>
          <w:rFonts w:ascii="Times New Roman" w:hAnsi="Times New Roman" w:cs="Times New Roman"/>
        </w:rPr>
        <w:fldChar w:fldCharType="end"/>
      </w:r>
      <w:r>
        <w:rPr>
          <w:rFonts w:ascii="Times New Roman" w:hAnsi="Times New Roman" w:cs="Times New Roman"/>
        </w:rPr>
        <w:t xml:space="preserve">. </w:t>
      </w:r>
      <w:r w:rsidR="00A10CF3">
        <w:rPr>
          <w:rFonts w:ascii="Times New Roman" w:hAnsi="Times New Roman" w:cs="Times New Roman"/>
        </w:rPr>
        <w:t xml:space="preserve">Furthermore, a recent study also found no effect of near-future ocean acidification (pH 7.70 from a control of 8.25) on startle responses in hermit crabs, </w:t>
      </w:r>
      <w:proofErr w:type="spellStart"/>
      <w:r w:rsidR="00A10CF3">
        <w:rPr>
          <w:rFonts w:ascii="Times New Roman" w:hAnsi="Times New Roman" w:cs="Times New Roman"/>
          <w:i/>
          <w:iCs/>
        </w:rPr>
        <w:t>Pagurus</w:t>
      </w:r>
      <w:proofErr w:type="spellEnd"/>
      <w:r w:rsidR="00A10CF3">
        <w:rPr>
          <w:rFonts w:ascii="Times New Roman" w:hAnsi="Times New Roman" w:cs="Times New Roman"/>
          <w:i/>
          <w:iCs/>
        </w:rPr>
        <w:t xml:space="preserve"> </w:t>
      </w:r>
      <w:proofErr w:type="spellStart"/>
      <w:r w:rsidR="00A10CF3">
        <w:rPr>
          <w:rFonts w:ascii="Times New Roman" w:hAnsi="Times New Roman" w:cs="Times New Roman"/>
          <w:i/>
          <w:iCs/>
        </w:rPr>
        <w:t>criniticornis</w:t>
      </w:r>
      <w:proofErr w:type="spellEnd"/>
      <w:r w:rsidR="00A10CF3">
        <w:rPr>
          <w:rFonts w:ascii="Times New Roman" w:hAnsi="Times New Roman" w:cs="Times New Roman"/>
        </w:rPr>
        <w:t xml:space="preserve"> </w:t>
      </w:r>
      <w:r w:rsidR="00A10CF3">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{"citationID":"LmmwBvSu","properties":{"formattedCitation":"(Turra et al. 2019)","plainCitation":"(Turra et al. 2019)","noteIndex":0},"citationItems":[{"id":121,"uris":["http://zotero.org/users/6612280/items/KNV86F4N"],"uri":["http://zotero.org/users/6612280/items/KNV86F4N"],"itemData":{"id":121,"type":"article-journal","abstract":"Impacts of the interactive effects of ocean acidification (OA) with other anthropogenic environmental stressors on marine biodiversity are receiving increasing attention in recent years. However, little is known about how organismal responses to OA may be influenced by common phenomena such as autotomy and sexual dimor­ phism. This study evaluated the long-term (120 days) combined effects of OA (pH 7.7), experimental cheliped amputation and sex on physiological stress (mortality, growth, number of molts, cheliped regeneration and startle response) and energy budget (lipid and calcium contents) in the intertidal sexually-dimorphic hermit crab Pagurus criniticornis. Crabs exposed to OA reduced survivorship (46%), molting frequency (36%) and lipid content (42%). Autotomised crabs and males molted more frequently (39% and 32%, respectively). Males pre­ sented higher regeneration (33%) and lower lipid content (24%). The few synergistic effects recorded did not indicate any clear pattern among treatments however, (1) a stronger reduction in lipid content was recorded in non-autotomised crabs exposed to low pH; (2) calcium content was higher in males than females only for autotomised crabs under control pH; and (3) autotomised females showed a proportionally slower activity re­ covery than autotomised males. Although our results suggest an effect of long-term exposure to low pH on the physiological stress and energy budget of Pagurus criniticornis, the physiological repertoire and plasticity asso­ ciated with limb regeneration and the maintenance of dimorphism in secondary sexual characters may provide resilience to long-term exposure to OA.","container-title":"Marine Environmental Research","DOI":"10.1016/j.marenvres.2019.104794","ISSN":"01411136","journalAbbreviation":"Mar. Environ. Res.","language":"en","page":"104794","source":"DOI.org (Crossref)","title":"The effect of ocean acidification on the intertidal hermit crab &lt;i&gt;Pagurus criniticornis&lt;/i&gt; is not modulated by cheliped amputation and sex","volume":"153","author":[{"family":"Turra","given":"A."},{"family":"Ragagnin","given":"M.N."},{"family":"McCarthy","given":"I.D."},{"family":"Fernandez","given":"W.S."}],"issued":{"date-parts":[["2019"]]}}}],"schema":"https://github.com/citation-style-language/schema/raw/master/csl-citation.json"} </w:instrText>
      </w:r>
      <w:r w:rsidR="00A10CF3">
        <w:rPr>
          <w:rFonts w:ascii="Times New Roman" w:hAnsi="Times New Roman" w:cs="Times New Roman"/>
        </w:rPr>
        <w:fldChar w:fldCharType="separate"/>
      </w:r>
      <w:r w:rsidR="00A10CF3">
        <w:rPr>
          <w:rFonts w:ascii="Times New Roman" w:hAnsi="Times New Roman" w:cs="Times New Roman"/>
          <w:noProof/>
        </w:rPr>
        <w:t>(Turra et al. 2019)</w:t>
      </w:r>
      <w:r w:rsidR="00A10CF3">
        <w:rPr>
          <w:rFonts w:ascii="Times New Roman" w:hAnsi="Times New Roman" w:cs="Times New Roman"/>
        </w:rPr>
        <w:fldChar w:fldCharType="end"/>
      </w:r>
      <w:r w:rsidR="00A10CF3">
        <w:rPr>
          <w:rFonts w:ascii="Times New Roman" w:hAnsi="Times New Roman" w:cs="Times New Roman"/>
        </w:rPr>
        <w:t xml:space="preserve">. While it could be argued that the lack of pH effect is due to the cue type used (i.e., tactile </w:t>
      </w:r>
      <w:r w:rsidR="00A10CF3">
        <w:rPr>
          <w:rFonts w:ascii="Times New Roman" w:hAnsi="Times New Roman" w:cs="Times New Roman"/>
          <w:i/>
          <w:iCs/>
        </w:rPr>
        <w:t>versus</w:t>
      </w:r>
      <w:r w:rsidR="00A10CF3">
        <w:rPr>
          <w:rFonts w:ascii="Times New Roman" w:hAnsi="Times New Roman" w:cs="Times New Roman"/>
        </w:rPr>
        <w:t xml:space="preserve"> olfactory), a similar study on </w:t>
      </w:r>
      <w:r w:rsidR="00A10CF3">
        <w:rPr>
          <w:rFonts w:ascii="Times New Roman" w:hAnsi="Times New Roman" w:cs="Times New Roman"/>
          <w:i/>
          <w:iCs/>
        </w:rPr>
        <w:t xml:space="preserve">Mytilus </w:t>
      </w:r>
      <w:proofErr w:type="spellStart"/>
      <w:r w:rsidR="00A10CF3">
        <w:rPr>
          <w:rFonts w:ascii="Times New Roman" w:hAnsi="Times New Roman" w:cs="Times New Roman"/>
          <w:i/>
          <w:iCs/>
        </w:rPr>
        <w:t>galloprovincialis</w:t>
      </w:r>
      <w:proofErr w:type="spellEnd"/>
      <w:r w:rsidR="00A10CF3">
        <w:rPr>
          <w:rFonts w:ascii="Times New Roman" w:hAnsi="Times New Roman" w:cs="Times New Roman"/>
          <w:i/>
          <w:iCs/>
        </w:rPr>
        <w:t xml:space="preserve"> </w:t>
      </w:r>
      <w:r w:rsidR="00A10CF3" w:rsidRPr="00A10CF3">
        <w:rPr>
          <w:rFonts w:ascii="Times New Roman" w:hAnsi="Times New Roman" w:cs="Times New Roman"/>
        </w:rPr>
        <w:t>found no effect of low pH</w:t>
      </w:r>
      <w:r w:rsidR="00A10CF3">
        <w:rPr>
          <w:rFonts w:ascii="Times New Roman" w:hAnsi="Times New Roman" w:cs="Times New Roman"/>
        </w:rPr>
        <w:t xml:space="preserve"> on valve closure responses to chemical alarm cues (Clements et al. under review). </w:t>
      </w:r>
      <w:r>
        <w:rPr>
          <w:rFonts w:ascii="Times New Roman" w:hAnsi="Times New Roman" w:cs="Times New Roman"/>
        </w:rPr>
        <w:t xml:space="preserve">Collectively, these results suggest that ocean acidification may have a relatively weak effect on marine bivalve </w:t>
      </w:r>
      <w:r w:rsidR="00943795">
        <w:rPr>
          <w:rFonts w:ascii="Times New Roman" w:hAnsi="Times New Roman" w:cs="Times New Roman"/>
        </w:rPr>
        <w:t>behavior</w:t>
      </w:r>
      <w:r>
        <w:rPr>
          <w:rFonts w:ascii="Times New Roman" w:hAnsi="Times New Roman" w:cs="Times New Roman"/>
        </w:rPr>
        <w:t>s</w:t>
      </w:r>
      <w:r w:rsidRPr="003F0E3A">
        <w:rPr>
          <w:rFonts w:ascii="Times New Roman" w:hAnsi="Times New Roman" w:cs="Times New Roman"/>
        </w:rPr>
        <w:t xml:space="preserve"> </w:t>
      </w:r>
      <w:r>
        <w:rPr>
          <w:rFonts w:ascii="Times New Roman" w:hAnsi="Times New Roman" w:cs="Times New Roman"/>
        </w:rPr>
        <w:t xml:space="preserve">and perhaps a far weaker effect on animal </w:t>
      </w:r>
      <w:r w:rsidR="00943795">
        <w:rPr>
          <w:rFonts w:ascii="Times New Roman" w:hAnsi="Times New Roman" w:cs="Times New Roman"/>
        </w:rPr>
        <w:t>behavior</w:t>
      </w:r>
      <w:r>
        <w:rPr>
          <w:rFonts w:ascii="Times New Roman" w:hAnsi="Times New Roman" w:cs="Times New Roman"/>
        </w:rPr>
        <w:t>, broadly, than currently thought</w:t>
      </w:r>
      <w:r w:rsidR="00A10CF3">
        <w:rPr>
          <w:rFonts w:ascii="Times New Roman" w:hAnsi="Times New Roman" w:cs="Times New Roman"/>
        </w:rPr>
        <w:t xml:space="preserve"> </w:t>
      </w:r>
      <w:r w:rsidR="00A10CF3">
        <w:rPr>
          <w:rFonts w:ascii="Times New Roman" w:hAnsi="Times New Roman" w:cs="Times New Roman"/>
        </w:rPr>
        <w:fldChar w:fldCharType="begin"/>
      </w:r>
      <w:r w:rsidR="00BF2836">
        <w:rPr>
          <w:rFonts w:ascii="Times New Roman" w:hAnsi="Times New Roman" w:cs="Times New Roman"/>
        </w:rPr>
        <w:instrText xml:space="preserve"> ADDIN ZOTERO_ITEM CSL_CITATION {"citationID":"MxxT7KLU","properties":{"formattedCitation":"(Clark et al. 2020)","plainCitation":"(Clark et al. 2020)","noteIndex":0},"citationItems":[{"id":410,"uris":["http://zotero.org/users/6612280/items/33VWRMWG"],"uri":["http://zotero.org/users/6612280/items/33VWRMWG"],"itemData":{"id":410,"type":"article-journal","container-title":"Nature","DOI":"10.1038/s41586-019-1903-y","ISSN":"0028-0836, 1476-4687","journalAbbreviation":"Nature","language":"en","page":"370-375","source":"DOI.org (Crossref)","title":"Ocean acidification does not impair the behaviour of coral reef fishes","volume":"577","author":[{"family":"Clark","given":"Timothy D."},{"family":"Raby","given":"Graham D."},{"family":"Roche","given":"Dominique G."},{"family":"Binning","given":"Sandra A."},{"family":"Speers-Roesch","given":"Ben"},{"family":"Jutfelt","given":"Fredrik"},{"family":"Sundin","given":"Josefin"}],"issued":{"date-parts":[["2020",1]]}}}],"schema":"https://github.com/citation-style-language/schema/raw/master/csl-citation.json"} </w:instrText>
      </w:r>
      <w:r w:rsidR="00A10CF3">
        <w:rPr>
          <w:rFonts w:ascii="Times New Roman" w:hAnsi="Times New Roman" w:cs="Times New Roman"/>
        </w:rPr>
        <w:fldChar w:fldCharType="separate"/>
      </w:r>
      <w:r w:rsidR="00A10CF3">
        <w:rPr>
          <w:rFonts w:ascii="Times New Roman" w:hAnsi="Times New Roman" w:cs="Times New Roman"/>
          <w:noProof/>
        </w:rPr>
        <w:t>(Clark et al. 2020)</w:t>
      </w:r>
      <w:r w:rsidR="00A10CF3">
        <w:rPr>
          <w:rFonts w:ascii="Times New Roman" w:hAnsi="Times New Roman" w:cs="Times New Roman"/>
        </w:rPr>
        <w:fldChar w:fldCharType="end"/>
      </w:r>
      <w:r w:rsidR="00A10CF3">
        <w:rPr>
          <w:rFonts w:ascii="Times New Roman" w:hAnsi="Times New Roman" w:cs="Times New Roman"/>
        </w:rPr>
        <w:t>.</w:t>
      </w:r>
      <w:r>
        <w:rPr>
          <w:rFonts w:ascii="Times New Roman" w:hAnsi="Times New Roman" w:cs="Times New Roman"/>
        </w:rPr>
        <w:t xml:space="preserve"> </w:t>
      </w:r>
    </w:p>
    <w:p w14:paraId="6F439785" w14:textId="5BC83E1B" w:rsidR="00247EF3" w:rsidRPr="00241B85" w:rsidRDefault="00247EF3" w:rsidP="006A2314">
      <w:pPr>
        <w:spacing w:after="240" w:line="480" w:lineRule="auto"/>
        <w:jc w:val="both"/>
        <w:rPr>
          <w:rFonts w:ascii="Times New Roman" w:hAnsi="Times New Roman" w:cs="Times New Roman"/>
          <w:i/>
          <w:iCs/>
        </w:rPr>
      </w:pPr>
      <w:r>
        <w:rPr>
          <w:rFonts w:ascii="Times New Roman" w:hAnsi="Times New Roman" w:cs="Times New Roman"/>
        </w:rPr>
        <w:t xml:space="preserve">We observed a high degree of </w:t>
      </w:r>
      <w:r w:rsidR="00943795">
        <w:rPr>
          <w:rFonts w:ascii="Times New Roman" w:hAnsi="Times New Roman" w:cs="Times New Roman"/>
        </w:rPr>
        <w:t>behavior</w:t>
      </w:r>
      <w:r>
        <w:rPr>
          <w:rFonts w:ascii="Times New Roman" w:hAnsi="Times New Roman" w:cs="Times New Roman"/>
        </w:rPr>
        <w:t xml:space="preserve">al repeatability in time to open following tactile predator cues in the lab, supporting our hypothesis that bivalve startle responses are repeatable. To our knowledge, only one other study has reported on the repeatability of time to open, reporting that similar responses in freshwater mussels, </w:t>
      </w:r>
      <w:proofErr w:type="spellStart"/>
      <w:r w:rsidRPr="000B0A9C">
        <w:rPr>
          <w:rFonts w:ascii="Times New Roman" w:hAnsi="Times New Roman" w:cs="Times New Roman"/>
          <w:i/>
          <w:iCs/>
        </w:rPr>
        <w:t>Margaritifera</w:t>
      </w:r>
      <w:proofErr w:type="spellEnd"/>
      <w:r w:rsidRPr="000B0A9C">
        <w:rPr>
          <w:rFonts w:ascii="Times New Roman" w:hAnsi="Times New Roman" w:cs="Times New Roman"/>
          <w:i/>
          <w:iCs/>
        </w:rPr>
        <w:t xml:space="preserve"> </w:t>
      </w:r>
      <w:proofErr w:type="spellStart"/>
      <w:r w:rsidRPr="000B0A9C">
        <w:rPr>
          <w:rFonts w:ascii="Times New Roman" w:hAnsi="Times New Roman" w:cs="Times New Roman"/>
          <w:i/>
          <w:iCs/>
        </w:rPr>
        <w:t>margaritifera</w:t>
      </w:r>
      <w:proofErr w:type="spellEnd"/>
      <w:r>
        <w:rPr>
          <w:rFonts w:ascii="Times New Roman" w:hAnsi="Times New Roman" w:cs="Times New Roman"/>
        </w:rPr>
        <w:t xml:space="preserve">, were repeatable across three trials with different cue types (although a quantitative estimate of repeatability was not reported) </w:t>
      </w:r>
      <w:r w:rsidR="003559B9">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{"citationID":"Rkpzegis","properties":{"formattedCitation":"(Wilson et al. 2012)","plainCitation":"(Wilson et al. 2012)","noteIndex":0},"citationItems":[{"id":70,"uris":["http://zotero.org/users/6612280/items/8YZ2MFLC"],"uri":["http://zotero.org/users/6612280/items/8YZ2MFLC"],"itemData":{"id":70,"type":"article-journal","abstract":"Animals often show behavioural plasticity with respect to predation risk but also show behavioural syndromes in terms of consistency of responses to different stimuli. We examine these features in the freshwater pearl mussel. These bivalves often aggregate presumably to reduce predation risk to each individual. Predation risk, however, will be higher in the presence of predator cues. Here we use dimming light, vibration and touch as novel stimuli to examine the trade-off between motivation to feed and motivation to avoid predation. We present two experiments that each use three sequential novel stimuli to cause the mussels to close their valves and hence cease feeding. We ﬁnd that mussels within a group showed shorter closure times than solitary mussels, consistent with decreased vulnerability to predation in group-living individuals. Mussels exposed to the odour of a predatory crayﬁsh showed longer closures than control mussels, highlighting the predator assessment abilities of this species. However, individuals showed signiﬁcant consistency in their closure responses across the trial series, in line with behavioural syndrome theory. Our results show that bivalves trade-off feeding and predator avoidance according to predation risk but the degree to which this is achieved is constrained by behavioural consistency.","container-title":"Behavioural Processes","DOI":"10.1016/j.beproc.2011.12.006","ISSN":"03766357","journalAbbreviation":"Behav. Process.","language":"en","page":"299-303","source":"DOI.org (Crossref)","title":"Freshwater pearl mussels show plasticity of responses to different predation risks but also show consistent individual differences in responsiveness","volume":"89","author":[{"family":"Wilson","given":"C.D."},{"family":"Arnott","given":"G."},{"family":"Elwood","given":"R.W."}],"issued":{"date-parts":[["2012",3]]}}}],"schema":"https://github.com/citation-style-language/schema/raw/master/csl-citation.json"} </w:instrText>
      </w:r>
      <w:r w:rsidR="003559B9">
        <w:rPr>
          <w:rFonts w:ascii="Times New Roman" w:hAnsi="Times New Roman" w:cs="Times New Roman"/>
        </w:rPr>
        <w:fldChar w:fldCharType="separate"/>
      </w:r>
      <w:r w:rsidR="003559B9">
        <w:rPr>
          <w:rFonts w:ascii="Times New Roman" w:hAnsi="Times New Roman" w:cs="Times New Roman"/>
          <w:noProof/>
        </w:rPr>
        <w:t>(Wilson et al. 2012)</w:t>
      </w:r>
      <w:r w:rsidR="003559B9">
        <w:rPr>
          <w:rFonts w:ascii="Times New Roman" w:hAnsi="Times New Roman" w:cs="Times New Roman"/>
        </w:rPr>
        <w:fldChar w:fldCharType="end"/>
      </w:r>
      <w:r>
        <w:rPr>
          <w:rFonts w:ascii="Times New Roman" w:hAnsi="Times New Roman" w:cs="Times New Roman"/>
        </w:rPr>
        <w:t xml:space="preserve">. </w:t>
      </w:r>
      <w:r w:rsidR="00943795">
        <w:rPr>
          <w:rFonts w:ascii="Times New Roman" w:hAnsi="Times New Roman" w:cs="Times New Roman"/>
        </w:rPr>
        <w:t>Behavior</w:t>
      </w:r>
      <w:r>
        <w:rPr>
          <w:rFonts w:ascii="Times New Roman" w:hAnsi="Times New Roman" w:cs="Times New Roman"/>
        </w:rPr>
        <w:t xml:space="preserve">al aspects of escape performance in scallops are also repeatable on </w:t>
      </w:r>
      <w:r>
        <w:rPr>
          <w:rFonts w:ascii="Times New Roman" w:hAnsi="Times New Roman" w:cs="Times New Roman"/>
        </w:rPr>
        <w:lastRenderedPageBreak/>
        <w:t>both short- and long-term timescales</w:t>
      </w:r>
      <w:r w:rsidR="00AD7E9C">
        <w:rPr>
          <w:rFonts w:ascii="Times New Roman" w:hAnsi="Times New Roman" w:cs="Times New Roman"/>
        </w:rPr>
        <w:t xml:space="preserve"> </w:t>
      </w:r>
      <w:r w:rsidR="00AD7E9C">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{"citationID":"zlCKUhqT","properties":{"formattedCitation":"(Brokordt et al. 2012; Laming et al. 2013)","plainCitation":"(Brokordt et al. 2012; Laming et al. 2013)","noteIndex":0},"citationItems":[{"id":142,"uris":["http://zotero.org/users/6612280/items/R9UQPDDR"],"uri":["http://zotero.org/users/6612280/items/R9UQPDDR"],"itemData":{"id":142,"type":"article-journal","container-title":"Animal Behaviour","DOI":"10.1016/j.anbehav.2012.05.025","ISSN":"00033472","journalAbbreviation":"Anim. Behav.","language":"en","page":"479-484","source":"DOI.org (Crossref)","title":"Heritability and genetic correlations of escape behaviours in juvenile scallop &lt;i&gt;Argopecten purpuratus&lt;/i&gt;","volume":"84","author":[{"family":"Brokordt","given":"K."},{"family":"Farías","given":"W."},{"family":"Lhorente","given":"J.-P."},{"family":"Winkler","given":"F."}],"issued":{"date-parts":[["2012",8]]}}},{"id":140,"uris":["http://zotero.org/users/6612280/items/4ZY987P8"],"uri":["http://zotero.org/users/6612280/items/4ZY987P8"],"itemData":{"id":140,"type":"article-journal","abstract":"In order for natural selection to operate, physiological and behavioural traits must exhibit both inter-individual variability and intra-individual consistency (i.e. repeatability) in performance. In this study, we describe individual variation and temporal repeatability in the escape responses of the queen scallop, Aequipecten opercularis, and determine whether individuals exhibited consistently high or low rankings in different aspects of the escape response. Five measures of individual performance were recorded on four occasions (days 0, 2, 7 and 28), providing proxies for sensory acuity (response latency), immediate and sustained swimming performance (burst and average clap rates), and swimming endurance (total number of claps and total time spent clapping). All components of the escape response exhibited significant inter-individual variability (all P&lt;0.0001). Escape response latency, burst clap rate, total number of claps and total duration spent clapping maintained significant repeatability over 28</w:instrText>
      </w:r>
      <w:r w:rsidR="004F04C1">
        <w:rPr>
          <w:rFonts w:ascii="Times New Roman" w:hAnsi="Times New Roman" w:cs="Times New Roman"/>
        </w:rPr>
        <w:instrText>days (all P&lt;0.016). Average clap rate was repeatable in the short term (2</w:instrText>
      </w:r>
      <w:r w:rsidR="004F04C1">
        <w:rPr>
          <w:rFonts w:ascii="Times New Roman" w:hAnsi="Times New Roman" w:cs="Times New Roman"/>
        </w:rPr>
        <w:instrText>days, P&lt;0.0001) but repeatability declined by 28</w:instrText>
      </w:r>
      <w:r w:rsidR="004F04C1">
        <w:rPr>
          <w:rFonts w:ascii="Times New Roman" w:hAnsi="Times New Roman" w:cs="Times New Roman"/>
        </w:rPr>
        <w:instrText xml:space="preserve">days (P=0.097). Concordance analysis indicated that individuals maintained the same performance rankings over time for each component of the escape response (all P&lt;0.001). In addition, some individuals ranked as consistently high or low performers across response latency, burst and average clap rate, and total number of claps. An individual’s ability to evade predators through the provision of an escape response of an appropriate magnitude, subject to physiological, behavioural and organismal constraints, will have clear fitness-related consequences.","container-title":"Journal of Experimental Biology","DOI":"10.1242/jeb.080416","ISSN":"0022-0949, 1477-9145","journalAbbreviation":"J. Exp. Biol.","language":"en","page":"3264-3272","source":"DOI.org (Crossref)","title":"Repeatability of escape response performance in the queen scallop, &lt;i&gt;Aequipecten opercularis&lt;/i&gt;","volume":"216","author":[{"family":"Laming","given":"S.R."},{"family":"Jenkins","given":"S.R."},{"family":"McCarthy","given":"I.D."}],"issued":{"date-parts":[["2013",9,1]]}}}],"schema":"https://github.com/citation-style-language/schema/raw/master/csl-citation.json"} </w:instrText>
      </w:r>
      <w:r w:rsidR="00AD7E9C">
        <w:rPr>
          <w:rFonts w:ascii="Times New Roman" w:hAnsi="Times New Roman" w:cs="Times New Roman"/>
        </w:rPr>
        <w:fldChar w:fldCharType="separate"/>
      </w:r>
      <w:r w:rsidR="00AD7E9C">
        <w:rPr>
          <w:rFonts w:ascii="Times New Roman" w:hAnsi="Times New Roman" w:cs="Times New Roman"/>
          <w:noProof/>
        </w:rPr>
        <w:t>(Brokordt et al. 2012; Laming et al. 2013)</w:t>
      </w:r>
      <w:r w:rsidR="00AD7E9C">
        <w:rPr>
          <w:rFonts w:ascii="Times New Roman" w:hAnsi="Times New Roman" w:cs="Times New Roman"/>
        </w:rPr>
        <w:fldChar w:fldCharType="end"/>
      </w:r>
      <w:r>
        <w:rPr>
          <w:rFonts w:ascii="Times New Roman" w:hAnsi="Times New Roman" w:cs="Times New Roman"/>
        </w:rPr>
        <w:t xml:space="preserve"> </w:t>
      </w:r>
      <w:r w:rsidR="00AD7E9C">
        <w:rPr>
          <w:rFonts w:ascii="Times New Roman" w:hAnsi="Times New Roman" w:cs="Times New Roman"/>
          <w:lang w:val="en-US"/>
        </w:rPr>
        <w:t xml:space="preserve">and </w:t>
      </w:r>
      <w:r>
        <w:rPr>
          <w:rFonts w:ascii="Times New Roman" w:hAnsi="Times New Roman" w:cs="Times New Roman"/>
        </w:rPr>
        <w:t xml:space="preserve">startle responses in other invertebrates such as sea anemones, hermit crabs, and squid are thought to be repeatable </w:t>
      </w:r>
      <w:r w:rsidR="00AD7E9C">
        <w:rPr>
          <w:rFonts w:ascii="Times New Roman" w:hAnsi="Times New Roman" w:cs="Times New Roman"/>
        </w:rPr>
        <w:fldChar w:fldCharType="begin"/>
      </w:r>
      <w:r w:rsidR="00BF2836">
        <w:rPr>
          <w:rFonts w:ascii="Times New Roman" w:hAnsi="Times New Roman" w:cs="Times New Roman"/>
        </w:rPr>
        <w:instrText xml:space="preserve"> ADDIN ZOTERO_ITEM CSL_CITATION {"citationID":"mDm97r3M","properties":{"formattedCitation":"(Sinn et al. 2008; Briffa and Greenaway 2011; Rudin and Briffa 2012; Briffa et al. 2013)","plainCitation":"(Sinn et al. 2008; Briffa and Greenaway 2011; Rudin and Briffa 2012; Briffa et al. 2013)","noteIndex":0},"citationItems":[{"id":150,"uris":["http://zotero.org/users/6612280/items/CTCLDFND"],"uri":["http://zotero.org/users/6612280/items/CTCLDFND"],"itemData":{"id":150,"type":"article-journal","container-title":"Animal Behaviour","DOI":"10.1016/j.anbehav.2007.05.008","ISSN":"00033472","journalAbbreviation":"Anim. Behav.","language":"en","page":"433-442","source":"DOI.org (Crossref)","title":"Development of shy/bold behaviour in squid: Context-specific phenotypes associated with developmental plasticity","title-short":"Development of shy/bold behaviour in squid","volume":"75","author":[{"family":"Sinn","given":"D.L."},{"family":"Gosling","given":"S.D."},{"family":"Moltschaniwskyj","given":"N.A."}],"issued":{"date-parts":[["2008",2]]}}},{"id":145,"uris":["http://zotero.org/users/6612280/items/EE6LMAAH"],"uri":["http://zotero.org/users/6612280/items/EE6LMAAH"],"itemData":{"id":145,"type":"article-journal","abstract":"Animal personality’ means that individuals differ from one another in either single behaviours or suites of related behaviours in a way that is consistent over time. It is usually assumed that such consistent individual differences in behaviour are driven by variation in how individuals respond to information about their environment, rather than by differences in external factors such as variation in microhabitat. Since behavioural variation is ubiquitous in nature we might expect ‘animal personality’ to be present in diverse taxa, including animals with relatively simple nervous systems. We investigated in situ startle responses in a sea anemone, Actinia equina, to determine whether personalities might be present in this example of an animal with a simple nervous system. We found very high levels of repeatability among individuals that were re-identified in the same locations over a three week sampling period. In a subset of the data, where we used tidepool temperature measurements to control for a key element of variation in microhabitat, these high levels of repeatability remained. Although a range of other consistent differences in micro-habitat features could have contributed to consistent differences between the behaviour of individuals, these data suggest the presence of animal personality in A. equina. Rather than being restricted to certain groups, personality may be a general feature of animals and may be particularly pronounced in species with simple nervous systems.","container-title":"PLoS ONE","DOI":"10.1371/journal.pone.0021963","ISSN":"1932-6203","journalAbbreviation":"PLoS ONE","language":"en","page":"e21963","source":"DOI.org (Crossref)","title":"High &lt;i&gt;in situ&lt;/i&gt; repeatability of behaviour indicates animal personality in the beadlet anemone &lt;i&gt;Actinia equina&lt;/i&gt; (Cnidaria)","volume":"6","author":[{"family":"Briffa","given":"M."},{"family":"Greenaway","given":"J."}],"issued":{"date-parts":[["2011",7,6]]}}},{"id":148,"uris":["http://zotero.org/users/6612280/items/FSDXJG42"],"uri":["http://zotero.org/users/6612280/items/FSDXJG42"],"itemData":{"id":148,"type":"article-journal","container-title":"Proceedings of the Royal Society B: Biological Sciences","DOI":"10.1098/rspb.2011.2418","ISSN":"0962-8452, 1471-2954","journalAbbreviation":"Proc. R. Soc. B","language":"en","page":"1904-1910","source":"DOI.org (Crossref)","title":"Is boldness a resource-holding potential trait? Fighting prowess and changes in startle response in the sea anemone, &lt;i&gt;Actinia equina&lt;/i&gt;","title-short":"Is boldness a resource-holding potential trait?","volume":"279","author":[{"family":"Rudin","given":"F.S."},{"family":"Briffa","given":"M."}],"issued":{"date-parts":[["2012",5,22]]}}},{"id":146,"uris":["http://zotero.org/users/6612280/items/YDSQAFPQ"],"uri":["http://zotero.org/users/6612280/items/YDSQAFPQ"],"itemData":{"id":146,"type":"article-journal","container-title":"Animal Behaviour","DOI":"10.1016/j.anbehav.2013.04.009","ISSN":"00033472","journalAbbreviation":"Anim. Behav.","language":"en","page":"47-54","source":"DOI.org (Crossref)","title":"How does temperature affect behaviour? Multilevel analysis of plasticity, personality and predictability in hermit crabs","title-short":"How does temperature affect behaviour?","volume":"86","author":[{"family":"Briffa","given":"M."},{"family":"Bridger","given":"D."},{"family":"Biro","given":"P.A."}],"issued":{"date-parts":[["2013",7]]}}}],"schema":"https://github.com/citation-style-language/schema/raw/master/csl-citation.json"} </w:instrText>
      </w:r>
      <w:r w:rsidR="00AD7E9C">
        <w:rPr>
          <w:rFonts w:ascii="Times New Roman" w:hAnsi="Times New Roman" w:cs="Times New Roman"/>
        </w:rPr>
        <w:fldChar w:fldCharType="separate"/>
      </w:r>
      <w:r w:rsidR="00AD7E9C">
        <w:rPr>
          <w:rFonts w:ascii="Times New Roman" w:hAnsi="Times New Roman" w:cs="Times New Roman"/>
          <w:noProof/>
        </w:rPr>
        <w:t>(Sinn et al. 2008; Briffa and Greenaway 2011; Rudin and Briffa 2012; Briffa et al. 2013)</w:t>
      </w:r>
      <w:r w:rsidR="00AD7E9C">
        <w:rPr>
          <w:rFonts w:ascii="Times New Roman" w:hAnsi="Times New Roman" w:cs="Times New Roman"/>
        </w:rPr>
        <w:fldChar w:fldCharType="end"/>
      </w:r>
      <w:r>
        <w:rPr>
          <w:rFonts w:ascii="Times New Roman" w:hAnsi="Times New Roman" w:cs="Times New Roman"/>
        </w:rPr>
        <w:t xml:space="preserve">. Our results, together with these other studies, suggest that bivalve startle responses across different species and contexts are repeatable. The high repeatability of time to open, coupled with the ease at which they can be measured, provides for a useful </w:t>
      </w:r>
      <w:r w:rsidR="00943795">
        <w:rPr>
          <w:rFonts w:ascii="Times New Roman" w:hAnsi="Times New Roman" w:cs="Times New Roman"/>
        </w:rPr>
        <w:t>behavior</w:t>
      </w:r>
      <w:r>
        <w:rPr>
          <w:rFonts w:ascii="Times New Roman" w:hAnsi="Times New Roman" w:cs="Times New Roman"/>
        </w:rPr>
        <w:t xml:space="preserve">al model, particularly with respect to theoretical questions associated with </w:t>
      </w:r>
      <w:r w:rsidRPr="007F4405">
        <w:rPr>
          <w:rFonts w:ascii="Times New Roman" w:hAnsi="Times New Roman" w:cs="Times New Roman"/>
        </w:rPr>
        <w:t>animal personality</w:t>
      </w:r>
      <w:r w:rsidR="00AD7E9C">
        <w:rPr>
          <w:rFonts w:ascii="Times New Roman" w:hAnsi="Times New Roman" w:cs="Times New Roman"/>
        </w:rPr>
        <w:t xml:space="preserve"> </w:t>
      </w:r>
      <w:r w:rsidR="00AD7E9C">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{"citationID":"s6aiW2yQ","properties":{"formattedCitation":"(Gosling 2001; Roche et al. 2016)","plainCitation":"(Gosling 2001; Roche et al. 2016)","noteIndex":0},"citationItems":[{"id":125,"uris":["http://zotero.org/users/6612280/items/PN4C359C"],"uri":["http://zotero.org/users/6612280/items/PN4C359C"],"itemData":{"id":125,"type":"article-journal","container-title":"Psychological Bulletin","DOI":"10.1037/0033-2909.127.1.45","ISSN":"1939-1455, 0033-2909","journalAbbreviation":"Psychol. Bull.","language":"en","page":"45-86","source":"DOI.org (Crossref)","title":"From mice to men: What can we learn about personality from animal research?","title-short":"From mice to men","volume":"127","author":[{"family":"Gosling","given":"S.D."}],"issued":{"date-parts":[["2001"]]}}},{"id":110,"uris":["http://zotero.org/users/6612280/items/MKIW73BE"],"uri":["http://zotero.org/users/6612280/items/MKIW73BE"],"itemData":{"id":110,"type":"article-journal","abstract":"Animal ‘personality’, defined as repeatable inter-individual differences in behaviour, is a concept in biology that faces intense controversy. Critics argue that the field is riddled with terminological and methodological inconsistencies and lacks a sound theoretical framework. Nevertheless, experimental biologists are increasingly studying individual differences in physiology and relating these to differences in behaviour, which can lead to fascinating insights. We encourage this trend, and in this Commentary we highlight some of the benefits of estimating variation in (and covariation among) phenotypic traits at the inter- and intra-individual levels. We focus on behaviour while drawing parallels with physiological and performance-related traits. First, we outline some of the confusion surrounding the terminology used to describe repeatable inter-individual differences in behaviour. Second, we argue that acknowledging individual behavioural differences can help researchers avoid sampling and experimental bias, increase explanatory power and, ultimately, understand how selection acts on physiological traits. Third, we summarize the latest methods to collect, analyse and present data on individual trait variation. We note that, while measuring the repeatability of phenotypic traits is informative in its own right, it is only the first step towards understanding how natural selection and genetic architecture shape intra-specific variation in complex, labile traits. Thus, understanding how and why behavioural traits evolve requires linking repeatable inter-individual behavioural differences with core aspects of physiology (e.g. neurophysiology, endocrinology, energy metabolism) and evolutionary biology (e.g. selection gradients, heritability).","container-title":"The Journal of Experimental Biology","DOI":"10.1242/jeb.146712","ISSN":"0022-0949, 1477-9145","journalAbbreviation":"J. Exp. Biol.","language":"en","page":"3832-3843","source":"DOI.org (Crossref)","title":"Demystifying animal ‘personality’ (or not): why individual variation matters to experimental biologists","title-short":"Demystifying animal ‘personality’ (or not)","volume":"219","author":[{"family":"Roche","given":"D.G."},{"family":"Careau","given":"V."},{"family":"Binning","given":"S.A."}],"issued":{"date-parts":[["2016",12,15]]}}}],"schema":"https://github.com/citation-style-language/schema/raw/master/csl-citation.json"} </w:instrText>
      </w:r>
      <w:r w:rsidR="00AD7E9C">
        <w:rPr>
          <w:rFonts w:ascii="Times New Roman" w:hAnsi="Times New Roman" w:cs="Times New Roman"/>
        </w:rPr>
        <w:fldChar w:fldCharType="separate"/>
      </w:r>
      <w:r w:rsidR="00AD7E9C">
        <w:rPr>
          <w:rFonts w:ascii="Times New Roman" w:hAnsi="Times New Roman" w:cs="Times New Roman"/>
          <w:noProof/>
        </w:rPr>
        <w:t>(Gosling 2001; Roche et al. 2016)</w:t>
      </w:r>
      <w:r w:rsidR="00AD7E9C">
        <w:rPr>
          <w:rFonts w:ascii="Times New Roman" w:hAnsi="Times New Roman" w:cs="Times New Roman"/>
        </w:rPr>
        <w:fldChar w:fldCharType="end"/>
      </w:r>
      <w:r w:rsidRPr="007F4405">
        <w:rPr>
          <w:rFonts w:ascii="Times New Roman" w:hAnsi="Times New Roman" w:cs="Times New Roman"/>
        </w:rPr>
        <w:t xml:space="preserve">, </w:t>
      </w:r>
      <w:r w:rsidR="00943795">
        <w:rPr>
          <w:rFonts w:ascii="Times New Roman" w:hAnsi="Times New Roman" w:cs="Times New Roman"/>
        </w:rPr>
        <w:t>behavior</w:t>
      </w:r>
      <w:r w:rsidRPr="007F4405">
        <w:rPr>
          <w:rFonts w:ascii="Times New Roman" w:hAnsi="Times New Roman" w:cs="Times New Roman"/>
        </w:rPr>
        <w:t>al syndromes</w:t>
      </w:r>
      <w:r w:rsidR="002531FE">
        <w:rPr>
          <w:rFonts w:ascii="Times New Roman" w:hAnsi="Times New Roman" w:cs="Times New Roman"/>
        </w:rPr>
        <w:t xml:space="preserve"> </w:t>
      </w:r>
      <w:r w:rsidR="002531FE">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{"citationID":"cHBav0IN","properties":{"formattedCitation":"(Sih et al. 2004)","plainCitation":"(Sih et al. 2004)","noteIndex":0},"citationItems":[{"id":136,"uris":["http://zotero.org/users/6612280/items/6FQZL3IQ"],"uri":["http://zotero.org/users/6612280/items/6FQZL3IQ"],"itemData":{"id":136,"type":"article-journal","container-title":"Trends in Ecology &amp; Evolution","DOI":"10.1016/j.tree.2004.04.009","ISSN":"01695347","journalAbbreviation":"Trends Ecol. Evol.","language":"en","page":"372-378","source":"DOI.org (Crossref)","title":"Behavioral syndromes: An ecological and evolutionary overview","title-short":"Behavioral syndromes","volume":"19","author":[{"family":"Sih","given":"A"},{"family":"Bell","given":"A."},{"family":"Johnson","given":"J.C."}],"issued":{"date-parts":[["2004"]]}}}],"schema":"https://github.com/citation-style-language/schema/raw/master/csl-citation.json"} </w:instrText>
      </w:r>
      <w:r w:rsidR="002531FE">
        <w:rPr>
          <w:rFonts w:ascii="Times New Roman" w:hAnsi="Times New Roman" w:cs="Times New Roman"/>
        </w:rPr>
        <w:fldChar w:fldCharType="separate"/>
      </w:r>
      <w:r w:rsidR="002531FE">
        <w:rPr>
          <w:rFonts w:ascii="Times New Roman" w:hAnsi="Times New Roman" w:cs="Times New Roman"/>
          <w:noProof/>
        </w:rPr>
        <w:t>(Sih et al. 2004)</w:t>
      </w:r>
      <w:r w:rsidR="002531FE">
        <w:rPr>
          <w:rFonts w:ascii="Times New Roman" w:hAnsi="Times New Roman" w:cs="Times New Roman"/>
        </w:rPr>
        <w:fldChar w:fldCharType="end"/>
      </w:r>
      <w:r w:rsidRPr="007F4405">
        <w:rPr>
          <w:rFonts w:ascii="Times New Roman" w:hAnsi="Times New Roman" w:cs="Times New Roman"/>
        </w:rPr>
        <w:t>, temperament</w:t>
      </w:r>
      <w:r w:rsidR="002531FE">
        <w:rPr>
          <w:rFonts w:ascii="Times New Roman" w:hAnsi="Times New Roman" w:cs="Times New Roman"/>
          <w:lang w:val="en-US"/>
        </w:rPr>
        <w:t xml:space="preserve"> </w:t>
      </w:r>
      <w:r w:rsidR="002531FE">
        <w:rPr>
          <w:rFonts w:ascii="Times New Roman" w:hAnsi="Times New Roman" w:cs="Times New Roman"/>
          <w:lang w:val="en-US"/>
        </w:rPr>
        <w:fldChar w:fldCharType="begin"/>
      </w:r>
      <w:r w:rsidR="004F04C1">
        <w:rPr>
          <w:rFonts w:ascii="Times New Roman" w:hAnsi="Times New Roman" w:cs="Times New Roman"/>
          <w:lang w:val="en-US"/>
        </w:rPr>
        <w:instrText xml:space="preserve"> ADDIN ZOTERO_ITEM CSL_CITATION {"citationID":"zoLw0i8P","properties":{"formattedCitation":"(R\\uc0\\u233{}ale et al. 2007)","plainCitation":"(Réale et al. 2007)","noteIndex":0},"citationItems":[{"id":131,"uris":["http://zotero.org/users/6612280/items/GZLQIKVW"],"uri":["http://zotero.org/users/6612280/items/GZLQIKVW"],"itemData":{"id":131,"type":"article-journal","abstract":"Temperament describes the idea that individual behavioural differences are repeatable over time and across situations. This common phenomenon covers numerous traits, such as aggressiveness, avoidance of novelty, willingness to take risks, exploration, and sociality. The study of temperament is central to animal psychology, behavioural genetics, pharmacology, and animal husbandry, but relatively few studies have examined the ecology and evolution of temperament traits. This situation is surprising, given that temperament is likely to exert an important influence on many aspects of animal ecology and evolution, and that individual variation in temperament appears to be pervasive amongst animal species. Possible explanations for this neglect of temperament include a perceived irrelevance, an insufficient understanding of the link between temperament traits and fitness, and a lack of coherence in terminology with similar traits often given different names, or different traits given the same name. We propose that temperament can and should be studied within an evolutionary ecology framework and provide a terminology that could be used as a working tool for ecological studies of temperament. Our terminology includes five major temperament trait categories: shyness-boldness, explorationavoidance, activity, sociability and aggressiveness. This terminology does not make inferences regarding underlying dispositions or psychological processes, which may have restrained ecologists and evolutionary biologists from working on these traits. We present extensive literature reviews that demonstrate that temperament traits are heritable, and linked to fitness and to several other traits of importance to ecology and evolution. Furthermore, we describe ecologically relevant measurement methods and point to several ecological and evolutionary topics that would benefit from considering temperament, such as phenotypic plasticity, conservation biology, population sampling, and invasion biology.","container-title":"Biological Reviews","DOI":"10.1111/j.1469-185X.2007.00010.x","ISSN":"1464-7931, 1469-185X","journalAbbreviation":"Biol. Rev.","language":"en","page":"291-318","source":"DOI.org (Crossref)","title":"Integrating animal temperament within ecology and evolution","volume":"82","author":[{"family":"Réale","given":"D."},{"family":"Reader","given":"S.M."},{"family":"Sol","given":"D."},{"family":"McDougall","given":"P.T."},{"family":"Dingemanse","given":"N.J."}],"issued":{"date-parts":[["2007",5]]}}}],"schema":"https://github.com/citation-style-language/schema/raw/master/csl-citation.json"} </w:instrText>
      </w:r>
      <w:r w:rsidR="002531FE">
        <w:rPr>
          <w:rFonts w:ascii="Times New Roman" w:hAnsi="Times New Roman" w:cs="Times New Roman"/>
          <w:lang w:val="en-US"/>
        </w:rPr>
        <w:fldChar w:fldCharType="separate"/>
      </w:r>
      <w:r w:rsidR="002531FE" w:rsidRPr="002531FE">
        <w:rPr>
          <w:rFonts w:ascii="Times New Roman" w:hAnsi="Times New Roman" w:cs="Times New Roman"/>
          <w:lang w:val="en-US"/>
        </w:rPr>
        <w:t>(Réale et al. 2007)</w:t>
      </w:r>
      <w:r w:rsidR="002531FE">
        <w:rPr>
          <w:rFonts w:ascii="Times New Roman" w:hAnsi="Times New Roman" w:cs="Times New Roman"/>
          <w:lang w:val="en-US"/>
        </w:rPr>
        <w:fldChar w:fldCharType="end"/>
      </w:r>
      <w:r w:rsidRPr="007F4405">
        <w:rPr>
          <w:rFonts w:ascii="Times New Roman" w:hAnsi="Times New Roman" w:cs="Times New Roman"/>
        </w:rPr>
        <w:t>, and coping styles</w:t>
      </w:r>
      <w:r w:rsidR="002531FE">
        <w:rPr>
          <w:rFonts w:ascii="Times New Roman" w:hAnsi="Times New Roman" w:cs="Times New Roman"/>
          <w:noProof/>
        </w:rPr>
        <w:t xml:space="preserve"> </w:t>
      </w:r>
      <w:r w:rsidR="002531FE">
        <w:rPr>
          <w:rFonts w:ascii="Times New Roman" w:hAnsi="Times New Roman" w:cs="Times New Roman"/>
          <w:noProof/>
        </w:rPr>
        <w:fldChar w:fldCharType="begin"/>
      </w:r>
      <w:r w:rsidR="004F04C1">
        <w:rPr>
          <w:rFonts w:ascii="Times New Roman" w:hAnsi="Times New Roman" w:cs="Times New Roman"/>
          <w:noProof/>
        </w:rPr>
        <w:instrText xml:space="preserve"> ADDIN ZOTERO_ITEM CSL_CITATION {"citationID":"4ouaxjko","properties":{"formattedCitation":"(Koolhaas et al. 1999)","plainCitation":"(Koolhaas et al. 1999)","noteIndex":0},"citationItems":[{"id":128,"uris":["http://zotero.org/users/6612280/items/NLFC7ZAG"],"uri":["http://zotero.org/users/6612280/items/NLFC7ZAG"],"itemData":{"id":128,"type":"article-journal","abstract":"This paper summarizes the current views on coping styles as a useful concept in understanding individual adaptive capacity and vulnerability to stress-related disease. Studies in feral populations indicate the existence of a proactive and a reactive coping style. These coping styles seem to play a role in the population ecology of the species. Despite domestication, genetic selection and inbreeding, the same coping styles can, to some extent, also be observed in laboratory and farm animals. Coping styles are characterized by consistent behavioral and neuroendocrine characteristics, some of which seem to be causally linked to each other. Evidence is accumulating that the two coping styles might explain a differential vulnerability to stress mediated disease due to the differential adaptive value of the two coping styles and the accompanying neuroendocrine differentiation. ᭧ 1999 Elsevier Science Ltd. All rights reserved.","container-title":"Neuroscience &amp; Biobehavioral Reviews","DOI":"10.1016/S0149-7634(99)00026-3","ISSN":"01497634","journalAbbreviation":"Neurosci. Biobehav. Rev.","language":"en","page":"925-935","source":"DOI.org (Crossref)","title":"Coping styles in animals: Current status in behavior and stress-physiology","title-short":"Coping styles in animals","volume":"23","author":[{"family":"Koolhaas","given":"J.M"},{"family":"Korte","given":"S.M"},{"family":"De Boer","given":"S.F"},{"family":"Van Der Vegt","given":"B.J"},{"family":"Van Reenen","given":"C.G"},{"family":"Hopster","given":"H"},{"family":"De Jong","given":"I.C"},{"family":"Ruis","given":"M.A.W"},{"family":"Blokhuis","given":"H.J"}],"issued":{"date-parts":[["1999",11]]}}}],"schema":"https://github.com/citation-style-language/schema/raw/master/csl-citation.json"} </w:instrText>
      </w:r>
      <w:r w:rsidR="002531FE">
        <w:rPr>
          <w:rFonts w:ascii="Times New Roman" w:hAnsi="Times New Roman" w:cs="Times New Roman"/>
          <w:noProof/>
        </w:rPr>
        <w:fldChar w:fldCharType="separate"/>
      </w:r>
      <w:r w:rsidR="002531FE">
        <w:rPr>
          <w:rFonts w:ascii="Times New Roman" w:hAnsi="Times New Roman" w:cs="Times New Roman"/>
          <w:noProof/>
        </w:rPr>
        <w:t>(Koolhaas et al. 1999)</w:t>
      </w:r>
      <w:r w:rsidR="002531FE">
        <w:rPr>
          <w:rFonts w:ascii="Times New Roman" w:hAnsi="Times New Roman" w:cs="Times New Roman"/>
          <w:noProof/>
        </w:rPr>
        <w:fldChar w:fldCharType="end"/>
      </w:r>
      <w:r w:rsidRPr="007F4405">
        <w:rPr>
          <w:rFonts w:ascii="Times New Roman" w:hAnsi="Times New Roman" w:cs="Times New Roman"/>
        </w:rPr>
        <w:t>.</w:t>
      </w:r>
      <w:r w:rsidRPr="008F4B84">
        <w:rPr>
          <w:rFonts w:ascii="Times New Roman" w:hAnsi="Times New Roman" w:cs="Times New Roman"/>
        </w:rPr>
        <w:t xml:space="preserve"> </w:t>
      </w:r>
      <w:r>
        <w:rPr>
          <w:rFonts w:ascii="Times New Roman" w:hAnsi="Times New Roman" w:cs="Times New Roman"/>
        </w:rPr>
        <w:t>It is important to note, however, that the strength of repeatability decreased over time in our experiment, as the relationships between Trial 1 and the other trials were weaker when trials were further apart. While this appeared to reflect habituation, future studies of repeatability in time to open in theoretical contexts would benefit from using varying stimuli unless habituation is of interest.</w:t>
      </w:r>
    </w:p>
    <w:p w14:paraId="0F18CDB8" w14:textId="1C918F25" w:rsidR="00247EF3" w:rsidRDefault="00247EF3" w:rsidP="006A2314">
      <w:pPr>
        <w:spacing w:after="240" w:line="480" w:lineRule="auto"/>
        <w:jc w:val="both"/>
        <w:rPr>
          <w:rFonts w:ascii="Times New Roman" w:hAnsi="Times New Roman" w:cs="Times New Roman"/>
        </w:rPr>
      </w:pPr>
      <w:r>
        <w:rPr>
          <w:rFonts w:ascii="Times New Roman" w:hAnsi="Times New Roman" w:cs="Times New Roman"/>
        </w:rPr>
        <w:t xml:space="preserve">Our hypothesis that smaller mussels would remain closed longer than larger mussels was supported as smaller mussels remained closed three times longer than the larger mussels. The hypothesis was based on the fact that individuals in the smaller size class are considered </w:t>
      </w:r>
      <w:r w:rsidR="00144FCB">
        <w:rPr>
          <w:rFonts w:ascii="Times New Roman" w:hAnsi="Times New Roman" w:cs="Times New Roman"/>
        </w:rPr>
        <w:t xml:space="preserve">more </w:t>
      </w:r>
      <w:r>
        <w:rPr>
          <w:rFonts w:ascii="Times New Roman" w:hAnsi="Times New Roman" w:cs="Times New Roman"/>
        </w:rPr>
        <w:t xml:space="preserve">vulnerable </w:t>
      </w:r>
      <w:r w:rsidR="00144FCB">
        <w:rPr>
          <w:rFonts w:ascii="Times New Roman" w:hAnsi="Times New Roman" w:cs="Times New Roman"/>
        </w:rPr>
        <w:t xml:space="preserve">to </w:t>
      </w:r>
      <w:r>
        <w:rPr>
          <w:rFonts w:ascii="Times New Roman" w:hAnsi="Times New Roman" w:cs="Times New Roman"/>
        </w:rPr>
        <w:t xml:space="preserve">predation </w:t>
      </w:r>
      <w:r w:rsidR="00144FCB">
        <w:rPr>
          <w:rFonts w:ascii="Times New Roman" w:hAnsi="Times New Roman" w:cs="Times New Roman"/>
        </w:rPr>
        <w:t>than</w:t>
      </w:r>
      <w:r>
        <w:rPr>
          <w:rFonts w:ascii="Times New Roman" w:hAnsi="Times New Roman" w:cs="Times New Roman"/>
        </w:rPr>
        <w:t xml:space="preserve"> the large size class. This idea is also supported by the observation that freshwater mussels living in clusters had shorter time to open than their solitary counterparts</w:t>
      </w:r>
      <w:r w:rsidR="00505A6F">
        <w:rPr>
          <w:rFonts w:ascii="Times New Roman" w:hAnsi="Times New Roman" w:cs="Times New Roman"/>
        </w:rPr>
        <w:t xml:space="preserve"> </w:t>
      </w:r>
      <w:r w:rsidR="00505A6F">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{"citationID":"sAMYesw5","properties":{"formattedCitation":"(Wilson et al. 2012)","plainCitation":"(Wilson et al. 2012)","noteIndex":0},"citationItems":[{"id":70,"uris":["http://zotero.org/users/6612280/items/8YZ2MFLC"],"uri":["http://zotero.org/users/6612280/items/8YZ2MFLC"],"itemData":{"id":70,"type":"article-journal","abstract":"Animals often show behavioural plasticity with respect to predation risk but also show behavioural syndromes in terms of consistency of responses to different stimuli. We examine these features in the freshwater pearl mussel. These bivalves often aggregate presumably to reduce predation risk to each individual. Predation risk, however, will be higher in the presence of predator cues. Here we use dimming light, vibration and touch as novel stimuli to examine the trade-off between motivation to feed and motivation to avoid predation. We present two experiments that each use three sequential novel stimuli to cause the mussels to close their valves and hence cease feeding. We ﬁnd that mussels within a group showed shorter closure times than solitary mussels, consistent with decreased vulnerability to predation in group-living individuals. Mussels exposed to the odour of a predatory crayﬁsh showed longer closures than control mussels, highlighting the predator assessment abilities of this species. However, individuals showed signiﬁcant consistency in their closure responses across the trial series, in line with behavioural syndrome theory. Our results show that bivalves trade-off feeding and predator avoidance according to predation risk but the degree to which this is achieved is constrained by behavioural consistency.","container-title":"Behavioural Processes","DOI":"10.1016/j.beproc.2011.12.006","ISSN":"03766357","journalAbbreviation":"Behav. Process.","language":"en","page":"299-303","source":"DOI.org (Crossref)","title":"Freshwater pearl mussels show plasticity of responses to different predation risks but also show consistent individual differences in responsiveness","volume":"89","author":[{"family":"Wilson","given":"C.D."},{"family":"Arnott","given":"G."},{"family":"Elwood","given":"R.W."}],"issued":{"date-parts":[["2012",3]]}}}],"schema":"https://github.com/citation-style-language/schema/raw/master/csl-citation.json"} </w:instrText>
      </w:r>
      <w:r w:rsidR="00505A6F">
        <w:rPr>
          <w:rFonts w:ascii="Times New Roman" w:hAnsi="Times New Roman" w:cs="Times New Roman"/>
        </w:rPr>
        <w:fldChar w:fldCharType="separate"/>
      </w:r>
      <w:r w:rsidR="00505A6F">
        <w:rPr>
          <w:rFonts w:ascii="Times New Roman" w:hAnsi="Times New Roman" w:cs="Times New Roman"/>
          <w:noProof/>
        </w:rPr>
        <w:t>(Wilson et al. 2012)</w:t>
      </w:r>
      <w:r w:rsidR="00505A6F">
        <w:rPr>
          <w:rFonts w:ascii="Times New Roman" w:hAnsi="Times New Roman" w:cs="Times New Roman"/>
        </w:rPr>
        <w:fldChar w:fldCharType="end"/>
      </w:r>
      <w:r>
        <w:rPr>
          <w:rFonts w:ascii="Times New Roman" w:hAnsi="Times New Roman" w:cs="Times New Roman"/>
        </w:rPr>
        <w:t xml:space="preserve">, since living in clusters is thought to reduce </w:t>
      </w:r>
      <w:r w:rsidR="00AD6E2F">
        <w:rPr>
          <w:rFonts w:ascii="Times New Roman" w:hAnsi="Times New Roman" w:cs="Times New Roman"/>
        </w:rPr>
        <w:t xml:space="preserve">vulnerability to </w:t>
      </w:r>
      <w:r>
        <w:rPr>
          <w:rFonts w:ascii="Times New Roman" w:hAnsi="Times New Roman" w:cs="Times New Roman"/>
        </w:rPr>
        <w:t xml:space="preserve">predation in group-living bivalves </w:t>
      </w:r>
      <w:r w:rsidR="002531FE">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{"citationID":"ubxNvNr6","properties":{"formattedCitation":"(C\\uc0\\u244{}t\\uc0\\u233{} and Jelnikar 1999; Casey and Chattopadhyay 2008; Kobak and Ry\\uc0\\u324{}ska 2014)","plainCitation":"(Côté and Jelnikar 1999; Casey and Chattopadhyay 2008; Kobak and Ryńska 2014)","dontUpdate":true,"noteIndex":0},"citationItems":[{"id":157,"uris":["http://zotero.org/users/6612280/items/3FYPFRIH"],"uri":["http://zotero.org/users/6612280/items/3FYPFRIH"],"itemData":{"id":157,"type":"article-journal","abstract":"This study examined the aggregation behaviour of blue mussels, Mytilus edulis, under threat of predation by European lobster, Homarus gammarus Linnaeus. Risk of predation was simulated using water in which a hungry lobster had been for 24 h, and mussels were initially set in experimental containers either near (0.5 body length apart) or far (1.5 body length apart) from each other. We found that mussels exposed to lobster efﬂuent formed more clumps, more rapidly than mussels in control conditions. The initial distance separating the mussels had no effect on their aggregation tendencies. Overall, a greater proportion of mussels were aggregated in the lobster treatment at the end of the 22-h experiment. This was not simply the result of increased locomotion. Although mussels in lobster efﬂuent did exhibit greater crawling speed in the ﬁrst hour of the experiment, mussels initially set far apart also showed enhanced locomotion in both lobster and control treatments. Yet, of the mussels initially far from each other, those in lobster efﬂuent formed clumps on average 5 h sooner than mussels in control water. This suggests that chemotaxis may be involved. Although mussels do aggregate under risk of predation in the laboratory, it is not yet known whether predation plays a signiﬁcant role in the formation of natural mussel beds. © 1999 Elsevier Science B.V. All rights reserved.","container-title":"Journal of Experimental Marine Biology and Ecology","DOI":"10.1016/S0022-0981(98)00155-5","ISSN":"00220981","journalAbbreviation":"J. Exp. Mar. Biol. Ecol.","language":"en","page":"201-211","source":"DOI.org (Crossref)","title":"Predator-induced clumping behaviour in mussels (&lt;i&gt;Mytilus edulis&lt;/i&gt; Linnaeus)","volume":"235","author":[{"family":"Côté","given":"I.M."},{"family":"Jelnikar","given":"E."}],"issued":{"date-parts":[["1999",3]]}}},{"id":161,"uris":["http://zotero.org/users/6612280/items/K8525UXT"],"uri":["http://zotero.org/users/6612280/items/K8525UXT"],"itemData":{"id":161,"type":"article-journal","abstract":"Drilling gastropod predators are of particular interest to paleontologists, because predatory drill-holes in marine invertebrates serve as one of the rare sources of data for the study of ancient predator-prey interactions. Modern laboratory studies are an important part of predation research providing valuable ecological insight and constraining fossil evidence and interpretations. Previous studies have shown that mussels use clumping behavior against durophagous predation [Okamura, B., 1986. Group living and the effects of spatial position in aggregations of Mylitus edulis. Oecologia 69, 341-347.; Lin, J., 1991. Predator-prey interactions between blue crabs and ribbed mussels living in clumps. Estuar. Coast. Shelf Sci. 32, 61-69.], but its role against drilling predation had not been explored. In this study, we explore the effect of clumping on predator success (drill-hole frequency) and prey handling (drill-hole position) using the mussel, Mytilus trossulus, as prey and the gastropod, Nucella lamellosa, as drilling predator. We assigned mussels to two groups: in one, mussels were allowed to clump together with their byssal threads, and in the other, they were kept separate. We observed a signiﬁcant decrease in the drilling frequency within the group containing clumped mussels, conﬁrming that clumping acts as a successful anti-predatory strategy against drilling predators. The use of clumping as an effective strategy against multiple types of predators may relax the trade-offs associated with aggregated lifestyles [Bertness, M.D., Grosholz, E., 1985. Population dynamics of the ribbed mussel, Geukensia demissa: the costs and beneﬁts of an aggregated distribution. Oecologia 67, 192-204.]. The increased beneﬁt and unchanged metabolic cost of clumped living alters estimates of individual ﬁtness with evolutionarily signiﬁcant implications (e.g., eliminating the need to invoke group or species selection to explain the adaptive beneﬁt of an aggregated lifestyle). In spite of potential differences in prey handling and grappling due to clumping, mean drill-hole placement and variation in drill-hole placement showed no signiﬁcant differences between the two groups. These observations suggest that comparison of predation intensities across clumping and nonclumping taxa must consider the anti-predatory effect of this behavior.","container-title":"Journal of Experimental Marine Biology and Ecology","DOI":"10.1016/j.jembe.2008.09.020","ISSN":"00220981","journalAbbreviation":"J. Exp. Mar. Biol. Ecol.","language":"en","page":"174-179","source":"DOI.org (Crossref)","title":"Clumping behavior as a strategy against drilling predation: Implications for the fossil record","title-short":"Clumping behavior as a strategy against drilling predation","volume":"367","author":[{"family":"Casey","given":"M.M."},{"family":"Chattopadhyay","given":"D."}],"issued":{"date-parts":[["2008",12]]}}},{"id":159,"uris":["http://zotero.org/users/6612280/items/9HQKD865"],"uri":["http://zotero.org/users/6612280/items/9HQKD865"],"itemData":{"id":159,"type":"article-journal","container-title":"Animal Behaviour","DOI":"10.1016/j.anbehav.2014.08.014","ISSN":"00033472","journalAbbreviation":"Anim. Behav.","language":"en","page":"177-186","source":"DOI.org (Crossref)","title":"Environmental factors affecting behavioural responses of an invasive bivalve to conspecific alarm cues","volume":"96","author":[{"family":"Kobak","given":"J."},{"family":"Ryńska","given":"A."}],"issued":{"date-parts":[["2014",10]]}}}],"schema":"https://github.com/citation-style-language/schema/raw/master/csl-citation.json"} </w:instrText>
      </w:r>
      <w:r w:rsidR="002531FE">
        <w:rPr>
          <w:rFonts w:ascii="Times New Roman" w:hAnsi="Times New Roman" w:cs="Times New Roman"/>
        </w:rPr>
        <w:fldChar w:fldCharType="separate"/>
      </w:r>
      <w:r w:rsidR="00505A6F">
        <w:rPr>
          <w:rFonts w:ascii="Times New Roman" w:hAnsi="Times New Roman" w:cs="Times New Roman"/>
          <w:lang w:val="en-US"/>
        </w:rPr>
        <w:t>(Wilson et al. 2012)</w:t>
      </w:r>
      <w:r w:rsidR="002531FE">
        <w:rPr>
          <w:rFonts w:ascii="Times New Roman" w:hAnsi="Times New Roman" w:cs="Times New Roman"/>
        </w:rPr>
        <w:fldChar w:fldCharType="end"/>
      </w:r>
      <w:r>
        <w:rPr>
          <w:rFonts w:ascii="Times New Roman" w:hAnsi="Times New Roman" w:cs="Times New Roman"/>
        </w:rPr>
        <w:t>. Valve closures and the cessation of feeding are also reported to be cue specific</w:t>
      </w:r>
      <w:r w:rsidR="002531FE">
        <w:rPr>
          <w:rFonts w:ascii="Times New Roman" w:hAnsi="Times New Roman" w:cs="Times New Roman"/>
        </w:rPr>
        <w:t xml:space="preserve"> </w:t>
      </w:r>
      <w:r w:rsidR="002531FE">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{"citationID":"ddueibnb","properties":{"formattedCitation":"(Castorani and Hovel 2016; Dzier\\uc0\\u380{}y\\uc0\\u324{}ska-Bia\\uc0\\u322{}o\\uc0\\u324{}czyk et al. 2019)","plainCitation":"(Castorani and Hovel 2016; Dzierżyńska-Białończyk et al. 2019)","noteIndex":0},"citationItems":[{"id":304,"uris":["http://zotero.org/users/6612280/items/QEM6CZMZ"],"uri":["http://zotero.org/users/6612280/items/QEM6CZMZ"],"itemData":{"id":304,"type":"article-journal","container-title":"Biological Invasions","DOI":"10.1007/s10530-015-1000-6","ISSN":"1387-3547, 1573-1464","journalAbbreviation":"Biol Invasions","language":"en","page":"169-181","source":"DOI.org (Crossref)","title":"Native predator chemical cues induce anti-predation behaviors in an invasive marine bivalve","volume":"18","author":[{"family":"Castorani","given":"M.C.N."},{"family":"Hovel","given":"K.A."}],"issued":{"date-parts":[["2016",1]]}}},{"id":152,"uris":["http://zotero.org/users/6612280/items/LK55EQX5"],"uri":["http://zotero.org/users/6612280/items/LK55EQX5"],"itemData":{"id":152,"type":"article-journal","container-title":"Hydrobiologia","DOI":"10.1007/s10750-019-04007-0","ISSN":"0018-8158, 1573-5117","journalAbbreviation":"Hydrobiologia","language":"en","page":"65-77","source":"DOI.org (Crossref)","title":"What scares a mussel? Changes in valve movement pattern as an immediate response of a byssate bivalve to biotic factors","title-short":"What scares a mussel?","volume":"841","author":[{"family":"Dzierżyńska-Białończyk","given":"A."},{"family":"Jermacz","given":"Ł."},{"family":"Zielska","given":"J."},{"family":"Kobak","given":"J."}],"issued":{"date-parts":[["2019",9]]}}}],"schema":"https://github.com/citation-style-language/schema/raw/master/csl-citation.json"} </w:instrText>
      </w:r>
      <w:r w:rsidR="002531FE">
        <w:rPr>
          <w:rFonts w:ascii="Times New Roman" w:hAnsi="Times New Roman" w:cs="Times New Roman"/>
        </w:rPr>
        <w:fldChar w:fldCharType="separate"/>
      </w:r>
      <w:r w:rsidR="002531FE" w:rsidRPr="002531FE">
        <w:rPr>
          <w:rFonts w:ascii="Times New Roman" w:hAnsi="Times New Roman" w:cs="Times New Roman"/>
          <w:lang w:val="en-US"/>
        </w:rPr>
        <w:t>(Castorani and Hovel 2016; Dzierżyńska-Białończyk et al. 2019)</w:t>
      </w:r>
      <w:r w:rsidR="002531FE">
        <w:rPr>
          <w:rFonts w:ascii="Times New Roman" w:hAnsi="Times New Roman" w:cs="Times New Roman"/>
        </w:rPr>
        <w:fldChar w:fldCharType="end"/>
      </w:r>
      <w:r>
        <w:rPr>
          <w:rFonts w:ascii="Times New Roman" w:hAnsi="Times New Roman" w:cs="Times New Roman"/>
        </w:rPr>
        <w:t xml:space="preserve">.  It is thus likely that time to open is at least partly dictated by relative </w:t>
      </w:r>
      <w:r w:rsidR="00914A8A">
        <w:rPr>
          <w:rFonts w:ascii="Times New Roman" w:hAnsi="Times New Roman" w:cs="Times New Roman"/>
        </w:rPr>
        <w:t xml:space="preserve">vulnerability to </w:t>
      </w:r>
      <w:r>
        <w:rPr>
          <w:rFonts w:ascii="Times New Roman" w:hAnsi="Times New Roman" w:cs="Times New Roman"/>
        </w:rPr>
        <w:t xml:space="preserve">predation </w:t>
      </w:r>
      <w:r w:rsidR="00144FCB">
        <w:rPr>
          <w:rFonts w:ascii="Times New Roman" w:hAnsi="Times New Roman" w:cs="Times New Roman"/>
        </w:rPr>
        <w:t>and represents a measure of ‘boldness’ in bivalves</w:t>
      </w:r>
      <w:r>
        <w:rPr>
          <w:rFonts w:ascii="Times New Roman" w:hAnsi="Times New Roman" w:cs="Times New Roman"/>
        </w:rPr>
        <w:t xml:space="preserve">. It is important to note, however, that feeding, and oxygen </w:t>
      </w:r>
      <w:r>
        <w:rPr>
          <w:rFonts w:ascii="Times New Roman" w:hAnsi="Times New Roman" w:cs="Times New Roman"/>
        </w:rPr>
        <w:lastRenderedPageBreak/>
        <w:t>uptake, stop when a bivalve is closed. As such, while conferring a lower probability of being consumed by a predator, remaining closed for a longer period of time also means reduced filtering time, which can affect the net growth of individuals</w:t>
      </w:r>
      <w:r w:rsidR="002531FE">
        <w:rPr>
          <w:rFonts w:ascii="Times New Roman" w:hAnsi="Times New Roman" w:cs="Times New Roman"/>
        </w:rPr>
        <w:t xml:space="preserve"> </w:t>
      </w:r>
      <w:r w:rsidR="002531FE">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{"citationID":"xJjguipI","properties":{"formattedCitation":"(Nakaoka 2000)","plainCitation":"(Nakaoka 2000)","noteIndex":0},"citationItems":[{"id":163,"uris":["http://zotero.org/users/6612280/items/BE4RXIYT"],"uri":["http://zotero.org/users/6612280/items/BE4RXIYT"],"itemData":{"id":163,"type":"article-journal","abstract":"Predators affect dynamics of prey populations not only by decreasing their survivorship, but also by changing other vital rates such as growth and reproduction. However, such nonlethal effects have rarely been examined experimentally in the ﬁeld. In North Carolina estuaries, the hard clam Mercenaria mercenaria generally shows lower growth rates in habitats where predation rates are higher. Predator avoidance behavior of the clams (feeding inhibition) might be one of the factors responsible for this correlation. To examine possible effects of predators on clam growth, I ﬁrst compared variation in clam growth rate among habitats with different predation pressure, and between predator-exclusion cages and uncaged controls. I then carried out a predator-enclosure experiment using the clam and the whelk Busycon carica, a major predator on adult clams.","container-title":"Ecology","DOI":"10.1890/0012-9658(2000)081[1031:NEOPOP]2.0.CO;2","ISSN":"0012-9658","journalAbbreviation":"Ecology","language":"en","page":"1031-1045","source":"DOI.org (Crossref)","title":"Nonlethal effects of predators on prey populations: Predator-mediated change in bivalve growth","title-short":"NONLETHAL EFFECTS OF PREDATORS ON PREY POPULATIONS","volume":"81","author":[{"family":"Nakaoka","given":"M."}],"issued":{"date-parts":[["2000",4]]}}}],"schema":"https://github.com/citation-style-language/schema/raw/master/csl-citation.json"} </w:instrText>
      </w:r>
      <w:r w:rsidR="002531FE">
        <w:rPr>
          <w:rFonts w:ascii="Times New Roman" w:hAnsi="Times New Roman" w:cs="Times New Roman"/>
        </w:rPr>
        <w:fldChar w:fldCharType="separate"/>
      </w:r>
      <w:r w:rsidR="002531FE">
        <w:rPr>
          <w:rFonts w:ascii="Times New Roman" w:hAnsi="Times New Roman" w:cs="Times New Roman"/>
          <w:noProof/>
        </w:rPr>
        <w:t>(Nakaoka 2000)</w:t>
      </w:r>
      <w:r w:rsidR="002531FE">
        <w:rPr>
          <w:rFonts w:ascii="Times New Roman" w:hAnsi="Times New Roman" w:cs="Times New Roman"/>
        </w:rPr>
        <w:fldChar w:fldCharType="end"/>
      </w:r>
      <w:r>
        <w:rPr>
          <w:rFonts w:ascii="Times New Roman" w:hAnsi="Times New Roman" w:cs="Times New Roman"/>
        </w:rPr>
        <w:t xml:space="preserve">. Extended periods without oxygen uptake slows the metabolism which can also have numerous negative impacts </w:t>
      </w:r>
      <w:r w:rsidR="002531FE">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{"citationID":"4FgdJ7St","properties":{"formattedCitation":"(Ortmann and Grieshaber 2003)","plainCitation":"(Ortmann and Grieshaber 2003)","noteIndex":0},"citationItems":[{"id":303,"uris":["http://zotero.org/users/6612280/items/NM494SSC"],"uri":["http://zotero.org/users/6612280/items/NM494SSC"],"itemData":{"id":303,"type":"article-journal","abstract":"Since its invasion of Europe in the early 1980s, the Asian clam Corbicula ﬂuminea has become very abundant in nearly all western river systems. Today this species is one of the most important biomass producers in the River Rhine. Monitoring the valve movements of C. ﬂuminea over a period of 2 years revealed a circadian rhythm in summer, with extended periods (10–12·h) of valve closure, predominantly in the morning hours. Altogether valve movements were very scarce, frequently fewer than four movements per individual per day.","container-title":"Journal of Experimental Biology","DOI":"10.1242/jeb.00656","ISSN":"0022-0949, 1477-9145","journalAbbreviation":"Journal of Experimental Biology","language":"en","page":"4167-4178","source":"DOI.org (Crossref)","title":"Energy metabolism and valve closure behaviour in the Asian clam Corbicula fluminea","volume":"206","author":[{"family":"Ortmann","given":"C."},{"family":"Grieshaber","given":"M.K."}],"issued":{"date-parts":[["2003",11,15]]}}}],"schema":"https://github.com/citation-style-language/schema/raw/master/csl-citation.json"} </w:instrText>
      </w:r>
      <w:r w:rsidR="002531FE">
        <w:rPr>
          <w:rFonts w:ascii="Times New Roman" w:hAnsi="Times New Roman" w:cs="Times New Roman"/>
        </w:rPr>
        <w:fldChar w:fldCharType="separate"/>
      </w:r>
      <w:r w:rsidR="002531FE">
        <w:rPr>
          <w:rFonts w:ascii="Times New Roman" w:hAnsi="Times New Roman" w:cs="Times New Roman"/>
          <w:noProof/>
        </w:rPr>
        <w:t>(Ortmann and Grieshaber 2003)</w:t>
      </w:r>
      <w:r w:rsidR="002531FE">
        <w:rPr>
          <w:rFonts w:ascii="Times New Roman" w:hAnsi="Times New Roman" w:cs="Times New Roman"/>
        </w:rPr>
        <w:fldChar w:fldCharType="end"/>
      </w:r>
      <w:r>
        <w:rPr>
          <w:rFonts w:ascii="Times New Roman" w:hAnsi="Times New Roman" w:cs="Times New Roman"/>
        </w:rPr>
        <w:t xml:space="preserve">, including reduced growth and fecundity. </w:t>
      </w:r>
      <w:r w:rsidRPr="00231431">
        <w:rPr>
          <w:rFonts w:ascii="Times New Roman" w:hAnsi="Times New Roman" w:cs="Times New Roman"/>
        </w:rPr>
        <w:t xml:space="preserve"> </w:t>
      </w:r>
      <w:r>
        <w:rPr>
          <w:rFonts w:ascii="Times New Roman" w:hAnsi="Times New Roman" w:cs="Times New Roman"/>
        </w:rPr>
        <w:t>Indeed, previous studies have found that blue mussels and other bivalves will incur costs to growth in the interest of protection from predation</w:t>
      </w:r>
      <w:r w:rsidR="002531FE">
        <w:rPr>
          <w:rFonts w:ascii="Times New Roman" w:hAnsi="Times New Roman" w:cs="Times New Roman"/>
        </w:rPr>
        <w:t xml:space="preserve"> </w:t>
      </w:r>
      <w:r w:rsidR="002531FE">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{"citationID":"81WN7ks6","properties":{"formattedCitation":"(Nakaoka 2000; Eschweiler and Christensen 2011)","plainCitation":"(Nakaoka 2000; Eschweiler and Christensen 2011)","noteIndex":0},"citationItems":[{"id":163,"uris":["http://zotero.org/users/6612280/items/BE4RXIYT"],"uri":["http://zotero.org/users/6612280/items/BE4RXIYT"],"itemData":{"id":163,"type":"article-journal","abstract":"Predators affect dynamics of prey populations not only by decreasing their survivorship, but also by changing other vital rates such as growth and reproduction. However, such nonlethal effects have rarely been examined experimentally in the ﬁeld. In North Carolina estuaries, the hard clam Mercenaria mercenaria generally shows lower growth rates in habitats where predation rates are higher. Predator avoidance behavior of the clams (feeding inhibition) might be one of the factors responsible for this correlation. To examine possible effects of predators on clam growth, I ﬁrst compared variation in clam growth rate among habitats with different predation pressure, and between predator-exclusion cages and uncaged controls. I then carried out a predator-enclosure experiment using the clam and the whelk Busycon carica, a major predator on adult clams.","container-title":"Ecology","DOI":"10.1890/0012-9658(2000)081[1031:NEOPOP]2.0.CO;2","ISSN":"0012-9658","journalAbbreviation":"Ecology","language":"en","page":"1031-1045","source":"DOI.org (Crossref)","title":"Nonlethal effects of predators on prey populations: Predator-mediated change in bivalve growth","title-short":"NONLETHAL EFFECTS OF PREDATORS ON PREY POPULATIONS","volume":"81","author":[{"family":"Nakaoka","given":"M."}],"issued":{"date-parts":[["2000",4]]}}},{"id":306,"uris":["http://zotero.org/users/6612280/items/XKENNW3P"],"uri":["http://zotero.org/users/6612280/items/XKENNW3P"],"itemData":{"id":306,"type":"article-journal","abstract":"Paciﬁc oysters Crassostrea gigas (Thunberg 1793) have been introduced into the Wadden Sea (North Sea, Germany) in the mid of the 1980s and have invaded native blue mussel Mytilus edulis (L.) beds. The latter turned into oyster reefs where mussels seem to be relegated to the bottom in between the much larger oysters. By combining ﬁeld and laboratory experiments, we reveal how mussels react to cohabitation with the invasive oysters. Mussels subjected to direct contact with crabs Carcinus maenas migrate from top to bottom positions between oysters in both ﬁeld and laboratory experiments within 22 days. Shell growth was signiﬁcantly reduced for mussels placed on the bottom compared to mussels at the top of an oyster reef. Condition index was lower for mussels on the bottom of the reef irrespective of whether placed between dead or living oysters. We conclude that mussels experience a trade-off between survival and food supply and prefer to take refuge from predation even when this decreases growth and condition. This mechanism may have facilitated the take-over of C. gigas on M. edulis beds in the European Wadden Sea.","container-title":"Journal of Experimental Marine Biology and Ecology","DOI":"10.1016/j.jembe.2011.04.010","ISSN":"00220981","journalAbbreviation":"Journal of Experimental Marine Biology and Ecology","language":"en","page":"90-95","source":"DOI.org (Crossref)","title":"Trade-off between increased survival and reduced growth for blue mussels living on Pacific oyster reefs","volume":"403","author":[{"family":"Eschweiler","given":"N."},{"family":"Christensen","given":"H.T."}],"issued":{"date-parts":[["2011",7]]}}}],"schema":"https://github.com/citation-style-language/schema/raw/master/csl-citation.json"} </w:instrText>
      </w:r>
      <w:r w:rsidR="002531FE">
        <w:rPr>
          <w:rFonts w:ascii="Times New Roman" w:hAnsi="Times New Roman" w:cs="Times New Roman"/>
        </w:rPr>
        <w:fldChar w:fldCharType="separate"/>
      </w:r>
      <w:r w:rsidR="002531FE">
        <w:rPr>
          <w:rFonts w:ascii="Times New Roman" w:hAnsi="Times New Roman" w:cs="Times New Roman"/>
          <w:noProof/>
        </w:rPr>
        <w:t>(Nakaoka 2000; Eschweiler and Christensen 2011)</w:t>
      </w:r>
      <w:r w:rsidR="002531FE">
        <w:rPr>
          <w:rFonts w:ascii="Times New Roman" w:hAnsi="Times New Roman" w:cs="Times New Roman"/>
        </w:rPr>
        <w:fldChar w:fldCharType="end"/>
      </w:r>
      <w:r w:rsidR="002531FE">
        <w:rPr>
          <w:rFonts w:ascii="Times New Roman" w:hAnsi="Times New Roman" w:cs="Times New Roman"/>
          <w:noProof/>
        </w:rPr>
        <w:t>.</w:t>
      </w:r>
    </w:p>
    <w:p w14:paraId="4598BDD2" w14:textId="6143540A" w:rsidR="00247EF3" w:rsidRDefault="00247EF3" w:rsidP="006A2314">
      <w:pPr>
        <w:spacing w:after="240" w:line="480" w:lineRule="auto"/>
        <w:jc w:val="both"/>
        <w:rPr>
          <w:rFonts w:ascii="Times New Roman" w:hAnsi="Times New Roman" w:cs="Times New Roman"/>
        </w:rPr>
      </w:pPr>
      <w:r>
        <w:rPr>
          <w:rFonts w:ascii="Times New Roman" w:hAnsi="Times New Roman" w:cs="Times New Roman"/>
        </w:rPr>
        <w:t xml:space="preserve">Interestingly, we observed that individual coefficients of variation were significantly higher in the smaller size class, meaning that time to open in the smaller size group were more variable that those in the large size class. This may be due to the relative importance of predator avoidance and feeding in the two size classes. For instance, while both size classes would benefit from maximizing food intake, animals from the large size class were considered less vulnerable to predation and therefore could afford to be consistently bolder (i.e., open faster) and take less risks. In contrast, the smaller size class was considered vulnerable to predation and would therefore stay closed longer. The smaller size class still needs to maximize food intake, however, and they may thus be more likely to take more risks (i.e., sometimes open quickly) than the larger size class, which may explain the higher degree of variability observed in the smaller size class. This explanation thus remains speculative and more research into the mechanism and function of more variable </w:t>
      </w:r>
      <w:r w:rsidR="00943795">
        <w:rPr>
          <w:rFonts w:ascii="Times New Roman" w:hAnsi="Times New Roman" w:cs="Times New Roman"/>
        </w:rPr>
        <w:t>behavior</w:t>
      </w:r>
      <w:r>
        <w:rPr>
          <w:rFonts w:ascii="Times New Roman" w:hAnsi="Times New Roman" w:cs="Times New Roman"/>
        </w:rPr>
        <w:t xml:space="preserve"> in smaller bivalves is needed. </w:t>
      </w:r>
    </w:p>
    <w:p w14:paraId="0FB7010D" w14:textId="47C46199" w:rsidR="00247EF3" w:rsidRPr="0013459F" w:rsidRDefault="00247EF3" w:rsidP="006A2314">
      <w:pPr>
        <w:spacing w:after="240" w:line="480" w:lineRule="auto"/>
        <w:jc w:val="both"/>
        <w:rPr>
          <w:rFonts w:ascii="Times New Roman" w:hAnsi="Times New Roman" w:cs="Times New Roman"/>
        </w:rPr>
      </w:pPr>
      <w:r>
        <w:rPr>
          <w:rFonts w:ascii="Times New Roman" w:hAnsi="Times New Roman" w:cs="Times New Roman"/>
        </w:rPr>
        <w:t xml:space="preserve">Across the four consecutive trials, time to open linearly decreased as trials progressed. Such an observation may indicate habituation or fatigue. If this observation represents short-term habituation, such a response would likely be adaptive. For example, given the aforementioned trade-offs between feeding and avoiding predation, as contextual adjustments would allow the </w:t>
      </w:r>
      <w:r>
        <w:rPr>
          <w:rFonts w:ascii="Times New Roman" w:hAnsi="Times New Roman" w:cs="Times New Roman"/>
        </w:rPr>
        <w:lastRenderedPageBreak/>
        <w:t xml:space="preserve">animals to minimize the risk of being consumed by a predator while maximizing energy acquisition. It is important to note here, however, that we only used a single tactile predator cue in our experiments in the absence of olfactory cues, which comes with limitations as recent evidence suggests that different cues can alter bivalve gaping </w:t>
      </w:r>
      <w:r w:rsidR="00943795">
        <w:rPr>
          <w:rFonts w:ascii="Times New Roman" w:hAnsi="Times New Roman" w:cs="Times New Roman"/>
        </w:rPr>
        <w:t>behavior</w:t>
      </w:r>
      <w:r>
        <w:rPr>
          <w:rFonts w:ascii="Times New Roman" w:hAnsi="Times New Roman" w:cs="Times New Roman"/>
        </w:rPr>
        <w:t xml:space="preserve"> in different ways</w:t>
      </w:r>
      <w:r w:rsidR="00651651">
        <w:rPr>
          <w:rFonts w:ascii="Times New Roman" w:hAnsi="Times New Roman" w:cs="Times New Roman"/>
          <w:lang w:val="en-US"/>
        </w:rPr>
        <w:t xml:space="preserve"> </w:t>
      </w:r>
      <w:r w:rsidR="00651651">
        <w:rPr>
          <w:rFonts w:ascii="Times New Roman" w:hAnsi="Times New Roman" w:cs="Times New Roman"/>
          <w:lang w:val="en-US"/>
        </w:rPr>
        <w:fldChar w:fldCharType="begin"/>
      </w:r>
      <w:r w:rsidR="004F04C1">
        <w:rPr>
          <w:rFonts w:ascii="Times New Roman" w:hAnsi="Times New Roman" w:cs="Times New Roman"/>
          <w:lang w:val="en-US"/>
        </w:rPr>
        <w:instrText xml:space="preserve"> ADDIN ZOTERO_ITEM CSL_CITATION {"citationID":"tQ4E3t3t","properties":{"formattedCitation":"(Dzier\\uc0\\u380{}y\\uc0\\u324{}ska-Bia\\uc0\\u322{}o\\uc0\\u324{}czyk et al. 2019)","plainCitation":"(Dzierżyńska-Białończyk et al. 2019)","noteIndex":0},"citationItems":[{"id":152,"uris":["http://zotero.org/users/6612280/items/LK55EQX5"],"uri":["http://zotero.org/users/6612280/items/LK55EQX5"],"itemData":{"id":152,"type":"article-journal","container-title":"Hydrobiologia","DOI":"10.1007/s10750-019-04007-0","ISSN":"0018-8158, 1573-5117","journalAbbreviation":"Hydrobiologia","language":"en","page":"65-77","source":"DOI.org (Crossref)","title":"What scares a mussel? Changes in valve movement pattern as an immediate response of a byssate bivalve to biotic factors","title-short":"What scares a mussel?","volume":"841","author":[{"family":"Dzierżyńska-Białończyk","given":"A."},{"family":"Jermacz","given":"Ł."},{"family":"Zielska","given":"J."},{"family":"Kobak","given":"J."}],"issued":{"date-parts":[["2019",9]]}}}],"schema":"https://github.com/citation-style-language/schema/raw/master/csl-citation.json"} </w:instrText>
      </w:r>
      <w:r w:rsidR="00651651">
        <w:rPr>
          <w:rFonts w:ascii="Times New Roman" w:hAnsi="Times New Roman" w:cs="Times New Roman"/>
          <w:lang w:val="en-US"/>
        </w:rPr>
        <w:fldChar w:fldCharType="separate"/>
      </w:r>
      <w:r w:rsidR="00651651" w:rsidRPr="00651651">
        <w:rPr>
          <w:rFonts w:ascii="Times New Roman" w:hAnsi="Times New Roman" w:cs="Times New Roman"/>
          <w:lang w:val="en-US"/>
        </w:rPr>
        <w:t>(Dzierżyńska-Białończyk et al. 2019)</w:t>
      </w:r>
      <w:r w:rsidR="00651651">
        <w:rPr>
          <w:rFonts w:ascii="Times New Roman" w:hAnsi="Times New Roman" w:cs="Times New Roman"/>
          <w:lang w:val="en-US"/>
        </w:rPr>
        <w:fldChar w:fldCharType="end"/>
      </w:r>
      <w:r>
        <w:rPr>
          <w:rFonts w:ascii="Times New Roman" w:hAnsi="Times New Roman" w:cs="Times New Roman"/>
        </w:rPr>
        <w:t xml:space="preserve">. Nonetheless, our approach does not allow us to determine if this response was habituation or simply fatigue. Since adductor muscle contractions required for shell closure would incur energetic costs, the shorter time to open in later trials may simply reflect reduced energy to sustain shell closures. This is particularly apparent given the relatively short rest period between trials. Further research is thus warranted to determine whether or not the trial effect observed here is related to habituation or fatigue. </w:t>
      </w:r>
    </w:p>
    <w:p w14:paraId="2C0411CB" w14:textId="77777777" w:rsidR="00247EF3" w:rsidRDefault="00247EF3" w:rsidP="006A2314">
      <w:pPr>
        <w:spacing w:after="240" w:line="480" w:lineRule="auto"/>
        <w:jc w:val="both"/>
        <w:rPr>
          <w:rFonts w:ascii="Times New Roman" w:hAnsi="Times New Roman" w:cs="Times New Roman"/>
          <w:b/>
          <w:bCs/>
        </w:rPr>
      </w:pPr>
      <w:r>
        <w:rPr>
          <w:rFonts w:ascii="Times New Roman" w:hAnsi="Times New Roman" w:cs="Times New Roman"/>
          <w:b/>
          <w:bCs/>
        </w:rPr>
        <w:t>Conclusions</w:t>
      </w:r>
    </w:p>
    <w:p w14:paraId="4803C651" w14:textId="2436E2DE" w:rsidR="00953459" w:rsidRDefault="00247EF3" w:rsidP="006A2314">
      <w:pPr>
        <w:spacing w:after="240" w:line="480" w:lineRule="auto"/>
        <w:jc w:val="both"/>
        <w:rPr>
          <w:rFonts w:ascii="Times New Roman" w:hAnsi="Times New Roman" w:cs="Times New Roman"/>
        </w:rPr>
      </w:pPr>
      <w:r>
        <w:rPr>
          <w:rFonts w:ascii="Times New Roman" w:hAnsi="Times New Roman" w:cs="Times New Roman"/>
        </w:rPr>
        <w:t xml:space="preserve">The results of this study lend novel insights regarding bivalve startle response </w:t>
      </w:r>
      <w:r w:rsidR="00943795">
        <w:rPr>
          <w:rFonts w:ascii="Times New Roman" w:hAnsi="Times New Roman" w:cs="Times New Roman"/>
        </w:rPr>
        <w:t>behavior</w:t>
      </w:r>
      <w:r>
        <w:rPr>
          <w:rFonts w:ascii="Times New Roman" w:hAnsi="Times New Roman" w:cs="Times New Roman"/>
        </w:rPr>
        <w:t xml:space="preserve">, suggesting that this </w:t>
      </w:r>
      <w:r w:rsidR="00943795">
        <w:rPr>
          <w:rFonts w:ascii="Times New Roman" w:hAnsi="Times New Roman" w:cs="Times New Roman"/>
        </w:rPr>
        <w:t>behavior</w:t>
      </w:r>
      <w:r>
        <w:rPr>
          <w:rFonts w:ascii="Times New Roman" w:hAnsi="Times New Roman" w:cs="Times New Roman"/>
        </w:rPr>
        <w:t xml:space="preserve"> is highly repeatable in short-term contexts, and</w:t>
      </w:r>
      <w:r w:rsidRPr="00450301">
        <w:rPr>
          <w:rFonts w:ascii="Times New Roman" w:hAnsi="Times New Roman" w:cs="Times New Roman"/>
        </w:rPr>
        <w:t xml:space="preserve"> </w:t>
      </w:r>
      <w:r>
        <w:rPr>
          <w:rFonts w:ascii="Times New Roman" w:hAnsi="Times New Roman" w:cs="Times New Roman"/>
        </w:rPr>
        <w:t xml:space="preserve">are likely a function of relative </w:t>
      </w:r>
      <w:r w:rsidR="00914A8A">
        <w:rPr>
          <w:rFonts w:ascii="Times New Roman" w:hAnsi="Times New Roman" w:cs="Times New Roman"/>
        </w:rPr>
        <w:t xml:space="preserve">vulnerability to </w:t>
      </w:r>
      <w:r>
        <w:rPr>
          <w:rFonts w:ascii="Times New Roman" w:hAnsi="Times New Roman" w:cs="Times New Roman"/>
        </w:rPr>
        <w:t xml:space="preserve">predation. Low pH conditions simulating ocean acidification had no effect on bivalve startle responses in this study, adding to the growing body of literature suggesting that the </w:t>
      </w:r>
      <w:r w:rsidR="00943795">
        <w:rPr>
          <w:rFonts w:ascii="Times New Roman" w:hAnsi="Times New Roman" w:cs="Times New Roman"/>
        </w:rPr>
        <w:t>behavior</w:t>
      </w:r>
      <w:r>
        <w:rPr>
          <w:rFonts w:ascii="Times New Roman" w:hAnsi="Times New Roman" w:cs="Times New Roman"/>
        </w:rPr>
        <w:t xml:space="preserve">al effects of low pH on marine fauna may be less severe than previously thought. In contrast, however, our results show that these responses can be negatively affected by elevated temperature. Coupled with previous studies reporting similar results, ocean warming could have drastic implications for the important ecosystem services that bivalves provide globally. Future studies directly quantifying the effects of warming on these ecosystem services and bivalve populations worldwide are warranted and highly encouraged. </w:t>
      </w:r>
    </w:p>
    <w:p w14:paraId="0A3256CF" w14:textId="5C3A6732" w:rsidR="00953459" w:rsidRDefault="00953459" w:rsidP="00953459">
      <w:pPr>
        <w:suppressLineNumbers/>
        <w:spacing w:after="240" w:line="360" w:lineRule="auto"/>
        <w:jc w:val="both"/>
        <w:rPr>
          <w:rFonts w:ascii="Times New Roman" w:hAnsi="Times New Roman" w:cs="Times New Roman"/>
        </w:rPr>
      </w:pPr>
    </w:p>
    <w:p w14:paraId="47035AEF" w14:textId="77777777" w:rsidR="00CB37EB" w:rsidRPr="00450301" w:rsidRDefault="00CB37EB" w:rsidP="00CB37EB">
      <w:pPr>
        <w:spacing w:after="240"/>
        <w:contextualSpacing/>
        <w:jc w:val="both"/>
        <w:rPr>
          <w:rFonts w:ascii="Times New Roman" w:hAnsi="Times New Roman" w:cs="Times New Roman"/>
        </w:rPr>
      </w:pPr>
      <w:r w:rsidRPr="00450301">
        <w:rPr>
          <w:rFonts w:ascii="Times New Roman" w:hAnsi="Times New Roman" w:cs="Times New Roman"/>
          <w:b/>
          <w:bCs/>
        </w:rPr>
        <w:lastRenderedPageBreak/>
        <w:t>Acknowledgements</w:t>
      </w:r>
    </w:p>
    <w:p w14:paraId="66C45817" w14:textId="77777777" w:rsidR="00CB37EB" w:rsidRDefault="00CB37EB" w:rsidP="00CB37EB">
      <w:pPr>
        <w:contextualSpacing/>
        <w:jc w:val="both"/>
        <w:rPr>
          <w:rFonts w:ascii="Times New Roman" w:hAnsi="Times New Roman" w:cs="Times New Roman"/>
        </w:rPr>
      </w:pPr>
      <w:r w:rsidRPr="00450301">
        <w:rPr>
          <w:rFonts w:ascii="Times New Roman" w:hAnsi="Times New Roman" w:cs="Times New Roman"/>
        </w:rPr>
        <w:t xml:space="preserve">We thank the support staff at the </w:t>
      </w:r>
      <w:r>
        <w:rPr>
          <w:rFonts w:ascii="Times New Roman" w:hAnsi="Times New Roman" w:cs="Times New Roman"/>
        </w:rPr>
        <w:t>KMRIC</w:t>
      </w:r>
      <w:r w:rsidRPr="00450301">
        <w:rPr>
          <w:rFonts w:ascii="Times New Roman" w:hAnsi="Times New Roman" w:cs="Times New Roman"/>
        </w:rPr>
        <w:t xml:space="preserve"> for outstanding support throughout the experiment. We also thank Alice </w:t>
      </w:r>
      <w:proofErr w:type="spellStart"/>
      <w:r w:rsidRPr="00450301">
        <w:rPr>
          <w:rFonts w:ascii="Times New Roman" w:hAnsi="Times New Roman" w:cs="Times New Roman"/>
        </w:rPr>
        <w:t>D’Hurlaborde</w:t>
      </w:r>
      <w:proofErr w:type="spellEnd"/>
      <w:r w:rsidRPr="00450301">
        <w:rPr>
          <w:rFonts w:ascii="Times New Roman" w:hAnsi="Times New Roman" w:cs="Times New Roman"/>
        </w:rPr>
        <w:t xml:space="preserve"> and Maria </w:t>
      </w:r>
      <w:proofErr w:type="spellStart"/>
      <w:r w:rsidRPr="00450301">
        <w:rPr>
          <w:rFonts w:ascii="Times New Roman" w:hAnsi="Times New Roman" w:cs="Times New Roman"/>
        </w:rPr>
        <w:t>Asplund</w:t>
      </w:r>
      <w:proofErr w:type="spellEnd"/>
      <w:r w:rsidRPr="00450301">
        <w:rPr>
          <w:rFonts w:ascii="Times New Roman" w:hAnsi="Times New Roman" w:cs="Times New Roman"/>
        </w:rPr>
        <w:t xml:space="preserve"> for assistance in collecting and cleaning mussels. </w:t>
      </w:r>
      <w:r>
        <w:rPr>
          <w:rFonts w:ascii="Times New Roman" w:hAnsi="Times New Roman" w:cs="Times New Roman"/>
        </w:rPr>
        <w:t xml:space="preserve">Thanks Dr. </w:t>
      </w:r>
      <w:proofErr w:type="spellStart"/>
      <w:r>
        <w:rPr>
          <w:rFonts w:ascii="Times New Roman" w:hAnsi="Times New Roman" w:cs="Times New Roman"/>
        </w:rPr>
        <w:t>Joacim</w:t>
      </w:r>
      <w:proofErr w:type="spellEnd"/>
      <w:r>
        <w:rPr>
          <w:rFonts w:ascii="Times New Roman" w:hAnsi="Times New Roman" w:cs="Times New Roman"/>
        </w:rPr>
        <w:t xml:space="preserve"> </w:t>
      </w:r>
      <w:proofErr w:type="spellStart"/>
      <w:r>
        <w:rPr>
          <w:rFonts w:ascii="Times New Roman" w:hAnsi="Times New Roman" w:cs="Times New Roman"/>
        </w:rPr>
        <w:t>Näslund</w:t>
      </w:r>
      <w:proofErr w:type="spellEnd"/>
      <w:r>
        <w:rPr>
          <w:rFonts w:ascii="Times New Roman" w:hAnsi="Times New Roman" w:cs="Times New Roman"/>
        </w:rPr>
        <w:t xml:space="preserve"> for statistical advice regarding Cox proportional hazards models. JCC</w:t>
      </w:r>
      <w:r w:rsidRPr="00450301">
        <w:rPr>
          <w:rFonts w:ascii="Times New Roman" w:hAnsi="Times New Roman" w:cs="Times New Roman"/>
        </w:rPr>
        <w:t xml:space="preserve"> and </w:t>
      </w:r>
      <w:proofErr w:type="spellStart"/>
      <w:r>
        <w:rPr>
          <w:rFonts w:ascii="Times New Roman" w:hAnsi="Times New Roman" w:cs="Times New Roman"/>
        </w:rPr>
        <w:t>kr</w:t>
      </w:r>
      <w:proofErr w:type="spellEnd"/>
      <w:r w:rsidRPr="00450301">
        <w:rPr>
          <w:rFonts w:ascii="Times New Roman" w:hAnsi="Times New Roman" w:cs="Times New Roman"/>
        </w:rPr>
        <w:t xml:space="preserve"> also want to thank our many friends at the </w:t>
      </w:r>
      <w:r>
        <w:rPr>
          <w:rFonts w:ascii="Times New Roman" w:hAnsi="Times New Roman" w:cs="Times New Roman"/>
        </w:rPr>
        <w:t>KMRIC</w:t>
      </w:r>
      <w:r w:rsidRPr="00450301">
        <w:rPr>
          <w:rFonts w:ascii="Times New Roman" w:hAnsi="Times New Roman" w:cs="Times New Roman"/>
        </w:rPr>
        <w:t xml:space="preserve"> for taking care of logistical aspects on short notice throughout the experiment: Roland Pfeiffer, </w:t>
      </w:r>
      <w:proofErr w:type="spellStart"/>
      <w:r w:rsidRPr="00450301">
        <w:rPr>
          <w:rFonts w:ascii="Times New Roman" w:hAnsi="Times New Roman" w:cs="Times New Roman"/>
        </w:rPr>
        <w:t>Prema</w:t>
      </w:r>
      <w:proofErr w:type="spellEnd"/>
      <w:r w:rsidRPr="00450301">
        <w:rPr>
          <w:rFonts w:ascii="Times New Roman" w:hAnsi="Times New Roman" w:cs="Times New Roman"/>
        </w:rPr>
        <w:t xml:space="preserve"> Mani, Elena </w:t>
      </w:r>
      <w:proofErr w:type="spellStart"/>
      <w:r w:rsidRPr="00450301">
        <w:rPr>
          <w:rFonts w:ascii="Times New Roman" w:hAnsi="Times New Roman" w:cs="Times New Roman"/>
        </w:rPr>
        <w:t>Tamarit</w:t>
      </w:r>
      <w:proofErr w:type="spellEnd"/>
      <w:r w:rsidRPr="00450301">
        <w:rPr>
          <w:rFonts w:ascii="Times New Roman" w:hAnsi="Times New Roman" w:cs="Times New Roman"/>
        </w:rPr>
        <w:t xml:space="preserve"> Castro, Julian Gallego, </w:t>
      </w:r>
      <w:proofErr w:type="spellStart"/>
      <w:r w:rsidRPr="00450301">
        <w:rPr>
          <w:rFonts w:ascii="Times New Roman" w:hAnsi="Times New Roman" w:cs="Times New Roman"/>
        </w:rPr>
        <w:t>Elisabet</w:t>
      </w:r>
      <w:proofErr w:type="spellEnd"/>
      <w:r w:rsidRPr="00450301">
        <w:rPr>
          <w:rFonts w:ascii="Times New Roman" w:hAnsi="Times New Roman" w:cs="Times New Roman"/>
        </w:rPr>
        <w:t xml:space="preserve"> </w:t>
      </w:r>
      <w:proofErr w:type="spellStart"/>
      <w:r w:rsidRPr="00450301">
        <w:rPr>
          <w:rFonts w:ascii="Times New Roman" w:hAnsi="Times New Roman" w:cs="Times New Roman"/>
        </w:rPr>
        <w:t>Ekstrand</w:t>
      </w:r>
      <w:proofErr w:type="spellEnd"/>
      <w:r w:rsidRPr="00450301">
        <w:rPr>
          <w:rFonts w:ascii="Times New Roman" w:hAnsi="Times New Roman" w:cs="Times New Roman"/>
        </w:rPr>
        <w:t xml:space="preserve">, Marianna </w:t>
      </w:r>
      <w:proofErr w:type="spellStart"/>
      <w:r w:rsidRPr="00450301">
        <w:rPr>
          <w:rFonts w:ascii="Times New Roman" w:hAnsi="Times New Roman" w:cs="Times New Roman"/>
        </w:rPr>
        <w:t>Rampul</w:t>
      </w:r>
      <w:proofErr w:type="spellEnd"/>
      <w:r w:rsidRPr="00450301">
        <w:rPr>
          <w:rFonts w:ascii="Times New Roman" w:hAnsi="Times New Roman" w:cs="Times New Roman"/>
        </w:rPr>
        <w:t xml:space="preserve">, Theresa Haller, </w:t>
      </w:r>
      <w:r w:rsidRPr="00E35B82">
        <w:rPr>
          <w:rFonts w:ascii="Times New Roman" w:hAnsi="Times New Roman" w:cs="Times New Roman"/>
        </w:rPr>
        <w:t xml:space="preserve">Samuel </w:t>
      </w:r>
      <w:proofErr w:type="spellStart"/>
      <w:r w:rsidRPr="00E35B82">
        <w:rPr>
          <w:rFonts w:ascii="Times New Roman" w:hAnsi="Times New Roman" w:cs="Times New Roman"/>
        </w:rPr>
        <w:t>Mwaniki</w:t>
      </w:r>
      <w:proofErr w:type="spellEnd"/>
      <w:r w:rsidRPr="00E35B82">
        <w:rPr>
          <w:rFonts w:ascii="Times New Roman" w:hAnsi="Times New Roman" w:cs="Times New Roman"/>
        </w:rPr>
        <w:t xml:space="preserve"> </w:t>
      </w:r>
      <w:proofErr w:type="spellStart"/>
      <w:r w:rsidRPr="00E35B82">
        <w:rPr>
          <w:rFonts w:ascii="Times New Roman" w:hAnsi="Times New Roman" w:cs="Times New Roman"/>
        </w:rPr>
        <w:t>Gaita</w:t>
      </w:r>
      <w:proofErr w:type="spellEnd"/>
      <w:r>
        <w:rPr>
          <w:rFonts w:ascii="Times New Roman" w:hAnsi="Times New Roman" w:cs="Times New Roman"/>
        </w:rPr>
        <w:t>,</w:t>
      </w:r>
      <w:r w:rsidRPr="00E35B82">
        <w:rPr>
          <w:rFonts w:ascii="Times New Roman" w:hAnsi="Times New Roman" w:cs="Times New Roman"/>
        </w:rPr>
        <w:t xml:space="preserve"> </w:t>
      </w:r>
      <w:r w:rsidRPr="00450301">
        <w:rPr>
          <w:rFonts w:ascii="Times New Roman" w:hAnsi="Times New Roman" w:cs="Times New Roman"/>
        </w:rPr>
        <w:t xml:space="preserve">Sandra </w:t>
      </w:r>
      <w:proofErr w:type="spellStart"/>
      <w:r w:rsidRPr="00450301">
        <w:rPr>
          <w:rFonts w:ascii="Times New Roman" w:hAnsi="Times New Roman" w:cs="Times New Roman"/>
        </w:rPr>
        <w:t>Schelzig</w:t>
      </w:r>
      <w:proofErr w:type="spellEnd"/>
      <w:r w:rsidRPr="00450301">
        <w:rPr>
          <w:rFonts w:ascii="Times New Roman" w:hAnsi="Times New Roman" w:cs="Times New Roman"/>
        </w:rPr>
        <w:t xml:space="preserve">, Nadine DeSilva, Catherina </w:t>
      </w:r>
      <w:proofErr w:type="spellStart"/>
      <w:r w:rsidRPr="00450301">
        <w:rPr>
          <w:rFonts w:ascii="Times New Roman" w:hAnsi="Times New Roman" w:cs="Times New Roman"/>
        </w:rPr>
        <w:t>Maaßen</w:t>
      </w:r>
      <w:proofErr w:type="spellEnd"/>
      <w:r w:rsidRPr="00450301">
        <w:rPr>
          <w:rFonts w:ascii="Times New Roman" w:hAnsi="Times New Roman" w:cs="Times New Roman"/>
        </w:rPr>
        <w:t xml:space="preserve">, </w:t>
      </w:r>
      <w:proofErr w:type="spellStart"/>
      <w:r w:rsidRPr="00450301">
        <w:rPr>
          <w:rFonts w:ascii="Times New Roman" w:hAnsi="Times New Roman" w:cs="Times New Roman"/>
        </w:rPr>
        <w:t>Ronja</w:t>
      </w:r>
      <w:proofErr w:type="spellEnd"/>
      <w:r w:rsidRPr="00450301">
        <w:rPr>
          <w:rFonts w:ascii="Times New Roman" w:hAnsi="Times New Roman" w:cs="Times New Roman"/>
        </w:rPr>
        <w:t xml:space="preserve"> </w:t>
      </w:r>
      <w:proofErr w:type="spellStart"/>
      <w:r w:rsidRPr="00450301">
        <w:rPr>
          <w:rFonts w:ascii="Times New Roman" w:hAnsi="Times New Roman" w:cs="Times New Roman"/>
        </w:rPr>
        <w:t>Weskott</w:t>
      </w:r>
      <w:proofErr w:type="spellEnd"/>
      <w:r w:rsidRPr="00450301">
        <w:rPr>
          <w:rFonts w:ascii="Times New Roman" w:hAnsi="Times New Roman" w:cs="Times New Roman"/>
        </w:rPr>
        <w:t xml:space="preserve">, Nicholas Plum, Ann-Christin </w:t>
      </w:r>
      <w:proofErr w:type="spellStart"/>
      <w:r w:rsidRPr="00450301">
        <w:rPr>
          <w:rFonts w:ascii="Times New Roman" w:hAnsi="Times New Roman" w:cs="Times New Roman"/>
        </w:rPr>
        <w:t>Branscheid</w:t>
      </w:r>
      <w:proofErr w:type="spellEnd"/>
      <w:r w:rsidRPr="00450301">
        <w:rPr>
          <w:rFonts w:ascii="Times New Roman" w:hAnsi="Times New Roman" w:cs="Times New Roman"/>
        </w:rPr>
        <w:t>.</w:t>
      </w:r>
    </w:p>
    <w:p w14:paraId="5AE8C4FD" w14:textId="73657B6B" w:rsidR="00953459" w:rsidRDefault="00953459" w:rsidP="00953459">
      <w:pPr>
        <w:suppressLineNumbers/>
        <w:spacing w:after="240" w:line="360" w:lineRule="auto"/>
        <w:jc w:val="both"/>
        <w:rPr>
          <w:rFonts w:ascii="Times New Roman" w:hAnsi="Times New Roman" w:cs="Times New Roman"/>
        </w:rPr>
      </w:pPr>
    </w:p>
    <w:p w14:paraId="173CB0CF" w14:textId="77777777" w:rsidR="00CB37EB" w:rsidRDefault="00CB37EB" w:rsidP="00953459">
      <w:pPr>
        <w:suppressLineNumbers/>
        <w:spacing w:after="240" w:line="360" w:lineRule="auto"/>
        <w:jc w:val="both"/>
        <w:rPr>
          <w:rFonts w:ascii="Times New Roman" w:hAnsi="Times New Roman" w:cs="Times New Roman"/>
        </w:rPr>
      </w:pPr>
    </w:p>
    <w:p w14:paraId="2102436C" w14:textId="10048F36" w:rsidR="00A4687C" w:rsidRPr="00953459" w:rsidRDefault="00A4687C" w:rsidP="00CB37EB">
      <w:pPr>
        <w:spacing w:after="240"/>
        <w:jc w:val="both"/>
        <w:rPr>
          <w:rFonts w:ascii="Times New Roman" w:hAnsi="Times New Roman" w:cs="Times New Roman"/>
        </w:rPr>
      </w:pPr>
      <w:r w:rsidRPr="00A4687C">
        <w:rPr>
          <w:rFonts w:ascii="Times New Roman" w:hAnsi="Times New Roman" w:cs="Times New Roman"/>
          <w:b/>
          <w:bCs/>
        </w:rPr>
        <w:t xml:space="preserve">Supplementary </w:t>
      </w:r>
      <w:r>
        <w:rPr>
          <w:rFonts w:ascii="Times New Roman" w:hAnsi="Times New Roman" w:cs="Times New Roman"/>
          <w:b/>
          <w:bCs/>
        </w:rPr>
        <w:t>material</w:t>
      </w:r>
    </w:p>
    <w:p w14:paraId="5878D914" w14:textId="4ECF6862" w:rsidR="00A4687C" w:rsidRPr="006A2314" w:rsidRDefault="00A4687C" w:rsidP="00CB37EB">
      <w:pPr>
        <w:spacing w:after="240"/>
        <w:contextualSpacing/>
        <w:jc w:val="both"/>
        <w:rPr>
          <w:rFonts w:ascii="Times New Roman" w:hAnsi="Times New Roman" w:cs="Times New Roman"/>
        </w:rPr>
      </w:pPr>
      <w:r>
        <w:rPr>
          <w:rFonts w:ascii="Times New Roman" w:hAnsi="Times New Roman" w:cs="Times New Roman"/>
          <w:b/>
          <w:bCs/>
        </w:rPr>
        <w:t xml:space="preserve">Supplementary file 1. </w:t>
      </w:r>
      <w:r w:rsidR="001E3033">
        <w:rPr>
          <w:rFonts w:ascii="Times New Roman" w:hAnsi="Times New Roman" w:cs="Times New Roman"/>
        </w:rPr>
        <w:t>Supplementary figures and tables.</w:t>
      </w:r>
    </w:p>
    <w:p w14:paraId="50A36635" w14:textId="76957876" w:rsidR="00A4687C" w:rsidRPr="006A2314" w:rsidRDefault="00A4687C" w:rsidP="00CB37EB">
      <w:pPr>
        <w:spacing w:after="240"/>
        <w:contextualSpacing/>
        <w:jc w:val="both"/>
        <w:rPr>
          <w:rFonts w:ascii="Times New Roman" w:hAnsi="Times New Roman" w:cs="Times New Roman"/>
        </w:rPr>
      </w:pPr>
      <w:r>
        <w:rPr>
          <w:rFonts w:ascii="Times New Roman" w:hAnsi="Times New Roman" w:cs="Times New Roman"/>
          <w:b/>
          <w:bCs/>
        </w:rPr>
        <w:t>Supplementary file 2.</w:t>
      </w:r>
      <w:r w:rsidR="001E3033">
        <w:rPr>
          <w:rFonts w:ascii="Times New Roman" w:hAnsi="Times New Roman" w:cs="Times New Roman"/>
          <w:b/>
          <w:bCs/>
        </w:rPr>
        <w:t xml:space="preserve"> </w:t>
      </w:r>
      <w:r w:rsidR="001E3033">
        <w:rPr>
          <w:rFonts w:ascii="Times New Roman" w:hAnsi="Times New Roman" w:cs="Times New Roman"/>
        </w:rPr>
        <w:t xml:space="preserve">Annotated </w:t>
      </w:r>
      <w:r w:rsidR="00931A1F">
        <w:rPr>
          <w:rFonts w:ascii="Times New Roman" w:hAnsi="Times New Roman" w:cs="Times New Roman"/>
        </w:rPr>
        <w:t>R</w:t>
      </w:r>
      <w:r w:rsidR="001E3033">
        <w:rPr>
          <w:rFonts w:ascii="Times New Roman" w:hAnsi="Times New Roman" w:cs="Times New Roman"/>
        </w:rPr>
        <w:t xml:space="preserve"> script.</w:t>
      </w:r>
    </w:p>
    <w:p w14:paraId="424E0773" w14:textId="2DA0DC31" w:rsidR="00A4687C" w:rsidRPr="006A2314" w:rsidRDefault="00A4687C" w:rsidP="00CB37EB">
      <w:pPr>
        <w:spacing w:after="240"/>
        <w:contextualSpacing/>
        <w:jc w:val="both"/>
        <w:rPr>
          <w:rFonts w:ascii="Times New Roman" w:hAnsi="Times New Roman" w:cs="Times New Roman"/>
        </w:rPr>
      </w:pPr>
      <w:r>
        <w:rPr>
          <w:rFonts w:ascii="Times New Roman" w:hAnsi="Times New Roman" w:cs="Times New Roman"/>
          <w:b/>
          <w:bCs/>
        </w:rPr>
        <w:t xml:space="preserve">Supplementary file 3. </w:t>
      </w:r>
      <w:r w:rsidR="001E3033">
        <w:rPr>
          <w:rFonts w:ascii="Times New Roman" w:hAnsi="Times New Roman" w:cs="Times New Roman"/>
        </w:rPr>
        <w:t>Raw data.</w:t>
      </w:r>
    </w:p>
    <w:p w14:paraId="4595FF98" w14:textId="5B69D258" w:rsidR="00A4687C" w:rsidRPr="006A2314" w:rsidRDefault="00A4687C" w:rsidP="00CB37EB">
      <w:pPr>
        <w:spacing w:after="240"/>
        <w:contextualSpacing/>
        <w:jc w:val="both"/>
        <w:rPr>
          <w:rFonts w:ascii="Times New Roman" w:hAnsi="Times New Roman" w:cs="Times New Roman"/>
        </w:rPr>
      </w:pPr>
      <w:r>
        <w:rPr>
          <w:rFonts w:ascii="Times New Roman" w:hAnsi="Times New Roman" w:cs="Times New Roman"/>
          <w:b/>
          <w:bCs/>
        </w:rPr>
        <w:t xml:space="preserve">Supplementary file 4. </w:t>
      </w:r>
      <w:r w:rsidR="001E3033" w:rsidRPr="001E3033">
        <w:rPr>
          <w:rFonts w:ascii="Times New Roman" w:hAnsi="Times New Roman" w:cs="Times New Roman"/>
        </w:rPr>
        <w:t>R data file: mussel.size.txt</w:t>
      </w:r>
    </w:p>
    <w:p w14:paraId="008054EB" w14:textId="3617C3DF" w:rsidR="00A4687C" w:rsidRPr="006A2314" w:rsidRDefault="00A4687C" w:rsidP="00CB37EB">
      <w:pPr>
        <w:spacing w:after="240"/>
        <w:contextualSpacing/>
        <w:jc w:val="both"/>
        <w:rPr>
          <w:rFonts w:ascii="Times New Roman" w:hAnsi="Times New Roman" w:cs="Times New Roman"/>
        </w:rPr>
      </w:pPr>
      <w:r>
        <w:rPr>
          <w:rFonts w:ascii="Times New Roman" w:hAnsi="Times New Roman" w:cs="Times New Roman"/>
          <w:b/>
          <w:bCs/>
        </w:rPr>
        <w:t xml:space="preserve">Supplementary file 5. </w:t>
      </w:r>
      <w:r w:rsidR="001E3033" w:rsidRPr="001E3033">
        <w:rPr>
          <w:rFonts w:ascii="Times New Roman" w:hAnsi="Times New Roman" w:cs="Times New Roman"/>
        </w:rPr>
        <w:t xml:space="preserve">R data file: </w:t>
      </w:r>
      <w:r w:rsidR="001E3033">
        <w:rPr>
          <w:rFonts w:ascii="Times New Roman" w:hAnsi="Times New Roman" w:cs="Times New Roman"/>
        </w:rPr>
        <w:t>valvo</w:t>
      </w:r>
      <w:r w:rsidR="001E3033" w:rsidRPr="001E3033">
        <w:rPr>
          <w:rFonts w:ascii="Times New Roman" w:hAnsi="Times New Roman" w:cs="Times New Roman"/>
        </w:rPr>
        <w:t>.txt</w:t>
      </w:r>
    </w:p>
    <w:p w14:paraId="5F3846C2" w14:textId="738CF946" w:rsidR="00A4687C" w:rsidRDefault="00A4687C" w:rsidP="00CB37EB">
      <w:pPr>
        <w:spacing w:after="240"/>
        <w:contextualSpacing/>
        <w:jc w:val="both"/>
        <w:rPr>
          <w:rFonts w:ascii="Times New Roman" w:hAnsi="Times New Roman" w:cs="Times New Roman"/>
          <w:b/>
          <w:bCs/>
        </w:rPr>
      </w:pPr>
      <w:r>
        <w:rPr>
          <w:rFonts w:ascii="Times New Roman" w:hAnsi="Times New Roman" w:cs="Times New Roman"/>
          <w:b/>
          <w:bCs/>
        </w:rPr>
        <w:t xml:space="preserve">Supplementary file 6. </w:t>
      </w:r>
      <w:r w:rsidR="001E3033" w:rsidRPr="001E3033">
        <w:rPr>
          <w:rFonts w:ascii="Times New Roman" w:hAnsi="Times New Roman" w:cs="Times New Roman"/>
        </w:rPr>
        <w:t>R data file:</w:t>
      </w:r>
      <w:r w:rsidR="001E3033">
        <w:rPr>
          <w:rFonts w:ascii="Times New Roman" w:hAnsi="Times New Roman" w:cs="Times New Roman"/>
        </w:rPr>
        <w:t xml:space="preserve"> valvo</w:t>
      </w:r>
      <w:r w:rsidR="001E3033" w:rsidRPr="001E3033">
        <w:rPr>
          <w:rFonts w:ascii="Times New Roman" w:hAnsi="Times New Roman" w:cs="Times New Roman"/>
        </w:rPr>
        <w:t>.</w:t>
      </w:r>
      <w:r w:rsidR="001E3033">
        <w:rPr>
          <w:rFonts w:ascii="Times New Roman" w:hAnsi="Times New Roman" w:cs="Times New Roman"/>
        </w:rPr>
        <w:t>repeat</w:t>
      </w:r>
      <w:r w:rsidR="001E3033" w:rsidRPr="001E3033">
        <w:rPr>
          <w:rFonts w:ascii="Times New Roman" w:hAnsi="Times New Roman" w:cs="Times New Roman"/>
        </w:rPr>
        <w:t>.txt</w:t>
      </w:r>
    </w:p>
    <w:p w14:paraId="0D2D99FD" w14:textId="06953E16" w:rsidR="00A4687C" w:rsidRDefault="00A4687C" w:rsidP="00CB37EB">
      <w:pPr>
        <w:spacing w:after="240"/>
        <w:contextualSpacing/>
        <w:jc w:val="both"/>
        <w:rPr>
          <w:rFonts w:ascii="Times New Roman" w:hAnsi="Times New Roman" w:cs="Times New Roman"/>
          <w:b/>
          <w:bCs/>
        </w:rPr>
      </w:pPr>
      <w:r>
        <w:rPr>
          <w:rFonts w:ascii="Times New Roman" w:hAnsi="Times New Roman" w:cs="Times New Roman"/>
          <w:b/>
          <w:bCs/>
        </w:rPr>
        <w:t xml:space="preserve">Supplementary file 7. </w:t>
      </w:r>
      <w:r w:rsidR="001E3033" w:rsidRPr="001E3033">
        <w:rPr>
          <w:rFonts w:ascii="Times New Roman" w:hAnsi="Times New Roman" w:cs="Times New Roman"/>
        </w:rPr>
        <w:t xml:space="preserve">R data file: </w:t>
      </w:r>
      <w:r w:rsidR="001E3033">
        <w:rPr>
          <w:rFonts w:ascii="Times New Roman" w:hAnsi="Times New Roman" w:cs="Times New Roman"/>
        </w:rPr>
        <w:t>valvo</w:t>
      </w:r>
      <w:r w:rsidR="001E3033" w:rsidRPr="001E3033">
        <w:rPr>
          <w:rFonts w:ascii="Times New Roman" w:hAnsi="Times New Roman" w:cs="Times New Roman"/>
        </w:rPr>
        <w:t>.</w:t>
      </w:r>
      <w:r w:rsidR="001E3033">
        <w:rPr>
          <w:rFonts w:ascii="Times New Roman" w:hAnsi="Times New Roman" w:cs="Times New Roman"/>
        </w:rPr>
        <w:t>cov</w:t>
      </w:r>
      <w:r w:rsidR="001E3033" w:rsidRPr="001E3033">
        <w:rPr>
          <w:rFonts w:ascii="Times New Roman" w:hAnsi="Times New Roman" w:cs="Times New Roman"/>
        </w:rPr>
        <w:t>.txt</w:t>
      </w:r>
    </w:p>
    <w:p w14:paraId="2B8CB099" w14:textId="48258486" w:rsidR="00247EF3" w:rsidRPr="00A4687C" w:rsidRDefault="00A4687C" w:rsidP="00CB37EB">
      <w:pPr>
        <w:spacing w:after="240"/>
        <w:contextualSpacing/>
        <w:jc w:val="both"/>
        <w:rPr>
          <w:rFonts w:ascii="Times New Roman" w:hAnsi="Times New Roman" w:cs="Times New Roman"/>
          <w:b/>
          <w:bCs/>
        </w:rPr>
      </w:pPr>
      <w:r>
        <w:rPr>
          <w:rFonts w:ascii="Times New Roman" w:hAnsi="Times New Roman" w:cs="Times New Roman"/>
          <w:b/>
          <w:bCs/>
        </w:rPr>
        <w:t xml:space="preserve">Supplementary file 8. </w:t>
      </w:r>
      <w:r w:rsidR="001E3033" w:rsidRPr="001E3033">
        <w:rPr>
          <w:rFonts w:ascii="Times New Roman" w:hAnsi="Times New Roman" w:cs="Times New Roman"/>
        </w:rPr>
        <w:t xml:space="preserve">R data file: </w:t>
      </w:r>
      <w:r w:rsidR="001E3033">
        <w:rPr>
          <w:rFonts w:ascii="Times New Roman" w:hAnsi="Times New Roman" w:cs="Times New Roman"/>
        </w:rPr>
        <w:t>valvo</w:t>
      </w:r>
      <w:r w:rsidR="001E3033" w:rsidRPr="001E3033">
        <w:rPr>
          <w:rFonts w:ascii="Times New Roman" w:hAnsi="Times New Roman" w:cs="Times New Roman"/>
        </w:rPr>
        <w:t>.</w:t>
      </w:r>
      <w:r w:rsidR="001E3033">
        <w:rPr>
          <w:rFonts w:ascii="Times New Roman" w:hAnsi="Times New Roman" w:cs="Times New Roman"/>
        </w:rPr>
        <w:t>logistic</w:t>
      </w:r>
      <w:r w:rsidR="001E3033" w:rsidRPr="001E3033">
        <w:rPr>
          <w:rFonts w:ascii="Times New Roman" w:hAnsi="Times New Roman" w:cs="Times New Roman"/>
        </w:rPr>
        <w:t>.txt</w:t>
      </w:r>
      <w:r w:rsidR="00247EF3" w:rsidRPr="00A4687C">
        <w:rPr>
          <w:rFonts w:ascii="Times New Roman" w:hAnsi="Times New Roman" w:cs="Times New Roman"/>
          <w:b/>
          <w:bCs/>
        </w:rPr>
        <w:br w:type="page"/>
      </w:r>
    </w:p>
    <w:p w14:paraId="63F8ED72" w14:textId="77777777" w:rsidR="00CB37EB" w:rsidRPr="00450301" w:rsidRDefault="00CB37EB" w:rsidP="00CB37EB">
      <w:pPr>
        <w:spacing w:after="240"/>
        <w:contextualSpacing/>
        <w:jc w:val="both"/>
        <w:rPr>
          <w:rFonts w:ascii="Times New Roman" w:hAnsi="Times New Roman" w:cs="Times New Roman"/>
          <w:b/>
          <w:bCs/>
        </w:rPr>
      </w:pPr>
      <w:r w:rsidRPr="00450301">
        <w:rPr>
          <w:rFonts w:ascii="Times New Roman" w:hAnsi="Times New Roman" w:cs="Times New Roman"/>
          <w:b/>
          <w:bCs/>
        </w:rPr>
        <w:lastRenderedPageBreak/>
        <w:t>Funding</w:t>
      </w:r>
    </w:p>
    <w:p w14:paraId="5FBA26F9" w14:textId="77777777" w:rsidR="00CB37EB" w:rsidRDefault="00CB37EB" w:rsidP="00CB37EB">
      <w:pPr>
        <w:jc w:val="both"/>
        <w:rPr>
          <w:rFonts w:ascii="Times New Roman" w:hAnsi="Times New Roman" w:cs="Times New Roman"/>
        </w:rPr>
      </w:pPr>
      <w:r w:rsidRPr="00450301">
        <w:rPr>
          <w:rFonts w:ascii="Times New Roman" w:hAnsi="Times New Roman" w:cs="Times New Roman"/>
        </w:rPr>
        <w:t xml:space="preserve">This </w:t>
      </w:r>
      <w:r>
        <w:rPr>
          <w:rFonts w:ascii="Times New Roman" w:hAnsi="Times New Roman" w:cs="Times New Roman"/>
        </w:rPr>
        <w:t>work was supported by</w:t>
      </w:r>
      <w:r w:rsidRPr="00450301">
        <w:rPr>
          <w:rFonts w:ascii="Times New Roman" w:hAnsi="Times New Roman" w:cs="Times New Roman"/>
        </w:rPr>
        <w:t xml:space="preserve"> a Marie </w:t>
      </w:r>
      <w:proofErr w:type="spellStart"/>
      <w:r w:rsidRPr="00450301">
        <w:rPr>
          <w:rFonts w:ascii="Times New Roman" w:hAnsi="Times New Roman" w:cs="Times New Roman"/>
        </w:rPr>
        <w:t>Skłodowska</w:t>
      </w:r>
      <w:proofErr w:type="spellEnd"/>
      <w:r w:rsidRPr="00450301">
        <w:rPr>
          <w:rFonts w:ascii="Times New Roman" w:hAnsi="Times New Roman" w:cs="Times New Roman"/>
        </w:rPr>
        <w:t>-Curie Individual Fellowship funded through the European Union Horizon 2020 program (project number 752813</w:t>
      </w:r>
      <w:r>
        <w:rPr>
          <w:rFonts w:ascii="Times New Roman" w:hAnsi="Times New Roman" w:cs="Times New Roman"/>
        </w:rPr>
        <w:t xml:space="preserve"> to J.C.C.</w:t>
      </w:r>
      <w:r w:rsidRPr="00450301">
        <w:rPr>
          <w:rFonts w:ascii="Times New Roman" w:hAnsi="Times New Roman" w:cs="Times New Roman"/>
        </w:rPr>
        <w:t>)</w:t>
      </w:r>
      <w:r>
        <w:rPr>
          <w:rFonts w:ascii="Times New Roman" w:hAnsi="Times New Roman" w:cs="Times New Roman"/>
        </w:rPr>
        <w:t>;</w:t>
      </w:r>
      <w:r w:rsidRPr="00450301">
        <w:rPr>
          <w:rFonts w:ascii="Times New Roman" w:hAnsi="Times New Roman" w:cs="Times New Roman"/>
        </w:rPr>
        <w:t xml:space="preserve"> a KVA Fund through the University of Gothenburg </w:t>
      </w:r>
      <w:r>
        <w:rPr>
          <w:rFonts w:ascii="Times New Roman" w:hAnsi="Times New Roman" w:cs="Times New Roman"/>
        </w:rPr>
        <w:t xml:space="preserve">(to J.C.C.); </w:t>
      </w:r>
      <w:r w:rsidRPr="00450301">
        <w:rPr>
          <w:rFonts w:ascii="Times New Roman" w:hAnsi="Times New Roman" w:cs="Times New Roman"/>
        </w:rPr>
        <w:t>an Assemble Plus Grant from the European Marine Biological Resource Centre (EMBRC)</w:t>
      </w:r>
      <w:r>
        <w:rPr>
          <w:rFonts w:ascii="Times New Roman" w:hAnsi="Times New Roman" w:cs="Times New Roman"/>
        </w:rPr>
        <w:t xml:space="preserve"> (to J.C.C); </w:t>
      </w:r>
      <w:r w:rsidRPr="00450301">
        <w:rPr>
          <w:rFonts w:ascii="Times New Roman" w:hAnsi="Times New Roman" w:cs="Times New Roman"/>
          <w:lang w:val="en-GB"/>
        </w:rPr>
        <w:t>the</w:t>
      </w:r>
      <w:r w:rsidRPr="00450301">
        <w:rPr>
          <w:rFonts w:ascii="Times New Roman" w:hAnsi="Times New Roman" w:cs="Times New Roman"/>
          <w:lang w:val="en-US"/>
        </w:rPr>
        <w:t xml:space="preserve"> </w:t>
      </w:r>
      <w:r w:rsidRPr="00450301">
        <w:rPr>
          <w:rFonts w:ascii="Times New Roman" w:hAnsi="Times New Roman" w:cs="Times New Roman"/>
          <w:lang w:val="en-GB"/>
        </w:rPr>
        <w:t>Research Council of Norway (262942</w:t>
      </w:r>
      <w:r>
        <w:rPr>
          <w:rFonts w:ascii="Times New Roman" w:hAnsi="Times New Roman" w:cs="Times New Roman"/>
          <w:lang w:val="en-GB"/>
        </w:rPr>
        <w:t xml:space="preserve"> to F.J.</w:t>
      </w:r>
      <w:r w:rsidRPr="00450301">
        <w:rPr>
          <w:rFonts w:ascii="Times New Roman" w:hAnsi="Times New Roman" w:cs="Times New Roman"/>
          <w:lang w:val="en-GB"/>
        </w:rPr>
        <w:t>)</w:t>
      </w:r>
      <w:r>
        <w:rPr>
          <w:rFonts w:ascii="Times New Roman" w:hAnsi="Times New Roman" w:cs="Times New Roman"/>
          <w:lang w:val="en-GB"/>
        </w:rPr>
        <w:t>; and</w:t>
      </w:r>
      <w:r w:rsidRPr="00450301">
        <w:rPr>
          <w:rFonts w:ascii="Times New Roman" w:hAnsi="Times New Roman" w:cs="Times New Roman"/>
          <w:lang w:val="en-GB"/>
        </w:rPr>
        <w:t xml:space="preserve"> </w:t>
      </w:r>
      <w:r w:rsidRPr="00450301">
        <w:rPr>
          <w:rFonts w:ascii="Times New Roman" w:hAnsi="Times New Roman" w:cs="Times New Roman"/>
        </w:rPr>
        <w:t xml:space="preserve">by a Carl </w:t>
      </w:r>
      <w:proofErr w:type="spellStart"/>
      <w:r w:rsidRPr="00450301">
        <w:rPr>
          <w:rFonts w:ascii="Times New Roman" w:hAnsi="Times New Roman" w:cs="Times New Roman"/>
        </w:rPr>
        <w:t>Tryggers</w:t>
      </w:r>
      <w:proofErr w:type="spellEnd"/>
      <w:r w:rsidRPr="00450301">
        <w:rPr>
          <w:rFonts w:ascii="Times New Roman" w:hAnsi="Times New Roman" w:cs="Times New Roman"/>
        </w:rPr>
        <w:t xml:space="preserve"> Fellowship</w:t>
      </w:r>
      <w:r>
        <w:rPr>
          <w:rFonts w:ascii="Times New Roman" w:hAnsi="Times New Roman" w:cs="Times New Roman"/>
        </w:rPr>
        <w:t xml:space="preserve"> (to K.R.)</w:t>
      </w:r>
      <w:r w:rsidRPr="00450301">
        <w:rPr>
          <w:rFonts w:ascii="Times New Roman" w:hAnsi="Times New Roman" w:cs="Times New Roman"/>
        </w:rPr>
        <w:t>.</w:t>
      </w:r>
    </w:p>
    <w:p w14:paraId="7EC0200D" w14:textId="77777777" w:rsidR="00CB37EB" w:rsidRDefault="00CB37EB" w:rsidP="00CB37EB">
      <w:pPr>
        <w:suppressLineNumbers/>
        <w:contextualSpacing/>
        <w:jc w:val="both"/>
        <w:rPr>
          <w:rFonts w:ascii="Times New Roman" w:hAnsi="Times New Roman" w:cs="Times New Roman"/>
        </w:rPr>
      </w:pPr>
    </w:p>
    <w:p w14:paraId="2B9A7CD3" w14:textId="77777777" w:rsidR="00CB37EB" w:rsidRDefault="00CB37EB" w:rsidP="00CB37EB">
      <w:pPr>
        <w:suppressLineNumbers/>
        <w:contextualSpacing/>
        <w:jc w:val="both"/>
        <w:rPr>
          <w:rFonts w:ascii="Times New Roman" w:hAnsi="Times New Roman" w:cs="Times New Roman"/>
          <w:b/>
          <w:bCs/>
        </w:rPr>
      </w:pPr>
    </w:p>
    <w:p w14:paraId="60B365EB" w14:textId="77777777" w:rsidR="00CB37EB" w:rsidRPr="00772904" w:rsidRDefault="00CB37EB" w:rsidP="00CB37EB">
      <w:pPr>
        <w:contextualSpacing/>
        <w:jc w:val="both"/>
        <w:rPr>
          <w:rFonts w:ascii="Times New Roman" w:hAnsi="Times New Roman" w:cs="Times New Roman"/>
        </w:rPr>
      </w:pPr>
      <w:r w:rsidRPr="00450301">
        <w:rPr>
          <w:rFonts w:ascii="Times New Roman" w:hAnsi="Times New Roman" w:cs="Times New Roman"/>
          <w:b/>
          <w:bCs/>
        </w:rPr>
        <w:t>Ethics</w:t>
      </w:r>
    </w:p>
    <w:p w14:paraId="5D59DC35" w14:textId="77777777" w:rsidR="00CB37EB" w:rsidRPr="00450301" w:rsidRDefault="00CB37EB" w:rsidP="00CB37EB">
      <w:pPr>
        <w:spacing w:after="240"/>
        <w:contextualSpacing/>
        <w:jc w:val="both"/>
        <w:rPr>
          <w:rFonts w:ascii="Times New Roman" w:hAnsi="Times New Roman" w:cs="Times New Roman"/>
        </w:rPr>
      </w:pPr>
      <w:r w:rsidRPr="00450301">
        <w:rPr>
          <w:rFonts w:ascii="Times New Roman" w:hAnsi="Times New Roman" w:cs="Times New Roman"/>
        </w:rPr>
        <w:t xml:space="preserve">Ethical approval was not required for the species used in this experiment. Nonetheless, the study was strictly conducted under the premise of the three Rs of animal ethics. </w:t>
      </w:r>
    </w:p>
    <w:p w14:paraId="5B61D669" w14:textId="77777777" w:rsidR="00CB37EB" w:rsidRPr="00450301" w:rsidRDefault="00CB37EB" w:rsidP="00CB37EB">
      <w:pPr>
        <w:suppressLineNumbers/>
        <w:spacing w:after="240"/>
        <w:contextualSpacing/>
        <w:jc w:val="both"/>
        <w:rPr>
          <w:rFonts w:ascii="Times New Roman" w:hAnsi="Times New Roman" w:cs="Times New Roman"/>
          <w:b/>
          <w:bCs/>
        </w:rPr>
      </w:pPr>
    </w:p>
    <w:p w14:paraId="536B6F55" w14:textId="77777777" w:rsidR="00CB37EB" w:rsidRDefault="00CB37EB" w:rsidP="00CB37EB">
      <w:pPr>
        <w:suppressLineNumbers/>
        <w:spacing w:after="240"/>
        <w:contextualSpacing/>
        <w:jc w:val="both"/>
        <w:rPr>
          <w:rFonts w:ascii="Times New Roman" w:hAnsi="Times New Roman" w:cs="Times New Roman"/>
          <w:b/>
          <w:bCs/>
        </w:rPr>
      </w:pPr>
    </w:p>
    <w:p w14:paraId="5B9AED03" w14:textId="77777777" w:rsidR="00CB37EB" w:rsidRPr="00450301" w:rsidRDefault="00CB37EB" w:rsidP="00CB37EB">
      <w:pPr>
        <w:spacing w:after="240"/>
        <w:contextualSpacing/>
        <w:jc w:val="both"/>
        <w:rPr>
          <w:rFonts w:ascii="Times New Roman" w:hAnsi="Times New Roman" w:cs="Times New Roman"/>
          <w:b/>
          <w:bCs/>
        </w:rPr>
      </w:pPr>
      <w:r w:rsidRPr="00450301">
        <w:rPr>
          <w:rFonts w:ascii="Times New Roman" w:hAnsi="Times New Roman" w:cs="Times New Roman"/>
          <w:b/>
          <w:bCs/>
        </w:rPr>
        <w:t>Data Accessibility</w:t>
      </w:r>
      <w:r>
        <w:rPr>
          <w:rFonts w:ascii="Times New Roman" w:hAnsi="Times New Roman" w:cs="Times New Roman"/>
          <w:b/>
          <w:bCs/>
        </w:rPr>
        <w:t xml:space="preserve"> Statement</w:t>
      </w:r>
    </w:p>
    <w:p w14:paraId="618383D3" w14:textId="77777777" w:rsidR="00CB37EB" w:rsidRPr="00450301" w:rsidRDefault="00CB37EB" w:rsidP="00CB37EB">
      <w:pPr>
        <w:contextualSpacing/>
        <w:jc w:val="both"/>
        <w:rPr>
          <w:rFonts w:ascii="Times New Roman" w:hAnsi="Times New Roman" w:cs="Times New Roman"/>
        </w:rPr>
      </w:pPr>
      <w:r w:rsidRPr="00450301">
        <w:rPr>
          <w:rFonts w:ascii="Times New Roman" w:hAnsi="Times New Roman" w:cs="Times New Roman"/>
        </w:rPr>
        <w:t>All statistical results, raw data, R code, and original datafiles uploaded to R are available as supplementary material.</w:t>
      </w:r>
    </w:p>
    <w:p w14:paraId="0D651989" w14:textId="77777777" w:rsidR="00CB37EB" w:rsidRPr="00450301" w:rsidRDefault="00CB37EB" w:rsidP="00CB37EB">
      <w:pPr>
        <w:suppressLineNumbers/>
        <w:spacing w:after="240"/>
        <w:contextualSpacing/>
        <w:jc w:val="both"/>
        <w:rPr>
          <w:rFonts w:ascii="Times New Roman" w:hAnsi="Times New Roman" w:cs="Times New Roman"/>
          <w:b/>
          <w:bCs/>
        </w:rPr>
      </w:pPr>
    </w:p>
    <w:p w14:paraId="7A91551D" w14:textId="77777777" w:rsidR="00CB37EB" w:rsidRDefault="00CB37EB" w:rsidP="00CB37EB">
      <w:pPr>
        <w:suppressLineNumbers/>
        <w:spacing w:after="240"/>
        <w:contextualSpacing/>
        <w:jc w:val="both"/>
        <w:rPr>
          <w:rFonts w:ascii="Times New Roman" w:hAnsi="Times New Roman" w:cs="Times New Roman"/>
          <w:b/>
          <w:bCs/>
        </w:rPr>
      </w:pPr>
    </w:p>
    <w:p w14:paraId="347B2A27" w14:textId="77777777" w:rsidR="00CB37EB" w:rsidRPr="00450301" w:rsidRDefault="00CB37EB" w:rsidP="00CB37EB">
      <w:pPr>
        <w:spacing w:after="240"/>
        <w:contextualSpacing/>
        <w:jc w:val="both"/>
        <w:rPr>
          <w:rFonts w:ascii="Times New Roman" w:hAnsi="Times New Roman" w:cs="Times New Roman"/>
          <w:b/>
          <w:bCs/>
        </w:rPr>
      </w:pPr>
      <w:r w:rsidRPr="00450301">
        <w:rPr>
          <w:rFonts w:ascii="Times New Roman" w:hAnsi="Times New Roman" w:cs="Times New Roman"/>
          <w:b/>
          <w:bCs/>
        </w:rPr>
        <w:t>Author Contributions</w:t>
      </w:r>
    </w:p>
    <w:p w14:paraId="740CF44E" w14:textId="77777777" w:rsidR="00CB37EB" w:rsidRPr="00450301" w:rsidRDefault="00CB37EB" w:rsidP="00CB37EB">
      <w:pPr>
        <w:contextualSpacing/>
        <w:jc w:val="both"/>
        <w:rPr>
          <w:rFonts w:ascii="Times New Roman" w:hAnsi="Times New Roman" w:cs="Times New Roman"/>
        </w:rPr>
      </w:pPr>
      <w:r>
        <w:rPr>
          <w:rFonts w:ascii="Times New Roman" w:hAnsi="Times New Roman" w:cs="Times New Roman"/>
        </w:rPr>
        <w:t>JCC</w:t>
      </w:r>
      <w:r w:rsidRPr="00450301">
        <w:rPr>
          <w:rFonts w:ascii="Times New Roman" w:hAnsi="Times New Roman" w:cs="Times New Roman"/>
        </w:rPr>
        <w:t xml:space="preserve"> conceptualized the idea. </w:t>
      </w:r>
      <w:r>
        <w:rPr>
          <w:rFonts w:ascii="Times New Roman" w:hAnsi="Times New Roman" w:cs="Times New Roman"/>
        </w:rPr>
        <w:t>JCC</w:t>
      </w:r>
      <w:r w:rsidRPr="00450301">
        <w:rPr>
          <w:rFonts w:ascii="Times New Roman" w:hAnsi="Times New Roman" w:cs="Times New Roman"/>
        </w:rPr>
        <w:t xml:space="preserve">, </w:t>
      </w:r>
      <w:r>
        <w:rPr>
          <w:rFonts w:ascii="Times New Roman" w:hAnsi="Times New Roman" w:cs="Times New Roman"/>
        </w:rPr>
        <w:t>FJ</w:t>
      </w:r>
      <w:r w:rsidRPr="00450301">
        <w:rPr>
          <w:rFonts w:ascii="Times New Roman" w:hAnsi="Times New Roman" w:cs="Times New Roman"/>
        </w:rPr>
        <w:t xml:space="preserve"> and </w:t>
      </w:r>
      <w:r>
        <w:rPr>
          <w:rFonts w:ascii="Times New Roman" w:hAnsi="Times New Roman" w:cs="Times New Roman"/>
        </w:rPr>
        <w:t>KR</w:t>
      </w:r>
      <w:r w:rsidRPr="00450301">
        <w:rPr>
          <w:rFonts w:ascii="Times New Roman" w:hAnsi="Times New Roman" w:cs="Times New Roman"/>
        </w:rPr>
        <w:t xml:space="preserve"> designed the experiment. </w:t>
      </w:r>
      <w:r>
        <w:rPr>
          <w:rFonts w:ascii="Times New Roman" w:hAnsi="Times New Roman" w:cs="Times New Roman"/>
        </w:rPr>
        <w:t>JCC</w:t>
      </w:r>
      <w:r w:rsidRPr="00450301">
        <w:rPr>
          <w:rFonts w:ascii="Times New Roman" w:hAnsi="Times New Roman" w:cs="Times New Roman"/>
        </w:rPr>
        <w:t xml:space="preserve"> and </w:t>
      </w:r>
      <w:r>
        <w:rPr>
          <w:rFonts w:ascii="Times New Roman" w:hAnsi="Times New Roman" w:cs="Times New Roman"/>
        </w:rPr>
        <w:t>KR</w:t>
      </w:r>
      <w:r w:rsidRPr="00450301">
        <w:rPr>
          <w:rFonts w:ascii="Times New Roman" w:hAnsi="Times New Roman" w:cs="Times New Roman"/>
        </w:rPr>
        <w:t xml:space="preserve"> tended to the animals and collected abiotic seawater parameters. </w:t>
      </w:r>
      <w:r>
        <w:rPr>
          <w:rFonts w:ascii="Times New Roman" w:hAnsi="Times New Roman" w:cs="Times New Roman"/>
        </w:rPr>
        <w:t>JCC</w:t>
      </w:r>
      <w:r w:rsidRPr="00450301">
        <w:rPr>
          <w:rFonts w:ascii="Times New Roman" w:hAnsi="Times New Roman" w:cs="Times New Roman"/>
        </w:rPr>
        <w:t xml:space="preserve"> and </w:t>
      </w:r>
      <w:r>
        <w:rPr>
          <w:rFonts w:ascii="Times New Roman" w:hAnsi="Times New Roman" w:cs="Times New Roman"/>
        </w:rPr>
        <w:t>JN</w:t>
      </w:r>
      <w:r w:rsidRPr="00450301">
        <w:rPr>
          <w:rFonts w:ascii="Times New Roman" w:hAnsi="Times New Roman" w:cs="Times New Roman"/>
        </w:rPr>
        <w:t xml:space="preserve"> carried out the behavioural experiments. </w:t>
      </w:r>
      <w:r>
        <w:rPr>
          <w:rFonts w:ascii="Times New Roman" w:hAnsi="Times New Roman" w:cs="Times New Roman"/>
        </w:rPr>
        <w:t>JCC</w:t>
      </w:r>
      <w:r w:rsidRPr="00450301">
        <w:rPr>
          <w:rFonts w:ascii="Times New Roman" w:hAnsi="Times New Roman" w:cs="Times New Roman"/>
        </w:rPr>
        <w:t xml:space="preserve"> analyzed data and wrote the manuscript. </w:t>
      </w:r>
      <w:r>
        <w:rPr>
          <w:rFonts w:ascii="Times New Roman" w:hAnsi="Times New Roman" w:cs="Times New Roman"/>
        </w:rPr>
        <w:t>SD</w:t>
      </w:r>
      <w:r w:rsidRPr="00450301">
        <w:rPr>
          <w:rFonts w:ascii="Times New Roman" w:hAnsi="Times New Roman" w:cs="Times New Roman"/>
        </w:rPr>
        <w:t xml:space="preserve"> and </w:t>
      </w:r>
      <w:r>
        <w:rPr>
          <w:rFonts w:ascii="Times New Roman" w:hAnsi="Times New Roman" w:cs="Times New Roman"/>
        </w:rPr>
        <w:t>FJ</w:t>
      </w:r>
      <w:r w:rsidRPr="00450301">
        <w:rPr>
          <w:rFonts w:ascii="Times New Roman" w:hAnsi="Times New Roman" w:cs="Times New Roman"/>
        </w:rPr>
        <w:t xml:space="preserve"> provided in-kind support and technical guidance. All authors revised and approved the manuscript. </w:t>
      </w:r>
    </w:p>
    <w:p w14:paraId="300541E2" w14:textId="77777777" w:rsidR="00CB37EB" w:rsidRPr="00450301" w:rsidRDefault="00CB37EB" w:rsidP="00CB37EB">
      <w:pPr>
        <w:suppressLineNumbers/>
        <w:spacing w:after="240"/>
        <w:contextualSpacing/>
        <w:jc w:val="both"/>
        <w:rPr>
          <w:rFonts w:ascii="Times New Roman" w:hAnsi="Times New Roman" w:cs="Times New Roman"/>
          <w:b/>
          <w:bCs/>
        </w:rPr>
      </w:pPr>
    </w:p>
    <w:p w14:paraId="54BD4428" w14:textId="77777777" w:rsidR="00CB37EB" w:rsidRDefault="00CB37EB" w:rsidP="00CB37EB">
      <w:pPr>
        <w:suppressLineNumbers/>
        <w:spacing w:after="240"/>
        <w:contextualSpacing/>
        <w:jc w:val="both"/>
        <w:rPr>
          <w:rFonts w:ascii="Times New Roman" w:hAnsi="Times New Roman" w:cs="Times New Roman"/>
          <w:b/>
          <w:bCs/>
        </w:rPr>
      </w:pPr>
    </w:p>
    <w:p w14:paraId="7BEC9030" w14:textId="77777777" w:rsidR="00CB37EB" w:rsidRPr="00450301" w:rsidRDefault="00CB37EB" w:rsidP="00CB37EB">
      <w:pPr>
        <w:spacing w:after="240"/>
        <w:contextualSpacing/>
        <w:jc w:val="both"/>
        <w:rPr>
          <w:rFonts w:ascii="Times New Roman" w:hAnsi="Times New Roman" w:cs="Times New Roman"/>
          <w:b/>
          <w:bCs/>
        </w:rPr>
      </w:pPr>
      <w:r w:rsidRPr="00450301">
        <w:rPr>
          <w:rFonts w:ascii="Times New Roman" w:hAnsi="Times New Roman" w:cs="Times New Roman"/>
          <w:b/>
          <w:bCs/>
        </w:rPr>
        <w:t>Competing interests</w:t>
      </w:r>
    </w:p>
    <w:p w14:paraId="587038F5" w14:textId="7FAD25F0" w:rsidR="00CB37EB" w:rsidRDefault="00CB37EB" w:rsidP="00CB37EB">
      <w:pPr>
        <w:contextualSpacing/>
        <w:jc w:val="both"/>
        <w:rPr>
          <w:rFonts w:ascii="Times New Roman" w:hAnsi="Times New Roman" w:cs="Times New Roman"/>
        </w:rPr>
      </w:pPr>
      <w:r w:rsidRPr="00450301">
        <w:rPr>
          <w:rFonts w:ascii="Times New Roman" w:hAnsi="Times New Roman" w:cs="Times New Roman"/>
        </w:rPr>
        <w:t>We declare we have no competing interests.</w:t>
      </w:r>
      <w:r>
        <w:rPr>
          <w:rFonts w:ascii="Times New Roman" w:hAnsi="Times New Roman" w:cs="Times New Roman"/>
        </w:rPr>
        <w:br w:type="page"/>
      </w:r>
    </w:p>
    <w:p w14:paraId="4F5FA896" w14:textId="77777777" w:rsidR="00247EF3" w:rsidRDefault="00247EF3" w:rsidP="00CB37EB">
      <w:pPr>
        <w:spacing w:after="240"/>
        <w:jc w:val="both"/>
        <w:rPr>
          <w:rFonts w:ascii="Times New Roman" w:hAnsi="Times New Roman" w:cs="Times New Roman"/>
          <w:b/>
          <w:bCs/>
        </w:rPr>
      </w:pPr>
      <w:r>
        <w:rPr>
          <w:rFonts w:ascii="Times New Roman" w:hAnsi="Times New Roman" w:cs="Times New Roman"/>
          <w:b/>
          <w:bCs/>
        </w:rPr>
        <w:lastRenderedPageBreak/>
        <w:t>References</w:t>
      </w:r>
    </w:p>
    <w:p w14:paraId="3C59D7E8" w14:textId="77777777" w:rsidR="000E3685" w:rsidRPr="000E3685" w:rsidRDefault="005D39B5" w:rsidP="00CB37EB">
      <w:pPr>
        <w:pStyle w:val="Bibliography"/>
        <w:jc w:val="both"/>
        <w:rPr>
          <w:rFonts w:ascii="Times New Roman" w:hAnsi="Times New Roman" w:cs="Times New Roman"/>
          <w:lang w:val="en-US"/>
        </w:rPr>
      </w:pPr>
      <w:r w:rsidRPr="000E3685">
        <w:rPr>
          <w:rFonts w:ascii="Times New Roman" w:hAnsi="Times New Roman" w:cs="Times New Roman"/>
          <w:lang w:val="en-US"/>
        </w:rPr>
        <w:fldChar w:fldCharType="begin"/>
      </w:r>
      <w:r w:rsidR="000E3685" w:rsidRPr="000E3685">
        <w:rPr>
          <w:rFonts w:ascii="Times New Roman" w:hAnsi="Times New Roman" w:cs="Times New Roman"/>
          <w:lang w:val="en-US"/>
        </w:rPr>
        <w:instrText xml:space="preserve"> ADDIN ZOTERO_BIBL {"uncited":[],"omitted":[],"custom":[]} CSL_BIBLIOGRAPHY </w:instrText>
      </w:r>
      <w:r w:rsidRPr="000E3685">
        <w:rPr>
          <w:rFonts w:ascii="Times New Roman" w:hAnsi="Times New Roman" w:cs="Times New Roman"/>
          <w:lang w:val="en-US"/>
        </w:rPr>
        <w:fldChar w:fldCharType="separate"/>
      </w:r>
      <w:r w:rsidR="000E3685" w:rsidRPr="000E3685">
        <w:rPr>
          <w:rFonts w:ascii="Times New Roman" w:hAnsi="Times New Roman" w:cs="Times New Roman"/>
          <w:lang w:val="en-US"/>
        </w:rPr>
        <w:t>Allan BJM, Domenici P, Watson S-A, Munday PL, McCormick MI. 2017. Warming has a greater effect than elevated CO</w:t>
      </w:r>
      <w:r w:rsidR="000E3685" w:rsidRPr="000E3685">
        <w:rPr>
          <w:rFonts w:ascii="Times New Roman" w:hAnsi="Times New Roman" w:cs="Times New Roman"/>
          <w:vertAlign w:val="subscript"/>
          <w:lang w:val="en-US"/>
        </w:rPr>
        <w:t>2</w:t>
      </w:r>
      <w:r w:rsidR="000E3685" w:rsidRPr="000E3685">
        <w:rPr>
          <w:rFonts w:ascii="Times New Roman" w:hAnsi="Times New Roman" w:cs="Times New Roman"/>
          <w:lang w:val="en-US"/>
        </w:rPr>
        <w:t xml:space="preserve"> on predator–prey interactions in coral reef fish. Proc R Soc B. 284:20170784. doi:10.1098/rspb.2017.0784.</w:t>
      </w:r>
    </w:p>
    <w:p w14:paraId="5DBCA916" w14:textId="22C387BA"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Anestis A, Lazou A, Pörtner H-O, Michaelidis B. 2007. Behavioral, metabolic, and molecular stress responses of marine bivalve </w:t>
      </w:r>
      <w:r w:rsidRPr="000E3685">
        <w:rPr>
          <w:rFonts w:ascii="Times New Roman" w:hAnsi="Times New Roman" w:cs="Times New Roman"/>
          <w:i/>
          <w:iCs/>
          <w:lang w:val="en-US"/>
        </w:rPr>
        <w:t>Mytilus galloprovincialis</w:t>
      </w:r>
      <w:r w:rsidRPr="000E3685">
        <w:rPr>
          <w:rFonts w:ascii="Times New Roman" w:hAnsi="Times New Roman" w:cs="Times New Roman"/>
          <w:lang w:val="en-US"/>
        </w:rPr>
        <w:t xml:space="preserve"> during long-term acclimation at increasing ambient temperature. Am J Physiol - Reg Integr Comp Physiol. 293:R911–R921. doi:10.1152/ajpregu.00124.2007.</w:t>
      </w:r>
    </w:p>
    <w:p w14:paraId="29AF879C"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Ashur MM, Johnston NK, Dixson DL. 2017. Impacts of ocean acidification on sensory function in marine organisms. Integr Comp Biol. 57:63–80. doi:10.1093/icb/icx010.</w:t>
      </w:r>
    </w:p>
    <w:p w14:paraId="4DF2449C"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Bamber SD, Westerlund S. 2016. Behavioral responses of </w:t>
      </w:r>
      <w:r w:rsidRPr="000E3685">
        <w:rPr>
          <w:rFonts w:ascii="Times New Roman" w:hAnsi="Times New Roman" w:cs="Times New Roman"/>
          <w:i/>
          <w:iCs/>
          <w:lang w:val="en-US"/>
        </w:rPr>
        <w:t>Arctica islandica</w:t>
      </w:r>
      <w:r w:rsidRPr="000E3685">
        <w:rPr>
          <w:rFonts w:ascii="Times New Roman" w:hAnsi="Times New Roman" w:cs="Times New Roman"/>
          <w:lang w:val="en-US"/>
        </w:rPr>
        <w:t xml:space="preserve"> (Bivalvia: Arcticidae) to simulated leakages of carbon dioxide from sub-sea geological storage. Aquat Toxicol. 180:295–305. doi:10.1016/j.aquatox.2016.10.009.</w:t>
      </w:r>
    </w:p>
    <w:p w14:paraId="623F05D0"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Barbeau MA, Sceibling RE. 1994. Behavioral mechanisms of prey size selection by sea stars (</w:t>
      </w:r>
      <w:r w:rsidRPr="000E3685">
        <w:rPr>
          <w:rFonts w:ascii="Times New Roman" w:hAnsi="Times New Roman" w:cs="Times New Roman"/>
          <w:i/>
          <w:iCs/>
          <w:lang w:val="en-US"/>
        </w:rPr>
        <w:t>Asterias vulgaris</w:t>
      </w:r>
      <w:r w:rsidRPr="000E3685">
        <w:rPr>
          <w:rFonts w:ascii="Times New Roman" w:hAnsi="Times New Roman" w:cs="Times New Roman"/>
          <w:lang w:val="en-US"/>
        </w:rPr>
        <w:t xml:space="preserve"> Verrill) and crabs (</w:t>
      </w:r>
      <w:r w:rsidRPr="000E3685">
        <w:rPr>
          <w:rFonts w:ascii="Times New Roman" w:hAnsi="Times New Roman" w:cs="Times New Roman"/>
          <w:i/>
          <w:iCs/>
          <w:lang w:val="en-US"/>
        </w:rPr>
        <w:t>Cancer irroratus</w:t>
      </w:r>
      <w:r w:rsidRPr="000E3685">
        <w:rPr>
          <w:rFonts w:ascii="Times New Roman" w:hAnsi="Times New Roman" w:cs="Times New Roman"/>
          <w:lang w:val="en-US"/>
        </w:rPr>
        <w:t xml:space="preserve"> Say) preying on juvenile sea scallops (</w:t>
      </w:r>
      <w:r w:rsidRPr="000E3685">
        <w:rPr>
          <w:rFonts w:ascii="Times New Roman" w:hAnsi="Times New Roman" w:cs="Times New Roman"/>
          <w:i/>
          <w:iCs/>
          <w:lang w:val="en-US"/>
        </w:rPr>
        <w:t>Placopecten magellanicus</w:t>
      </w:r>
      <w:r w:rsidRPr="000E3685">
        <w:rPr>
          <w:rFonts w:ascii="Times New Roman" w:hAnsi="Times New Roman" w:cs="Times New Roman"/>
          <w:lang w:val="en-US"/>
        </w:rPr>
        <w:t xml:space="preserve"> (Gmelin)). J Exp Mar Biol Ecol. 180:103–136. doi:10.1016/0022-0981(94)90082-5.</w:t>
      </w:r>
    </w:p>
    <w:p w14:paraId="26CEE10B"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Bell AM, Hankison SJ, Laskowski KL. 2009. The repeatability of behaviour: A meta-analysis. Anim Behav. 77:771–783. doi:10.1016/j.anbehav.2008.12.022.</w:t>
      </w:r>
    </w:p>
    <w:p w14:paraId="699C2CB9"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Bibby R, Cleall-Harding P, Rundle S, Widdicombe S, Spicer J. 2007. Ocean acidification disrupts induced defences in the intertidal gastropod </w:t>
      </w:r>
      <w:r w:rsidRPr="000E3685">
        <w:rPr>
          <w:rFonts w:ascii="Times New Roman" w:hAnsi="Times New Roman" w:cs="Times New Roman"/>
          <w:i/>
          <w:iCs/>
          <w:lang w:val="en-US"/>
        </w:rPr>
        <w:t>Littorina littorea</w:t>
      </w:r>
      <w:r w:rsidRPr="000E3685">
        <w:rPr>
          <w:rFonts w:ascii="Times New Roman" w:hAnsi="Times New Roman" w:cs="Times New Roman"/>
          <w:lang w:val="en-US"/>
        </w:rPr>
        <w:t>. Biol Lett. 3:699–701. doi:10.1098/rsbl.2007.0457.</w:t>
      </w:r>
    </w:p>
    <w:p w14:paraId="276CAB39"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Bretagnolle V, Terraube J. 2010. Predator–prey interactions and climate change. In: Effects of Climate Change on Birds. Oxford University Press. p. 199–220.</w:t>
      </w:r>
    </w:p>
    <w:p w14:paraId="0EF16068"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Briffa M, Bridger D, Biro PA. 2013. How does temperature affect behaviour? Multilevel analysis of plasticity, personality and predictability in hermit crabs. Anim Behav. 86:47–54. doi:10.1016/j.anbehav.2013.04.009.</w:t>
      </w:r>
    </w:p>
    <w:p w14:paraId="5D0C402F"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Briffa M, Greenaway J. 2011. High </w:t>
      </w:r>
      <w:r w:rsidRPr="000E3685">
        <w:rPr>
          <w:rFonts w:ascii="Times New Roman" w:hAnsi="Times New Roman" w:cs="Times New Roman"/>
          <w:i/>
          <w:iCs/>
          <w:lang w:val="en-US"/>
        </w:rPr>
        <w:t>in situ</w:t>
      </w:r>
      <w:r w:rsidRPr="000E3685">
        <w:rPr>
          <w:rFonts w:ascii="Times New Roman" w:hAnsi="Times New Roman" w:cs="Times New Roman"/>
          <w:lang w:val="en-US"/>
        </w:rPr>
        <w:t xml:space="preserve"> repeatability of behaviour indicates animal personality in the beadlet anemone </w:t>
      </w:r>
      <w:r w:rsidRPr="000E3685">
        <w:rPr>
          <w:rFonts w:ascii="Times New Roman" w:hAnsi="Times New Roman" w:cs="Times New Roman"/>
          <w:i/>
          <w:iCs/>
          <w:lang w:val="en-US"/>
        </w:rPr>
        <w:t>Actinia equina</w:t>
      </w:r>
      <w:r w:rsidRPr="000E3685">
        <w:rPr>
          <w:rFonts w:ascii="Times New Roman" w:hAnsi="Times New Roman" w:cs="Times New Roman"/>
          <w:lang w:val="en-US"/>
        </w:rPr>
        <w:t xml:space="preserve"> (Cnidaria). PLoS ONE. 6:e21963. doi:10.1371/journal.pone.0021963.</w:t>
      </w:r>
    </w:p>
    <w:p w14:paraId="3A073313"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Brokordt K, Farías W, Lhorente J-P, Winkler F. 2012. Heritability and genetic correlations of escape behaviours in juvenile scallop </w:t>
      </w:r>
      <w:r w:rsidRPr="000E3685">
        <w:rPr>
          <w:rFonts w:ascii="Times New Roman" w:hAnsi="Times New Roman" w:cs="Times New Roman"/>
          <w:i/>
          <w:iCs/>
          <w:lang w:val="en-US"/>
        </w:rPr>
        <w:t>Argopecten purpuratus</w:t>
      </w:r>
      <w:r w:rsidRPr="000E3685">
        <w:rPr>
          <w:rFonts w:ascii="Times New Roman" w:hAnsi="Times New Roman" w:cs="Times New Roman"/>
          <w:lang w:val="en-US"/>
        </w:rPr>
        <w:t>. Anim Behav. 84:479–484. doi:10.1016/j.anbehav.2012.05.025.</w:t>
      </w:r>
    </w:p>
    <w:p w14:paraId="413F3E3D"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Carroll JM, Clements JC. 2019. Scaredy-oysters: In situ documentation of an oyster behavioral response to predators. Southeast Nat. 18:N21–N26. doi:10.1656/058.018.0303.</w:t>
      </w:r>
    </w:p>
    <w:p w14:paraId="324377F0"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lastRenderedPageBreak/>
        <w:t>Casey MM, Chattopadhyay D. 2008. Clumping behavior as a strategy against drilling predation: Implications for the fossil record. J Exp Mar Biol Ecol. 367:174–179. doi:10.1016/j.jembe.2008.09.020.</w:t>
      </w:r>
    </w:p>
    <w:p w14:paraId="615CFA7E"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Castorani MCN, Hovel KA. 2016. Native predator chemical cues induce anti-predation behaviors in an invasive marine bivalve. Biol Invasions. 18:169–181. doi:10.1007/s10530-015-1000-6.</w:t>
      </w:r>
    </w:p>
    <w:p w14:paraId="4702987A"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Christensen HT, Dolmer P, Petersen JK, Tørring D. 2012. Comparative study of predatory responses in blue mussels (</w:t>
      </w:r>
      <w:r w:rsidRPr="000E3685">
        <w:rPr>
          <w:rFonts w:ascii="Times New Roman" w:hAnsi="Times New Roman" w:cs="Times New Roman"/>
          <w:i/>
          <w:iCs/>
          <w:lang w:val="en-US"/>
        </w:rPr>
        <w:t>Mytilus edulis</w:t>
      </w:r>
      <w:r w:rsidRPr="000E3685">
        <w:rPr>
          <w:rFonts w:ascii="Times New Roman" w:hAnsi="Times New Roman" w:cs="Times New Roman"/>
          <w:lang w:val="en-US"/>
        </w:rPr>
        <w:t xml:space="preserve"> L.) produced in suspended long line cultures or collected from natural bottom mussel beds. Helgol Mar Res. 66:1–9. doi:10.1007/s10152-010-0241-0.</w:t>
      </w:r>
    </w:p>
    <w:p w14:paraId="49A05EF4"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Clark TD, Raby GD, Roche DG, Binning SA, Speers-Roesch B, Jutfelt F, Sundin J. 2020. Ocean acidification does not impair the behaviour of coral reef fishes. Nature. 577:370–375. doi:10.1038/s41586-019-1903-y.</w:t>
      </w:r>
    </w:p>
    <w:p w14:paraId="2867A04B"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Clements JC, Comeau LA. 2019a. Behavioral defenses of shellfish prey under ocean acidification. J Shellfish Res. 38:1–18. doi:10.2983/035.038.0300.</w:t>
      </w:r>
    </w:p>
    <w:p w14:paraId="2A7D1512"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Clements JC, Comeau LA. 2019b. Nitrogen removal potential of shellfish aquaculture harvests in eastern Canada: A comparison of culture methods. Aquacult Rep. 13:100183. doi:10.1016/j.aqrep.2019.100183.</w:t>
      </w:r>
    </w:p>
    <w:p w14:paraId="1B9E1361"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Clements JC, Comeau LA, Carver CE, Mayrand E, Plante S, Mallet AL. 2018. Short-term exposure to elevated </w:t>
      </w:r>
      <w:r w:rsidRPr="000E3685">
        <w:rPr>
          <w:rFonts w:ascii="Times New Roman" w:hAnsi="Times New Roman" w:cs="Times New Roman"/>
          <w:i/>
          <w:iCs/>
          <w:lang w:val="en-US"/>
        </w:rPr>
        <w:t>p</w:t>
      </w:r>
      <w:r w:rsidRPr="000E3685">
        <w:rPr>
          <w:rFonts w:ascii="Times New Roman" w:hAnsi="Times New Roman" w:cs="Times New Roman"/>
          <w:lang w:val="en-US"/>
        </w:rPr>
        <w:t>CO</w:t>
      </w:r>
      <w:r w:rsidRPr="000E3685">
        <w:rPr>
          <w:rFonts w:ascii="Times New Roman" w:hAnsi="Times New Roman" w:cs="Times New Roman"/>
          <w:vertAlign w:val="subscript"/>
          <w:lang w:val="en-US"/>
        </w:rPr>
        <w:t>2</w:t>
      </w:r>
      <w:r w:rsidRPr="000E3685">
        <w:rPr>
          <w:rFonts w:ascii="Times New Roman" w:hAnsi="Times New Roman" w:cs="Times New Roman"/>
          <w:lang w:val="en-US"/>
        </w:rPr>
        <w:t xml:space="preserve"> does not affect the valve gaping response of adult eastern oysters, </w:t>
      </w:r>
      <w:r w:rsidRPr="000E3685">
        <w:rPr>
          <w:rFonts w:ascii="Times New Roman" w:hAnsi="Times New Roman" w:cs="Times New Roman"/>
          <w:i/>
          <w:iCs/>
          <w:lang w:val="en-US"/>
        </w:rPr>
        <w:t>Crassostrea virginica</w:t>
      </w:r>
      <w:r w:rsidRPr="000E3685">
        <w:rPr>
          <w:rFonts w:ascii="Times New Roman" w:hAnsi="Times New Roman" w:cs="Times New Roman"/>
          <w:lang w:val="en-US"/>
        </w:rPr>
        <w:t xml:space="preserve">, to acute heat shock under an </w:t>
      </w:r>
      <w:r w:rsidRPr="000E3685">
        <w:rPr>
          <w:rFonts w:ascii="Times New Roman" w:hAnsi="Times New Roman" w:cs="Times New Roman"/>
          <w:i/>
          <w:iCs/>
          <w:lang w:val="en-US"/>
        </w:rPr>
        <w:t>ad libitum</w:t>
      </w:r>
      <w:r w:rsidRPr="000E3685">
        <w:rPr>
          <w:rFonts w:ascii="Times New Roman" w:hAnsi="Times New Roman" w:cs="Times New Roman"/>
          <w:lang w:val="en-US"/>
        </w:rPr>
        <w:t xml:space="preserve"> feeding regime. J Exp Mar Biol Ecol. 506:9–17. doi:10.1016/j.jembe.2018.05.005.</w:t>
      </w:r>
    </w:p>
    <w:p w14:paraId="1A5A40CA"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Clements JC, Hicks C, Tremblay R, Comeau LA. 2018. Elevated seawater temperature, not </w:t>
      </w:r>
      <w:r w:rsidRPr="000E3685">
        <w:rPr>
          <w:rFonts w:ascii="Times New Roman" w:hAnsi="Times New Roman" w:cs="Times New Roman"/>
          <w:i/>
          <w:iCs/>
          <w:lang w:val="en-US"/>
        </w:rPr>
        <w:t>p</w:t>
      </w:r>
      <w:r w:rsidRPr="000E3685">
        <w:rPr>
          <w:rFonts w:ascii="Times New Roman" w:hAnsi="Times New Roman" w:cs="Times New Roman"/>
          <w:lang w:val="en-US"/>
        </w:rPr>
        <w:t>CO</w:t>
      </w:r>
      <w:r w:rsidRPr="000E3685">
        <w:rPr>
          <w:rFonts w:ascii="Times New Roman" w:hAnsi="Times New Roman" w:cs="Times New Roman"/>
          <w:vertAlign w:val="subscript"/>
          <w:lang w:val="en-US"/>
        </w:rPr>
        <w:t>2</w:t>
      </w:r>
      <w:r w:rsidRPr="000E3685">
        <w:rPr>
          <w:rFonts w:ascii="Times New Roman" w:hAnsi="Times New Roman" w:cs="Times New Roman"/>
          <w:lang w:val="en-US"/>
        </w:rPr>
        <w:t>, negatively affects post-spawning adult mussels (</w:t>
      </w:r>
      <w:r w:rsidRPr="000E3685">
        <w:rPr>
          <w:rFonts w:ascii="Times New Roman" w:hAnsi="Times New Roman" w:cs="Times New Roman"/>
          <w:i/>
          <w:iCs/>
          <w:lang w:val="en-US"/>
        </w:rPr>
        <w:t>Mytilus edulis</w:t>
      </w:r>
      <w:r w:rsidRPr="000E3685">
        <w:rPr>
          <w:rFonts w:ascii="Times New Roman" w:hAnsi="Times New Roman" w:cs="Times New Roman"/>
          <w:lang w:val="en-US"/>
        </w:rPr>
        <w:t>) under food limitation. Cons Physiol. 6:cox078. doi:10.1093/conphys/cox078.</w:t>
      </w:r>
    </w:p>
    <w:p w14:paraId="137442FA"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Clements JC, Hunt HL. 2015. Marine animal behaviour in a high CO</w:t>
      </w:r>
      <w:r w:rsidRPr="000E3685">
        <w:rPr>
          <w:rFonts w:ascii="Times New Roman" w:hAnsi="Times New Roman" w:cs="Times New Roman"/>
          <w:vertAlign w:val="subscript"/>
          <w:lang w:val="en-US"/>
        </w:rPr>
        <w:t>2</w:t>
      </w:r>
      <w:r w:rsidRPr="000E3685">
        <w:rPr>
          <w:rFonts w:ascii="Times New Roman" w:hAnsi="Times New Roman" w:cs="Times New Roman"/>
          <w:lang w:val="en-US"/>
        </w:rPr>
        <w:t xml:space="preserve"> ocean. Mar Ecol Prog Ser. 536:259–279. doi:10.3354/meps11426.</w:t>
      </w:r>
    </w:p>
    <w:p w14:paraId="6E3A3022"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Connell JH. 1961. The influence of interspecific competition and other factors on the distribution of the barnacle </w:t>
      </w:r>
      <w:r w:rsidRPr="000E3685">
        <w:rPr>
          <w:rFonts w:ascii="Times New Roman" w:hAnsi="Times New Roman" w:cs="Times New Roman"/>
          <w:i/>
          <w:iCs/>
          <w:lang w:val="en-US"/>
        </w:rPr>
        <w:t>Chthamalus stellatus</w:t>
      </w:r>
      <w:r w:rsidRPr="000E3685">
        <w:rPr>
          <w:rFonts w:ascii="Times New Roman" w:hAnsi="Times New Roman" w:cs="Times New Roman"/>
          <w:lang w:val="en-US"/>
        </w:rPr>
        <w:t>. Ecology. 42:710–723. doi:10.2307/1933500.</w:t>
      </w:r>
    </w:p>
    <w:p w14:paraId="495574D9"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Côté IM, Jelnikar E. 1999. Predator-induced clumping behaviour in mussels (</w:t>
      </w:r>
      <w:r w:rsidRPr="000E3685">
        <w:rPr>
          <w:rFonts w:ascii="Times New Roman" w:hAnsi="Times New Roman" w:cs="Times New Roman"/>
          <w:i/>
          <w:iCs/>
          <w:lang w:val="en-US"/>
        </w:rPr>
        <w:t>Mytilus edulis</w:t>
      </w:r>
      <w:r w:rsidRPr="000E3685">
        <w:rPr>
          <w:rFonts w:ascii="Times New Roman" w:hAnsi="Times New Roman" w:cs="Times New Roman"/>
          <w:lang w:val="en-US"/>
        </w:rPr>
        <w:t xml:space="preserve"> Linnaeus). J Exp Mar Biol Ecol. 235:201–211. doi:10.1016/S0022-0981(98)00155-5.</w:t>
      </w:r>
    </w:p>
    <w:p w14:paraId="6E708345"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Dawkins R, Krebs JR. 1979. Arms races between and within species. Proc R Soc B. 205:489–511. doi:10.1098/rspb.1979.0081.</w:t>
      </w:r>
    </w:p>
    <w:p w14:paraId="2E88F92B" w14:textId="77777777" w:rsidR="00AD6121" w:rsidRPr="000E3685" w:rsidRDefault="00AD6121"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de Zwaan A, Thompson RJ, Livingstone DR. 1980. Physiological and biochemical aspects of the valve snap and valve closure responses in the giant scallop </w:t>
      </w:r>
      <w:r w:rsidRPr="000E3685">
        <w:rPr>
          <w:rFonts w:ascii="Times New Roman" w:hAnsi="Times New Roman" w:cs="Times New Roman"/>
          <w:i/>
          <w:iCs/>
          <w:lang w:val="en-US"/>
        </w:rPr>
        <w:t>Placopecten magellanicus</w:t>
      </w:r>
      <w:r w:rsidRPr="000E3685">
        <w:rPr>
          <w:rFonts w:ascii="Times New Roman" w:hAnsi="Times New Roman" w:cs="Times New Roman"/>
          <w:lang w:val="en-US"/>
        </w:rPr>
        <w:t>. J Comp Physiol B. 137:105–114.</w:t>
      </w:r>
    </w:p>
    <w:p w14:paraId="6D68D11F"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lastRenderedPageBreak/>
        <w:t>Dickson AG, Millero FJ. 1987. A comparison of the equilibrium constants for the dissociation of carbonic acid in seawater media. Deep Sea Res I: Oceanogr Res Pap. 34:1733–1743. doi:10.1016/0198-0149(87)90021-5.</w:t>
      </w:r>
    </w:p>
    <w:p w14:paraId="692B7132"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Dingemanse NJ, Dochtermann NA. 2013. Quantifying individual variation in behaviour: Mixed-effect modelling approaches. J Anim Ecol. 82:39–54. doi:10.1111/1365-2656.12013.</w:t>
      </w:r>
    </w:p>
    <w:p w14:paraId="42A26A66"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Dorey N, Lançon P, Thorndyke M, Dupont S. 2013. Assessing physiological tipping point of sea urchin larvae exposed to a broad range of pH. Glob Change Biol. 19:3355–3367. doi:10.1111/gcb.12276.</w:t>
      </w:r>
    </w:p>
    <w:p w14:paraId="6BD89FB9"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Draper AM, Weissburg MJ. 2019. Impacts of global warming and elevated CO</w:t>
      </w:r>
      <w:r w:rsidRPr="000E3685">
        <w:rPr>
          <w:rFonts w:ascii="Times New Roman" w:hAnsi="Times New Roman" w:cs="Times New Roman"/>
          <w:vertAlign w:val="subscript"/>
          <w:lang w:val="en-US"/>
        </w:rPr>
        <w:t>2</w:t>
      </w:r>
      <w:r w:rsidRPr="000E3685">
        <w:rPr>
          <w:rFonts w:ascii="Times New Roman" w:hAnsi="Times New Roman" w:cs="Times New Roman"/>
          <w:lang w:val="en-US"/>
        </w:rPr>
        <w:t xml:space="preserve"> on sensory behavior in predator-prey interactions: A review and synthesis. Front Ecol Evol. 7:72. doi:10.3389/fevo.2019.00072.</w:t>
      </w:r>
    </w:p>
    <w:p w14:paraId="70745FC9"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Dzierżyńska-Białończyk A, Jermacz Ł, Zielska J, Kobak J. 2019. What scares a mussel? Changes in valve movement pattern as an immediate response of a byssate bivalve to biotic factors. Hydrobiologia. 841:65–77. doi:10.1007/s10750-019-04007-0.</w:t>
      </w:r>
    </w:p>
    <w:p w14:paraId="3B8B8B4B"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Eschweiler N, Christensen HT. 2011. Trade-off between increased survival and reduced growth for blue mussels living on Pacific oyster reefs. Journal of Experimental Marine Biology and Ecology. 403:90–95. doi:10.1016/j.jembe.2011.04.010.</w:t>
      </w:r>
    </w:p>
    <w:p w14:paraId="736B9E06"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Flynn AM, Smee DL. 2010. Behavioral plasticity of the soft-shell clam, </w:t>
      </w:r>
      <w:r w:rsidRPr="000E3685">
        <w:rPr>
          <w:rFonts w:ascii="Times New Roman" w:hAnsi="Times New Roman" w:cs="Times New Roman"/>
          <w:i/>
          <w:iCs/>
          <w:lang w:val="en-US"/>
        </w:rPr>
        <w:t>Mya arenaria</w:t>
      </w:r>
      <w:r w:rsidRPr="000E3685">
        <w:rPr>
          <w:rFonts w:ascii="Times New Roman" w:hAnsi="Times New Roman" w:cs="Times New Roman"/>
          <w:lang w:val="en-US"/>
        </w:rPr>
        <w:t xml:space="preserve"> (L.), in the presence of predators increases survival in the field. Journal of Experimental Marine Biology and Ecology. 383:32–38. doi:10.1016/j.jembe.2009.10.017.</w:t>
      </w:r>
    </w:p>
    <w:p w14:paraId="029A4DF6"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Fox J, Weisberg S. 2019. An {R} Companion to Applied Regression. Third Edition. Thousand Oaks CA: Sage.</w:t>
      </w:r>
    </w:p>
    <w:p w14:paraId="74AD7A8E"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Gosling SD. 2001. From mice to men: What can we learn about personality from animal research? Psychol Bull. 127:45–86. doi:10.1037/0033-2909.127.1.45.</w:t>
      </w:r>
    </w:p>
    <w:p w14:paraId="3E438F87"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Hadfield JD. 2010. MCMC methods for multi-response generalized linear mixed models: The MCMCglmm </w:t>
      </w:r>
      <w:r w:rsidRPr="000E3685">
        <w:rPr>
          <w:rFonts w:ascii="Times New Roman" w:hAnsi="Times New Roman" w:cs="Times New Roman"/>
          <w:i/>
          <w:iCs/>
          <w:lang w:val="en-US"/>
        </w:rPr>
        <w:t>R</w:t>
      </w:r>
      <w:r w:rsidRPr="000E3685">
        <w:rPr>
          <w:rFonts w:ascii="Times New Roman" w:hAnsi="Times New Roman" w:cs="Times New Roman"/>
          <w:lang w:val="en-US"/>
        </w:rPr>
        <w:t xml:space="preserve"> package. J Stat Soft. 33:1–22. doi:10.18637/jss.v033.i02.</w:t>
      </w:r>
    </w:p>
    <w:p w14:paraId="40E5F4DA"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Harvell CD. 1990. The ecology and evolution of inducible defenses. Q Rev Biol. 65:323–340. doi:10.1086/416841.</w:t>
      </w:r>
    </w:p>
    <w:p w14:paraId="50EF1B9F"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Hothorn T, Bretz F, Westfall P. 2008. Simultaneous inference in general parametric models. Biom J. 50:346–363. doi:10.1002/bimj.200810425.</w:t>
      </w:r>
    </w:p>
    <w:p w14:paraId="00038718"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Jakubowska M, Normant M. 2015. Metabolic rate and activity of blue mussel </w:t>
      </w:r>
      <w:r w:rsidRPr="000E3685">
        <w:rPr>
          <w:rFonts w:ascii="Times New Roman" w:hAnsi="Times New Roman" w:cs="Times New Roman"/>
          <w:i/>
          <w:iCs/>
          <w:lang w:val="en-US"/>
        </w:rPr>
        <w:t>Mytilus edulis trossulus</w:t>
      </w:r>
      <w:r w:rsidRPr="000E3685">
        <w:rPr>
          <w:rFonts w:ascii="Times New Roman" w:hAnsi="Times New Roman" w:cs="Times New Roman"/>
          <w:lang w:val="en-US"/>
        </w:rPr>
        <w:t xml:space="preserve"> under short-term exposure to carbon dioxide-induced water acidification and oxygen deficiency. Mar Freshw Behav Physiol. 48:25–39. doi:10.1080/10236244.2014.986865.</w:t>
      </w:r>
    </w:p>
    <w:p w14:paraId="22625F83"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Kats LB, Dill LM. 1998. The scent of death: Chemosensory assessment of predation risk by prey animals. Écoscience. 5:361–394. doi:10.1080/11956860.1998.11682468.</w:t>
      </w:r>
    </w:p>
    <w:p w14:paraId="32F6FC7C"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lastRenderedPageBreak/>
        <w:t xml:space="preserve">Kittner Christina, Riisgård HU. 2005. Effect of temperature on filtration rate in the mussel </w:t>
      </w:r>
      <w:r w:rsidRPr="000E3685">
        <w:rPr>
          <w:rFonts w:ascii="Times New Roman" w:hAnsi="Times New Roman" w:cs="Times New Roman"/>
          <w:i/>
          <w:iCs/>
          <w:lang w:val="en-US"/>
        </w:rPr>
        <w:t>Mytilus edulis</w:t>
      </w:r>
      <w:r w:rsidRPr="000E3685">
        <w:rPr>
          <w:rFonts w:ascii="Times New Roman" w:hAnsi="Times New Roman" w:cs="Times New Roman"/>
          <w:lang w:val="en-US"/>
        </w:rPr>
        <w:t>: no evidence for temperature compensation. Mar Ecol Prog Ser. 305:147–152. doi:10.3354/meps305147.</w:t>
      </w:r>
    </w:p>
    <w:p w14:paraId="4840E4D2"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Klompmaker AA, Kelley PH, Chattopadhyay D, Clements JC, Huntley JW, Kowalewski M. 2019. Predation in the marine fossil record: Studies, data, recognition, environmental factors, and behavior. Earth Sci Rev. 194:472–520. doi:10.1016/j.earscirev.2019.02.020.</w:t>
      </w:r>
    </w:p>
    <w:p w14:paraId="7C971E38"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Kobak J, Ryńska A. 2014. Environmental factors affecting behavioural responses of an invasive bivalve to conspecific alarm cues. Anim Behav. 96:177–186. doi:10.1016/j.anbehav.2014.08.014.</w:t>
      </w:r>
    </w:p>
    <w:p w14:paraId="4C6F4F44"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Kong H, Clements JC, Dupont S, Wang T, Huang X, Shang Y, Huang W, Chen J, Hu M, Wang Y. 2019. Seawater acidification and temperature modulate anti-predator defenses in two co-existing </w:t>
      </w:r>
      <w:r w:rsidRPr="000E3685">
        <w:rPr>
          <w:rFonts w:ascii="Times New Roman" w:hAnsi="Times New Roman" w:cs="Times New Roman"/>
          <w:i/>
          <w:iCs/>
          <w:lang w:val="en-US"/>
        </w:rPr>
        <w:t>Mytilus</w:t>
      </w:r>
      <w:r w:rsidRPr="000E3685">
        <w:rPr>
          <w:rFonts w:ascii="Times New Roman" w:hAnsi="Times New Roman" w:cs="Times New Roman"/>
          <w:lang w:val="en-US"/>
        </w:rPr>
        <w:t xml:space="preserve"> species. Mar Poll Bull. 145:118–125. doi:10.1016/j.marpolbul.2019.05.040.</w:t>
      </w:r>
    </w:p>
    <w:p w14:paraId="6540C688"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Koolhaas JM, Korte SM, De Boer SF, Van Der Vegt BJ, Van Reenen CG, Hopster H, De Jong IC, Ruis MAW, Blokhuis HJ. 1999. Coping styles in animals: Current status in behavior and stress-physiology. Neurosci Biobehav Rev. 23:925–935. doi:10.1016/S0149-7634(99)00026-3.</w:t>
      </w:r>
    </w:p>
    <w:p w14:paraId="010D3FA7"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Kroeker KJ, Sanford E, Jellison BM, Gaylord B. 2014. Predicting the effects of ocean acidification on predator-prey interactions: A conceptual framework based on coastal molluscs. Biol Bull. 226:211–222. doi:10.1086/BBLv226n3p211.</w:t>
      </w:r>
    </w:p>
    <w:p w14:paraId="744FA0E3"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Kuznetsova A, Brockhoff PB, Christensen RHB. 2017. lmerTest package: Tests in linear mixed effects models. J Stat Soft. 82:1–26. doi:10.18637/jss.v082.i13.</w:t>
      </w:r>
    </w:p>
    <w:p w14:paraId="2DDC1FA6"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Laming SR, Jenkins SR, McCarthy ID. 2013. Repeatability of escape response performance in the queen scallop, </w:t>
      </w:r>
      <w:r w:rsidRPr="000E3685">
        <w:rPr>
          <w:rFonts w:ascii="Times New Roman" w:hAnsi="Times New Roman" w:cs="Times New Roman"/>
          <w:i/>
          <w:iCs/>
          <w:lang w:val="en-US"/>
        </w:rPr>
        <w:t>Aequipecten opercularis</w:t>
      </w:r>
      <w:r w:rsidRPr="000E3685">
        <w:rPr>
          <w:rFonts w:ascii="Times New Roman" w:hAnsi="Times New Roman" w:cs="Times New Roman"/>
          <w:lang w:val="en-US"/>
        </w:rPr>
        <w:t>. J Exp Biol. 216:3264–3272. doi:10.1242/jeb.080416.</w:t>
      </w:r>
    </w:p>
    <w:p w14:paraId="70B6F9FE"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Landes A, Zimmer M. 2012. Acidification and warming affect both a calcifying predator and prey, but not their interaction. Mar Ecol Prog Ser. 450:1–10. doi:10.3354/meps09666.</w:t>
      </w:r>
    </w:p>
    <w:p w14:paraId="36A18B8C"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Lassoued J, Babarro JMF, Padín XA, Comeau LA, Bejaoui N, Pérez FF. 2019. Behavioural and eco-physiological responses of the mussel </w:t>
      </w:r>
      <w:r w:rsidRPr="000E3685">
        <w:rPr>
          <w:rFonts w:ascii="Times New Roman" w:hAnsi="Times New Roman" w:cs="Times New Roman"/>
          <w:i/>
          <w:iCs/>
          <w:lang w:val="en-US"/>
        </w:rPr>
        <w:t>Mytilus galloprovincialis</w:t>
      </w:r>
      <w:r w:rsidRPr="000E3685">
        <w:rPr>
          <w:rFonts w:ascii="Times New Roman" w:hAnsi="Times New Roman" w:cs="Times New Roman"/>
          <w:lang w:val="en-US"/>
        </w:rPr>
        <w:t xml:space="preserve"> to acidification and distinct feeding regimes. Mar Ecol Prog Ser. 626:97–108. doi:10.3354/meps13075.</w:t>
      </w:r>
    </w:p>
    <w:p w14:paraId="6E734084"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Lima DL, Dill LM. 1990. Behavioral decisions made under the risk of predation: A review and prospectus. Can J Zool. 68:619–640. doi:10.1139/z90-092.</w:t>
      </w:r>
    </w:p>
    <w:p w14:paraId="567EECCE"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Lord JP, Harper EP, Barry JP. 2019. Ocean acidification may alter predator-prey relationships and weaken nonlethal interactions between gastropods and crabs. Mar Ecol Prog Ser. 616:83–94. doi:10.3354/meps12921.</w:t>
      </w:r>
    </w:p>
    <w:p w14:paraId="5E4F878E"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Lord JP, Whitlatch RB. 2012. Inducible defenses in the eastern oyster </w:t>
      </w:r>
      <w:r w:rsidRPr="000E3685">
        <w:rPr>
          <w:rFonts w:ascii="Times New Roman" w:hAnsi="Times New Roman" w:cs="Times New Roman"/>
          <w:i/>
          <w:iCs/>
          <w:lang w:val="en-US"/>
        </w:rPr>
        <w:t>Crassostrea virginica</w:t>
      </w:r>
      <w:r w:rsidRPr="000E3685">
        <w:rPr>
          <w:rFonts w:ascii="Times New Roman" w:hAnsi="Times New Roman" w:cs="Times New Roman"/>
          <w:lang w:val="en-US"/>
        </w:rPr>
        <w:t xml:space="preserve"> Gmelin in response to the presence of the predatory oyster drill </w:t>
      </w:r>
      <w:r w:rsidRPr="000E3685">
        <w:rPr>
          <w:rFonts w:ascii="Times New Roman" w:hAnsi="Times New Roman" w:cs="Times New Roman"/>
          <w:i/>
          <w:iCs/>
          <w:lang w:val="en-US"/>
        </w:rPr>
        <w:t>Urosalpinx cinerea</w:t>
      </w:r>
      <w:r w:rsidRPr="000E3685">
        <w:rPr>
          <w:rFonts w:ascii="Times New Roman" w:hAnsi="Times New Roman" w:cs="Times New Roman"/>
          <w:lang w:val="en-US"/>
        </w:rPr>
        <w:t xml:space="preserve"> Say in Long Island Sound. Mar Biol. 159:1177–1182. doi:10.1007/s00227-012-1896-7.</w:t>
      </w:r>
    </w:p>
    <w:p w14:paraId="2C1041EE"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lastRenderedPageBreak/>
        <w:t>Mackenzie CL, Ormondroyd GA, Curling SF, Ball RJ, Whiteley NM, Malham SK. 2014. Ocean warming, more than acidification, reduces shell strength in a commercial shellfish species during food limitation. PLoS ONE. 9:e86764. doi:10.1371/journal.pone.0086764.</w:t>
      </w:r>
    </w:p>
    <w:p w14:paraId="06BE1E28"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Manríquez PH, Jara ME, Mardones ML, Navarro JM, Torres R, Lardies MA, Vargas CA, Duarte C, Widdicombe S, Salisbury J, et al. 2013. Ocean acidification disrupts prey responses to predator cues but not net prey shell growth in </w:t>
      </w:r>
      <w:r w:rsidRPr="000E3685">
        <w:rPr>
          <w:rFonts w:ascii="Times New Roman" w:hAnsi="Times New Roman" w:cs="Times New Roman"/>
          <w:i/>
          <w:iCs/>
          <w:lang w:val="en-US"/>
        </w:rPr>
        <w:t>Concholepas concholepas</w:t>
      </w:r>
      <w:r w:rsidRPr="000E3685">
        <w:rPr>
          <w:rFonts w:ascii="Times New Roman" w:hAnsi="Times New Roman" w:cs="Times New Roman"/>
          <w:lang w:val="en-US"/>
        </w:rPr>
        <w:t xml:space="preserve"> (loco). PLoS ONE. 8:e68643. doi:10.1371/journal.pone.0068643.</w:t>
      </w:r>
    </w:p>
    <w:p w14:paraId="46979E13"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Mehrbach C, Culberson CH, Hawley JE, Pytkowicx RM. 1973. Measurement of the apparent dissociation constants of carbonic acid in seawater at atmospheric pressure. Limnol Oceanogr. 18:897–907. doi:10.4319/lo.1973.18.6.0897.</w:t>
      </w:r>
    </w:p>
    <w:p w14:paraId="41982BEC"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Nagelkerken I, Munday PL. 2016. Animal behaviour shapes the ecological effects of ocean acidification and warming: Moving from individual to community-level responses. Glob Change Biol. 22:974–989. doi:10.1111/gcb.13167.</w:t>
      </w:r>
    </w:p>
    <w:p w14:paraId="05D9E197"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Nakaoka M. 2000. Nonlethal effects of predators on prey populations: Predator-mediated change in bivalve growth. Ecology. 81:1031–1045. doi:10.1890/0012-9658(2000)081[1031:NEOPOP]2.0.CO;2.</w:t>
      </w:r>
    </w:p>
    <w:p w14:paraId="12B02411"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Nicastro KR, Zardi GI, McQuaid CD. 2007. Behavioural response of invasive </w:t>
      </w:r>
      <w:r w:rsidRPr="000E3685">
        <w:rPr>
          <w:rFonts w:ascii="Times New Roman" w:hAnsi="Times New Roman" w:cs="Times New Roman"/>
          <w:i/>
          <w:iCs/>
          <w:lang w:val="en-US"/>
        </w:rPr>
        <w:t>Mytilus galloprovincialis</w:t>
      </w:r>
      <w:r w:rsidRPr="000E3685">
        <w:rPr>
          <w:rFonts w:ascii="Times New Roman" w:hAnsi="Times New Roman" w:cs="Times New Roman"/>
          <w:lang w:val="en-US"/>
        </w:rPr>
        <w:t xml:space="preserve"> and indigenous </w:t>
      </w:r>
      <w:r w:rsidRPr="000E3685">
        <w:rPr>
          <w:rFonts w:ascii="Times New Roman" w:hAnsi="Times New Roman" w:cs="Times New Roman"/>
          <w:i/>
          <w:iCs/>
          <w:lang w:val="en-US"/>
        </w:rPr>
        <w:t>Perna perna</w:t>
      </w:r>
      <w:r w:rsidRPr="000E3685">
        <w:rPr>
          <w:rFonts w:ascii="Times New Roman" w:hAnsi="Times New Roman" w:cs="Times New Roman"/>
          <w:lang w:val="en-US"/>
        </w:rPr>
        <w:t xml:space="preserve"> mussels exposed to riisk of predation. Mar Ecol Prog Ser. 336:169–175.</w:t>
      </w:r>
    </w:p>
    <w:p w14:paraId="0A645B39"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Ortmann C, Grieshaber MK. 2003. Energy metabolism and valve closure behaviour in the Asian clam Corbicula fluminea. Journal of Experimental Biology. 206:4167–4178. doi:10.1242/jeb.00656.</w:t>
      </w:r>
    </w:p>
    <w:p w14:paraId="470C5247"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Paine RT. 1966. Food web complexity and species diversity. Am Nat. 100:65–75. doi:10.1086/282400.</w:t>
      </w:r>
    </w:p>
    <w:p w14:paraId="3EBD4CF4"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Pierrot D, Lewis E, Wallace DWR. 2009. CO2SYS: MS Excel Program Developed for CO2 System Calculations. ORNL/CDIAC-105a. Oak Ridge, Tennessee: Carbon Dioxide Information Analysis Center, Oak Ridge National Laboratory, U.S. Department of Energy. (doi: 10.3334/CDIAC/otg.CO2SYS_XLS_CDIAC105a).</w:t>
      </w:r>
    </w:p>
    <w:p w14:paraId="7F3DFA56"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R Core Team. 2020. R: A language and environment for statistical computing. Vienna, Austria: R Foundation for Statistical Computing. https://www.R-project.org/.</w:t>
      </w:r>
    </w:p>
    <w:p w14:paraId="07B9C34F"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Réale D, Reader SM, Sol D, McDougall PT, Dingemanse NJ. 2007. Integrating animal temperament within ecology and evolution. Biol Rev. 82:291–318. doi:10.1111/j.1469-185X.2007.00010.x.</w:t>
      </w:r>
    </w:p>
    <w:p w14:paraId="7C867028"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Reimer O, Tedengren M. 1996. Phenotypical Improvement of Morphological Defences in the Mussel Mytilus edulis Induced by Exposure to the Predator Asterias rubens. Oikos. 75(3):383. doi:10.2307/3545878.</w:t>
      </w:r>
    </w:p>
    <w:p w14:paraId="4C89B327"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lastRenderedPageBreak/>
        <w:t>Robson A, Wilson R, Garcia de Leaniz C. 2007. Mussels flexing their muscles: A new method for quantifying bivalve behaviour. Mar Biol. 151:1195–1204. doi:10.1007/s00227-006-0566-z.</w:t>
      </w:r>
    </w:p>
    <w:p w14:paraId="59AACC7D"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Robson AA, Garcia De Leaniz C, Wilson RP, Halsey LG. 2010. Behavioural adaptations of mussels to varying levels of food availability and predation risk. J Mollusc Stud. 76:348–353. doi:10.1093/mollus/eyq025.</w:t>
      </w:r>
    </w:p>
    <w:p w14:paraId="0873B1C7"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Roche DG, Careau V, Binning SA. 2016. Demystifying animal ‘personality’ (or not): why individual variation matters to experimental biologists. J Exp Biol. 219:3832–3843. doi:10.1242/jeb.146712.</w:t>
      </w:r>
    </w:p>
    <w:p w14:paraId="5977D504"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Romero GQ, Gonçalves-Souza T, Kratina P, Marino NAC, Petry WK, Sobral-Souza T, Roslin T. 2018. Global predation pressure redistribution under future climate change. Nature Clim Change. 8:1087–1091. doi:10.1038/s41558-018-0347-y.</w:t>
      </w:r>
    </w:p>
    <w:p w14:paraId="6533DD5B"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Rudin FS, Briffa M. 2012. Is boldness a resource-holding potential trait? Fighting prowess and changes in startle response in the sea anemone, </w:t>
      </w:r>
      <w:r w:rsidRPr="000E3685">
        <w:rPr>
          <w:rFonts w:ascii="Times New Roman" w:hAnsi="Times New Roman" w:cs="Times New Roman"/>
          <w:i/>
          <w:iCs/>
          <w:lang w:val="en-US"/>
        </w:rPr>
        <w:t>Actinia equina</w:t>
      </w:r>
      <w:r w:rsidRPr="000E3685">
        <w:rPr>
          <w:rFonts w:ascii="Times New Roman" w:hAnsi="Times New Roman" w:cs="Times New Roman"/>
          <w:lang w:val="en-US"/>
        </w:rPr>
        <w:t>. Proc R Soc B. 279:1904–1910. doi:10.1098/rspb.2011.2418.</w:t>
      </w:r>
    </w:p>
    <w:p w14:paraId="11BFE346"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Sanford E, Gaylord B, Hettinger A, Lenz EA, Meyer K, Hill TM. 2014. Ocean acidification increases the vulnerability of native oysters to predation by invasive snails. Proc R Soc B. 281:20132681. doi:10.1098/rspb.2013.2681.</w:t>
      </w:r>
    </w:p>
    <w:p w14:paraId="097EA789"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van der Schatte Olivier A, Jones L, Vay LL, Christie M, Wilson J, Malham SK. 2020. A global review of the ecosystem services provided by bivalve aquaculture. Rev Aquacult. 12:3–25. doi:10.1111/raq.12301.</w:t>
      </w:r>
    </w:p>
    <w:p w14:paraId="5AEDE199"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Scherer AE, Bird CE, McCutcheon MR, Hu X, Smee DL. 2018. Two-tiered defense strategy may compensate for predator avoidance costs of an ecosystem engineer. Mar Biol. 165:131. doi:10.1007/s00227-018-3391-2.</w:t>
      </w:r>
    </w:p>
    <w:p w14:paraId="72F49893"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Sih A, Bell A, Johnson JC. 2004. Behavioral syndromes: An ecological and evolutionary overview. Trends Ecol Evol. 19:372–378. doi:10.1016/j.tree.2004.04.009.</w:t>
      </w:r>
    </w:p>
    <w:p w14:paraId="2C8E321E"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Sinn DL, Gosling SD, Moltschaniwskyj NA. 2008. Development of shy/bold behaviour in squid: Context-specific phenotypes associated with developmental plasticity. Anim Behav. 75:433–442. doi:10.1016/j.anbehav.2007.05.008.</w:t>
      </w:r>
    </w:p>
    <w:p w14:paraId="66258655"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Smee DL, Weissburg MJ. 2006. Clamming up: Environmental forces diminish the perceptive ability of bivalve prey. Ecology. 87:1587–1598. doi:10.1890/0012-9658(2006)87[1587:CUEFDT]2.0.CO;2.</w:t>
      </w:r>
    </w:p>
    <w:p w14:paraId="489F5820"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Smith LD, Jennings JA. 2000. Induced defensive responses by the bivalve </w:t>
      </w:r>
      <w:r w:rsidRPr="000E3685">
        <w:rPr>
          <w:rFonts w:ascii="Times New Roman" w:hAnsi="Times New Roman" w:cs="Times New Roman"/>
          <w:i/>
          <w:iCs/>
          <w:lang w:val="en-US"/>
        </w:rPr>
        <w:t>Mytilus edulis</w:t>
      </w:r>
      <w:r w:rsidRPr="000E3685">
        <w:rPr>
          <w:rFonts w:ascii="Times New Roman" w:hAnsi="Times New Roman" w:cs="Times New Roman"/>
          <w:lang w:val="en-US"/>
        </w:rPr>
        <w:t xml:space="preserve"> to predators with different attack modes. Mar Biol. 136:461–469. doi:10.1007/s002270050705.</w:t>
      </w:r>
    </w:p>
    <w:p w14:paraId="24049706"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Sommer U, Meusel B, Stielau C. 1999. An experimental analysis of the importance of body-size in the seastar-mussel predator-prey relationship. Acta Oecol. 20:81–86. doi:10.1016/S1146-609X(99)80019-8.</w:t>
      </w:r>
    </w:p>
    <w:p w14:paraId="5F227B06"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lastRenderedPageBreak/>
        <w:t>Sundin J, Amcoff M, Mateos-González F, Raby GD, Jutfelt F, Clark TD. 2017. Long-term exposure to elevated carbon dioxide does not alter activity levels of a coral reef fish in response to predator chemical cues. Behav Ecol Sociobiol. 71:108. doi:10.1007/s00265-017-2337-x.</w:t>
      </w:r>
    </w:p>
    <w:p w14:paraId="48D677B6"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Therneau TM. 2020. coxme: Mixed effects Cox models. [accessed 2020 Jun 5]. https://cran.csiro.au/web/packages/coxme/coxme.pdf.</w:t>
      </w:r>
    </w:p>
    <w:p w14:paraId="66BB557C"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Therneau TM, Grambsch PM. 2000. Modeling survival data: Extending the Cox model. New York: Springer-Verlag.</w:t>
      </w:r>
    </w:p>
    <w:p w14:paraId="3BCB641E"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Trussell GC, Smith LD. 2000. Induced defenses in response to an invading crab predator: An explanation of historical and geographic phenotypic change. Proc Natl Acad Sci USA. 97:2123–2127. doi:10.1073/pnas.040423397.</w:t>
      </w:r>
    </w:p>
    <w:p w14:paraId="04CCA639"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Turra A, Ragagnin MN, McCarthy ID, Fernandez WS. 2019. The effect of ocean acidification on the intertidal hermit crab </w:t>
      </w:r>
      <w:r w:rsidRPr="000E3685">
        <w:rPr>
          <w:rFonts w:ascii="Times New Roman" w:hAnsi="Times New Roman" w:cs="Times New Roman"/>
          <w:i/>
          <w:iCs/>
          <w:lang w:val="en-US"/>
        </w:rPr>
        <w:t>Pagurus criniticornis</w:t>
      </w:r>
      <w:r w:rsidRPr="000E3685">
        <w:rPr>
          <w:rFonts w:ascii="Times New Roman" w:hAnsi="Times New Roman" w:cs="Times New Roman"/>
          <w:lang w:val="en-US"/>
        </w:rPr>
        <w:t xml:space="preserve"> is not modulated by cheliped amputation and sex. Mar Environ Res. 153:104794. doi:10.1016/j.marenvres.2019.104794.</w:t>
      </w:r>
    </w:p>
    <w:p w14:paraId="3A118B96"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Watson S-A, Lefevre S, McCormick MI, Domenici P, Nilsson GE, Munday PL. 2014. Marine mollusc predator-escape behaviour altered by near-future carbon dioxide levels. Proc R Soc B. 281:20132377. doi:10.1098/rspb.2013.2377.</w:t>
      </w:r>
    </w:p>
    <w:p w14:paraId="4E24B9C8"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Westerbom M, Kilpi M, Mustonen O. 2002. Blue mussels, </w:t>
      </w:r>
      <w:r w:rsidRPr="000E3685">
        <w:rPr>
          <w:rFonts w:ascii="Times New Roman" w:hAnsi="Times New Roman" w:cs="Times New Roman"/>
          <w:i/>
          <w:iCs/>
          <w:lang w:val="en-US"/>
        </w:rPr>
        <w:t>Mytilus edulis</w:t>
      </w:r>
      <w:r w:rsidRPr="000E3685">
        <w:rPr>
          <w:rFonts w:ascii="Times New Roman" w:hAnsi="Times New Roman" w:cs="Times New Roman"/>
          <w:lang w:val="en-US"/>
        </w:rPr>
        <w:t xml:space="preserve"> , at the edge of the range: population structure, growth and biomass along a salinity gradient in the north-eastern Baltic Sea. Mar Biol. 140:991–999. doi:10.1007/s00227-001-0765-6.</w:t>
      </w:r>
    </w:p>
    <w:p w14:paraId="71F801A6"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Wilson CD, Arnott G, Elwood RW. 2012. Freshwater pearl mussels show plasticity of responses to different predation risks but also show consistent individual differences in responsiveness. Behav Process. 89:299–303. doi:10.1016/j.beproc.2011.12.006.</w:t>
      </w:r>
    </w:p>
    <w:p w14:paraId="52642EE5" w14:textId="6314EEAE" w:rsidR="00467778"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Wright JM, Parker LM, O’Connor WA, Scanes E, Ross PM. 2018. Ocean acidification affects both the predator and prey to alter interactions between the oyster </w:t>
      </w:r>
      <w:r w:rsidRPr="000E3685">
        <w:rPr>
          <w:rFonts w:ascii="Times New Roman" w:hAnsi="Times New Roman" w:cs="Times New Roman"/>
          <w:i/>
          <w:iCs/>
          <w:lang w:val="en-US"/>
        </w:rPr>
        <w:t>Crassostrea gigas</w:t>
      </w:r>
      <w:r w:rsidRPr="000E3685">
        <w:rPr>
          <w:rFonts w:ascii="Times New Roman" w:hAnsi="Times New Roman" w:cs="Times New Roman"/>
          <w:lang w:val="en-US"/>
        </w:rPr>
        <w:t xml:space="preserve"> (Thunberg, 1793) and the whelk </w:t>
      </w:r>
      <w:r w:rsidRPr="000E3685">
        <w:rPr>
          <w:rFonts w:ascii="Times New Roman" w:hAnsi="Times New Roman" w:cs="Times New Roman"/>
          <w:i/>
          <w:iCs/>
          <w:lang w:val="en-US"/>
        </w:rPr>
        <w:t>Tenguella marginalba</w:t>
      </w:r>
      <w:r w:rsidRPr="000E3685">
        <w:rPr>
          <w:rFonts w:ascii="Times New Roman" w:hAnsi="Times New Roman" w:cs="Times New Roman"/>
          <w:lang w:val="en-US"/>
        </w:rPr>
        <w:t xml:space="preserve"> (Blainville, 1832). Mar Biol. 165:46. doi:10.1007/s00227-018-3302-6.</w:t>
      </w:r>
      <w:r w:rsidR="005E7B8F">
        <w:rPr>
          <w:rFonts w:ascii="Times New Roman" w:hAnsi="Times New Roman" w:cs="Times New Roman"/>
          <w:lang w:val="en-US"/>
        </w:rPr>
        <w:t xml:space="preserve">  </w:t>
      </w:r>
    </w:p>
    <w:p w14:paraId="1D39FAF5" w14:textId="77777777" w:rsidR="005E7B8F" w:rsidRPr="005E7B8F" w:rsidRDefault="00467778" w:rsidP="005E7B8F">
      <w:pPr>
        <w:suppressLineNumbers/>
        <w:rPr>
          <w:rFonts w:ascii="Times New Roman" w:eastAsia="Times New Roman" w:hAnsi="Times New Roman" w:cs="Times New Roman"/>
          <w:sz w:val="32"/>
          <w:szCs w:val="32"/>
        </w:rPr>
      </w:pPr>
      <w:r>
        <w:rPr>
          <w:rFonts w:ascii="Times New Roman" w:hAnsi="Times New Roman" w:cs="Times New Roman"/>
          <w:lang w:val="en-US"/>
        </w:rPr>
        <w:br w:type="page"/>
      </w:r>
      <w:r w:rsidR="005D39B5" w:rsidRPr="000E3685">
        <w:rPr>
          <w:rFonts w:ascii="Times New Roman" w:hAnsi="Times New Roman" w:cs="Times New Roman"/>
          <w:lang w:val="en-US"/>
        </w:rPr>
        <w:lastRenderedPageBreak/>
        <w:fldChar w:fldCharType="end"/>
      </w:r>
      <w:r w:rsidR="005E7B8F" w:rsidRPr="005E7B8F">
        <w:rPr>
          <w:rFonts w:ascii="Times New Roman" w:eastAsia="Times New Roman" w:hAnsi="Times New Roman" w:cs="Times New Roman"/>
          <w:sz w:val="32"/>
          <w:szCs w:val="32"/>
        </w:rPr>
        <w:t>Supplementary figures and tables</w:t>
      </w:r>
    </w:p>
    <w:p w14:paraId="545D5641" w14:textId="77777777" w:rsidR="005E7B8F" w:rsidRPr="005E7B8F" w:rsidRDefault="005E7B8F" w:rsidP="005E7B8F">
      <w:pPr>
        <w:suppressLineNumbers/>
        <w:rPr>
          <w:rFonts w:ascii="Times New Roman" w:eastAsia="Times New Roman" w:hAnsi="Times New Roman" w:cs="Times New Roman"/>
          <w:sz w:val="28"/>
          <w:szCs w:val="28"/>
        </w:rPr>
      </w:pPr>
    </w:p>
    <w:p w14:paraId="1BC2DFDF" w14:textId="77777777" w:rsidR="005E7B8F" w:rsidRPr="005E7B8F" w:rsidRDefault="005E7B8F" w:rsidP="005E7B8F">
      <w:pPr>
        <w:suppressLineNumbers/>
        <w:rPr>
          <w:rFonts w:ascii="Times New Roman" w:eastAsia="Times New Roman" w:hAnsi="Times New Roman" w:cs="Times New Roman"/>
          <w:b/>
          <w:bCs/>
          <w:sz w:val="32"/>
          <w:szCs w:val="32"/>
        </w:rPr>
      </w:pPr>
      <w:r w:rsidRPr="005E7B8F">
        <w:rPr>
          <w:rFonts w:ascii="Times New Roman" w:eastAsia="Times New Roman" w:hAnsi="Times New Roman" w:cs="Times New Roman"/>
          <w:b/>
          <w:bCs/>
          <w:sz w:val="32"/>
          <w:szCs w:val="32"/>
        </w:rPr>
        <w:t>Effects of temperature and pH on startle response behaviour in a wide-ranging marine mollusc</w:t>
      </w:r>
    </w:p>
    <w:p w14:paraId="1E1322D7" w14:textId="77777777" w:rsidR="005E7B8F" w:rsidRPr="005E7B8F" w:rsidRDefault="005E7B8F" w:rsidP="005E7B8F">
      <w:pPr>
        <w:suppressLineNumbers/>
        <w:rPr>
          <w:rFonts w:ascii="Times New Roman" w:eastAsia="Times New Roman" w:hAnsi="Times New Roman" w:cs="Times New Roman"/>
          <w:b/>
          <w:bCs/>
          <w:sz w:val="32"/>
          <w:szCs w:val="32"/>
          <w:vertAlign w:val="subscript"/>
        </w:rPr>
      </w:pPr>
    </w:p>
    <w:p w14:paraId="5F2C47C1" w14:textId="77777777" w:rsidR="005E7B8F" w:rsidRPr="005E7B8F" w:rsidRDefault="005E7B8F" w:rsidP="005E7B8F">
      <w:pPr>
        <w:suppressLineNumbers/>
        <w:rPr>
          <w:rFonts w:ascii="Times New Roman" w:eastAsia="Times New Roman" w:hAnsi="Times New Roman" w:cs="Times New Roman"/>
          <w:sz w:val="28"/>
          <w:szCs w:val="28"/>
          <w:vertAlign w:val="superscript"/>
        </w:rPr>
      </w:pPr>
      <w:r w:rsidRPr="005E7B8F">
        <w:rPr>
          <w:rFonts w:ascii="Times New Roman" w:eastAsia="Times New Roman" w:hAnsi="Times New Roman" w:cs="Times New Roman"/>
          <w:sz w:val="28"/>
          <w:szCs w:val="28"/>
        </w:rPr>
        <w:t>Jeff C. Clements</w:t>
      </w:r>
      <w:r w:rsidRPr="005E7B8F">
        <w:rPr>
          <w:rFonts w:ascii="Times New Roman" w:eastAsia="Times New Roman" w:hAnsi="Times New Roman" w:cs="Times New Roman"/>
          <w:sz w:val="28"/>
          <w:szCs w:val="28"/>
          <w:vertAlign w:val="superscript"/>
        </w:rPr>
        <w:t>1</w:t>
      </w:r>
      <w:r w:rsidRPr="005E7B8F">
        <w:rPr>
          <w:rFonts w:ascii="Times New Roman" w:eastAsia="Times New Roman" w:hAnsi="Times New Roman" w:cs="Times New Roman"/>
          <w:sz w:val="28"/>
          <w:szCs w:val="28"/>
        </w:rPr>
        <w:t>, Kirti Ramesh</w:t>
      </w:r>
      <w:r w:rsidRPr="005E7B8F">
        <w:rPr>
          <w:rFonts w:ascii="Times New Roman" w:eastAsia="Times New Roman" w:hAnsi="Times New Roman" w:cs="Times New Roman"/>
          <w:sz w:val="28"/>
          <w:szCs w:val="28"/>
          <w:vertAlign w:val="superscript"/>
        </w:rPr>
        <w:t>2</w:t>
      </w:r>
      <w:r w:rsidRPr="005E7B8F">
        <w:rPr>
          <w:rFonts w:ascii="Times New Roman" w:eastAsia="Times New Roman" w:hAnsi="Times New Roman" w:cs="Times New Roman"/>
          <w:sz w:val="28"/>
          <w:szCs w:val="28"/>
        </w:rPr>
        <w:t>, Jacob Nysveen</w:t>
      </w:r>
      <w:r w:rsidRPr="005E7B8F">
        <w:rPr>
          <w:rFonts w:ascii="Times New Roman" w:eastAsia="Times New Roman" w:hAnsi="Times New Roman" w:cs="Times New Roman"/>
          <w:sz w:val="28"/>
          <w:szCs w:val="28"/>
          <w:vertAlign w:val="superscript"/>
        </w:rPr>
        <w:t>2,3</w:t>
      </w:r>
      <w:r w:rsidRPr="005E7B8F">
        <w:rPr>
          <w:rFonts w:ascii="Times New Roman" w:eastAsia="Times New Roman" w:hAnsi="Times New Roman" w:cs="Times New Roman"/>
          <w:sz w:val="28"/>
          <w:szCs w:val="28"/>
        </w:rPr>
        <w:t>, Sam Dupont</w:t>
      </w:r>
      <w:r w:rsidRPr="005E7B8F">
        <w:rPr>
          <w:rFonts w:ascii="Times New Roman" w:eastAsia="Times New Roman" w:hAnsi="Times New Roman" w:cs="Times New Roman"/>
          <w:sz w:val="28"/>
          <w:szCs w:val="28"/>
          <w:vertAlign w:val="superscript"/>
        </w:rPr>
        <w:t>2</w:t>
      </w:r>
      <w:r w:rsidRPr="005E7B8F">
        <w:rPr>
          <w:rFonts w:ascii="Times New Roman" w:eastAsia="Times New Roman" w:hAnsi="Times New Roman" w:cs="Times New Roman"/>
          <w:sz w:val="28"/>
          <w:szCs w:val="28"/>
        </w:rPr>
        <w:t>, Fredrik Jutfelt</w:t>
      </w:r>
      <w:r w:rsidRPr="005E7B8F">
        <w:rPr>
          <w:rFonts w:ascii="Times New Roman" w:eastAsia="Times New Roman" w:hAnsi="Times New Roman" w:cs="Times New Roman"/>
          <w:sz w:val="28"/>
          <w:szCs w:val="28"/>
          <w:vertAlign w:val="superscript"/>
        </w:rPr>
        <w:t>1</w:t>
      </w:r>
    </w:p>
    <w:p w14:paraId="40C9930D" w14:textId="77777777" w:rsidR="005E7B8F" w:rsidRPr="005E7B8F" w:rsidRDefault="005E7B8F" w:rsidP="005E7B8F">
      <w:pPr>
        <w:suppressLineNumbers/>
        <w:rPr>
          <w:rFonts w:ascii="Times New Roman" w:eastAsia="Times New Roman" w:hAnsi="Times New Roman" w:cs="Times New Roman"/>
          <w:sz w:val="28"/>
          <w:szCs w:val="28"/>
          <w:vertAlign w:val="superscript"/>
        </w:rPr>
      </w:pPr>
    </w:p>
    <w:p w14:paraId="101B2EB2" w14:textId="77777777" w:rsidR="005E7B8F" w:rsidRPr="005E7B8F" w:rsidRDefault="005E7B8F" w:rsidP="005E7B8F">
      <w:pPr>
        <w:suppressLineNumbers/>
        <w:rPr>
          <w:rFonts w:ascii="Times New Roman" w:eastAsia="Times New Roman" w:hAnsi="Times New Roman" w:cs="Times New Roman"/>
          <w:sz w:val="28"/>
          <w:szCs w:val="28"/>
          <w:vertAlign w:val="superscript"/>
        </w:rPr>
      </w:pPr>
    </w:p>
    <w:p w14:paraId="7DDB1563" w14:textId="77777777" w:rsidR="005E7B8F" w:rsidRPr="005E7B8F" w:rsidRDefault="005E7B8F" w:rsidP="005E7B8F">
      <w:pPr>
        <w:suppressLineNumbers/>
        <w:ind w:left="720" w:hanging="720"/>
        <w:rPr>
          <w:rFonts w:ascii="Times New Roman" w:eastAsia="Times New Roman" w:hAnsi="Times New Roman" w:cs="Times New Roman"/>
          <w:sz w:val="22"/>
          <w:szCs w:val="22"/>
        </w:rPr>
      </w:pPr>
      <w:r w:rsidRPr="005E7B8F">
        <w:rPr>
          <w:rFonts w:ascii="Times New Roman" w:eastAsia="Times New Roman" w:hAnsi="Times New Roman" w:cs="Times New Roman"/>
          <w:sz w:val="22"/>
          <w:szCs w:val="22"/>
          <w:vertAlign w:val="superscript"/>
        </w:rPr>
        <w:t>1</w:t>
      </w:r>
      <w:r w:rsidRPr="005E7B8F">
        <w:rPr>
          <w:rFonts w:ascii="Times New Roman" w:eastAsia="Times New Roman" w:hAnsi="Times New Roman" w:cs="Times New Roman"/>
          <w:sz w:val="22"/>
          <w:szCs w:val="22"/>
        </w:rPr>
        <w:tab/>
        <w:t xml:space="preserve">Department of Biology, Norwegian University of Science and Technology, </w:t>
      </w:r>
      <w:proofErr w:type="spellStart"/>
      <w:r w:rsidRPr="005E7B8F">
        <w:rPr>
          <w:rFonts w:ascii="Times New Roman" w:eastAsia="Times New Roman" w:hAnsi="Times New Roman" w:cs="Times New Roman"/>
          <w:sz w:val="22"/>
          <w:szCs w:val="22"/>
        </w:rPr>
        <w:t>Høgskoleringen</w:t>
      </w:r>
      <w:proofErr w:type="spellEnd"/>
      <w:r w:rsidRPr="005E7B8F">
        <w:rPr>
          <w:rFonts w:ascii="Times New Roman" w:eastAsia="Times New Roman" w:hAnsi="Times New Roman" w:cs="Times New Roman"/>
          <w:sz w:val="22"/>
          <w:szCs w:val="22"/>
        </w:rPr>
        <w:t xml:space="preserve"> 5, 7491 Trondheim, Norway</w:t>
      </w:r>
    </w:p>
    <w:p w14:paraId="58D0760B" w14:textId="77777777" w:rsidR="005E7B8F" w:rsidRPr="005E7B8F" w:rsidRDefault="005E7B8F" w:rsidP="005E7B8F">
      <w:pPr>
        <w:suppressLineNumbers/>
        <w:rPr>
          <w:rFonts w:ascii="Times New Roman" w:eastAsia="Times New Roman" w:hAnsi="Times New Roman" w:cs="Times New Roman"/>
          <w:sz w:val="22"/>
          <w:szCs w:val="22"/>
        </w:rPr>
      </w:pPr>
    </w:p>
    <w:p w14:paraId="504D603B" w14:textId="77777777" w:rsidR="005E7B8F" w:rsidRPr="005E7B8F" w:rsidRDefault="005E7B8F" w:rsidP="005E7B8F">
      <w:pPr>
        <w:suppressLineNumbers/>
        <w:rPr>
          <w:rFonts w:ascii="Times New Roman" w:eastAsia="Times New Roman" w:hAnsi="Times New Roman" w:cs="Times New Roman"/>
          <w:sz w:val="22"/>
          <w:szCs w:val="22"/>
        </w:rPr>
      </w:pPr>
    </w:p>
    <w:p w14:paraId="4371A847" w14:textId="77777777" w:rsidR="005E7B8F" w:rsidRPr="005E7B8F" w:rsidRDefault="005E7B8F" w:rsidP="005E7B8F">
      <w:pPr>
        <w:suppressLineNumbers/>
        <w:ind w:left="720" w:hanging="720"/>
        <w:rPr>
          <w:rFonts w:ascii="Times New Roman" w:eastAsia="Times New Roman" w:hAnsi="Times New Roman" w:cs="Times New Roman"/>
          <w:sz w:val="28"/>
          <w:szCs w:val="28"/>
          <w:vertAlign w:val="superscript"/>
        </w:rPr>
      </w:pPr>
      <w:r w:rsidRPr="005E7B8F">
        <w:rPr>
          <w:rFonts w:ascii="Times New Roman" w:eastAsia="Times New Roman" w:hAnsi="Times New Roman" w:cs="Times New Roman"/>
          <w:sz w:val="22"/>
          <w:szCs w:val="22"/>
          <w:vertAlign w:val="superscript"/>
        </w:rPr>
        <w:t>2</w:t>
      </w:r>
      <w:r w:rsidRPr="005E7B8F">
        <w:rPr>
          <w:rFonts w:ascii="Times New Roman" w:eastAsia="Times New Roman" w:hAnsi="Times New Roman" w:cs="Times New Roman"/>
          <w:sz w:val="22"/>
          <w:szCs w:val="22"/>
        </w:rPr>
        <w:tab/>
        <w:t xml:space="preserve">Department of Biological and Environmental Sciences, University of Gothenburg, </w:t>
      </w:r>
      <w:proofErr w:type="spellStart"/>
      <w:r w:rsidRPr="005E7B8F">
        <w:rPr>
          <w:rFonts w:ascii="Times New Roman" w:eastAsia="Times New Roman" w:hAnsi="Times New Roman" w:cs="Times New Roman"/>
          <w:sz w:val="22"/>
          <w:szCs w:val="22"/>
        </w:rPr>
        <w:t>Kristineberg</w:t>
      </w:r>
      <w:proofErr w:type="spellEnd"/>
      <w:r w:rsidRPr="005E7B8F">
        <w:rPr>
          <w:rFonts w:ascii="Times New Roman" w:eastAsia="Times New Roman" w:hAnsi="Times New Roman" w:cs="Times New Roman"/>
          <w:sz w:val="22"/>
          <w:szCs w:val="22"/>
        </w:rPr>
        <w:t xml:space="preserve"> Marine Research Centre, </w:t>
      </w:r>
      <w:proofErr w:type="spellStart"/>
      <w:r w:rsidRPr="005E7B8F">
        <w:rPr>
          <w:rFonts w:ascii="Times New Roman" w:eastAsia="Times New Roman" w:hAnsi="Times New Roman" w:cs="Times New Roman"/>
          <w:sz w:val="22"/>
          <w:szCs w:val="22"/>
        </w:rPr>
        <w:t>Kristineberg</w:t>
      </w:r>
      <w:proofErr w:type="spellEnd"/>
      <w:r w:rsidRPr="005E7B8F">
        <w:rPr>
          <w:rFonts w:ascii="Times New Roman" w:eastAsia="Times New Roman" w:hAnsi="Times New Roman" w:cs="Times New Roman"/>
          <w:sz w:val="22"/>
          <w:szCs w:val="22"/>
        </w:rPr>
        <w:t xml:space="preserve"> 566, 45178 </w:t>
      </w:r>
      <w:proofErr w:type="spellStart"/>
      <w:r w:rsidRPr="005E7B8F">
        <w:rPr>
          <w:rFonts w:ascii="Times New Roman" w:eastAsia="Times New Roman" w:hAnsi="Times New Roman" w:cs="Times New Roman"/>
          <w:sz w:val="22"/>
          <w:szCs w:val="22"/>
        </w:rPr>
        <w:t>Fiskebäckskil</w:t>
      </w:r>
      <w:proofErr w:type="spellEnd"/>
      <w:r w:rsidRPr="005E7B8F">
        <w:rPr>
          <w:rFonts w:ascii="Times New Roman" w:eastAsia="Times New Roman" w:hAnsi="Times New Roman" w:cs="Times New Roman"/>
          <w:sz w:val="22"/>
          <w:szCs w:val="22"/>
        </w:rPr>
        <w:t>, Sweden</w:t>
      </w:r>
    </w:p>
    <w:p w14:paraId="7A517465" w14:textId="77777777" w:rsidR="005E7B8F" w:rsidRPr="005E7B8F" w:rsidRDefault="005E7B8F" w:rsidP="005E7B8F">
      <w:pPr>
        <w:suppressLineNumbers/>
        <w:rPr>
          <w:rFonts w:ascii="Times New Roman" w:eastAsia="Times New Roman" w:hAnsi="Times New Roman" w:cs="Times New Roman"/>
          <w:sz w:val="28"/>
          <w:szCs w:val="28"/>
          <w:vertAlign w:val="superscript"/>
        </w:rPr>
      </w:pPr>
    </w:p>
    <w:p w14:paraId="21EB4745" w14:textId="77777777" w:rsidR="005E7B8F" w:rsidRPr="005E7B8F" w:rsidRDefault="005E7B8F" w:rsidP="005E7B8F">
      <w:pPr>
        <w:suppressLineNumbers/>
        <w:rPr>
          <w:rFonts w:ascii="Times New Roman" w:eastAsia="Times New Roman" w:hAnsi="Times New Roman" w:cs="Times New Roman"/>
          <w:sz w:val="22"/>
          <w:szCs w:val="22"/>
        </w:rPr>
      </w:pPr>
      <w:r w:rsidRPr="005E7B8F">
        <w:rPr>
          <w:rFonts w:ascii="Times New Roman" w:eastAsia="Times New Roman" w:hAnsi="Times New Roman" w:cs="Times New Roman"/>
          <w:sz w:val="22"/>
          <w:szCs w:val="22"/>
          <w:vertAlign w:val="superscript"/>
        </w:rPr>
        <w:t>3</w:t>
      </w:r>
      <w:r w:rsidRPr="005E7B8F">
        <w:rPr>
          <w:rFonts w:ascii="Times New Roman" w:eastAsia="Times New Roman" w:hAnsi="Times New Roman" w:cs="Times New Roman"/>
          <w:sz w:val="22"/>
          <w:szCs w:val="22"/>
        </w:rPr>
        <w:tab/>
      </w:r>
      <w:proofErr w:type="spellStart"/>
      <w:r w:rsidRPr="005E7B8F">
        <w:rPr>
          <w:rFonts w:ascii="Times New Roman" w:eastAsia="Times New Roman" w:hAnsi="Times New Roman" w:cs="Times New Roman"/>
          <w:sz w:val="22"/>
          <w:szCs w:val="22"/>
        </w:rPr>
        <w:t>Havets</w:t>
      </w:r>
      <w:proofErr w:type="spellEnd"/>
      <w:r w:rsidRPr="005E7B8F">
        <w:rPr>
          <w:rFonts w:ascii="Times New Roman" w:eastAsia="Times New Roman" w:hAnsi="Times New Roman" w:cs="Times New Roman"/>
          <w:sz w:val="22"/>
          <w:szCs w:val="22"/>
        </w:rPr>
        <w:t xml:space="preserve"> Hus, </w:t>
      </w:r>
      <w:proofErr w:type="spellStart"/>
      <w:r w:rsidRPr="005E7B8F">
        <w:rPr>
          <w:rFonts w:ascii="Times New Roman" w:eastAsia="Times New Roman" w:hAnsi="Times New Roman" w:cs="Times New Roman"/>
          <w:sz w:val="22"/>
          <w:szCs w:val="22"/>
        </w:rPr>
        <w:t>Strandvägen</w:t>
      </w:r>
      <w:proofErr w:type="spellEnd"/>
      <w:r w:rsidRPr="005E7B8F">
        <w:rPr>
          <w:rFonts w:ascii="Times New Roman" w:eastAsia="Times New Roman" w:hAnsi="Times New Roman" w:cs="Times New Roman"/>
          <w:sz w:val="22"/>
          <w:szCs w:val="22"/>
        </w:rPr>
        <w:t xml:space="preserve"> 9, 45330 </w:t>
      </w:r>
      <w:proofErr w:type="spellStart"/>
      <w:r w:rsidRPr="005E7B8F">
        <w:rPr>
          <w:rFonts w:ascii="Times New Roman" w:eastAsia="Times New Roman" w:hAnsi="Times New Roman" w:cs="Times New Roman"/>
          <w:sz w:val="22"/>
          <w:szCs w:val="22"/>
        </w:rPr>
        <w:t>Lysekil</w:t>
      </w:r>
      <w:proofErr w:type="spellEnd"/>
      <w:r w:rsidRPr="005E7B8F">
        <w:rPr>
          <w:rFonts w:ascii="Times New Roman" w:eastAsia="Times New Roman" w:hAnsi="Times New Roman" w:cs="Times New Roman"/>
          <w:sz w:val="22"/>
          <w:szCs w:val="22"/>
        </w:rPr>
        <w:t>, Sweden</w:t>
      </w:r>
    </w:p>
    <w:p w14:paraId="5A19F037" w14:textId="77777777" w:rsidR="005E7B8F" w:rsidRPr="005E7B8F" w:rsidRDefault="005E7B8F" w:rsidP="005E7B8F">
      <w:pPr>
        <w:suppressLineNumbers/>
        <w:rPr>
          <w:rFonts w:ascii="Times New Roman" w:eastAsia="Times New Roman" w:hAnsi="Times New Roman" w:cs="Times New Roman"/>
          <w:sz w:val="22"/>
          <w:szCs w:val="22"/>
        </w:rPr>
      </w:pPr>
      <w:r w:rsidRPr="005E7B8F">
        <w:rPr>
          <w:rFonts w:ascii="Times New Roman" w:eastAsia="Times New Roman" w:hAnsi="Times New Roman" w:cs="Times New Roman"/>
          <w:sz w:val="22"/>
          <w:szCs w:val="22"/>
        </w:rPr>
        <w:br w:type="page"/>
      </w:r>
    </w:p>
    <w:p w14:paraId="30215921" w14:textId="77777777" w:rsidR="005E7B8F" w:rsidRPr="005E7B8F" w:rsidRDefault="005E7B8F" w:rsidP="005E7B8F">
      <w:pPr>
        <w:suppressLineNumbers/>
        <w:rPr>
          <w:rFonts w:asciiTheme="majorHAnsi" w:eastAsia="Times New Roman" w:hAnsiTheme="majorHAnsi" w:cstheme="majorHAnsi"/>
        </w:rPr>
      </w:pPr>
      <w:r w:rsidRPr="005E7B8F">
        <w:rPr>
          <w:rFonts w:asciiTheme="majorHAnsi" w:eastAsia="Times New Roman" w:hAnsiTheme="majorHAnsi" w:cstheme="majorHAnsi"/>
          <w:noProof/>
        </w:rPr>
        <w:lastRenderedPageBreak/>
        <w:drawing>
          <wp:inline distT="0" distB="0" distL="0" distR="0" wp14:anchorId="63B7D2C3" wp14:editId="1E1D80CC">
            <wp:extent cx="5943600" cy="5943600"/>
            <wp:effectExtent l="0" t="0" r="0" b="0"/>
            <wp:docPr id="2" name="Picture 2" descr="A picture containing photo, different, food, variou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e S1_March 27 2020.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5943600"/>
                    </a:xfrm>
                    <a:prstGeom prst="rect">
                      <a:avLst/>
                    </a:prstGeom>
                  </pic:spPr>
                </pic:pic>
              </a:graphicData>
            </a:graphic>
          </wp:inline>
        </w:drawing>
      </w:r>
    </w:p>
    <w:p w14:paraId="0A651717" w14:textId="77777777" w:rsidR="005E7B8F" w:rsidRPr="005E7B8F" w:rsidRDefault="005E7B8F" w:rsidP="005E7B8F">
      <w:pPr>
        <w:suppressLineNumbers/>
        <w:rPr>
          <w:rFonts w:ascii="Times New Roman" w:eastAsia="Times New Roman" w:hAnsi="Times New Roman" w:cs="Times New Roman"/>
        </w:rPr>
      </w:pPr>
    </w:p>
    <w:p w14:paraId="6333877F" w14:textId="77777777" w:rsidR="005E7B8F" w:rsidRPr="005E7B8F" w:rsidRDefault="005E7B8F" w:rsidP="005E7B8F">
      <w:pPr>
        <w:suppressLineNumbers/>
        <w:rPr>
          <w:rFonts w:ascii="Times New Roman" w:eastAsia="Times New Roman" w:hAnsi="Times New Roman" w:cs="Times New Roman"/>
        </w:rPr>
      </w:pPr>
    </w:p>
    <w:p w14:paraId="4AE2118A" w14:textId="77777777" w:rsidR="005E7B8F" w:rsidRPr="005E7B8F" w:rsidRDefault="005E7B8F" w:rsidP="005E7B8F">
      <w:pPr>
        <w:suppressLineNumbers/>
        <w:rPr>
          <w:rFonts w:ascii="Times New Roman" w:eastAsia="Times New Roman" w:hAnsi="Times New Roman" w:cs="Times New Roman"/>
        </w:rPr>
      </w:pPr>
      <w:r w:rsidRPr="005E7B8F">
        <w:rPr>
          <w:rFonts w:ascii="Times New Roman" w:eastAsia="Times New Roman" w:hAnsi="Times New Roman" w:cs="Times New Roman"/>
          <w:b/>
          <w:bCs/>
        </w:rPr>
        <w:t xml:space="preserve">Figure S1. </w:t>
      </w:r>
      <w:r w:rsidRPr="005E7B8F">
        <w:rPr>
          <w:rFonts w:ascii="Times New Roman" w:eastAsia="Times New Roman" w:hAnsi="Times New Roman" w:cs="Times New Roman"/>
        </w:rPr>
        <w:t>Images of the experimental animals and system. (</w:t>
      </w:r>
      <w:r w:rsidRPr="005E7B8F">
        <w:rPr>
          <w:rFonts w:ascii="Times New Roman" w:eastAsia="Times New Roman" w:hAnsi="Times New Roman" w:cs="Times New Roman"/>
          <w:i/>
          <w:iCs/>
        </w:rPr>
        <w:t>a</w:t>
      </w:r>
      <w:r w:rsidRPr="005E7B8F">
        <w:rPr>
          <w:rFonts w:ascii="Times New Roman" w:eastAsia="Times New Roman" w:hAnsi="Times New Roman" w:cs="Times New Roman"/>
        </w:rPr>
        <w:t>) Individual mussels for the large size class. (</w:t>
      </w:r>
      <w:r w:rsidRPr="005E7B8F">
        <w:rPr>
          <w:rFonts w:ascii="Times New Roman" w:eastAsia="Times New Roman" w:hAnsi="Times New Roman" w:cs="Times New Roman"/>
          <w:i/>
          <w:iCs/>
        </w:rPr>
        <w:t>b</w:t>
      </w:r>
      <w:r w:rsidRPr="005E7B8F">
        <w:rPr>
          <w:rFonts w:ascii="Times New Roman" w:eastAsia="Times New Roman" w:hAnsi="Times New Roman" w:cs="Times New Roman"/>
        </w:rPr>
        <w:t>) Experimental set-up as viewed before the experiment was initiated. Large buckets on top are the header tanks (</w:t>
      </w:r>
      <w:r w:rsidRPr="005E7B8F">
        <w:rPr>
          <w:rFonts w:ascii="Times New Roman" w:eastAsia="Times New Roman" w:hAnsi="Times New Roman" w:cs="Times New Roman"/>
          <w:i/>
          <w:iCs/>
        </w:rPr>
        <w:t xml:space="preserve">N </w:t>
      </w:r>
      <w:r w:rsidRPr="005E7B8F">
        <w:rPr>
          <w:rFonts w:ascii="Times New Roman" w:eastAsia="Times New Roman" w:hAnsi="Times New Roman" w:cs="Times New Roman"/>
        </w:rPr>
        <w:t xml:space="preserve">= 3 per </w:t>
      </w:r>
      <w:proofErr w:type="spellStart"/>
      <w:r w:rsidRPr="005E7B8F">
        <w:rPr>
          <w:rFonts w:ascii="Times New Roman" w:eastAsia="Times New Roman" w:hAnsi="Times New Roman" w:cs="Times New Roman"/>
        </w:rPr>
        <w:t>pH</w:t>
      </w:r>
      <w:r w:rsidRPr="005E7B8F">
        <w:rPr>
          <w:rFonts w:ascii="Times New Roman" w:eastAsia="Times New Roman" w:hAnsi="Times New Roman" w:cs="Times New Roman"/>
          <w:vertAlign w:val="subscript"/>
        </w:rPr>
        <w:t>T</w:t>
      </w:r>
      <w:r w:rsidRPr="005E7B8F">
        <w:rPr>
          <w:rFonts w:ascii="Times New Roman" w:eastAsia="Times New Roman" w:hAnsi="Times New Roman" w:cs="Times New Roman"/>
        </w:rPr>
        <w:t>×temperature</w:t>
      </w:r>
      <w:proofErr w:type="spellEnd"/>
      <w:r w:rsidRPr="005E7B8F">
        <w:rPr>
          <w:rFonts w:ascii="Times New Roman" w:eastAsia="Times New Roman" w:hAnsi="Times New Roman" w:cs="Times New Roman"/>
          <w:i/>
          <w:iCs/>
        </w:rPr>
        <w:t xml:space="preserve"> </w:t>
      </w:r>
      <w:r w:rsidRPr="005E7B8F">
        <w:rPr>
          <w:rFonts w:ascii="Times New Roman" w:eastAsia="Times New Roman" w:hAnsi="Times New Roman" w:cs="Times New Roman"/>
        </w:rPr>
        <w:t>treatment); smaller containers on shelves below the headers (i.e., right panel) are the exposure tanks (</w:t>
      </w:r>
      <w:r w:rsidRPr="005E7B8F">
        <w:rPr>
          <w:rFonts w:ascii="Times New Roman" w:eastAsia="Times New Roman" w:hAnsi="Times New Roman" w:cs="Times New Roman"/>
          <w:i/>
          <w:iCs/>
        </w:rPr>
        <w:t>n</w:t>
      </w:r>
      <w:r w:rsidRPr="005E7B8F">
        <w:rPr>
          <w:rFonts w:ascii="Times New Roman" w:eastAsia="Times New Roman" w:hAnsi="Times New Roman" w:cs="Times New Roman"/>
        </w:rPr>
        <w:t xml:space="preserve"> = 2 per header, one for the large and one for the small size class; </w:t>
      </w:r>
      <w:r w:rsidRPr="005E7B8F">
        <w:rPr>
          <w:rFonts w:ascii="Times New Roman" w:eastAsia="Times New Roman" w:hAnsi="Times New Roman" w:cs="Times New Roman"/>
          <w:i/>
          <w:iCs/>
        </w:rPr>
        <w:t xml:space="preserve">n </w:t>
      </w:r>
      <w:r w:rsidRPr="005E7B8F">
        <w:rPr>
          <w:rFonts w:ascii="Times New Roman" w:eastAsia="Times New Roman" w:hAnsi="Times New Roman" w:cs="Times New Roman"/>
        </w:rPr>
        <w:t xml:space="preserve">= 3 per size class× </w:t>
      </w:r>
      <w:proofErr w:type="spellStart"/>
      <w:r w:rsidRPr="005E7B8F">
        <w:rPr>
          <w:rFonts w:ascii="Times New Roman" w:eastAsia="Times New Roman" w:hAnsi="Times New Roman" w:cs="Times New Roman"/>
        </w:rPr>
        <w:t>pH</w:t>
      </w:r>
      <w:r w:rsidRPr="005E7B8F">
        <w:rPr>
          <w:rFonts w:ascii="Times New Roman" w:eastAsia="Times New Roman" w:hAnsi="Times New Roman" w:cs="Times New Roman"/>
          <w:vertAlign w:val="subscript"/>
        </w:rPr>
        <w:t>T</w:t>
      </w:r>
      <w:r w:rsidRPr="005E7B8F">
        <w:rPr>
          <w:rFonts w:ascii="Times New Roman" w:eastAsia="Times New Roman" w:hAnsi="Times New Roman" w:cs="Times New Roman"/>
        </w:rPr>
        <w:t>×temperature</w:t>
      </w:r>
      <w:proofErr w:type="spellEnd"/>
      <w:r w:rsidRPr="005E7B8F">
        <w:rPr>
          <w:rFonts w:ascii="Times New Roman" w:eastAsia="Times New Roman" w:hAnsi="Times New Roman" w:cs="Times New Roman"/>
          <w:i/>
          <w:iCs/>
        </w:rPr>
        <w:t xml:space="preserve"> </w:t>
      </w:r>
      <w:r w:rsidRPr="005E7B8F">
        <w:rPr>
          <w:rFonts w:ascii="Times New Roman" w:eastAsia="Times New Roman" w:hAnsi="Times New Roman" w:cs="Times New Roman"/>
        </w:rPr>
        <w:t>treatment). Extra exposure tanks in photo (there are a total of 60 replicate tanks in the photo) were used for a separate experiment (</w:t>
      </w:r>
      <w:r w:rsidRPr="005E7B8F">
        <w:rPr>
          <w:rFonts w:ascii="Times New Roman" w:eastAsia="Times New Roman" w:hAnsi="Times New Roman" w:cs="Times New Roman"/>
          <w:i/>
          <w:iCs/>
        </w:rPr>
        <w:t>c</w:t>
      </w:r>
      <w:r w:rsidRPr="005E7B8F">
        <w:rPr>
          <w:rFonts w:ascii="Times New Roman" w:eastAsia="Times New Roman" w:hAnsi="Times New Roman" w:cs="Times New Roman"/>
        </w:rPr>
        <w:t>) Mussels in their exposure tanks (</w:t>
      </w:r>
      <w:r w:rsidRPr="005E7B8F">
        <w:rPr>
          <w:rFonts w:ascii="Times New Roman" w:eastAsia="Times New Roman" w:hAnsi="Times New Roman" w:cs="Times New Roman"/>
          <w:i/>
          <w:iCs/>
        </w:rPr>
        <w:t>n</w:t>
      </w:r>
      <w:r w:rsidRPr="005E7B8F">
        <w:rPr>
          <w:rFonts w:ascii="Times New Roman" w:eastAsia="Times New Roman" w:hAnsi="Times New Roman" w:cs="Times New Roman"/>
        </w:rPr>
        <w:t xml:space="preserve"> = 5 mussels per exposure tank; </w:t>
      </w:r>
      <w:r w:rsidRPr="005E7B8F">
        <w:rPr>
          <w:rFonts w:ascii="Times New Roman" w:eastAsia="Times New Roman" w:hAnsi="Times New Roman" w:cs="Times New Roman"/>
          <w:i/>
          <w:iCs/>
        </w:rPr>
        <w:t>n</w:t>
      </w:r>
      <w:r w:rsidRPr="005E7B8F">
        <w:rPr>
          <w:rFonts w:ascii="Times New Roman" w:eastAsia="Times New Roman" w:hAnsi="Times New Roman" w:cs="Times New Roman"/>
        </w:rPr>
        <w:t xml:space="preserve"> = 15 individuals per size </w:t>
      </w:r>
      <w:proofErr w:type="spellStart"/>
      <w:r w:rsidRPr="005E7B8F">
        <w:rPr>
          <w:rFonts w:ascii="Times New Roman" w:eastAsia="Times New Roman" w:hAnsi="Times New Roman" w:cs="Times New Roman"/>
        </w:rPr>
        <w:t>class×pH</w:t>
      </w:r>
      <w:r w:rsidRPr="005E7B8F">
        <w:rPr>
          <w:rFonts w:ascii="Times New Roman" w:eastAsia="Times New Roman" w:hAnsi="Times New Roman" w:cs="Times New Roman"/>
          <w:vertAlign w:val="subscript"/>
        </w:rPr>
        <w:t>T</w:t>
      </w:r>
      <w:r w:rsidRPr="005E7B8F">
        <w:rPr>
          <w:rFonts w:ascii="Times New Roman" w:eastAsia="Times New Roman" w:hAnsi="Times New Roman" w:cs="Times New Roman"/>
        </w:rPr>
        <w:t>×temperature</w:t>
      </w:r>
      <w:proofErr w:type="spellEnd"/>
      <w:r w:rsidRPr="005E7B8F">
        <w:rPr>
          <w:rFonts w:ascii="Times New Roman" w:eastAsia="Times New Roman" w:hAnsi="Times New Roman" w:cs="Times New Roman"/>
          <w:i/>
          <w:iCs/>
        </w:rPr>
        <w:t xml:space="preserve"> </w:t>
      </w:r>
      <w:r w:rsidRPr="005E7B8F">
        <w:rPr>
          <w:rFonts w:ascii="Times New Roman" w:eastAsia="Times New Roman" w:hAnsi="Times New Roman" w:cs="Times New Roman"/>
        </w:rPr>
        <w:t>treatment).</w:t>
      </w:r>
    </w:p>
    <w:p w14:paraId="5DC7C561" w14:textId="77777777" w:rsidR="005E7B8F" w:rsidRPr="005E7B8F" w:rsidRDefault="005E7B8F" w:rsidP="005E7B8F">
      <w:pPr>
        <w:suppressLineNumbers/>
        <w:rPr>
          <w:rFonts w:asciiTheme="majorHAnsi" w:eastAsia="Times New Roman" w:hAnsiTheme="majorHAnsi" w:cstheme="majorHAnsi"/>
        </w:rPr>
      </w:pPr>
    </w:p>
    <w:p w14:paraId="53EC09CE" w14:textId="77777777" w:rsidR="005E7B8F" w:rsidRPr="005E7B8F" w:rsidRDefault="005E7B8F" w:rsidP="005E7B8F">
      <w:pPr>
        <w:suppressLineNumbers/>
        <w:rPr>
          <w:rFonts w:asciiTheme="majorHAnsi" w:eastAsia="Times New Roman" w:hAnsiTheme="majorHAnsi" w:cstheme="majorHAnsi"/>
        </w:rPr>
      </w:pPr>
    </w:p>
    <w:p w14:paraId="21410F6F" w14:textId="77777777" w:rsidR="005E7B8F" w:rsidRPr="005E7B8F" w:rsidRDefault="005E7B8F" w:rsidP="005E7B8F">
      <w:pPr>
        <w:suppressLineNumbers/>
        <w:rPr>
          <w:rFonts w:asciiTheme="majorHAnsi" w:eastAsia="Times New Roman" w:hAnsiTheme="majorHAnsi" w:cstheme="majorHAnsi"/>
          <w:b/>
          <w:bCs/>
        </w:rPr>
      </w:pPr>
      <w:r w:rsidRPr="005E7B8F">
        <w:rPr>
          <w:rFonts w:asciiTheme="majorHAnsi" w:eastAsia="Times New Roman" w:hAnsiTheme="majorHAnsi" w:cstheme="majorHAnsi"/>
          <w:b/>
          <w:bCs/>
          <w:noProof/>
        </w:rPr>
        <w:lastRenderedPageBreak/>
        <w:drawing>
          <wp:inline distT="0" distB="0" distL="0" distR="0" wp14:anchorId="6CE2D28C" wp14:editId="54B426CA">
            <wp:extent cx="5943600" cy="6354445"/>
            <wp:effectExtent l="0" t="0" r="0" b="0"/>
            <wp:docPr id="3" name="Picture 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e S2_March 27 2020.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6354445"/>
                    </a:xfrm>
                    <a:prstGeom prst="rect">
                      <a:avLst/>
                    </a:prstGeom>
                  </pic:spPr>
                </pic:pic>
              </a:graphicData>
            </a:graphic>
          </wp:inline>
        </w:drawing>
      </w:r>
    </w:p>
    <w:p w14:paraId="57F9E8DE" w14:textId="77777777" w:rsidR="005E7B8F" w:rsidRPr="005E7B8F" w:rsidRDefault="005E7B8F" w:rsidP="005E7B8F">
      <w:pPr>
        <w:suppressLineNumbers/>
        <w:rPr>
          <w:rFonts w:ascii="Times New Roman" w:eastAsia="Times New Roman" w:hAnsi="Times New Roman" w:cs="Times New Roman"/>
        </w:rPr>
      </w:pPr>
      <w:r w:rsidRPr="005E7B8F">
        <w:rPr>
          <w:rFonts w:ascii="Times New Roman" w:eastAsia="Times New Roman" w:hAnsi="Times New Roman" w:cs="Times New Roman"/>
          <w:b/>
          <w:bCs/>
        </w:rPr>
        <w:t xml:space="preserve">Figure S2. </w:t>
      </w:r>
      <w:r w:rsidRPr="005E7B8F">
        <w:rPr>
          <w:rFonts w:ascii="Times New Roman" w:eastAsia="Times New Roman" w:hAnsi="Times New Roman" w:cs="Times New Roman"/>
        </w:rPr>
        <w:t>Abiotic seawater parameters in the replicate tanks (i.e., tanks with animals) for each treatment over the course of the experiment. TCO</w:t>
      </w:r>
      <w:r w:rsidRPr="005E7B8F">
        <w:rPr>
          <w:rFonts w:ascii="Times New Roman" w:eastAsia="Times New Roman" w:hAnsi="Times New Roman" w:cs="Times New Roman"/>
          <w:vertAlign w:val="subscript"/>
        </w:rPr>
        <w:t>2</w:t>
      </w:r>
      <w:r w:rsidRPr="005E7B8F">
        <w:rPr>
          <w:rFonts w:ascii="Times New Roman" w:eastAsia="Times New Roman" w:hAnsi="Times New Roman" w:cs="Times New Roman"/>
        </w:rPr>
        <w:t xml:space="preserve">, </w:t>
      </w:r>
      <w:r w:rsidRPr="005E7B8F">
        <w:rPr>
          <w:rFonts w:ascii="Times New Roman" w:eastAsia="Times New Roman" w:hAnsi="Times New Roman" w:cs="Times New Roman"/>
          <w:i/>
          <w:iCs/>
        </w:rPr>
        <w:t>p</w:t>
      </w:r>
      <w:r w:rsidRPr="005E7B8F">
        <w:rPr>
          <w:rFonts w:ascii="Times New Roman" w:eastAsia="Times New Roman" w:hAnsi="Times New Roman" w:cs="Times New Roman"/>
        </w:rPr>
        <w:t>CO</w:t>
      </w:r>
      <w:r w:rsidRPr="005E7B8F">
        <w:rPr>
          <w:rFonts w:ascii="Times New Roman" w:eastAsia="Times New Roman" w:hAnsi="Times New Roman" w:cs="Times New Roman"/>
          <w:vertAlign w:val="subscript"/>
        </w:rPr>
        <w:t>2</w:t>
      </w:r>
      <w:r w:rsidRPr="005E7B8F">
        <w:rPr>
          <w:rFonts w:ascii="Times New Roman" w:eastAsia="Times New Roman" w:hAnsi="Times New Roman" w:cs="Times New Roman"/>
        </w:rPr>
        <w:t xml:space="preserve">, and saturation states were estimated in CO2SYS. Raw data can be found in in Supplementary file 1 (‘Carbonate chemistry’ sheet) and full CO2SYS results are in Supplementary file 2. </w:t>
      </w:r>
    </w:p>
    <w:p w14:paraId="29677ACB" w14:textId="77777777" w:rsidR="005E7B8F" w:rsidRPr="005E7B8F" w:rsidRDefault="005E7B8F" w:rsidP="005E7B8F">
      <w:pPr>
        <w:suppressLineNumbers/>
        <w:jc w:val="center"/>
        <w:rPr>
          <w:rFonts w:asciiTheme="majorHAnsi" w:eastAsia="Times New Roman" w:hAnsiTheme="majorHAnsi" w:cstheme="majorHAnsi"/>
          <w:b/>
          <w:bCs/>
          <w:lang w:val="en-US"/>
        </w:rPr>
      </w:pPr>
      <w:r w:rsidRPr="005E7B8F">
        <w:rPr>
          <w:rFonts w:asciiTheme="majorHAnsi" w:eastAsia="Times New Roman" w:hAnsiTheme="majorHAnsi" w:cstheme="majorHAnsi"/>
          <w:b/>
          <w:bCs/>
          <w:noProof/>
          <w:lang w:val="en-US"/>
        </w:rPr>
        <w:lastRenderedPageBreak/>
        <w:drawing>
          <wp:inline distT="0" distB="0" distL="0" distR="0" wp14:anchorId="1E40FCCF" wp14:editId="3E2F5A7B">
            <wp:extent cx="3753293" cy="4244108"/>
            <wp:effectExtent l="0" t="0" r="6350" b="0"/>
            <wp:docPr id="5" name="Picture 5"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e S4_March 27 2020.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766512" cy="4259055"/>
                    </a:xfrm>
                    <a:prstGeom prst="rect">
                      <a:avLst/>
                    </a:prstGeom>
                  </pic:spPr>
                </pic:pic>
              </a:graphicData>
            </a:graphic>
          </wp:inline>
        </w:drawing>
      </w:r>
    </w:p>
    <w:p w14:paraId="01DE980A" w14:textId="77777777" w:rsidR="005E7B8F" w:rsidRPr="005E7B8F" w:rsidRDefault="005E7B8F" w:rsidP="005E7B8F">
      <w:pPr>
        <w:suppressLineNumbers/>
        <w:rPr>
          <w:rFonts w:ascii="Times New Roman" w:eastAsia="Times New Roman" w:hAnsi="Times New Roman" w:cs="Times New Roman"/>
          <w:lang w:val="en-US"/>
        </w:rPr>
      </w:pPr>
      <w:r w:rsidRPr="005E7B8F">
        <w:rPr>
          <w:rFonts w:ascii="Times New Roman" w:eastAsia="Times New Roman" w:hAnsi="Times New Roman" w:cs="Times New Roman"/>
          <w:b/>
          <w:bCs/>
          <w:lang w:val="en-US"/>
        </w:rPr>
        <w:t xml:space="preserve">Figure S3. </w:t>
      </w:r>
      <w:r w:rsidRPr="005E7B8F">
        <w:rPr>
          <w:rFonts w:ascii="Times New Roman" w:eastAsia="Times New Roman" w:hAnsi="Times New Roman" w:cs="Times New Roman"/>
          <w:lang w:val="en-US"/>
        </w:rPr>
        <w:t xml:space="preserve">Time-to-event (i.e., time to open) curves for each of the four main factors including size class </w:t>
      </w:r>
      <w:r w:rsidRPr="005E7B8F">
        <w:rPr>
          <w:rFonts w:ascii="Times New Roman" w:eastAsia="Times New Roman" w:hAnsi="Times New Roman" w:cs="Times New Roman"/>
          <w:b/>
          <w:bCs/>
          <w:lang w:val="en-US"/>
        </w:rPr>
        <w:t>(a)</w:t>
      </w:r>
      <w:r w:rsidRPr="005E7B8F">
        <w:rPr>
          <w:rFonts w:ascii="Times New Roman" w:eastAsia="Times New Roman" w:hAnsi="Times New Roman" w:cs="Times New Roman"/>
          <w:lang w:val="en-US"/>
        </w:rPr>
        <w:t xml:space="preserve">, temperature </w:t>
      </w:r>
      <w:r w:rsidRPr="005E7B8F">
        <w:rPr>
          <w:rFonts w:ascii="Times New Roman" w:eastAsia="Times New Roman" w:hAnsi="Times New Roman" w:cs="Times New Roman"/>
          <w:b/>
          <w:bCs/>
          <w:lang w:val="en-US"/>
        </w:rPr>
        <w:t>(b)</w:t>
      </w:r>
      <w:r w:rsidRPr="005E7B8F">
        <w:rPr>
          <w:rFonts w:ascii="Times New Roman" w:eastAsia="Times New Roman" w:hAnsi="Times New Roman" w:cs="Times New Roman"/>
          <w:lang w:val="en-US"/>
        </w:rPr>
        <w:t xml:space="preserve">, </w:t>
      </w:r>
      <w:proofErr w:type="spellStart"/>
      <w:r w:rsidRPr="005E7B8F">
        <w:rPr>
          <w:rFonts w:ascii="Times New Roman" w:eastAsia="Times New Roman" w:hAnsi="Times New Roman" w:cs="Times New Roman"/>
          <w:lang w:val="en-US"/>
        </w:rPr>
        <w:t>pH</w:t>
      </w:r>
      <w:r w:rsidRPr="005E7B8F">
        <w:rPr>
          <w:rFonts w:ascii="Times New Roman" w:eastAsia="Times New Roman" w:hAnsi="Times New Roman" w:cs="Times New Roman"/>
          <w:vertAlign w:val="subscript"/>
          <w:lang w:val="en-US"/>
        </w:rPr>
        <w:t>T</w:t>
      </w:r>
      <w:proofErr w:type="spellEnd"/>
      <w:r w:rsidRPr="005E7B8F">
        <w:rPr>
          <w:rFonts w:ascii="Times New Roman" w:eastAsia="Times New Roman" w:hAnsi="Times New Roman" w:cs="Times New Roman"/>
          <w:lang w:val="en-US"/>
        </w:rPr>
        <w:t xml:space="preserve"> </w:t>
      </w:r>
      <w:r w:rsidRPr="005E7B8F">
        <w:rPr>
          <w:rFonts w:ascii="Times New Roman" w:eastAsia="Times New Roman" w:hAnsi="Times New Roman" w:cs="Times New Roman"/>
          <w:b/>
          <w:bCs/>
          <w:lang w:val="en-US"/>
        </w:rPr>
        <w:t>(c)</w:t>
      </w:r>
      <w:r w:rsidRPr="005E7B8F">
        <w:rPr>
          <w:rFonts w:ascii="Times New Roman" w:eastAsia="Times New Roman" w:hAnsi="Times New Roman" w:cs="Times New Roman"/>
          <w:lang w:val="en-US"/>
        </w:rPr>
        <w:t xml:space="preserve">, and trial </w:t>
      </w:r>
      <w:r w:rsidRPr="005E7B8F">
        <w:rPr>
          <w:rFonts w:ascii="Times New Roman" w:eastAsia="Times New Roman" w:hAnsi="Times New Roman" w:cs="Times New Roman"/>
          <w:b/>
          <w:bCs/>
          <w:lang w:val="en-US"/>
        </w:rPr>
        <w:t>(d)</w:t>
      </w:r>
      <w:r w:rsidRPr="005E7B8F">
        <w:rPr>
          <w:rFonts w:ascii="Times New Roman" w:eastAsia="Times New Roman" w:hAnsi="Times New Roman" w:cs="Times New Roman"/>
          <w:lang w:val="en-US"/>
        </w:rPr>
        <w:t>. Curves show the percentage of individuals remaining closed over time based on the Kaplan Meier method; + denote censored observations (i.e., mussels that never opened).</w:t>
      </w:r>
    </w:p>
    <w:p w14:paraId="537B6663" w14:textId="77777777" w:rsidR="005E7B8F" w:rsidRPr="005E7B8F" w:rsidRDefault="005E7B8F" w:rsidP="005E7B8F">
      <w:pPr>
        <w:suppressLineNumbers/>
        <w:rPr>
          <w:rFonts w:ascii="Times New Roman" w:eastAsia="Times New Roman" w:hAnsi="Times New Roman" w:cs="Times New Roman"/>
          <w:b/>
          <w:bCs/>
          <w:lang w:val="en-US"/>
        </w:rPr>
      </w:pPr>
      <w:r w:rsidRPr="005E7B8F">
        <w:rPr>
          <w:rFonts w:ascii="Times New Roman" w:eastAsia="Times New Roman" w:hAnsi="Times New Roman" w:cs="Times New Roman"/>
          <w:b/>
          <w:bCs/>
          <w:lang w:val="en-US"/>
        </w:rPr>
        <w:br w:type="page"/>
      </w:r>
    </w:p>
    <w:p w14:paraId="525F59C0" w14:textId="79504BF8" w:rsidR="005E7B8F" w:rsidRPr="005E7B8F" w:rsidRDefault="005E7B8F" w:rsidP="005E7B8F">
      <w:pPr>
        <w:suppressLineNumbers/>
        <w:jc w:val="center"/>
        <w:rPr>
          <w:rFonts w:asciiTheme="majorHAnsi" w:eastAsia="Times New Roman" w:hAnsiTheme="majorHAnsi" w:cstheme="majorHAnsi"/>
          <w:b/>
          <w:bCs/>
        </w:rPr>
      </w:pPr>
      <w:r w:rsidRPr="005E7B8F">
        <w:rPr>
          <w:rFonts w:asciiTheme="majorHAnsi" w:eastAsia="Times New Roman" w:hAnsiTheme="majorHAnsi" w:cstheme="majorHAnsi"/>
          <w:b/>
          <w:bCs/>
          <w:noProof/>
        </w:rPr>
        <w:lastRenderedPageBreak/>
        <w:drawing>
          <wp:inline distT="0" distB="0" distL="0" distR="0" wp14:anchorId="39AEECE3" wp14:editId="06C28FE5">
            <wp:extent cx="3237393" cy="3844851"/>
            <wp:effectExtent l="0" t="0" r="1270" b="3810"/>
            <wp:docPr id="6" name="Picture 6"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e S3_March 27 2020.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254067" cy="3864654"/>
                    </a:xfrm>
                    <a:prstGeom prst="rect">
                      <a:avLst/>
                    </a:prstGeom>
                  </pic:spPr>
                </pic:pic>
              </a:graphicData>
            </a:graphic>
          </wp:inline>
        </w:drawing>
      </w:r>
    </w:p>
    <w:p w14:paraId="2F02EEAC" w14:textId="77777777" w:rsidR="005E7B8F" w:rsidRPr="005E7B8F" w:rsidRDefault="005E7B8F" w:rsidP="005E7B8F">
      <w:pPr>
        <w:suppressLineNumbers/>
        <w:rPr>
          <w:rFonts w:ascii="Times New Roman" w:eastAsia="Times New Roman" w:hAnsi="Times New Roman" w:cs="Times New Roman"/>
          <w:b/>
          <w:bCs/>
          <w:lang w:val="en-US"/>
        </w:rPr>
      </w:pPr>
      <w:r w:rsidRPr="005E7B8F">
        <w:rPr>
          <w:rFonts w:ascii="Times New Roman" w:eastAsia="Times New Roman" w:hAnsi="Times New Roman" w:cs="Times New Roman"/>
          <w:b/>
          <w:bCs/>
          <w:lang w:val="en-US"/>
        </w:rPr>
        <w:t xml:space="preserve">Figure S4. </w:t>
      </w:r>
      <w:r w:rsidRPr="005E7B8F">
        <w:rPr>
          <w:rFonts w:ascii="Times New Roman" w:eastAsia="Times New Roman" w:hAnsi="Times New Roman" w:cs="Times New Roman"/>
          <w:lang w:val="en-US"/>
        </w:rPr>
        <w:t>Bar plots for the percentage of observations (trials) in which individuals opened (yellow) or did not open (blue) during a given 30 minute trial for (</w:t>
      </w:r>
      <w:r w:rsidRPr="005E7B8F">
        <w:rPr>
          <w:rFonts w:ascii="Times New Roman" w:eastAsia="Times New Roman" w:hAnsi="Times New Roman" w:cs="Times New Roman"/>
          <w:i/>
          <w:iCs/>
          <w:lang w:val="en-US"/>
        </w:rPr>
        <w:t>a</w:t>
      </w:r>
      <w:r w:rsidRPr="005E7B8F">
        <w:rPr>
          <w:rFonts w:ascii="Times New Roman" w:eastAsia="Times New Roman" w:hAnsi="Times New Roman" w:cs="Times New Roman"/>
          <w:lang w:val="en-US"/>
        </w:rPr>
        <w:t>) size class (</w:t>
      </w:r>
      <w:proofErr w:type="spellStart"/>
      <w:r w:rsidRPr="005E7B8F">
        <w:rPr>
          <w:rFonts w:ascii="Times New Roman" w:eastAsia="Times New Roman" w:hAnsi="Times New Roman" w:cs="Times New Roman"/>
          <w:i/>
          <w:iCs/>
          <w:lang w:val="en-US"/>
        </w:rPr>
        <w:t>n</w:t>
      </w:r>
      <w:r w:rsidRPr="005E7B8F">
        <w:rPr>
          <w:rFonts w:ascii="Times New Roman" w:eastAsia="Times New Roman" w:hAnsi="Times New Roman" w:cs="Times New Roman"/>
          <w:vertAlign w:val="subscript"/>
          <w:lang w:val="en-US"/>
        </w:rPr>
        <w:t>large</w:t>
      </w:r>
      <w:proofErr w:type="spellEnd"/>
      <w:r w:rsidRPr="005E7B8F">
        <w:rPr>
          <w:rFonts w:ascii="Times New Roman" w:eastAsia="Times New Roman" w:hAnsi="Times New Roman" w:cs="Times New Roman"/>
          <w:lang w:val="en-US"/>
        </w:rPr>
        <w:t xml:space="preserve"> = 220; </w:t>
      </w:r>
      <w:proofErr w:type="spellStart"/>
      <w:r w:rsidRPr="005E7B8F">
        <w:rPr>
          <w:rFonts w:ascii="Times New Roman" w:eastAsia="Times New Roman" w:hAnsi="Times New Roman" w:cs="Times New Roman"/>
          <w:i/>
          <w:iCs/>
          <w:lang w:val="en-US"/>
        </w:rPr>
        <w:t>n</w:t>
      </w:r>
      <w:r w:rsidRPr="005E7B8F">
        <w:rPr>
          <w:rFonts w:ascii="Times New Roman" w:eastAsia="Times New Roman" w:hAnsi="Times New Roman" w:cs="Times New Roman"/>
          <w:vertAlign w:val="subscript"/>
          <w:lang w:val="en-US"/>
        </w:rPr>
        <w:t>small</w:t>
      </w:r>
      <w:proofErr w:type="spellEnd"/>
      <w:r w:rsidRPr="005E7B8F">
        <w:rPr>
          <w:rFonts w:ascii="Times New Roman" w:eastAsia="Times New Roman" w:hAnsi="Times New Roman" w:cs="Times New Roman"/>
          <w:lang w:val="en-US"/>
        </w:rPr>
        <w:t xml:space="preserve"> = 200)</w:t>
      </w:r>
      <w:r w:rsidRPr="005E7B8F">
        <w:rPr>
          <w:rFonts w:ascii="Times New Roman" w:eastAsia="Times New Roman" w:hAnsi="Times New Roman" w:cs="Times New Roman"/>
          <w:i/>
          <w:iCs/>
          <w:lang w:val="en-US"/>
        </w:rPr>
        <w:t>;</w:t>
      </w:r>
      <w:r w:rsidRPr="005E7B8F">
        <w:rPr>
          <w:rFonts w:ascii="Times New Roman" w:eastAsia="Times New Roman" w:hAnsi="Times New Roman" w:cs="Times New Roman"/>
          <w:lang w:val="en-US"/>
        </w:rPr>
        <w:t xml:space="preserve"> (</w:t>
      </w:r>
      <w:r w:rsidRPr="005E7B8F">
        <w:rPr>
          <w:rFonts w:ascii="Times New Roman" w:eastAsia="Times New Roman" w:hAnsi="Times New Roman" w:cs="Times New Roman"/>
          <w:i/>
          <w:iCs/>
          <w:lang w:val="en-US"/>
        </w:rPr>
        <w:t>b</w:t>
      </w:r>
      <w:r w:rsidRPr="005E7B8F">
        <w:rPr>
          <w:rFonts w:ascii="Times New Roman" w:eastAsia="Times New Roman" w:hAnsi="Times New Roman" w:cs="Times New Roman"/>
          <w:lang w:val="en-US"/>
        </w:rPr>
        <w:t>) temperature treatment (</w:t>
      </w:r>
      <w:proofErr w:type="spellStart"/>
      <w:r w:rsidRPr="005E7B8F">
        <w:rPr>
          <w:rFonts w:ascii="Times New Roman" w:eastAsia="Times New Roman" w:hAnsi="Times New Roman" w:cs="Times New Roman"/>
          <w:i/>
          <w:iCs/>
          <w:lang w:val="en-US"/>
        </w:rPr>
        <w:t>n</w:t>
      </w:r>
      <w:r w:rsidRPr="005E7B8F">
        <w:rPr>
          <w:rFonts w:ascii="Times New Roman" w:eastAsia="Times New Roman" w:hAnsi="Times New Roman" w:cs="Times New Roman"/>
          <w:i/>
          <w:iCs/>
          <w:vertAlign w:val="subscript"/>
          <w:lang w:val="en-US"/>
        </w:rPr>
        <w:t>control</w:t>
      </w:r>
      <w:proofErr w:type="spellEnd"/>
      <w:r w:rsidRPr="005E7B8F">
        <w:rPr>
          <w:rFonts w:ascii="Times New Roman" w:eastAsia="Times New Roman" w:hAnsi="Times New Roman" w:cs="Times New Roman"/>
          <w:lang w:val="en-US"/>
        </w:rPr>
        <w:t xml:space="preserve"> = 220; </w:t>
      </w:r>
      <w:proofErr w:type="spellStart"/>
      <w:r w:rsidRPr="005E7B8F">
        <w:rPr>
          <w:rFonts w:ascii="Times New Roman" w:eastAsia="Times New Roman" w:hAnsi="Times New Roman" w:cs="Times New Roman"/>
          <w:i/>
          <w:iCs/>
          <w:lang w:val="en-US"/>
        </w:rPr>
        <w:t>n</w:t>
      </w:r>
      <w:r w:rsidRPr="005E7B8F">
        <w:rPr>
          <w:rFonts w:ascii="Times New Roman" w:eastAsia="Times New Roman" w:hAnsi="Times New Roman" w:cs="Times New Roman"/>
          <w:vertAlign w:val="subscript"/>
          <w:lang w:val="en-US"/>
        </w:rPr>
        <w:t>high</w:t>
      </w:r>
      <w:proofErr w:type="spellEnd"/>
      <w:r w:rsidRPr="005E7B8F">
        <w:rPr>
          <w:rFonts w:ascii="Times New Roman" w:eastAsia="Times New Roman" w:hAnsi="Times New Roman" w:cs="Times New Roman"/>
          <w:lang w:val="en-US"/>
        </w:rPr>
        <w:t xml:space="preserve"> = 200); (</w:t>
      </w:r>
      <w:r w:rsidRPr="005E7B8F">
        <w:rPr>
          <w:rFonts w:ascii="Times New Roman" w:eastAsia="Times New Roman" w:hAnsi="Times New Roman" w:cs="Times New Roman"/>
          <w:i/>
          <w:iCs/>
          <w:lang w:val="en-US"/>
        </w:rPr>
        <w:t>c</w:t>
      </w:r>
      <w:r w:rsidRPr="005E7B8F">
        <w:rPr>
          <w:rFonts w:ascii="Times New Roman" w:eastAsia="Times New Roman" w:hAnsi="Times New Roman" w:cs="Times New Roman"/>
          <w:lang w:val="en-US"/>
        </w:rPr>
        <w:t>) pH treatment (</w:t>
      </w:r>
      <w:proofErr w:type="spellStart"/>
      <w:r w:rsidRPr="005E7B8F">
        <w:rPr>
          <w:rFonts w:ascii="Times New Roman" w:eastAsia="Times New Roman" w:hAnsi="Times New Roman" w:cs="Times New Roman"/>
          <w:i/>
          <w:iCs/>
          <w:lang w:val="en-US"/>
        </w:rPr>
        <w:t>n</w:t>
      </w:r>
      <w:r w:rsidRPr="005E7B8F">
        <w:rPr>
          <w:rFonts w:ascii="Times New Roman" w:eastAsia="Times New Roman" w:hAnsi="Times New Roman" w:cs="Times New Roman"/>
          <w:i/>
          <w:iCs/>
          <w:vertAlign w:val="subscript"/>
          <w:lang w:val="en-US"/>
        </w:rPr>
        <w:t>control</w:t>
      </w:r>
      <w:proofErr w:type="spellEnd"/>
      <w:r w:rsidRPr="005E7B8F">
        <w:rPr>
          <w:rFonts w:ascii="Times New Roman" w:eastAsia="Times New Roman" w:hAnsi="Times New Roman" w:cs="Times New Roman"/>
          <w:lang w:val="en-US"/>
        </w:rPr>
        <w:t xml:space="preserve"> = 192; </w:t>
      </w:r>
      <w:proofErr w:type="spellStart"/>
      <w:r w:rsidRPr="005E7B8F">
        <w:rPr>
          <w:rFonts w:ascii="Times New Roman" w:eastAsia="Times New Roman" w:hAnsi="Times New Roman" w:cs="Times New Roman"/>
          <w:i/>
          <w:iCs/>
          <w:lang w:val="en-US"/>
        </w:rPr>
        <w:t>n</w:t>
      </w:r>
      <w:r w:rsidRPr="005E7B8F">
        <w:rPr>
          <w:rFonts w:ascii="Times New Roman" w:eastAsia="Times New Roman" w:hAnsi="Times New Roman" w:cs="Times New Roman"/>
          <w:vertAlign w:val="subscript"/>
          <w:lang w:val="en-US"/>
        </w:rPr>
        <w:t>high</w:t>
      </w:r>
      <w:proofErr w:type="spellEnd"/>
      <w:r w:rsidRPr="005E7B8F">
        <w:rPr>
          <w:rFonts w:ascii="Times New Roman" w:eastAsia="Times New Roman" w:hAnsi="Times New Roman" w:cs="Times New Roman"/>
          <w:lang w:val="en-US"/>
        </w:rPr>
        <w:t xml:space="preserve"> = 228); and (</w:t>
      </w:r>
      <w:r w:rsidRPr="005E7B8F">
        <w:rPr>
          <w:rFonts w:ascii="Times New Roman" w:eastAsia="Times New Roman" w:hAnsi="Times New Roman" w:cs="Times New Roman"/>
          <w:i/>
          <w:iCs/>
          <w:lang w:val="en-US"/>
        </w:rPr>
        <w:t>d</w:t>
      </w:r>
      <w:r w:rsidRPr="005E7B8F">
        <w:rPr>
          <w:rFonts w:ascii="Times New Roman" w:eastAsia="Times New Roman" w:hAnsi="Times New Roman" w:cs="Times New Roman"/>
          <w:lang w:val="en-US"/>
        </w:rPr>
        <w:t>) trial (</w:t>
      </w:r>
      <w:r w:rsidRPr="005E7B8F">
        <w:rPr>
          <w:rFonts w:ascii="Times New Roman" w:eastAsia="Times New Roman" w:hAnsi="Times New Roman" w:cs="Times New Roman"/>
          <w:i/>
          <w:iCs/>
          <w:lang w:val="en-US"/>
        </w:rPr>
        <w:t>n</w:t>
      </w:r>
      <w:r w:rsidRPr="005E7B8F">
        <w:rPr>
          <w:rFonts w:ascii="Times New Roman" w:eastAsia="Times New Roman" w:hAnsi="Times New Roman" w:cs="Times New Roman"/>
          <w:lang w:val="en-US"/>
        </w:rPr>
        <w:t xml:space="preserve"> = 105 per trial)</w:t>
      </w:r>
      <w:r w:rsidRPr="005E7B8F">
        <w:rPr>
          <w:rFonts w:ascii="Times New Roman" w:eastAsia="Times New Roman" w:hAnsi="Times New Roman" w:cs="Times New Roman"/>
          <w:i/>
          <w:iCs/>
          <w:lang w:val="en-US"/>
        </w:rPr>
        <w:t>.</w:t>
      </w:r>
      <w:r w:rsidRPr="005E7B8F">
        <w:rPr>
          <w:rFonts w:ascii="Times New Roman" w:eastAsia="Times New Roman" w:hAnsi="Times New Roman" w:cs="Times New Roman"/>
          <w:lang w:val="en-US"/>
        </w:rPr>
        <w:t xml:space="preserve"> Sample sizes are number of individuals. </w:t>
      </w:r>
      <w:r w:rsidRPr="005E7B8F">
        <w:rPr>
          <w:rFonts w:ascii="Times New Roman" w:eastAsia="Times New Roman" w:hAnsi="Times New Roman" w:cs="Times New Roman"/>
          <w:i/>
          <w:iCs/>
          <w:lang w:val="en-US"/>
        </w:rPr>
        <w:t>P</w:t>
      </w:r>
      <w:r w:rsidRPr="005E7B8F">
        <w:rPr>
          <w:rFonts w:ascii="Times New Roman" w:eastAsia="Times New Roman" w:hAnsi="Times New Roman" w:cs="Times New Roman"/>
          <w:lang w:val="en-US"/>
        </w:rPr>
        <w:t>-values represent results of logistic regression analysis (see Table S6).</w:t>
      </w:r>
      <w:r w:rsidRPr="005E7B8F">
        <w:rPr>
          <w:rFonts w:ascii="Times New Roman" w:eastAsia="Times New Roman" w:hAnsi="Times New Roman" w:cs="Times New Roman"/>
          <w:b/>
          <w:bCs/>
          <w:lang w:val="en-US"/>
        </w:rPr>
        <w:t xml:space="preserve"> </w:t>
      </w:r>
    </w:p>
    <w:p w14:paraId="1E8B00BF" w14:textId="77777777" w:rsidR="005E7B8F" w:rsidRPr="005E7B8F" w:rsidRDefault="005E7B8F" w:rsidP="005E7B8F">
      <w:pPr>
        <w:suppressLineNumbers/>
        <w:rPr>
          <w:rFonts w:ascii="Times New Roman" w:eastAsia="Times New Roman" w:hAnsi="Times New Roman" w:cs="Times New Roman"/>
          <w:b/>
          <w:bCs/>
          <w:lang w:val="en-US"/>
        </w:rPr>
      </w:pPr>
      <w:r w:rsidRPr="005E7B8F">
        <w:rPr>
          <w:rFonts w:ascii="Times New Roman" w:eastAsia="Times New Roman" w:hAnsi="Times New Roman" w:cs="Times New Roman"/>
          <w:b/>
          <w:bCs/>
          <w:lang w:val="en-US"/>
        </w:rPr>
        <w:br w:type="page"/>
      </w:r>
    </w:p>
    <w:p w14:paraId="55A86512" w14:textId="77777777" w:rsidR="005E7B8F" w:rsidRPr="005E7B8F" w:rsidRDefault="005E7B8F" w:rsidP="005E7B8F">
      <w:pPr>
        <w:suppressLineNumbers/>
        <w:rPr>
          <w:rFonts w:ascii="Times New Roman" w:eastAsia="Times New Roman" w:hAnsi="Times New Roman" w:cs="Times New Roman"/>
        </w:rPr>
      </w:pPr>
      <w:r w:rsidRPr="005E7B8F">
        <w:rPr>
          <w:rFonts w:ascii="Times New Roman" w:eastAsia="Times New Roman" w:hAnsi="Times New Roman" w:cs="Times New Roman"/>
          <w:b/>
          <w:bCs/>
        </w:rPr>
        <w:lastRenderedPageBreak/>
        <w:t xml:space="preserve">Table S1. </w:t>
      </w:r>
      <w:r w:rsidRPr="005E7B8F">
        <w:rPr>
          <w:rFonts w:ascii="Times New Roman" w:eastAsia="Times New Roman" w:hAnsi="Times New Roman" w:cs="Times New Roman"/>
        </w:rPr>
        <w:t xml:space="preserve">Results of linear model analyses for differences in shell length (mm) and wet weight (g) between the small and large size classes prior to and at the end of the exposure period. Wet weights and post-exposure shell lengths were log transformed prior to analysis (see Supplementary File 2). Bolded text denotes significant effects. df = degrees of freedom, SS = sum of squares, MS = mean of squares, F = Fisher’s F statistic, </w:t>
      </w:r>
      <w:r w:rsidRPr="005E7B8F">
        <w:rPr>
          <w:rFonts w:ascii="Times New Roman" w:eastAsia="Times New Roman" w:hAnsi="Times New Roman" w:cs="Times New Roman"/>
          <w:i/>
          <w:iCs/>
        </w:rPr>
        <w:t>P</w:t>
      </w:r>
      <w:r w:rsidRPr="005E7B8F">
        <w:rPr>
          <w:rFonts w:ascii="Times New Roman" w:eastAsia="Times New Roman" w:hAnsi="Times New Roman" w:cs="Times New Roman"/>
        </w:rPr>
        <w:t xml:space="preserve"> = p-value.</w:t>
      </w:r>
    </w:p>
    <w:p w14:paraId="383A3A88" w14:textId="77777777" w:rsidR="005E7B8F" w:rsidRPr="005E7B8F" w:rsidRDefault="005E7B8F" w:rsidP="005E7B8F">
      <w:pPr>
        <w:suppressLineNumbers/>
        <w:rPr>
          <w:rFonts w:ascii="Times New Roman" w:eastAsia="Times New Roman" w:hAnsi="Times New Roman" w:cs="Times New Roman"/>
        </w:rPr>
      </w:pPr>
    </w:p>
    <w:tbl>
      <w:tblPr>
        <w:tblW w:w="7230" w:type="dxa"/>
        <w:tblLayout w:type="fixed"/>
        <w:tblLook w:val="04A0" w:firstRow="1" w:lastRow="0" w:firstColumn="1" w:lastColumn="0" w:noHBand="0" w:noVBand="1"/>
      </w:tblPr>
      <w:tblGrid>
        <w:gridCol w:w="1843"/>
        <w:gridCol w:w="851"/>
        <w:gridCol w:w="1275"/>
        <w:gridCol w:w="1134"/>
        <w:gridCol w:w="993"/>
        <w:gridCol w:w="1134"/>
      </w:tblGrid>
      <w:tr w:rsidR="005E7B8F" w:rsidRPr="005E7B8F" w14:paraId="04D47A4A" w14:textId="77777777" w:rsidTr="005E7B8F">
        <w:trPr>
          <w:trHeight w:val="320"/>
        </w:trPr>
        <w:tc>
          <w:tcPr>
            <w:tcW w:w="1843" w:type="dxa"/>
            <w:tcBorders>
              <w:top w:val="single" w:sz="4" w:space="0" w:color="auto"/>
              <w:left w:val="nil"/>
              <w:bottom w:val="single" w:sz="4" w:space="0" w:color="auto"/>
              <w:right w:val="nil"/>
            </w:tcBorders>
            <w:shd w:val="clear" w:color="auto" w:fill="auto"/>
            <w:noWrap/>
            <w:vAlign w:val="bottom"/>
            <w:hideMark/>
          </w:tcPr>
          <w:p w14:paraId="2CE448D3"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Source of error</w:t>
            </w:r>
          </w:p>
        </w:tc>
        <w:tc>
          <w:tcPr>
            <w:tcW w:w="851" w:type="dxa"/>
            <w:tcBorders>
              <w:top w:val="single" w:sz="4" w:space="0" w:color="auto"/>
              <w:left w:val="nil"/>
              <w:bottom w:val="single" w:sz="4" w:space="0" w:color="auto"/>
              <w:right w:val="nil"/>
            </w:tcBorders>
            <w:shd w:val="clear" w:color="auto" w:fill="auto"/>
            <w:noWrap/>
            <w:vAlign w:val="bottom"/>
            <w:hideMark/>
          </w:tcPr>
          <w:p w14:paraId="4CCAA330"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df</w:t>
            </w:r>
          </w:p>
        </w:tc>
        <w:tc>
          <w:tcPr>
            <w:tcW w:w="1275" w:type="dxa"/>
            <w:tcBorders>
              <w:top w:val="single" w:sz="4" w:space="0" w:color="auto"/>
              <w:left w:val="nil"/>
              <w:bottom w:val="single" w:sz="4" w:space="0" w:color="auto"/>
              <w:right w:val="nil"/>
            </w:tcBorders>
            <w:shd w:val="clear" w:color="auto" w:fill="auto"/>
            <w:noWrap/>
            <w:vAlign w:val="bottom"/>
            <w:hideMark/>
          </w:tcPr>
          <w:p w14:paraId="14E34EC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SS</w:t>
            </w:r>
          </w:p>
        </w:tc>
        <w:tc>
          <w:tcPr>
            <w:tcW w:w="1134" w:type="dxa"/>
            <w:tcBorders>
              <w:top w:val="single" w:sz="4" w:space="0" w:color="auto"/>
              <w:left w:val="nil"/>
              <w:bottom w:val="single" w:sz="4" w:space="0" w:color="auto"/>
              <w:right w:val="nil"/>
            </w:tcBorders>
            <w:shd w:val="clear" w:color="auto" w:fill="auto"/>
            <w:noWrap/>
            <w:vAlign w:val="bottom"/>
            <w:hideMark/>
          </w:tcPr>
          <w:p w14:paraId="6F5279DD"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MS</w:t>
            </w:r>
          </w:p>
        </w:tc>
        <w:tc>
          <w:tcPr>
            <w:tcW w:w="993" w:type="dxa"/>
            <w:tcBorders>
              <w:top w:val="single" w:sz="4" w:space="0" w:color="auto"/>
              <w:left w:val="nil"/>
              <w:bottom w:val="single" w:sz="4" w:space="0" w:color="auto"/>
              <w:right w:val="nil"/>
            </w:tcBorders>
            <w:shd w:val="clear" w:color="auto" w:fill="auto"/>
            <w:noWrap/>
            <w:vAlign w:val="bottom"/>
            <w:hideMark/>
          </w:tcPr>
          <w:p w14:paraId="4A1A155C"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F-value</w:t>
            </w:r>
          </w:p>
        </w:tc>
        <w:tc>
          <w:tcPr>
            <w:tcW w:w="1134" w:type="dxa"/>
            <w:tcBorders>
              <w:top w:val="single" w:sz="4" w:space="0" w:color="auto"/>
              <w:left w:val="nil"/>
              <w:bottom w:val="single" w:sz="4" w:space="0" w:color="auto"/>
              <w:right w:val="nil"/>
            </w:tcBorders>
            <w:shd w:val="clear" w:color="auto" w:fill="auto"/>
            <w:noWrap/>
            <w:vAlign w:val="bottom"/>
            <w:hideMark/>
          </w:tcPr>
          <w:p w14:paraId="65B250D9" w14:textId="77777777" w:rsidR="005E7B8F" w:rsidRPr="005E7B8F" w:rsidRDefault="005E7B8F" w:rsidP="005E7B8F">
            <w:pPr>
              <w:jc w:val="right"/>
              <w:rPr>
                <w:rFonts w:ascii="Times New Roman" w:eastAsia="Times New Roman" w:hAnsi="Times New Roman" w:cs="Times New Roman"/>
                <w:i/>
                <w:iCs/>
                <w:color w:val="000000"/>
              </w:rPr>
            </w:pPr>
            <w:r w:rsidRPr="005E7B8F">
              <w:rPr>
                <w:rFonts w:ascii="Times New Roman" w:eastAsia="Times New Roman" w:hAnsi="Times New Roman" w:cs="Times New Roman"/>
                <w:i/>
                <w:iCs/>
                <w:color w:val="000000"/>
              </w:rPr>
              <w:t>P</w:t>
            </w:r>
          </w:p>
        </w:tc>
      </w:tr>
      <w:tr w:rsidR="005E7B8F" w:rsidRPr="005E7B8F" w14:paraId="4310A142" w14:textId="77777777" w:rsidTr="005E7B8F">
        <w:trPr>
          <w:trHeight w:val="320"/>
        </w:trPr>
        <w:tc>
          <w:tcPr>
            <w:tcW w:w="1843" w:type="dxa"/>
            <w:tcBorders>
              <w:top w:val="nil"/>
              <w:left w:val="nil"/>
              <w:bottom w:val="nil"/>
              <w:right w:val="nil"/>
            </w:tcBorders>
            <w:shd w:val="clear" w:color="auto" w:fill="auto"/>
            <w:noWrap/>
            <w:vAlign w:val="bottom"/>
            <w:hideMark/>
          </w:tcPr>
          <w:p w14:paraId="66641A1C" w14:textId="77777777" w:rsidR="005E7B8F" w:rsidRPr="005E7B8F" w:rsidRDefault="005E7B8F" w:rsidP="005E7B8F">
            <w:pPr>
              <w:rPr>
                <w:rFonts w:ascii="Times New Roman" w:eastAsia="Times New Roman" w:hAnsi="Times New Roman" w:cs="Times New Roman"/>
                <w:color w:val="000000"/>
                <w:u w:val="single"/>
              </w:rPr>
            </w:pPr>
            <w:r w:rsidRPr="005E7B8F">
              <w:rPr>
                <w:rFonts w:ascii="Times New Roman" w:eastAsia="Times New Roman" w:hAnsi="Times New Roman" w:cs="Times New Roman"/>
                <w:color w:val="000000"/>
                <w:u w:val="single"/>
              </w:rPr>
              <w:t>Pre-exposure</w:t>
            </w:r>
          </w:p>
          <w:p w14:paraId="294A8AFA" w14:textId="77777777" w:rsidR="005E7B8F" w:rsidRPr="005E7B8F" w:rsidRDefault="005E7B8F" w:rsidP="005E7B8F">
            <w:pPr>
              <w:rPr>
                <w:rFonts w:ascii="Times New Roman" w:eastAsia="Times New Roman" w:hAnsi="Times New Roman" w:cs="Times New Roman"/>
                <w:i/>
                <w:iCs/>
                <w:color w:val="000000"/>
              </w:rPr>
            </w:pPr>
            <w:r w:rsidRPr="005E7B8F">
              <w:rPr>
                <w:rFonts w:ascii="Times New Roman" w:eastAsia="Times New Roman" w:hAnsi="Times New Roman" w:cs="Times New Roman"/>
                <w:i/>
                <w:iCs/>
                <w:color w:val="000000"/>
              </w:rPr>
              <w:t>Shell length</w:t>
            </w:r>
          </w:p>
        </w:tc>
        <w:tc>
          <w:tcPr>
            <w:tcW w:w="851" w:type="dxa"/>
            <w:tcBorders>
              <w:top w:val="nil"/>
              <w:left w:val="nil"/>
              <w:bottom w:val="nil"/>
              <w:right w:val="nil"/>
            </w:tcBorders>
            <w:shd w:val="clear" w:color="auto" w:fill="auto"/>
            <w:noWrap/>
            <w:vAlign w:val="bottom"/>
            <w:hideMark/>
          </w:tcPr>
          <w:p w14:paraId="2BC25464" w14:textId="77777777" w:rsidR="005E7B8F" w:rsidRPr="005E7B8F" w:rsidRDefault="005E7B8F" w:rsidP="005E7B8F">
            <w:pPr>
              <w:rPr>
                <w:rFonts w:ascii="Times New Roman" w:eastAsia="Times New Roman" w:hAnsi="Times New Roman" w:cs="Times New Roman"/>
                <w:b/>
                <w:bCs/>
                <w:color w:val="000000"/>
              </w:rPr>
            </w:pPr>
          </w:p>
        </w:tc>
        <w:tc>
          <w:tcPr>
            <w:tcW w:w="1275" w:type="dxa"/>
            <w:tcBorders>
              <w:top w:val="nil"/>
              <w:left w:val="nil"/>
              <w:bottom w:val="nil"/>
              <w:right w:val="nil"/>
            </w:tcBorders>
            <w:shd w:val="clear" w:color="auto" w:fill="auto"/>
            <w:noWrap/>
            <w:vAlign w:val="bottom"/>
            <w:hideMark/>
          </w:tcPr>
          <w:p w14:paraId="592C4350" w14:textId="77777777" w:rsidR="005E7B8F" w:rsidRPr="005E7B8F" w:rsidRDefault="005E7B8F" w:rsidP="005E7B8F">
            <w:pPr>
              <w:rPr>
                <w:rFonts w:ascii="Times New Roman" w:eastAsia="Times New Roman" w:hAnsi="Times New Roman" w:cs="Times New Roman"/>
                <w:sz w:val="20"/>
                <w:szCs w:val="20"/>
              </w:rPr>
            </w:pPr>
          </w:p>
        </w:tc>
        <w:tc>
          <w:tcPr>
            <w:tcW w:w="1134" w:type="dxa"/>
            <w:tcBorders>
              <w:top w:val="nil"/>
              <w:left w:val="nil"/>
              <w:bottom w:val="nil"/>
              <w:right w:val="nil"/>
            </w:tcBorders>
            <w:shd w:val="clear" w:color="auto" w:fill="auto"/>
            <w:noWrap/>
            <w:vAlign w:val="bottom"/>
            <w:hideMark/>
          </w:tcPr>
          <w:p w14:paraId="121F3CBE" w14:textId="77777777" w:rsidR="005E7B8F" w:rsidRPr="005E7B8F" w:rsidRDefault="005E7B8F" w:rsidP="005E7B8F">
            <w:pPr>
              <w:rPr>
                <w:rFonts w:ascii="Times New Roman" w:eastAsia="Times New Roman" w:hAnsi="Times New Roman" w:cs="Times New Roman"/>
                <w:sz w:val="20"/>
                <w:szCs w:val="20"/>
              </w:rPr>
            </w:pPr>
          </w:p>
        </w:tc>
        <w:tc>
          <w:tcPr>
            <w:tcW w:w="993" w:type="dxa"/>
            <w:tcBorders>
              <w:top w:val="nil"/>
              <w:left w:val="nil"/>
              <w:bottom w:val="nil"/>
              <w:right w:val="nil"/>
            </w:tcBorders>
            <w:shd w:val="clear" w:color="auto" w:fill="auto"/>
            <w:noWrap/>
            <w:vAlign w:val="bottom"/>
            <w:hideMark/>
          </w:tcPr>
          <w:p w14:paraId="5369EEFC" w14:textId="77777777" w:rsidR="005E7B8F" w:rsidRPr="005E7B8F" w:rsidRDefault="005E7B8F" w:rsidP="005E7B8F">
            <w:pPr>
              <w:rPr>
                <w:rFonts w:ascii="Times New Roman" w:eastAsia="Times New Roman" w:hAnsi="Times New Roman" w:cs="Times New Roman"/>
                <w:sz w:val="20"/>
                <w:szCs w:val="20"/>
              </w:rPr>
            </w:pPr>
          </w:p>
        </w:tc>
        <w:tc>
          <w:tcPr>
            <w:tcW w:w="1134" w:type="dxa"/>
            <w:tcBorders>
              <w:top w:val="nil"/>
              <w:left w:val="nil"/>
              <w:bottom w:val="nil"/>
              <w:right w:val="nil"/>
            </w:tcBorders>
            <w:shd w:val="clear" w:color="auto" w:fill="auto"/>
            <w:noWrap/>
            <w:vAlign w:val="bottom"/>
            <w:hideMark/>
          </w:tcPr>
          <w:p w14:paraId="22020899" w14:textId="77777777" w:rsidR="005E7B8F" w:rsidRPr="005E7B8F" w:rsidRDefault="005E7B8F" w:rsidP="005E7B8F">
            <w:pPr>
              <w:jc w:val="right"/>
              <w:rPr>
                <w:rFonts w:ascii="Times New Roman" w:eastAsia="Times New Roman" w:hAnsi="Times New Roman" w:cs="Times New Roman"/>
                <w:sz w:val="20"/>
                <w:szCs w:val="20"/>
              </w:rPr>
            </w:pPr>
          </w:p>
        </w:tc>
      </w:tr>
      <w:tr w:rsidR="005E7B8F" w:rsidRPr="005E7B8F" w14:paraId="17E11AAC" w14:textId="77777777" w:rsidTr="005E7B8F">
        <w:trPr>
          <w:trHeight w:val="320"/>
        </w:trPr>
        <w:tc>
          <w:tcPr>
            <w:tcW w:w="1843" w:type="dxa"/>
            <w:tcBorders>
              <w:top w:val="nil"/>
              <w:left w:val="nil"/>
              <w:bottom w:val="nil"/>
              <w:right w:val="nil"/>
            </w:tcBorders>
            <w:shd w:val="clear" w:color="auto" w:fill="auto"/>
            <w:noWrap/>
            <w:vAlign w:val="bottom"/>
            <w:hideMark/>
          </w:tcPr>
          <w:p w14:paraId="70074C59"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Size class</w:t>
            </w:r>
          </w:p>
        </w:tc>
        <w:tc>
          <w:tcPr>
            <w:tcW w:w="851" w:type="dxa"/>
            <w:tcBorders>
              <w:top w:val="nil"/>
              <w:left w:val="nil"/>
              <w:bottom w:val="nil"/>
              <w:right w:val="nil"/>
            </w:tcBorders>
            <w:shd w:val="clear" w:color="auto" w:fill="auto"/>
            <w:noWrap/>
            <w:vAlign w:val="bottom"/>
            <w:hideMark/>
          </w:tcPr>
          <w:p w14:paraId="6308D755"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1</w:t>
            </w:r>
          </w:p>
        </w:tc>
        <w:tc>
          <w:tcPr>
            <w:tcW w:w="1275" w:type="dxa"/>
            <w:tcBorders>
              <w:top w:val="nil"/>
              <w:left w:val="nil"/>
              <w:bottom w:val="nil"/>
              <w:right w:val="nil"/>
            </w:tcBorders>
            <w:shd w:val="clear" w:color="auto" w:fill="auto"/>
            <w:noWrap/>
            <w:vAlign w:val="bottom"/>
            <w:hideMark/>
          </w:tcPr>
          <w:p w14:paraId="6539D262"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8619.8</w:t>
            </w:r>
          </w:p>
        </w:tc>
        <w:tc>
          <w:tcPr>
            <w:tcW w:w="1134" w:type="dxa"/>
            <w:tcBorders>
              <w:top w:val="nil"/>
              <w:left w:val="nil"/>
              <w:bottom w:val="nil"/>
              <w:right w:val="nil"/>
            </w:tcBorders>
            <w:shd w:val="clear" w:color="auto" w:fill="auto"/>
            <w:noWrap/>
            <w:vAlign w:val="bottom"/>
            <w:hideMark/>
          </w:tcPr>
          <w:p w14:paraId="7648F920"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8619.8</w:t>
            </w:r>
          </w:p>
        </w:tc>
        <w:tc>
          <w:tcPr>
            <w:tcW w:w="993" w:type="dxa"/>
            <w:tcBorders>
              <w:top w:val="nil"/>
              <w:left w:val="nil"/>
              <w:bottom w:val="nil"/>
              <w:right w:val="nil"/>
            </w:tcBorders>
            <w:shd w:val="clear" w:color="auto" w:fill="auto"/>
            <w:noWrap/>
            <w:vAlign w:val="bottom"/>
            <w:hideMark/>
          </w:tcPr>
          <w:p w14:paraId="688A46AB"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364.6</w:t>
            </w:r>
          </w:p>
        </w:tc>
        <w:tc>
          <w:tcPr>
            <w:tcW w:w="1134" w:type="dxa"/>
            <w:tcBorders>
              <w:top w:val="nil"/>
              <w:left w:val="nil"/>
              <w:bottom w:val="nil"/>
              <w:right w:val="nil"/>
            </w:tcBorders>
            <w:shd w:val="clear" w:color="auto" w:fill="auto"/>
            <w:noWrap/>
            <w:vAlign w:val="bottom"/>
            <w:hideMark/>
          </w:tcPr>
          <w:p w14:paraId="1BC60CAD" w14:textId="77777777" w:rsidR="005E7B8F" w:rsidRPr="005E7B8F" w:rsidRDefault="005E7B8F" w:rsidP="005E7B8F">
            <w:pPr>
              <w:jc w:val="right"/>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&lt;0.0001</w:t>
            </w:r>
          </w:p>
        </w:tc>
      </w:tr>
      <w:tr w:rsidR="005E7B8F" w:rsidRPr="005E7B8F" w14:paraId="718F0F12" w14:textId="77777777" w:rsidTr="005E7B8F">
        <w:trPr>
          <w:trHeight w:val="320"/>
        </w:trPr>
        <w:tc>
          <w:tcPr>
            <w:tcW w:w="1843" w:type="dxa"/>
            <w:tcBorders>
              <w:top w:val="nil"/>
              <w:left w:val="nil"/>
              <w:bottom w:val="nil"/>
              <w:right w:val="nil"/>
            </w:tcBorders>
            <w:shd w:val="clear" w:color="auto" w:fill="auto"/>
            <w:noWrap/>
            <w:vAlign w:val="bottom"/>
            <w:hideMark/>
          </w:tcPr>
          <w:p w14:paraId="31C8F973"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Residuals</w:t>
            </w:r>
          </w:p>
        </w:tc>
        <w:tc>
          <w:tcPr>
            <w:tcW w:w="851" w:type="dxa"/>
            <w:tcBorders>
              <w:top w:val="nil"/>
              <w:left w:val="nil"/>
              <w:bottom w:val="nil"/>
              <w:right w:val="nil"/>
            </w:tcBorders>
            <w:shd w:val="clear" w:color="auto" w:fill="auto"/>
            <w:noWrap/>
            <w:vAlign w:val="bottom"/>
            <w:hideMark/>
          </w:tcPr>
          <w:p w14:paraId="061676C4"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114</w:t>
            </w:r>
          </w:p>
        </w:tc>
        <w:tc>
          <w:tcPr>
            <w:tcW w:w="1275" w:type="dxa"/>
            <w:tcBorders>
              <w:top w:val="nil"/>
              <w:left w:val="nil"/>
              <w:bottom w:val="nil"/>
              <w:right w:val="nil"/>
            </w:tcBorders>
            <w:shd w:val="clear" w:color="auto" w:fill="auto"/>
            <w:noWrap/>
            <w:vAlign w:val="bottom"/>
            <w:hideMark/>
          </w:tcPr>
          <w:p w14:paraId="26D6E358"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2694.9</w:t>
            </w:r>
          </w:p>
        </w:tc>
        <w:tc>
          <w:tcPr>
            <w:tcW w:w="1134" w:type="dxa"/>
            <w:tcBorders>
              <w:top w:val="nil"/>
              <w:left w:val="nil"/>
              <w:bottom w:val="nil"/>
              <w:right w:val="nil"/>
            </w:tcBorders>
            <w:shd w:val="clear" w:color="auto" w:fill="auto"/>
            <w:noWrap/>
            <w:vAlign w:val="bottom"/>
            <w:hideMark/>
          </w:tcPr>
          <w:p w14:paraId="1CDC6BE8"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23.6</w:t>
            </w:r>
          </w:p>
        </w:tc>
        <w:tc>
          <w:tcPr>
            <w:tcW w:w="993" w:type="dxa"/>
            <w:tcBorders>
              <w:top w:val="nil"/>
              <w:left w:val="nil"/>
              <w:bottom w:val="nil"/>
              <w:right w:val="nil"/>
            </w:tcBorders>
            <w:shd w:val="clear" w:color="auto" w:fill="auto"/>
            <w:noWrap/>
            <w:vAlign w:val="bottom"/>
            <w:hideMark/>
          </w:tcPr>
          <w:p w14:paraId="4F245AF4" w14:textId="77777777" w:rsidR="005E7B8F" w:rsidRPr="005E7B8F" w:rsidRDefault="005E7B8F" w:rsidP="005E7B8F">
            <w:pPr>
              <w:rPr>
                <w:rFonts w:ascii="Times New Roman" w:eastAsia="Times New Roman" w:hAnsi="Times New Roman" w:cs="Times New Roman"/>
                <w:color w:val="000000"/>
              </w:rPr>
            </w:pPr>
          </w:p>
        </w:tc>
        <w:tc>
          <w:tcPr>
            <w:tcW w:w="1134" w:type="dxa"/>
            <w:tcBorders>
              <w:top w:val="nil"/>
              <w:left w:val="nil"/>
              <w:bottom w:val="nil"/>
              <w:right w:val="nil"/>
            </w:tcBorders>
            <w:shd w:val="clear" w:color="auto" w:fill="auto"/>
            <w:noWrap/>
            <w:vAlign w:val="bottom"/>
            <w:hideMark/>
          </w:tcPr>
          <w:p w14:paraId="40C21AE8" w14:textId="77777777" w:rsidR="005E7B8F" w:rsidRPr="005E7B8F" w:rsidRDefault="005E7B8F" w:rsidP="005E7B8F">
            <w:pPr>
              <w:jc w:val="right"/>
              <w:rPr>
                <w:rFonts w:ascii="Times New Roman" w:eastAsia="Times New Roman" w:hAnsi="Times New Roman" w:cs="Times New Roman"/>
                <w:sz w:val="20"/>
                <w:szCs w:val="20"/>
              </w:rPr>
            </w:pPr>
          </w:p>
        </w:tc>
      </w:tr>
      <w:tr w:rsidR="005E7B8F" w:rsidRPr="005E7B8F" w14:paraId="3C4A9C1A" w14:textId="77777777" w:rsidTr="005E7B8F">
        <w:trPr>
          <w:trHeight w:val="320"/>
        </w:trPr>
        <w:tc>
          <w:tcPr>
            <w:tcW w:w="1843" w:type="dxa"/>
            <w:tcBorders>
              <w:top w:val="nil"/>
              <w:left w:val="nil"/>
              <w:bottom w:val="nil"/>
              <w:right w:val="nil"/>
            </w:tcBorders>
            <w:shd w:val="clear" w:color="auto" w:fill="auto"/>
            <w:noWrap/>
            <w:vAlign w:val="bottom"/>
            <w:hideMark/>
          </w:tcPr>
          <w:p w14:paraId="184208BF" w14:textId="77777777" w:rsidR="005E7B8F" w:rsidRPr="005E7B8F" w:rsidRDefault="005E7B8F" w:rsidP="005E7B8F">
            <w:pPr>
              <w:rPr>
                <w:rFonts w:ascii="Times New Roman" w:eastAsia="Times New Roman" w:hAnsi="Times New Roman" w:cs="Times New Roman"/>
                <w:sz w:val="20"/>
                <w:szCs w:val="20"/>
              </w:rPr>
            </w:pPr>
          </w:p>
        </w:tc>
        <w:tc>
          <w:tcPr>
            <w:tcW w:w="851" w:type="dxa"/>
            <w:tcBorders>
              <w:top w:val="nil"/>
              <w:left w:val="nil"/>
              <w:bottom w:val="nil"/>
              <w:right w:val="nil"/>
            </w:tcBorders>
            <w:shd w:val="clear" w:color="auto" w:fill="auto"/>
            <w:noWrap/>
            <w:vAlign w:val="bottom"/>
            <w:hideMark/>
          </w:tcPr>
          <w:p w14:paraId="38564DBF" w14:textId="77777777" w:rsidR="005E7B8F" w:rsidRPr="005E7B8F" w:rsidRDefault="005E7B8F" w:rsidP="005E7B8F">
            <w:pPr>
              <w:rPr>
                <w:rFonts w:ascii="Times New Roman" w:eastAsia="Times New Roman" w:hAnsi="Times New Roman" w:cs="Times New Roman"/>
                <w:sz w:val="20"/>
                <w:szCs w:val="20"/>
              </w:rPr>
            </w:pPr>
          </w:p>
        </w:tc>
        <w:tc>
          <w:tcPr>
            <w:tcW w:w="1275" w:type="dxa"/>
            <w:tcBorders>
              <w:top w:val="nil"/>
              <w:left w:val="nil"/>
              <w:bottom w:val="nil"/>
              <w:right w:val="nil"/>
            </w:tcBorders>
            <w:shd w:val="clear" w:color="auto" w:fill="auto"/>
            <w:noWrap/>
            <w:vAlign w:val="bottom"/>
            <w:hideMark/>
          </w:tcPr>
          <w:p w14:paraId="61F1615D" w14:textId="77777777" w:rsidR="005E7B8F" w:rsidRPr="005E7B8F" w:rsidRDefault="005E7B8F" w:rsidP="005E7B8F">
            <w:pPr>
              <w:rPr>
                <w:rFonts w:ascii="Times New Roman" w:eastAsia="Times New Roman" w:hAnsi="Times New Roman" w:cs="Times New Roman"/>
                <w:sz w:val="20"/>
                <w:szCs w:val="20"/>
              </w:rPr>
            </w:pPr>
          </w:p>
        </w:tc>
        <w:tc>
          <w:tcPr>
            <w:tcW w:w="1134" w:type="dxa"/>
            <w:tcBorders>
              <w:top w:val="nil"/>
              <w:left w:val="nil"/>
              <w:bottom w:val="nil"/>
              <w:right w:val="nil"/>
            </w:tcBorders>
            <w:shd w:val="clear" w:color="auto" w:fill="auto"/>
            <w:noWrap/>
            <w:vAlign w:val="bottom"/>
            <w:hideMark/>
          </w:tcPr>
          <w:p w14:paraId="043129D8" w14:textId="77777777" w:rsidR="005E7B8F" w:rsidRPr="005E7B8F" w:rsidRDefault="005E7B8F" w:rsidP="005E7B8F">
            <w:pPr>
              <w:rPr>
                <w:rFonts w:ascii="Times New Roman" w:eastAsia="Times New Roman" w:hAnsi="Times New Roman" w:cs="Times New Roman"/>
                <w:sz w:val="20"/>
                <w:szCs w:val="20"/>
              </w:rPr>
            </w:pPr>
          </w:p>
        </w:tc>
        <w:tc>
          <w:tcPr>
            <w:tcW w:w="993" w:type="dxa"/>
            <w:tcBorders>
              <w:top w:val="nil"/>
              <w:left w:val="nil"/>
              <w:bottom w:val="nil"/>
              <w:right w:val="nil"/>
            </w:tcBorders>
            <w:shd w:val="clear" w:color="auto" w:fill="auto"/>
            <w:noWrap/>
            <w:vAlign w:val="bottom"/>
            <w:hideMark/>
          </w:tcPr>
          <w:p w14:paraId="6D1EFD03" w14:textId="77777777" w:rsidR="005E7B8F" w:rsidRPr="005E7B8F" w:rsidRDefault="005E7B8F" w:rsidP="005E7B8F">
            <w:pPr>
              <w:rPr>
                <w:rFonts w:ascii="Times New Roman" w:eastAsia="Times New Roman" w:hAnsi="Times New Roman" w:cs="Times New Roman"/>
                <w:sz w:val="20"/>
                <w:szCs w:val="20"/>
              </w:rPr>
            </w:pPr>
          </w:p>
        </w:tc>
        <w:tc>
          <w:tcPr>
            <w:tcW w:w="1134" w:type="dxa"/>
            <w:tcBorders>
              <w:top w:val="nil"/>
              <w:left w:val="nil"/>
              <w:bottom w:val="nil"/>
              <w:right w:val="nil"/>
            </w:tcBorders>
            <w:shd w:val="clear" w:color="auto" w:fill="auto"/>
            <w:noWrap/>
            <w:vAlign w:val="bottom"/>
            <w:hideMark/>
          </w:tcPr>
          <w:p w14:paraId="58DD491C" w14:textId="77777777" w:rsidR="005E7B8F" w:rsidRPr="005E7B8F" w:rsidRDefault="005E7B8F" w:rsidP="005E7B8F">
            <w:pPr>
              <w:jc w:val="right"/>
              <w:rPr>
                <w:rFonts w:ascii="Times New Roman" w:eastAsia="Times New Roman" w:hAnsi="Times New Roman" w:cs="Times New Roman"/>
                <w:sz w:val="20"/>
                <w:szCs w:val="20"/>
              </w:rPr>
            </w:pPr>
          </w:p>
        </w:tc>
      </w:tr>
      <w:tr w:rsidR="005E7B8F" w:rsidRPr="005E7B8F" w14:paraId="305DF846" w14:textId="77777777" w:rsidTr="005E7B8F">
        <w:trPr>
          <w:trHeight w:val="320"/>
        </w:trPr>
        <w:tc>
          <w:tcPr>
            <w:tcW w:w="1843" w:type="dxa"/>
            <w:tcBorders>
              <w:top w:val="nil"/>
              <w:left w:val="nil"/>
              <w:bottom w:val="nil"/>
              <w:right w:val="nil"/>
            </w:tcBorders>
            <w:shd w:val="clear" w:color="auto" w:fill="auto"/>
            <w:noWrap/>
            <w:vAlign w:val="bottom"/>
            <w:hideMark/>
          </w:tcPr>
          <w:p w14:paraId="15535EA0" w14:textId="77777777" w:rsidR="005E7B8F" w:rsidRPr="005E7B8F" w:rsidRDefault="005E7B8F" w:rsidP="005E7B8F">
            <w:pPr>
              <w:rPr>
                <w:rFonts w:ascii="Times New Roman" w:eastAsia="Times New Roman" w:hAnsi="Times New Roman" w:cs="Times New Roman"/>
                <w:i/>
                <w:iCs/>
                <w:color w:val="000000"/>
              </w:rPr>
            </w:pPr>
            <w:r w:rsidRPr="005E7B8F">
              <w:rPr>
                <w:rFonts w:ascii="Times New Roman" w:eastAsia="Times New Roman" w:hAnsi="Times New Roman" w:cs="Times New Roman"/>
                <w:i/>
                <w:iCs/>
                <w:color w:val="000000"/>
              </w:rPr>
              <w:t>Wet weight</w:t>
            </w:r>
          </w:p>
        </w:tc>
        <w:tc>
          <w:tcPr>
            <w:tcW w:w="851" w:type="dxa"/>
            <w:tcBorders>
              <w:top w:val="nil"/>
              <w:left w:val="nil"/>
              <w:bottom w:val="nil"/>
              <w:right w:val="nil"/>
            </w:tcBorders>
            <w:shd w:val="clear" w:color="auto" w:fill="auto"/>
            <w:noWrap/>
            <w:vAlign w:val="bottom"/>
            <w:hideMark/>
          </w:tcPr>
          <w:p w14:paraId="3A61D70C" w14:textId="77777777" w:rsidR="005E7B8F" w:rsidRPr="005E7B8F" w:rsidRDefault="005E7B8F" w:rsidP="005E7B8F">
            <w:pPr>
              <w:rPr>
                <w:rFonts w:ascii="Times New Roman" w:eastAsia="Times New Roman" w:hAnsi="Times New Roman" w:cs="Times New Roman"/>
                <w:b/>
                <w:bCs/>
                <w:color w:val="000000"/>
              </w:rPr>
            </w:pPr>
          </w:p>
        </w:tc>
        <w:tc>
          <w:tcPr>
            <w:tcW w:w="1275" w:type="dxa"/>
            <w:tcBorders>
              <w:top w:val="nil"/>
              <w:left w:val="nil"/>
              <w:bottom w:val="nil"/>
              <w:right w:val="nil"/>
            </w:tcBorders>
            <w:shd w:val="clear" w:color="auto" w:fill="auto"/>
            <w:noWrap/>
            <w:vAlign w:val="bottom"/>
            <w:hideMark/>
          </w:tcPr>
          <w:p w14:paraId="5683C6AB" w14:textId="77777777" w:rsidR="005E7B8F" w:rsidRPr="005E7B8F" w:rsidRDefault="005E7B8F" w:rsidP="005E7B8F">
            <w:pPr>
              <w:rPr>
                <w:rFonts w:ascii="Times New Roman" w:eastAsia="Times New Roman" w:hAnsi="Times New Roman" w:cs="Times New Roman"/>
                <w:sz w:val="20"/>
                <w:szCs w:val="20"/>
              </w:rPr>
            </w:pPr>
          </w:p>
        </w:tc>
        <w:tc>
          <w:tcPr>
            <w:tcW w:w="1134" w:type="dxa"/>
            <w:tcBorders>
              <w:top w:val="nil"/>
              <w:left w:val="nil"/>
              <w:bottom w:val="nil"/>
              <w:right w:val="nil"/>
            </w:tcBorders>
            <w:shd w:val="clear" w:color="auto" w:fill="auto"/>
            <w:noWrap/>
            <w:vAlign w:val="bottom"/>
            <w:hideMark/>
          </w:tcPr>
          <w:p w14:paraId="186969C3" w14:textId="77777777" w:rsidR="005E7B8F" w:rsidRPr="005E7B8F" w:rsidRDefault="005E7B8F" w:rsidP="005E7B8F">
            <w:pPr>
              <w:rPr>
                <w:rFonts w:ascii="Times New Roman" w:eastAsia="Times New Roman" w:hAnsi="Times New Roman" w:cs="Times New Roman"/>
                <w:sz w:val="20"/>
                <w:szCs w:val="20"/>
              </w:rPr>
            </w:pPr>
          </w:p>
        </w:tc>
        <w:tc>
          <w:tcPr>
            <w:tcW w:w="993" w:type="dxa"/>
            <w:tcBorders>
              <w:top w:val="nil"/>
              <w:left w:val="nil"/>
              <w:bottom w:val="nil"/>
              <w:right w:val="nil"/>
            </w:tcBorders>
            <w:shd w:val="clear" w:color="auto" w:fill="auto"/>
            <w:noWrap/>
            <w:vAlign w:val="bottom"/>
            <w:hideMark/>
          </w:tcPr>
          <w:p w14:paraId="1F0B16F0" w14:textId="77777777" w:rsidR="005E7B8F" w:rsidRPr="005E7B8F" w:rsidRDefault="005E7B8F" w:rsidP="005E7B8F">
            <w:pPr>
              <w:rPr>
                <w:rFonts w:ascii="Times New Roman" w:eastAsia="Times New Roman" w:hAnsi="Times New Roman" w:cs="Times New Roman"/>
                <w:sz w:val="20"/>
                <w:szCs w:val="20"/>
              </w:rPr>
            </w:pPr>
          </w:p>
        </w:tc>
        <w:tc>
          <w:tcPr>
            <w:tcW w:w="1134" w:type="dxa"/>
            <w:tcBorders>
              <w:top w:val="nil"/>
              <w:left w:val="nil"/>
              <w:bottom w:val="nil"/>
              <w:right w:val="nil"/>
            </w:tcBorders>
            <w:shd w:val="clear" w:color="auto" w:fill="auto"/>
            <w:noWrap/>
            <w:vAlign w:val="bottom"/>
            <w:hideMark/>
          </w:tcPr>
          <w:p w14:paraId="077BB867" w14:textId="77777777" w:rsidR="005E7B8F" w:rsidRPr="005E7B8F" w:rsidRDefault="005E7B8F" w:rsidP="005E7B8F">
            <w:pPr>
              <w:jc w:val="right"/>
              <w:rPr>
                <w:rFonts w:ascii="Times New Roman" w:eastAsia="Times New Roman" w:hAnsi="Times New Roman" w:cs="Times New Roman"/>
                <w:sz w:val="20"/>
                <w:szCs w:val="20"/>
              </w:rPr>
            </w:pPr>
          </w:p>
        </w:tc>
      </w:tr>
      <w:tr w:rsidR="005E7B8F" w:rsidRPr="005E7B8F" w14:paraId="2E6DC909" w14:textId="77777777" w:rsidTr="005E7B8F">
        <w:trPr>
          <w:trHeight w:val="320"/>
        </w:trPr>
        <w:tc>
          <w:tcPr>
            <w:tcW w:w="1843" w:type="dxa"/>
            <w:tcBorders>
              <w:top w:val="nil"/>
              <w:left w:val="nil"/>
              <w:right w:val="nil"/>
            </w:tcBorders>
            <w:shd w:val="clear" w:color="auto" w:fill="auto"/>
            <w:noWrap/>
            <w:vAlign w:val="bottom"/>
            <w:hideMark/>
          </w:tcPr>
          <w:p w14:paraId="200A5964"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Size class</w:t>
            </w:r>
          </w:p>
        </w:tc>
        <w:tc>
          <w:tcPr>
            <w:tcW w:w="851" w:type="dxa"/>
            <w:tcBorders>
              <w:top w:val="nil"/>
              <w:left w:val="nil"/>
              <w:right w:val="nil"/>
            </w:tcBorders>
            <w:shd w:val="clear" w:color="auto" w:fill="auto"/>
            <w:noWrap/>
            <w:vAlign w:val="bottom"/>
            <w:hideMark/>
          </w:tcPr>
          <w:p w14:paraId="48142180"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1</w:t>
            </w:r>
          </w:p>
        </w:tc>
        <w:tc>
          <w:tcPr>
            <w:tcW w:w="1275" w:type="dxa"/>
            <w:tcBorders>
              <w:top w:val="nil"/>
              <w:left w:val="nil"/>
              <w:right w:val="nil"/>
            </w:tcBorders>
            <w:shd w:val="clear" w:color="auto" w:fill="auto"/>
            <w:noWrap/>
            <w:vAlign w:val="bottom"/>
            <w:hideMark/>
          </w:tcPr>
          <w:p w14:paraId="475612FA"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22.9</w:t>
            </w:r>
          </w:p>
        </w:tc>
        <w:tc>
          <w:tcPr>
            <w:tcW w:w="1134" w:type="dxa"/>
            <w:tcBorders>
              <w:top w:val="nil"/>
              <w:left w:val="nil"/>
              <w:right w:val="nil"/>
            </w:tcBorders>
            <w:shd w:val="clear" w:color="auto" w:fill="auto"/>
            <w:noWrap/>
            <w:vAlign w:val="bottom"/>
            <w:hideMark/>
          </w:tcPr>
          <w:p w14:paraId="4C22D4BD"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22.9</w:t>
            </w:r>
          </w:p>
        </w:tc>
        <w:tc>
          <w:tcPr>
            <w:tcW w:w="993" w:type="dxa"/>
            <w:tcBorders>
              <w:top w:val="nil"/>
              <w:left w:val="nil"/>
              <w:right w:val="nil"/>
            </w:tcBorders>
            <w:shd w:val="clear" w:color="auto" w:fill="auto"/>
            <w:noWrap/>
            <w:vAlign w:val="bottom"/>
            <w:hideMark/>
          </w:tcPr>
          <w:p w14:paraId="6F484148"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352.07</w:t>
            </w:r>
          </w:p>
        </w:tc>
        <w:tc>
          <w:tcPr>
            <w:tcW w:w="1134" w:type="dxa"/>
            <w:tcBorders>
              <w:top w:val="nil"/>
              <w:left w:val="nil"/>
              <w:right w:val="nil"/>
            </w:tcBorders>
            <w:shd w:val="clear" w:color="auto" w:fill="auto"/>
            <w:noWrap/>
            <w:vAlign w:val="bottom"/>
            <w:hideMark/>
          </w:tcPr>
          <w:p w14:paraId="41FD5334" w14:textId="77777777" w:rsidR="005E7B8F" w:rsidRPr="005E7B8F" w:rsidRDefault="005E7B8F" w:rsidP="005E7B8F">
            <w:pPr>
              <w:jc w:val="right"/>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&lt;0.0001</w:t>
            </w:r>
          </w:p>
        </w:tc>
      </w:tr>
      <w:tr w:rsidR="005E7B8F" w:rsidRPr="005E7B8F" w14:paraId="50F05C4F" w14:textId="77777777" w:rsidTr="005E7B8F">
        <w:trPr>
          <w:trHeight w:val="320"/>
        </w:trPr>
        <w:tc>
          <w:tcPr>
            <w:tcW w:w="1843" w:type="dxa"/>
            <w:tcBorders>
              <w:top w:val="nil"/>
              <w:left w:val="nil"/>
              <w:right w:val="nil"/>
            </w:tcBorders>
            <w:shd w:val="clear" w:color="auto" w:fill="auto"/>
            <w:noWrap/>
            <w:vAlign w:val="bottom"/>
            <w:hideMark/>
          </w:tcPr>
          <w:p w14:paraId="44C61B43"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Residuals</w:t>
            </w:r>
          </w:p>
        </w:tc>
        <w:tc>
          <w:tcPr>
            <w:tcW w:w="851" w:type="dxa"/>
            <w:tcBorders>
              <w:top w:val="nil"/>
              <w:left w:val="nil"/>
              <w:right w:val="nil"/>
            </w:tcBorders>
            <w:shd w:val="clear" w:color="auto" w:fill="auto"/>
            <w:noWrap/>
            <w:vAlign w:val="bottom"/>
            <w:hideMark/>
          </w:tcPr>
          <w:p w14:paraId="7F10ADA1"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114</w:t>
            </w:r>
          </w:p>
        </w:tc>
        <w:tc>
          <w:tcPr>
            <w:tcW w:w="1275" w:type="dxa"/>
            <w:tcBorders>
              <w:top w:val="nil"/>
              <w:left w:val="nil"/>
              <w:right w:val="nil"/>
            </w:tcBorders>
            <w:shd w:val="clear" w:color="auto" w:fill="auto"/>
            <w:noWrap/>
            <w:vAlign w:val="bottom"/>
            <w:hideMark/>
          </w:tcPr>
          <w:p w14:paraId="3DE206F4"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7.4</w:t>
            </w:r>
          </w:p>
        </w:tc>
        <w:tc>
          <w:tcPr>
            <w:tcW w:w="1134" w:type="dxa"/>
            <w:tcBorders>
              <w:top w:val="nil"/>
              <w:left w:val="nil"/>
              <w:right w:val="nil"/>
            </w:tcBorders>
            <w:shd w:val="clear" w:color="auto" w:fill="auto"/>
            <w:noWrap/>
            <w:vAlign w:val="bottom"/>
            <w:hideMark/>
          </w:tcPr>
          <w:p w14:paraId="23319616"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0.1</w:t>
            </w:r>
          </w:p>
        </w:tc>
        <w:tc>
          <w:tcPr>
            <w:tcW w:w="993" w:type="dxa"/>
            <w:tcBorders>
              <w:top w:val="nil"/>
              <w:left w:val="nil"/>
              <w:right w:val="nil"/>
            </w:tcBorders>
            <w:shd w:val="clear" w:color="auto" w:fill="auto"/>
            <w:noWrap/>
            <w:vAlign w:val="bottom"/>
            <w:hideMark/>
          </w:tcPr>
          <w:p w14:paraId="40577C7F" w14:textId="77777777" w:rsidR="005E7B8F" w:rsidRPr="005E7B8F" w:rsidRDefault="005E7B8F" w:rsidP="005E7B8F">
            <w:pPr>
              <w:rPr>
                <w:rFonts w:ascii="Times New Roman" w:eastAsia="Times New Roman" w:hAnsi="Times New Roman" w:cs="Times New Roman"/>
                <w:color w:val="000000"/>
              </w:rPr>
            </w:pPr>
          </w:p>
          <w:p w14:paraId="774FD7F2" w14:textId="77777777" w:rsidR="005E7B8F" w:rsidRPr="005E7B8F" w:rsidRDefault="005E7B8F" w:rsidP="005E7B8F">
            <w:pPr>
              <w:rPr>
                <w:rFonts w:ascii="Times New Roman" w:eastAsia="Times New Roman" w:hAnsi="Times New Roman" w:cs="Times New Roman"/>
                <w:color w:val="000000"/>
              </w:rPr>
            </w:pPr>
          </w:p>
        </w:tc>
        <w:tc>
          <w:tcPr>
            <w:tcW w:w="1134" w:type="dxa"/>
            <w:tcBorders>
              <w:top w:val="nil"/>
              <w:left w:val="nil"/>
              <w:right w:val="nil"/>
            </w:tcBorders>
            <w:shd w:val="clear" w:color="auto" w:fill="auto"/>
            <w:noWrap/>
            <w:vAlign w:val="bottom"/>
            <w:hideMark/>
          </w:tcPr>
          <w:p w14:paraId="4D1C4783" w14:textId="77777777" w:rsidR="005E7B8F" w:rsidRPr="005E7B8F" w:rsidRDefault="005E7B8F" w:rsidP="005E7B8F">
            <w:pPr>
              <w:jc w:val="right"/>
              <w:rPr>
                <w:rFonts w:ascii="Times New Roman" w:eastAsia="Times New Roman" w:hAnsi="Times New Roman" w:cs="Times New Roman"/>
                <w:color w:val="000000"/>
              </w:rPr>
            </w:pPr>
          </w:p>
        </w:tc>
      </w:tr>
      <w:tr w:rsidR="005E7B8F" w:rsidRPr="005E7B8F" w14:paraId="1B314336" w14:textId="77777777" w:rsidTr="005E7B8F">
        <w:trPr>
          <w:trHeight w:val="320"/>
        </w:trPr>
        <w:tc>
          <w:tcPr>
            <w:tcW w:w="1843" w:type="dxa"/>
            <w:tcBorders>
              <w:top w:val="nil"/>
              <w:left w:val="nil"/>
              <w:right w:val="nil"/>
            </w:tcBorders>
            <w:shd w:val="clear" w:color="auto" w:fill="auto"/>
            <w:noWrap/>
            <w:vAlign w:val="bottom"/>
            <w:hideMark/>
          </w:tcPr>
          <w:p w14:paraId="301215DF" w14:textId="77777777" w:rsidR="005E7B8F" w:rsidRPr="005E7B8F" w:rsidRDefault="005E7B8F" w:rsidP="005E7B8F">
            <w:pPr>
              <w:rPr>
                <w:rFonts w:ascii="Times New Roman" w:eastAsia="Times New Roman" w:hAnsi="Times New Roman" w:cs="Times New Roman"/>
                <w:color w:val="000000"/>
              </w:rPr>
            </w:pPr>
          </w:p>
          <w:p w14:paraId="40DDD751" w14:textId="77777777" w:rsidR="005E7B8F" w:rsidRPr="005E7B8F" w:rsidRDefault="005E7B8F" w:rsidP="005E7B8F">
            <w:pPr>
              <w:rPr>
                <w:rFonts w:ascii="Times New Roman" w:eastAsia="Times New Roman" w:hAnsi="Times New Roman" w:cs="Times New Roman"/>
                <w:color w:val="000000"/>
                <w:u w:val="single"/>
              </w:rPr>
            </w:pPr>
            <w:r w:rsidRPr="005E7B8F">
              <w:rPr>
                <w:rFonts w:ascii="Times New Roman" w:eastAsia="Times New Roman" w:hAnsi="Times New Roman" w:cs="Times New Roman"/>
                <w:color w:val="000000"/>
                <w:u w:val="single"/>
              </w:rPr>
              <w:t>Post exposure</w:t>
            </w:r>
          </w:p>
          <w:p w14:paraId="199A06F6" w14:textId="77777777" w:rsidR="005E7B8F" w:rsidRPr="005E7B8F" w:rsidRDefault="005E7B8F" w:rsidP="005E7B8F">
            <w:pPr>
              <w:rPr>
                <w:rFonts w:ascii="Times New Roman" w:eastAsia="Times New Roman" w:hAnsi="Times New Roman" w:cs="Times New Roman"/>
                <w:i/>
                <w:iCs/>
                <w:color w:val="000000"/>
              </w:rPr>
            </w:pPr>
            <w:r w:rsidRPr="005E7B8F">
              <w:rPr>
                <w:rFonts w:ascii="Times New Roman" w:eastAsia="Times New Roman" w:hAnsi="Times New Roman" w:cs="Times New Roman"/>
                <w:i/>
                <w:iCs/>
                <w:color w:val="000000"/>
              </w:rPr>
              <w:t>Shell length</w:t>
            </w:r>
          </w:p>
        </w:tc>
        <w:tc>
          <w:tcPr>
            <w:tcW w:w="851" w:type="dxa"/>
            <w:tcBorders>
              <w:top w:val="nil"/>
              <w:left w:val="nil"/>
              <w:right w:val="nil"/>
            </w:tcBorders>
            <w:shd w:val="clear" w:color="auto" w:fill="auto"/>
            <w:noWrap/>
            <w:vAlign w:val="bottom"/>
            <w:hideMark/>
          </w:tcPr>
          <w:p w14:paraId="4509B840" w14:textId="77777777" w:rsidR="005E7B8F" w:rsidRPr="005E7B8F" w:rsidRDefault="005E7B8F" w:rsidP="005E7B8F">
            <w:pPr>
              <w:rPr>
                <w:rFonts w:ascii="Times New Roman" w:eastAsia="Times New Roman" w:hAnsi="Times New Roman" w:cs="Times New Roman"/>
                <w:color w:val="000000"/>
              </w:rPr>
            </w:pPr>
          </w:p>
        </w:tc>
        <w:tc>
          <w:tcPr>
            <w:tcW w:w="1275" w:type="dxa"/>
            <w:tcBorders>
              <w:top w:val="nil"/>
              <w:left w:val="nil"/>
              <w:right w:val="nil"/>
            </w:tcBorders>
            <w:shd w:val="clear" w:color="auto" w:fill="auto"/>
            <w:noWrap/>
            <w:vAlign w:val="bottom"/>
            <w:hideMark/>
          </w:tcPr>
          <w:p w14:paraId="20EE4186" w14:textId="77777777" w:rsidR="005E7B8F" w:rsidRPr="005E7B8F" w:rsidRDefault="005E7B8F" w:rsidP="005E7B8F">
            <w:pPr>
              <w:rPr>
                <w:rFonts w:ascii="Times New Roman" w:eastAsia="Times New Roman" w:hAnsi="Times New Roman" w:cs="Times New Roman"/>
                <w:color w:val="000000"/>
              </w:rPr>
            </w:pPr>
          </w:p>
        </w:tc>
        <w:tc>
          <w:tcPr>
            <w:tcW w:w="1134" w:type="dxa"/>
            <w:tcBorders>
              <w:top w:val="nil"/>
              <w:left w:val="nil"/>
              <w:right w:val="nil"/>
            </w:tcBorders>
            <w:shd w:val="clear" w:color="auto" w:fill="auto"/>
            <w:noWrap/>
            <w:vAlign w:val="bottom"/>
            <w:hideMark/>
          </w:tcPr>
          <w:p w14:paraId="6F547616" w14:textId="77777777" w:rsidR="005E7B8F" w:rsidRPr="005E7B8F" w:rsidRDefault="005E7B8F" w:rsidP="005E7B8F">
            <w:pPr>
              <w:rPr>
                <w:rFonts w:ascii="Times New Roman" w:eastAsia="Times New Roman" w:hAnsi="Times New Roman" w:cs="Times New Roman"/>
                <w:color w:val="000000"/>
              </w:rPr>
            </w:pPr>
          </w:p>
        </w:tc>
        <w:tc>
          <w:tcPr>
            <w:tcW w:w="993" w:type="dxa"/>
            <w:tcBorders>
              <w:top w:val="nil"/>
              <w:left w:val="nil"/>
              <w:right w:val="nil"/>
            </w:tcBorders>
            <w:shd w:val="clear" w:color="auto" w:fill="auto"/>
            <w:noWrap/>
            <w:vAlign w:val="bottom"/>
            <w:hideMark/>
          </w:tcPr>
          <w:p w14:paraId="164323FA" w14:textId="77777777" w:rsidR="005E7B8F" w:rsidRPr="005E7B8F" w:rsidRDefault="005E7B8F" w:rsidP="005E7B8F">
            <w:pPr>
              <w:rPr>
                <w:rFonts w:ascii="Times New Roman" w:eastAsia="Times New Roman" w:hAnsi="Times New Roman" w:cs="Times New Roman"/>
                <w:color w:val="000000"/>
              </w:rPr>
            </w:pPr>
          </w:p>
        </w:tc>
        <w:tc>
          <w:tcPr>
            <w:tcW w:w="1134" w:type="dxa"/>
            <w:tcBorders>
              <w:top w:val="nil"/>
              <w:left w:val="nil"/>
              <w:right w:val="nil"/>
            </w:tcBorders>
            <w:shd w:val="clear" w:color="auto" w:fill="auto"/>
            <w:noWrap/>
            <w:vAlign w:val="bottom"/>
            <w:hideMark/>
          </w:tcPr>
          <w:p w14:paraId="28C7FC92" w14:textId="77777777" w:rsidR="005E7B8F" w:rsidRPr="005E7B8F" w:rsidRDefault="005E7B8F" w:rsidP="005E7B8F">
            <w:pPr>
              <w:jc w:val="right"/>
              <w:rPr>
                <w:rFonts w:ascii="Times New Roman" w:eastAsia="Times New Roman" w:hAnsi="Times New Roman" w:cs="Times New Roman"/>
                <w:color w:val="000000"/>
              </w:rPr>
            </w:pPr>
          </w:p>
        </w:tc>
      </w:tr>
      <w:tr w:rsidR="005E7B8F" w:rsidRPr="005E7B8F" w14:paraId="655A53A1" w14:textId="77777777" w:rsidTr="005E7B8F">
        <w:trPr>
          <w:trHeight w:val="320"/>
        </w:trPr>
        <w:tc>
          <w:tcPr>
            <w:tcW w:w="1843" w:type="dxa"/>
            <w:tcBorders>
              <w:top w:val="nil"/>
              <w:left w:val="nil"/>
              <w:right w:val="nil"/>
            </w:tcBorders>
            <w:shd w:val="clear" w:color="auto" w:fill="auto"/>
            <w:noWrap/>
            <w:vAlign w:val="bottom"/>
            <w:hideMark/>
          </w:tcPr>
          <w:p w14:paraId="4BEC1DBF"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Size class</w:t>
            </w:r>
          </w:p>
        </w:tc>
        <w:tc>
          <w:tcPr>
            <w:tcW w:w="851" w:type="dxa"/>
            <w:tcBorders>
              <w:top w:val="nil"/>
              <w:left w:val="nil"/>
              <w:right w:val="nil"/>
            </w:tcBorders>
            <w:shd w:val="clear" w:color="auto" w:fill="auto"/>
            <w:noWrap/>
            <w:vAlign w:val="bottom"/>
            <w:hideMark/>
          </w:tcPr>
          <w:p w14:paraId="3C3E0BE4"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1</w:t>
            </w:r>
          </w:p>
        </w:tc>
        <w:tc>
          <w:tcPr>
            <w:tcW w:w="1275" w:type="dxa"/>
            <w:tcBorders>
              <w:top w:val="nil"/>
              <w:left w:val="nil"/>
              <w:right w:val="nil"/>
            </w:tcBorders>
            <w:shd w:val="clear" w:color="auto" w:fill="auto"/>
            <w:noWrap/>
            <w:vAlign w:val="bottom"/>
            <w:hideMark/>
          </w:tcPr>
          <w:p w14:paraId="335B0C0F"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2.3</w:t>
            </w:r>
          </w:p>
        </w:tc>
        <w:tc>
          <w:tcPr>
            <w:tcW w:w="1134" w:type="dxa"/>
            <w:tcBorders>
              <w:top w:val="nil"/>
              <w:left w:val="nil"/>
              <w:right w:val="nil"/>
            </w:tcBorders>
            <w:shd w:val="clear" w:color="auto" w:fill="auto"/>
            <w:noWrap/>
            <w:vAlign w:val="bottom"/>
            <w:hideMark/>
          </w:tcPr>
          <w:p w14:paraId="46EA7A4F"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2.3</w:t>
            </w:r>
          </w:p>
        </w:tc>
        <w:tc>
          <w:tcPr>
            <w:tcW w:w="993" w:type="dxa"/>
            <w:tcBorders>
              <w:top w:val="nil"/>
              <w:left w:val="nil"/>
              <w:right w:val="nil"/>
            </w:tcBorders>
            <w:shd w:val="clear" w:color="auto" w:fill="auto"/>
            <w:noWrap/>
            <w:vAlign w:val="bottom"/>
            <w:hideMark/>
          </w:tcPr>
          <w:p w14:paraId="2C6300E4"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383.0</w:t>
            </w:r>
          </w:p>
        </w:tc>
        <w:tc>
          <w:tcPr>
            <w:tcW w:w="1134" w:type="dxa"/>
            <w:tcBorders>
              <w:top w:val="nil"/>
              <w:left w:val="nil"/>
              <w:right w:val="nil"/>
            </w:tcBorders>
            <w:shd w:val="clear" w:color="auto" w:fill="auto"/>
            <w:noWrap/>
            <w:vAlign w:val="bottom"/>
            <w:hideMark/>
          </w:tcPr>
          <w:p w14:paraId="6D25FCA6" w14:textId="77777777" w:rsidR="005E7B8F" w:rsidRPr="005E7B8F" w:rsidRDefault="005E7B8F" w:rsidP="005E7B8F">
            <w:pPr>
              <w:jc w:val="right"/>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&lt;0.0001</w:t>
            </w:r>
          </w:p>
        </w:tc>
      </w:tr>
      <w:tr w:rsidR="005E7B8F" w:rsidRPr="005E7B8F" w14:paraId="4797AFE7" w14:textId="77777777" w:rsidTr="005E7B8F">
        <w:trPr>
          <w:trHeight w:val="320"/>
        </w:trPr>
        <w:tc>
          <w:tcPr>
            <w:tcW w:w="1843" w:type="dxa"/>
            <w:tcBorders>
              <w:top w:val="nil"/>
              <w:left w:val="nil"/>
              <w:right w:val="nil"/>
            </w:tcBorders>
            <w:shd w:val="clear" w:color="auto" w:fill="auto"/>
            <w:noWrap/>
            <w:vAlign w:val="bottom"/>
            <w:hideMark/>
          </w:tcPr>
          <w:p w14:paraId="554733E9"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Residuals</w:t>
            </w:r>
          </w:p>
        </w:tc>
        <w:tc>
          <w:tcPr>
            <w:tcW w:w="851" w:type="dxa"/>
            <w:tcBorders>
              <w:top w:val="nil"/>
              <w:left w:val="nil"/>
              <w:right w:val="nil"/>
            </w:tcBorders>
            <w:shd w:val="clear" w:color="auto" w:fill="auto"/>
            <w:noWrap/>
            <w:vAlign w:val="bottom"/>
            <w:hideMark/>
          </w:tcPr>
          <w:p w14:paraId="279F451E"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114</w:t>
            </w:r>
          </w:p>
        </w:tc>
        <w:tc>
          <w:tcPr>
            <w:tcW w:w="1275" w:type="dxa"/>
            <w:tcBorders>
              <w:top w:val="nil"/>
              <w:left w:val="nil"/>
              <w:right w:val="nil"/>
            </w:tcBorders>
            <w:shd w:val="clear" w:color="auto" w:fill="auto"/>
            <w:noWrap/>
            <w:vAlign w:val="bottom"/>
            <w:hideMark/>
          </w:tcPr>
          <w:p w14:paraId="242B50B7"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0.7</w:t>
            </w:r>
          </w:p>
        </w:tc>
        <w:tc>
          <w:tcPr>
            <w:tcW w:w="1134" w:type="dxa"/>
            <w:tcBorders>
              <w:top w:val="nil"/>
              <w:left w:val="nil"/>
              <w:right w:val="nil"/>
            </w:tcBorders>
            <w:shd w:val="clear" w:color="auto" w:fill="auto"/>
            <w:noWrap/>
            <w:vAlign w:val="bottom"/>
            <w:hideMark/>
          </w:tcPr>
          <w:p w14:paraId="2CC43487"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0.0</w:t>
            </w:r>
          </w:p>
        </w:tc>
        <w:tc>
          <w:tcPr>
            <w:tcW w:w="993" w:type="dxa"/>
            <w:tcBorders>
              <w:top w:val="nil"/>
              <w:left w:val="nil"/>
              <w:right w:val="nil"/>
            </w:tcBorders>
            <w:shd w:val="clear" w:color="auto" w:fill="auto"/>
            <w:noWrap/>
            <w:vAlign w:val="bottom"/>
            <w:hideMark/>
          </w:tcPr>
          <w:p w14:paraId="7E1FF3C9" w14:textId="77777777" w:rsidR="005E7B8F" w:rsidRPr="005E7B8F" w:rsidRDefault="005E7B8F" w:rsidP="005E7B8F">
            <w:pPr>
              <w:rPr>
                <w:rFonts w:ascii="Times New Roman" w:eastAsia="Times New Roman" w:hAnsi="Times New Roman" w:cs="Times New Roman"/>
                <w:color w:val="000000"/>
              </w:rPr>
            </w:pPr>
          </w:p>
        </w:tc>
        <w:tc>
          <w:tcPr>
            <w:tcW w:w="1134" w:type="dxa"/>
            <w:tcBorders>
              <w:top w:val="nil"/>
              <w:left w:val="nil"/>
              <w:right w:val="nil"/>
            </w:tcBorders>
            <w:shd w:val="clear" w:color="auto" w:fill="auto"/>
            <w:noWrap/>
            <w:vAlign w:val="bottom"/>
            <w:hideMark/>
          </w:tcPr>
          <w:p w14:paraId="2AD85092" w14:textId="77777777" w:rsidR="005E7B8F" w:rsidRPr="005E7B8F" w:rsidRDefault="005E7B8F" w:rsidP="005E7B8F">
            <w:pPr>
              <w:jc w:val="right"/>
              <w:rPr>
                <w:rFonts w:ascii="Times New Roman" w:eastAsia="Times New Roman" w:hAnsi="Times New Roman" w:cs="Times New Roman"/>
                <w:color w:val="000000"/>
              </w:rPr>
            </w:pPr>
          </w:p>
        </w:tc>
      </w:tr>
      <w:tr w:rsidR="005E7B8F" w:rsidRPr="005E7B8F" w14:paraId="6ABA7E6F" w14:textId="77777777" w:rsidTr="005E7B8F">
        <w:trPr>
          <w:trHeight w:val="320"/>
        </w:trPr>
        <w:tc>
          <w:tcPr>
            <w:tcW w:w="1843" w:type="dxa"/>
            <w:tcBorders>
              <w:top w:val="nil"/>
              <w:left w:val="nil"/>
              <w:right w:val="nil"/>
            </w:tcBorders>
            <w:shd w:val="clear" w:color="auto" w:fill="auto"/>
            <w:noWrap/>
            <w:vAlign w:val="bottom"/>
            <w:hideMark/>
          </w:tcPr>
          <w:p w14:paraId="214419F8" w14:textId="77777777" w:rsidR="005E7B8F" w:rsidRPr="005E7B8F" w:rsidRDefault="005E7B8F" w:rsidP="005E7B8F">
            <w:pPr>
              <w:rPr>
                <w:rFonts w:ascii="Times New Roman" w:eastAsia="Times New Roman" w:hAnsi="Times New Roman" w:cs="Times New Roman"/>
                <w:color w:val="000000"/>
              </w:rPr>
            </w:pPr>
          </w:p>
        </w:tc>
        <w:tc>
          <w:tcPr>
            <w:tcW w:w="851" w:type="dxa"/>
            <w:tcBorders>
              <w:top w:val="nil"/>
              <w:left w:val="nil"/>
              <w:right w:val="nil"/>
            </w:tcBorders>
            <w:shd w:val="clear" w:color="auto" w:fill="auto"/>
            <w:noWrap/>
            <w:vAlign w:val="bottom"/>
            <w:hideMark/>
          </w:tcPr>
          <w:p w14:paraId="4CA50BE5" w14:textId="77777777" w:rsidR="005E7B8F" w:rsidRPr="005E7B8F" w:rsidRDefault="005E7B8F" w:rsidP="005E7B8F">
            <w:pPr>
              <w:rPr>
                <w:rFonts w:ascii="Times New Roman" w:eastAsia="Times New Roman" w:hAnsi="Times New Roman" w:cs="Times New Roman"/>
                <w:color w:val="000000"/>
              </w:rPr>
            </w:pPr>
          </w:p>
        </w:tc>
        <w:tc>
          <w:tcPr>
            <w:tcW w:w="1275" w:type="dxa"/>
            <w:tcBorders>
              <w:top w:val="nil"/>
              <w:left w:val="nil"/>
              <w:right w:val="nil"/>
            </w:tcBorders>
            <w:shd w:val="clear" w:color="auto" w:fill="auto"/>
            <w:noWrap/>
            <w:vAlign w:val="bottom"/>
            <w:hideMark/>
          </w:tcPr>
          <w:p w14:paraId="72C630FF" w14:textId="77777777" w:rsidR="005E7B8F" w:rsidRPr="005E7B8F" w:rsidRDefault="005E7B8F" w:rsidP="005E7B8F">
            <w:pPr>
              <w:rPr>
                <w:rFonts w:ascii="Times New Roman" w:eastAsia="Times New Roman" w:hAnsi="Times New Roman" w:cs="Times New Roman"/>
                <w:color w:val="000000"/>
              </w:rPr>
            </w:pPr>
          </w:p>
        </w:tc>
        <w:tc>
          <w:tcPr>
            <w:tcW w:w="1134" w:type="dxa"/>
            <w:tcBorders>
              <w:top w:val="nil"/>
              <w:left w:val="nil"/>
              <w:right w:val="nil"/>
            </w:tcBorders>
            <w:shd w:val="clear" w:color="auto" w:fill="auto"/>
            <w:noWrap/>
            <w:vAlign w:val="bottom"/>
            <w:hideMark/>
          </w:tcPr>
          <w:p w14:paraId="38529A8D" w14:textId="77777777" w:rsidR="005E7B8F" w:rsidRPr="005E7B8F" w:rsidRDefault="005E7B8F" w:rsidP="005E7B8F">
            <w:pPr>
              <w:rPr>
                <w:rFonts w:ascii="Times New Roman" w:eastAsia="Times New Roman" w:hAnsi="Times New Roman" w:cs="Times New Roman"/>
                <w:color w:val="000000"/>
              </w:rPr>
            </w:pPr>
          </w:p>
        </w:tc>
        <w:tc>
          <w:tcPr>
            <w:tcW w:w="993" w:type="dxa"/>
            <w:tcBorders>
              <w:top w:val="nil"/>
              <w:left w:val="nil"/>
              <w:right w:val="nil"/>
            </w:tcBorders>
            <w:shd w:val="clear" w:color="auto" w:fill="auto"/>
            <w:noWrap/>
            <w:vAlign w:val="bottom"/>
            <w:hideMark/>
          </w:tcPr>
          <w:p w14:paraId="53FFED10" w14:textId="77777777" w:rsidR="005E7B8F" w:rsidRPr="005E7B8F" w:rsidRDefault="005E7B8F" w:rsidP="005E7B8F">
            <w:pPr>
              <w:rPr>
                <w:rFonts w:ascii="Times New Roman" w:eastAsia="Times New Roman" w:hAnsi="Times New Roman" w:cs="Times New Roman"/>
                <w:color w:val="000000"/>
              </w:rPr>
            </w:pPr>
          </w:p>
        </w:tc>
        <w:tc>
          <w:tcPr>
            <w:tcW w:w="1134" w:type="dxa"/>
            <w:tcBorders>
              <w:top w:val="nil"/>
              <w:left w:val="nil"/>
              <w:right w:val="nil"/>
            </w:tcBorders>
            <w:shd w:val="clear" w:color="auto" w:fill="auto"/>
            <w:noWrap/>
            <w:vAlign w:val="bottom"/>
            <w:hideMark/>
          </w:tcPr>
          <w:p w14:paraId="1C36507D" w14:textId="77777777" w:rsidR="005E7B8F" w:rsidRPr="005E7B8F" w:rsidRDefault="005E7B8F" w:rsidP="005E7B8F">
            <w:pPr>
              <w:jc w:val="right"/>
              <w:rPr>
                <w:rFonts w:ascii="Times New Roman" w:eastAsia="Times New Roman" w:hAnsi="Times New Roman" w:cs="Times New Roman"/>
                <w:color w:val="000000"/>
              </w:rPr>
            </w:pPr>
          </w:p>
        </w:tc>
      </w:tr>
      <w:tr w:rsidR="005E7B8F" w:rsidRPr="005E7B8F" w14:paraId="3286957D" w14:textId="77777777" w:rsidTr="005E7B8F">
        <w:trPr>
          <w:trHeight w:val="320"/>
        </w:trPr>
        <w:tc>
          <w:tcPr>
            <w:tcW w:w="1843" w:type="dxa"/>
            <w:tcBorders>
              <w:top w:val="nil"/>
              <w:left w:val="nil"/>
              <w:right w:val="nil"/>
            </w:tcBorders>
            <w:shd w:val="clear" w:color="auto" w:fill="auto"/>
            <w:noWrap/>
            <w:vAlign w:val="bottom"/>
            <w:hideMark/>
          </w:tcPr>
          <w:p w14:paraId="0F915CEA" w14:textId="77777777" w:rsidR="005E7B8F" w:rsidRPr="005E7B8F" w:rsidRDefault="005E7B8F" w:rsidP="005E7B8F">
            <w:pPr>
              <w:rPr>
                <w:rFonts w:ascii="Times New Roman" w:eastAsia="Times New Roman" w:hAnsi="Times New Roman" w:cs="Times New Roman"/>
                <w:i/>
                <w:iCs/>
                <w:color w:val="000000"/>
              </w:rPr>
            </w:pPr>
            <w:r w:rsidRPr="005E7B8F">
              <w:rPr>
                <w:rFonts w:ascii="Times New Roman" w:eastAsia="Times New Roman" w:hAnsi="Times New Roman" w:cs="Times New Roman"/>
                <w:i/>
                <w:iCs/>
                <w:color w:val="000000"/>
              </w:rPr>
              <w:t>Wet weight</w:t>
            </w:r>
          </w:p>
        </w:tc>
        <w:tc>
          <w:tcPr>
            <w:tcW w:w="851" w:type="dxa"/>
            <w:tcBorders>
              <w:top w:val="nil"/>
              <w:left w:val="nil"/>
              <w:right w:val="nil"/>
            </w:tcBorders>
            <w:shd w:val="clear" w:color="auto" w:fill="auto"/>
            <w:noWrap/>
            <w:vAlign w:val="bottom"/>
            <w:hideMark/>
          </w:tcPr>
          <w:p w14:paraId="56A648C2" w14:textId="77777777" w:rsidR="005E7B8F" w:rsidRPr="005E7B8F" w:rsidRDefault="005E7B8F" w:rsidP="005E7B8F">
            <w:pPr>
              <w:rPr>
                <w:rFonts w:ascii="Times New Roman" w:eastAsia="Times New Roman" w:hAnsi="Times New Roman" w:cs="Times New Roman"/>
                <w:color w:val="000000"/>
              </w:rPr>
            </w:pPr>
          </w:p>
        </w:tc>
        <w:tc>
          <w:tcPr>
            <w:tcW w:w="1275" w:type="dxa"/>
            <w:tcBorders>
              <w:top w:val="nil"/>
              <w:left w:val="nil"/>
              <w:right w:val="nil"/>
            </w:tcBorders>
            <w:shd w:val="clear" w:color="auto" w:fill="auto"/>
            <w:noWrap/>
            <w:vAlign w:val="bottom"/>
            <w:hideMark/>
          </w:tcPr>
          <w:p w14:paraId="44422CD1" w14:textId="77777777" w:rsidR="005E7B8F" w:rsidRPr="005E7B8F" w:rsidRDefault="005E7B8F" w:rsidP="005E7B8F">
            <w:pPr>
              <w:rPr>
                <w:rFonts w:ascii="Times New Roman" w:eastAsia="Times New Roman" w:hAnsi="Times New Roman" w:cs="Times New Roman"/>
                <w:color w:val="000000"/>
              </w:rPr>
            </w:pPr>
          </w:p>
        </w:tc>
        <w:tc>
          <w:tcPr>
            <w:tcW w:w="1134" w:type="dxa"/>
            <w:tcBorders>
              <w:top w:val="nil"/>
              <w:left w:val="nil"/>
              <w:right w:val="nil"/>
            </w:tcBorders>
            <w:shd w:val="clear" w:color="auto" w:fill="auto"/>
            <w:noWrap/>
            <w:vAlign w:val="bottom"/>
            <w:hideMark/>
          </w:tcPr>
          <w:p w14:paraId="39BE2ECF" w14:textId="77777777" w:rsidR="005E7B8F" w:rsidRPr="005E7B8F" w:rsidRDefault="005E7B8F" w:rsidP="005E7B8F">
            <w:pPr>
              <w:rPr>
                <w:rFonts w:ascii="Times New Roman" w:eastAsia="Times New Roman" w:hAnsi="Times New Roman" w:cs="Times New Roman"/>
                <w:color w:val="000000"/>
              </w:rPr>
            </w:pPr>
          </w:p>
        </w:tc>
        <w:tc>
          <w:tcPr>
            <w:tcW w:w="993" w:type="dxa"/>
            <w:tcBorders>
              <w:top w:val="nil"/>
              <w:left w:val="nil"/>
              <w:right w:val="nil"/>
            </w:tcBorders>
            <w:shd w:val="clear" w:color="auto" w:fill="auto"/>
            <w:noWrap/>
            <w:vAlign w:val="bottom"/>
            <w:hideMark/>
          </w:tcPr>
          <w:p w14:paraId="50168FB8" w14:textId="77777777" w:rsidR="005E7B8F" w:rsidRPr="005E7B8F" w:rsidRDefault="005E7B8F" w:rsidP="005E7B8F">
            <w:pPr>
              <w:rPr>
                <w:rFonts w:ascii="Times New Roman" w:eastAsia="Times New Roman" w:hAnsi="Times New Roman" w:cs="Times New Roman"/>
                <w:color w:val="000000"/>
              </w:rPr>
            </w:pPr>
          </w:p>
        </w:tc>
        <w:tc>
          <w:tcPr>
            <w:tcW w:w="1134" w:type="dxa"/>
            <w:tcBorders>
              <w:top w:val="nil"/>
              <w:left w:val="nil"/>
              <w:right w:val="nil"/>
            </w:tcBorders>
            <w:shd w:val="clear" w:color="auto" w:fill="auto"/>
            <w:noWrap/>
            <w:vAlign w:val="bottom"/>
            <w:hideMark/>
          </w:tcPr>
          <w:p w14:paraId="0C945B7E" w14:textId="77777777" w:rsidR="005E7B8F" w:rsidRPr="005E7B8F" w:rsidRDefault="005E7B8F" w:rsidP="005E7B8F">
            <w:pPr>
              <w:jc w:val="right"/>
              <w:rPr>
                <w:rFonts w:ascii="Times New Roman" w:eastAsia="Times New Roman" w:hAnsi="Times New Roman" w:cs="Times New Roman"/>
                <w:color w:val="000000"/>
              </w:rPr>
            </w:pPr>
          </w:p>
        </w:tc>
      </w:tr>
      <w:tr w:rsidR="005E7B8F" w:rsidRPr="005E7B8F" w14:paraId="289B54CE" w14:textId="77777777" w:rsidTr="005E7B8F">
        <w:trPr>
          <w:trHeight w:val="320"/>
        </w:trPr>
        <w:tc>
          <w:tcPr>
            <w:tcW w:w="1843" w:type="dxa"/>
            <w:tcBorders>
              <w:top w:val="nil"/>
              <w:left w:val="nil"/>
              <w:right w:val="nil"/>
            </w:tcBorders>
            <w:shd w:val="clear" w:color="auto" w:fill="auto"/>
            <w:noWrap/>
            <w:vAlign w:val="bottom"/>
            <w:hideMark/>
          </w:tcPr>
          <w:p w14:paraId="7021B665"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Size class</w:t>
            </w:r>
          </w:p>
        </w:tc>
        <w:tc>
          <w:tcPr>
            <w:tcW w:w="851" w:type="dxa"/>
            <w:tcBorders>
              <w:top w:val="nil"/>
              <w:left w:val="nil"/>
              <w:right w:val="nil"/>
            </w:tcBorders>
            <w:shd w:val="clear" w:color="auto" w:fill="auto"/>
            <w:noWrap/>
            <w:vAlign w:val="bottom"/>
            <w:hideMark/>
          </w:tcPr>
          <w:p w14:paraId="585F46A9"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1</w:t>
            </w:r>
          </w:p>
        </w:tc>
        <w:tc>
          <w:tcPr>
            <w:tcW w:w="1275" w:type="dxa"/>
            <w:tcBorders>
              <w:top w:val="nil"/>
              <w:left w:val="nil"/>
              <w:right w:val="nil"/>
            </w:tcBorders>
            <w:shd w:val="clear" w:color="auto" w:fill="auto"/>
            <w:noWrap/>
            <w:vAlign w:val="bottom"/>
            <w:hideMark/>
          </w:tcPr>
          <w:p w14:paraId="5A26B8E7"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20.9</w:t>
            </w:r>
          </w:p>
        </w:tc>
        <w:tc>
          <w:tcPr>
            <w:tcW w:w="1134" w:type="dxa"/>
            <w:tcBorders>
              <w:top w:val="nil"/>
              <w:left w:val="nil"/>
              <w:right w:val="nil"/>
            </w:tcBorders>
            <w:shd w:val="clear" w:color="auto" w:fill="auto"/>
            <w:noWrap/>
            <w:vAlign w:val="bottom"/>
            <w:hideMark/>
          </w:tcPr>
          <w:p w14:paraId="1A906B42"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20.9</w:t>
            </w:r>
          </w:p>
        </w:tc>
        <w:tc>
          <w:tcPr>
            <w:tcW w:w="993" w:type="dxa"/>
            <w:tcBorders>
              <w:top w:val="nil"/>
              <w:left w:val="nil"/>
              <w:right w:val="nil"/>
            </w:tcBorders>
            <w:shd w:val="clear" w:color="auto" w:fill="auto"/>
            <w:noWrap/>
            <w:vAlign w:val="bottom"/>
            <w:hideMark/>
          </w:tcPr>
          <w:p w14:paraId="316F87B0"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3388.4</w:t>
            </w:r>
          </w:p>
        </w:tc>
        <w:tc>
          <w:tcPr>
            <w:tcW w:w="1134" w:type="dxa"/>
            <w:tcBorders>
              <w:top w:val="nil"/>
              <w:left w:val="nil"/>
              <w:right w:val="nil"/>
            </w:tcBorders>
            <w:shd w:val="clear" w:color="auto" w:fill="auto"/>
            <w:noWrap/>
            <w:vAlign w:val="bottom"/>
            <w:hideMark/>
          </w:tcPr>
          <w:p w14:paraId="1EB53412" w14:textId="77777777" w:rsidR="005E7B8F" w:rsidRPr="005E7B8F" w:rsidRDefault="005E7B8F" w:rsidP="005E7B8F">
            <w:pPr>
              <w:jc w:val="right"/>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&lt;0.0001</w:t>
            </w:r>
          </w:p>
        </w:tc>
      </w:tr>
      <w:tr w:rsidR="005E7B8F" w:rsidRPr="005E7B8F" w14:paraId="679C2A8D" w14:textId="77777777" w:rsidTr="005E7B8F">
        <w:trPr>
          <w:trHeight w:val="320"/>
        </w:trPr>
        <w:tc>
          <w:tcPr>
            <w:tcW w:w="1843" w:type="dxa"/>
            <w:tcBorders>
              <w:left w:val="nil"/>
              <w:bottom w:val="single" w:sz="4" w:space="0" w:color="auto"/>
              <w:right w:val="nil"/>
            </w:tcBorders>
            <w:shd w:val="clear" w:color="auto" w:fill="auto"/>
            <w:noWrap/>
            <w:vAlign w:val="bottom"/>
            <w:hideMark/>
          </w:tcPr>
          <w:p w14:paraId="6A113A80"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Residuals</w:t>
            </w:r>
          </w:p>
        </w:tc>
        <w:tc>
          <w:tcPr>
            <w:tcW w:w="851" w:type="dxa"/>
            <w:tcBorders>
              <w:left w:val="nil"/>
              <w:bottom w:val="single" w:sz="4" w:space="0" w:color="auto"/>
              <w:right w:val="nil"/>
            </w:tcBorders>
            <w:shd w:val="clear" w:color="auto" w:fill="auto"/>
            <w:noWrap/>
            <w:vAlign w:val="bottom"/>
            <w:hideMark/>
          </w:tcPr>
          <w:p w14:paraId="31FE2E45"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114</w:t>
            </w:r>
          </w:p>
        </w:tc>
        <w:tc>
          <w:tcPr>
            <w:tcW w:w="1275" w:type="dxa"/>
            <w:tcBorders>
              <w:left w:val="nil"/>
              <w:bottom w:val="single" w:sz="4" w:space="0" w:color="auto"/>
              <w:right w:val="nil"/>
            </w:tcBorders>
            <w:shd w:val="clear" w:color="auto" w:fill="auto"/>
            <w:noWrap/>
            <w:vAlign w:val="bottom"/>
            <w:hideMark/>
          </w:tcPr>
          <w:p w14:paraId="7F41EAE0"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6.1</w:t>
            </w:r>
          </w:p>
        </w:tc>
        <w:tc>
          <w:tcPr>
            <w:tcW w:w="1134" w:type="dxa"/>
            <w:tcBorders>
              <w:left w:val="nil"/>
              <w:bottom w:val="single" w:sz="4" w:space="0" w:color="auto"/>
              <w:right w:val="nil"/>
            </w:tcBorders>
            <w:shd w:val="clear" w:color="auto" w:fill="auto"/>
            <w:noWrap/>
            <w:vAlign w:val="bottom"/>
            <w:hideMark/>
          </w:tcPr>
          <w:p w14:paraId="1EDC7D1A"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0.1</w:t>
            </w:r>
          </w:p>
        </w:tc>
        <w:tc>
          <w:tcPr>
            <w:tcW w:w="993" w:type="dxa"/>
            <w:tcBorders>
              <w:left w:val="nil"/>
              <w:bottom w:val="single" w:sz="4" w:space="0" w:color="auto"/>
              <w:right w:val="nil"/>
            </w:tcBorders>
            <w:shd w:val="clear" w:color="auto" w:fill="auto"/>
            <w:noWrap/>
            <w:vAlign w:val="bottom"/>
            <w:hideMark/>
          </w:tcPr>
          <w:p w14:paraId="0BB80D50" w14:textId="77777777" w:rsidR="005E7B8F" w:rsidRPr="005E7B8F" w:rsidRDefault="005E7B8F" w:rsidP="005E7B8F">
            <w:pPr>
              <w:rPr>
                <w:rFonts w:ascii="Times New Roman" w:eastAsia="Times New Roman" w:hAnsi="Times New Roman" w:cs="Times New Roman"/>
                <w:color w:val="000000"/>
              </w:rPr>
            </w:pPr>
          </w:p>
        </w:tc>
        <w:tc>
          <w:tcPr>
            <w:tcW w:w="1134" w:type="dxa"/>
            <w:tcBorders>
              <w:left w:val="nil"/>
              <w:bottom w:val="single" w:sz="4" w:space="0" w:color="auto"/>
              <w:right w:val="nil"/>
            </w:tcBorders>
            <w:shd w:val="clear" w:color="auto" w:fill="auto"/>
            <w:noWrap/>
            <w:vAlign w:val="bottom"/>
            <w:hideMark/>
          </w:tcPr>
          <w:p w14:paraId="2EE378C0" w14:textId="77777777" w:rsidR="005E7B8F" w:rsidRPr="005E7B8F" w:rsidRDefault="005E7B8F" w:rsidP="005E7B8F">
            <w:pPr>
              <w:jc w:val="right"/>
              <w:rPr>
                <w:rFonts w:ascii="Times New Roman" w:eastAsia="Times New Roman" w:hAnsi="Times New Roman" w:cs="Times New Roman"/>
                <w:color w:val="000000"/>
              </w:rPr>
            </w:pPr>
          </w:p>
        </w:tc>
      </w:tr>
    </w:tbl>
    <w:p w14:paraId="6D194407" w14:textId="77777777" w:rsidR="005E7B8F" w:rsidRPr="005E7B8F" w:rsidRDefault="005E7B8F" w:rsidP="005E7B8F">
      <w:pPr>
        <w:suppressLineNumbers/>
        <w:rPr>
          <w:rFonts w:ascii="Times New Roman" w:eastAsia="Times New Roman" w:hAnsi="Times New Roman" w:cs="Times New Roman"/>
        </w:rPr>
      </w:pPr>
    </w:p>
    <w:p w14:paraId="7D53B474" w14:textId="77777777" w:rsidR="005E7B8F" w:rsidRPr="005E7B8F" w:rsidRDefault="005E7B8F" w:rsidP="005E7B8F">
      <w:pPr>
        <w:suppressLineNumbers/>
        <w:rPr>
          <w:rFonts w:ascii="Times New Roman" w:eastAsia="Times New Roman" w:hAnsi="Times New Roman" w:cs="Times New Roman"/>
        </w:rPr>
      </w:pPr>
    </w:p>
    <w:p w14:paraId="0F3EC659" w14:textId="77777777" w:rsidR="005E7B8F" w:rsidRPr="005E7B8F" w:rsidRDefault="005E7B8F" w:rsidP="005E7B8F">
      <w:pPr>
        <w:suppressLineNumbers/>
        <w:rPr>
          <w:rFonts w:ascii="Times New Roman" w:eastAsia="Times New Roman" w:hAnsi="Times New Roman" w:cs="Times New Roman"/>
        </w:rPr>
      </w:pPr>
    </w:p>
    <w:p w14:paraId="764BEFB6" w14:textId="77777777" w:rsidR="005E7B8F" w:rsidRPr="005E7B8F" w:rsidRDefault="005E7B8F" w:rsidP="005E7B8F">
      <w:pPr>
        <w:suppressLineNumbers/>
        <w:rPr>
          <w:rFonts w:ascii="Times New Roman" w:eastAsia="Times New Roman" w:hAnsi="Times New Roman" w:cs="Times New Roman"/>
        </w:rPr>
      </w:pPr>
    </w:p>
    <w:p w14:paraId="5A381FD6" w14:textId="77777777" w:rsidR="005E7B8F" w:rsidRPr="005E7B8F" w:rsidRDefault="005E7B8F" w:rsidP="005E7B8F">
      <w:pPr>
        <w:suppressLineNumbers/>
        <w:rPr>
          <w:rFonts w:ascii="Times New Roman" w:eastAsia="Times New Roman" w:hAnsi="Times New Roman" w:cs="Times New Roman"/>
          <w:b/>
          <w:bCs/>
        </w:rPr>
      </w:pPr>
    </w:p>
    <w:p w14:paraId="362A455C" w14:textId="77777777" w:rsidR="005E7B8F" w:rsidRPr="005E7B8F" w:rsidRDefault="005E7B8F" w:rsidP="005E7B8F">
      <w:pPr>
        <w:suppressLineNumbers/>
        <w:rPr>
          <w:rFonts w:ascii="Times New Roman" w:eastAsia="Times New Roman" w:hAnsi="Times New Roman" w:cs="Times New Roman"/>
          <w:b/>
          <w:bCs/>
        </w:rPr>
      </w:pPr>
    </w:p>
    <w:p w14:paraId="0EB3B47D" w14:textId="77777777" w:rsidR="005E7B8F" w:rsidRPr="005E7B8F" w:rsidRDefault="005E7B8F" w:rsidP="005E7B8F">
      <w:pPr>
        <w:suppressLineNumbers/>
        <w:rPr>
          <w:rFonts w:ascii="Times New Roman" w:eastAsia="Times New Roman" w:hAnsi="Times New Roman" w:cs="Times New Roman"/>
          <w:b/>
          <w:bCs/>
        </w:rPr>
      </w:pPr>
    </w:p>
    <w:p w14:paraId="1F1FDFA0" w14:textId="77777777" w:rsidR="005E7B8F" w:rsidRPr="005E7B8F" w:rsidRDefault="005E7B8F" w:rsidP="005E7B8F">
      <w:pPr>
        <w:suppressLineNumbers/>
        <w:rPr>
          <w:rFonts w:ascii="Times New Roman" w:eastAsia="Times New Roman" w:hAnsi="Times New Roman" w:cs="Times New Roman"/>
          <w:b/>
          <w:bCs/>
        </w:rPr>
      </w:pPr>
    </w:p>
    <w:p w14:paraId="24D2CA27" w14:textId="77777777" w:rsidR="005E7B8F" w:rsidRPr="005E7B8F" w:rsidRDefault="005E7B8F" w:rsidP="005E7B8F">
      <w:pPr>
        <w:suppressLineNumbers/>
        <w:rPr>
          <w:rFonts w:ascii="Times New Roman" w:eastAsia="Times New Roman" w:hAnsi="Times New Roman" w:cs="Times New Roman"/>
          <w:b/>
          <w:bCs/>
        </w:rPr>
      </w:pPr>
    </w:p>
    <w:p w14:paraId="45A20984" w14:textId="77777777" w:rsidR="005E7B8F" w:rsidRPr="005E7B8F" w:rsidRDefault="005E7B8F" w:rsidP="005E7B8F">
      <w:pPr>
        <w:suppressLineNumbers/>
        <w:rPr>
          <w:rFonts w:ascii="Times New Roman" w:eastAsia="Times New Roman" w:hAnsi="Times New Roman" w:cs="Times New Roman"/>
          <w:b/>
          <w:bCs/>
        </w:rPr>
      </w:pPr>
    </w:p>
    <w:p w14:paraId="7453F480" w14:textId="77777777" w:rsidR="005E7B8F" w:rsidRPr="005E7B8F" w:rsidRDefault="005E7B8F" w:rsidP="005E7B8F">
      <w:pPr>
        <w:suppressLineNumbers/>
        <w:rPr>
          <w:rFonts w:ascii="Times New Roman" w:eastAsia="Times New Roman" w:hAnsi="Times New Roman" w:cs="Times New Roman"/>
          <w:b/>
          <w:bCs/>
        </w:rPr>
      </w:pPr>
    </w:p>
    <w:p w14:paraId="53D7D3C0" w14:textId="77777777" w:rsidR="005E7B8F" w:rsidRPr="005E7B8F" w:rsidRDefault="005E7B8F" w:rsidP="005E7B8F">
      <w:pPr>
        <w:suppressLineNumbers/>
        <w:rPr>
          <w:rFonts w:ascii="Times New Roman" w:eastAsia="Times New Roman" w:hAnsi="Times New Roman" w:cs="Times New Roman"/>
          <w:b/>
          <w:bCs/>
        </w:rPr>
      </w:pPr>
    </w:p>
    <w:p w14:paraId="19E35354" w14:textId="77777777" w:rsidR="005E7B8F" w:rsidRPr="005E7B8F" w:rsidRDefault="005E7B8F" w:rsidP="005E7B8F">
      <w:pPr>
        <w:suppressLineNumbers/>
        <w:rPr>
          <w:rFonts w:ascii="Times New Roman" w:eastAsia="Times New Roman" w:hAnsi="Times New Roman" w:cs="Times New Roman"/>
          <w:b/>
          <w:bCs/>
        </w:rPr>
      </w:pPr>
    </w:p>
    <w:p w14:paraId="41008A8B" w14:textId="77777777" w:rsidR="005E7B8F" w:rsidRPr="005E7B8F" w:rsidRDefault="005E7B8F" w:rsidP="005E7B8F">
      <w:pPr>
        <w:suppressLineNumbers/>
        <w:rPr>
          <w:rFonts w:ascii="Times New Roman" w:eastAsia="Times New Roman" w:hAnsi="Times New Roman" w:cs="Times New Roman"/>
          <w:b/>
          <w:bCs/>
        </w:rPr>
      </w:pPr>
    </w:p>
    <w:p w14:paraId="4CCFC5D8" w14:textId="77777777" w:rsidR="005E7B8F" w:rsidRPr="005E7B8F" w:rsidRDefault="005E7B8F" w:rsidP="005E7B8F">
      <w:pPr>
        <w:suppressLineNumbers/>
        <w:rPr>
          <w:rFonts w:ascii="Times New Roman" w:eastAsia="Times New Roman" w:hAnsi="Times New Roman" w:cs="Times New Roman"/>
          <w:b/>
          <w:bCs/>
        </w:rPr>
      </w:pPr>
    </w:p>
    <w:p w14:paraId="59E5D705" w14:textId="77777777" w:rsidR="005E7B8F" w:rsidRPr="005E7B8F" w:rsidRDefault="005E7B8F" w:rsidP="005E7B8F">
      <w:pPr>
        <w:suppressLineNumbers/>
        <w:rPr>
          <w:rFonts w:ascii="Times New Roman" w:eastAsia="Times New Roman" w:hAnsi="Times New Roman" w:cs="Times New Roman"/>
          <w:b/>
          <w:bCs/>
        </w:rPr>
      </w:pPr>
    </w:p>
    <w:p w14:paraId="6176B5B4" w14:textId="77777777" w:rsidR="005E7B8F" w:rsidRPr="005E7B8F" w:rsidRDefault="005E7B8F" w:rsidP="005E7B8F">
      <w:pPr>
        <w:suppressLineNumbers/>
        <w:rPr>
          <w:rFonts w:ascii="Times New Roman" w:eastAsia="Times New Roman" w:hAnsi="Times New Roman" w:cs="Times New Roman"/>
          <w:b/>
          <w:bCs/>
        </w:rPr>
      </w:pPr>
    </w:p>
    <w:p w14:paraId="2225A0E5" w14:textId="77777777" w:rsidR="005E7B8F" w:rsidRPr="005E7B8F" w:rsidRDefault="005E7B8F" w:rsidP="005E7B8F">
      <w:pPr>
        <w:suppressLineNumbers/>
        <w:rPr>
          <w:rFonts w:ascii="Times New Roman" w:eastAsia="Times New Roman" w:hAnsi="Times New Roman" w:cs="Times New Roman"/>
          <w:b/>
          <w:bCs/>
        </w:rPr>
      </w:pPr>
    </w:p>
    <w:p w14:paraId="189A3741" w14:textId="77777777" w:rsidR="005E7B8F" w:rsidRPr="005E7B8F" w:rsidRDefault="005E7B8F" w:rsidP="005E7B8F">
      <w:pPr>
        <w:suppressLineNumbers/>
        <w:rPr>
          <w:rFonts w:ascii="Times New Roman" w:eastAsia="Times New Roman" w:hAnsi="Times New Roman" w:cs="Times New Roman"/>
          <w:b/>
          <w:bCs/>
        </w:rPr>
      </w:pPr>
    </w:p>
    <w:p w14:paraId="6F4665B8" w14:textId="77777777" w:rsidR="005E7B8F" w:rsidRPr="005E7B8F" w:rsidRDefault="005E7B8F" w:rsidP="005E7B8F">
      <w:pPr>
        <w:suppressLineNumbers/>
        <w:rPr>
          <w:rFonts w:ascii="Times New Roman" w:eastAsia="Times New Roman" w:hAnsi="Times New Roman" w:cs="Times New Roman"/>
          <w:color w:val="000000"/>
        </w:rPr>
      </w:pPr>
      <w:r w:rsidRPr="005E7B8F">
        <w:rPr>
          <w:rFonts w:ascii="Times New Roman" w:eastAsia="Times New Roman" w:hAnsi="Times New Roman" w:cs="Times New Roman"/>
          <w:b/>
          <w:bCs/>
        </w:rPr>
        <w:lastRenderedPageBreak/>
        <w:t xml:space="preserve">Table S2. </w:t>
      </w:r>
      <w:r w:rsidRPr="005E7B8F">
        <w:rPr>
          <w:rFonts w:ascii="Times New Roman" w:eastAsia="Times New Roman" w:hAnsi="Times New Roman" w:cs="Times New Roman"/>
        </w:rPr>
        <w:t xml:space="preserve">Results of generalized linear model analyses for effects of initial size (length or weight), </w:t>
      </w: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rPr>
        <w:t xml:space="preserve">, and temperature on changes in shell length (mm) and wet weight (g) between the beginning and the end of the exposure period. Bolded text denotes significant effects. </w:t>
      </w:r>
      <w:r w:rsidRPr="005E7B8F">
        <w:rPr>
          <w:rFonts w:ascii="Times New Roman" w:eastAsia="Times New Roman" w:hAnsi="Times New Roman" w:cs="Times New Roman"/>
          <w:color w:val="000000"/>
        </w:rPr>
        <w:sym w:font="Symbol" w:char="F063"/>
      </w:r>
      <w:r w:rsidRPr="005E7B8F">
        <w:rPr>
          <w:rFonts w:ascii="Times New Roman" w:eastAsia="Times New Roman" w:hAnsi="Times New Roman" w:cs="Times New Roman"/>
          <w:color w:val="000000"/>
          <w:vertAlign w:val="superscript"/>
        </w:rPr>
        <w:t>2</w:t>
      </w:r>
      <w:r w:rsidRPr="005E7B8F">
        <w:rPr>
          <w:rFonts w:ascii="Times New Roman" w:eastAsia="Times New Roman" w:hAnsi="Times New Roman" w:cs="Times New Roman"/>
          <w:color w:val="000000"/>
        </w:rPr>
        <w:t xml:space="preserve"> = chi-squared test statistic, df = degrees of freedom, </w:t>
      </w:r>
      <w:r w:rsidRPr="005E7B8F">
        <w:rPr>
          <w:rFonts w:ascii="Times New Roman" w:eastAsia="Times New Roman" w:hAnsi="Times New Roman" w:cs="Times New Roman"/>
          <w:i/>
          <w:iCs/>
          <w:color w:val="000000"/>
        </w:rPr>
        <w:t>P</w:t>
      </w:r>
      <w:r w:rsidRPr="005E7B8F">
        <w:rPr>
          <w:rFonts w:ascii="Times New Roman" w:eastAsia="Times New Roman" w:hAnsi="Times New Roman" w:cs="Times New Roman"/>
          <w:color w:val="000000"/>
        </w:rPr>
        <w:t xml:space="preserve"> = p-value.</w:t>
      </w:r>
    </w:p>
    <w:p w14:paraId="7AB92B04" w14:textId="77777777" w:rsidR="005E7B8F" w:rsidRPr="005E7B8F" w:rsidRDefault="005E7B8F" w:rsidP="005E7B8F">
      <w:pPr>
        <w:suppressLineNumbers/>
        <w:rPr>
          <w:rFonts w:ascii="Times New Roman" w:eastAsia="Times New Roman" w:hAnsi="Times New Roman" w:cs="Times New Roman"/>
          <w:color w:val="000000"/>
        </w:rPr>
      </w:pPr>
    </w:p>
    <w:tbl>
      <w:tblPr>
        <w:tblW w:w="6107" w:type="dxa"/>
        <w:tblLook w:val="04A0" w:firstRow="1" w:lastRow="0" w:firstColumn="1" w:lastColumn="0" w:noHBand="0" w:noVBand="1"/>
      </w:tblPr>
      <w:tblGrid>
        <w:gridCol w:w="2977"/>
        <w:gridCol w:w="1276"/>
        <w:gridCol w:w="850"/>
        <w:gridCol w:w="1013"/>
      </w:tblGrid>
      <w:tr w:rsidR="005E7B8F" w:rsidRPr="005E7B8F" w14:paraId="6982A0EF" w14:textId="77777777" w:rsidTr="005E7B8F">
        <w:trPr>
          <w:trHeight w:val="320"/>
        </w:trPr>
        <w:tc>
          <w:tcPr>
            <w:tcW w:w="2977" w:type="dxa"/>
            <w:tcBorders>
              <w:top w:val="single" w:sz="4" w:space="0" w:color="auto"/>
              <w:left w:val="nil"/>
              <w:bottom w:val="single" w:sz="4" w:space="0" w:color="auto"/>
              <w:right w:val="nil"/>
            </w:tcBorders>
            <w:shd w:val="clear" w:color="auto" w:fill="auto"/>
            <w:noWrap/>
            <w:vAlign w:val="bottom"/>
            <w:hideMark/>
          </w:tcPr>
          <w:p w14:paraId="2CB43D4D"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Source of error</w:t>
            </w:r>
          </w:p>
        </w:tc>
        <w:tc>
          <w:tcPr>
            <w:tcW w:w="1276" w:type="dxa"/>
            <w:tcBorders>
              <w:top w:val="single" w:sz="4" w:space="0" w:color="auto"/>
              <w:left w:val="nil"/>
              <w:bottom w:val="single" w:sz="4" w:space="0" w:color="auto"/>
              <w:right w:val="nil"/>
            </w:tcBorders>
            <w:shd w:val="clear" w:color="auto" w:fill="auto"/>
            <w:noWrap/>
            <w:vAlign w:val="bottom"/>
            <w:hideMark/>
          </w:tcPr>
          <w:p w14:paraId="19A08EC3"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sym w:font="Symbol" w:char="F063"/>
            </w:r>
            <w:r w:rsidRPr="005E7B8F">
              <w:rPr>
                <w:rFonts w:ascii="Times New Roman" w:eastAsia="Times New Roman" w:hAnsi="Times New Roman" w:cs="Times New Roman"/>
                <w:color w:val="000000"/>
                <w:vertAlign w:val="superscript"/>
              </w:rPr>
              <w:t>2</w:t>
            </w:r>
          </w:p>
        </w:tc>
        <w:tc>
          <w:tcPr>
            <w:tcW w:w="850" w:type="dxa"/>
            <w:tcBorders>
              <w:top w:val="single" w:sz="4" w:space="0" w:color="auto"/>
              <w:left w:val="nil"/>
              <w:bottom w:val="single" w:sz="4" w:space="0" w:color="auto"/>
              <w:right w:val="nil"/>
            </w:tcBorders>
            <w:shd w:val="clear" w:color="auto" w:fill="auto"/>
            <w:noWrap/>
            <w:vAlign w:val="bottom"/>
            <w:hideMark/>
          </w:tcPr>
          <w:p w14:paraId="3F9195DF"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df</w:t>
            </w:r>
          </w:p>
        </w:tc>
        <w:tc>
          <w:tcPr>
            <w:tcW w:w="1004" w:type="dxa"/>
            <w:tcBorders>
              <w:top w:val="single" w:sz="4" w:space="0" w:color="auto"/>
              <w:left w:val="nil"/>
              <w:bottom w:val="single" w:sz="4" w:space="0" w:color="auto"/>
              <w:right w:val="nil"/>
            </w:tcBorders>
            <w:shd w:val="clear" w:color="auto" w:fill="auto"/>
            <w:noWrap/>
            <w:vAlign w:val="bottom"/>
            <w:hideMark/>
          </w:tcPr>
          <w:p w14:paraId="4F2F6D58" w14:textId="77777777" w:rsidR="005E7B8F" w:rsidRPr="005E7B8F" w:rsidRDefault="005E7B8F" w:rsidP="005E7B8F">
            <w:pPr>
              <w:jc w:val="right"/>
              <w:rPr>
                <w:rFonts w:ascii="Times New Roman" w:eastAsia="Times New Roman" w:hAnsi="Times New Roman" w:cs="Times New Roman"/>
                <w:i/>
                <w:iCs/>
                <w:color w:val="000000"/>
              </w:rPr>
            </w:pPr>
            <w:r w:rsidRPr="005E7B8F">
              <w:rPr>
                <w:rFonts w:ascii="Times New Roman" w:eastAsia="Times New Roman" w:hAnsi="Times New Roman" w:cs="Times New Roman"/>
                <w:i/>
                <w:iCs/>
                <w:color w:val="000000"/>
              </w:rPr>
              <w:t>P</w:t>
            </w:r>
          </w:p>
        </w:tc>
      </w:tr>
      <w:tr w:rsidR="005E7B8F" w:rsidRPr="005E7B8F" w14:paraId="209229FC" w14:textId="77777777" w:rsidTr="005E7B8F">
        <w:trPr>
          <w:trHeight w:val="320"/>
        </w:trPr>
        <w:tc>
          <w:tcPr>
            <w:tcW w:w="2977" w:type="dxa"/>
            <w:tcBorders>
              <w:top w:val="nil"/>
              <w:left w:val="nil"/>
              <w:bottom w:val="nil"/>
              <w:right w:val="nil"/>
            </w:tcBorders>
            <w:shd w:val="clear" w:color="auto" w:fill="auto"/>
            <w:noWrap/>
            <w:vAlign w:val="bottom"/>
            <w:hideMark/>
          </w:tcPr>
          <w:p w14:paraId="5364D41A" w14:textId="77777777" w:rsidR="005E7B8F" w:rsidRPr="005E7B8F" w:rsidRDefault="005E7B8F" w:rsidP="005E7B8F">
            <w:pPr>
              <w:rPr>
                <w:rFonts w:ascii="Times New Roman" w:eastAsia="Times New Roman" w:hAnsi="Times New Roman" w:cs="Times New Roman"/>
                <w:i/>
                <w:iCs/>
                <w:color w:val="000000"/>
              </w:rPr>
            </w:pPr>
            <w:r w:rsidRPr="005E7B8F">
              <w:rPr>
                <w:rFonts w:ascii="Times New Roman" w:eastAsia="Times New Roman" w:hAnsi="Times New Roman" w:cs="Times New Roman"/>
                <w:i/>
                <w:iCs/>
                <w:color w:val="000000"/>
              </w:rPr>
              <w:t>Shell length</w:t>
            </w:r>
          </w:p>
        </w:tc>
        <w:tc>
          <w:tcPr>
            <w:tcW w:w="1276" w:type="dxa"/>
            <w:tcBorders>
              <w:top w:val="nil"/>
              <w:left w:val="nil"/>
              <w:bottom w:val="nil"/>
              <w:right w:val="nil"/>
            </w:tcBorders>
            <w:shd w:val="clear" w:color="auto" w:fill="auto"/>
            <w:noWrap/>
            <w:vAlign w:val="bottom"/>
            <w:hideMark/>
          </w:tcPr>
          <w:p w14:paraId="5E29DD22" w14:textId="77777777" w:rsidR="005E7B8F" w:rsidRPr="005E7B8F" w:rsidRDefault="005E7B8F" w:rsidP="005E7B8F">
            <w:pPr>
              <w:rPr>
                <w:rFonts w:ascii="Times New Roman" w:eastAsia="Times New Roman" w:hAnsi="Times New Roman" w:cs="Times New Roman"/>
                <w:i/>
                <w:iCs/>
                <w:color w:val="000000"/>
              </w:rPr>
            </w:pPr>
          </w:p>
        </w:tc>
        <w:tc>
          <w:tcPr>
            <w:tcW w:w="850" w:type="dxa"/>
            <w:tcBorders>
              <w:top w:val="nil"/>
              <w:left w:val="nil"/>
              <w:bottom w:val="nil"/>
              <w:right w:val="nil"/>
            </w:tcBorders>
            <w:shd w:val="clear" w:color="auto" w:fill="auto"/>
            <w:noWrap/>
            <w:vAlign w:val="bottom"/>
            <w:hideMark/>
          </w:tcPr>
          <w:p w14:paraId="07154C94" w14:textId="77777777" w:rsidR="005E7B8F" w:rsidRPr="005E7B8F" w:rsidRDefault="005E7B8F" w:rsidP="005E7B8F">
            <w:pPr>
              <w:rPr>
                <w:rFonts w:ascii="Times New Roman" w:eastAsia="Times New Roman" w:hAnsi="Times New Roman" w:cs="Times New Roman"/>
                <w:sz w:val="20"/>
                <w:szCs w:val="20"/>
              </w:rPr>
            </w:pPr>
          </w:p>
        </w:tc>
        <w:tc>
          <w:tcPr>
            <w:tcW w:w="1004" w:type="dxa"/>
            <w:tcBorders>
              <w:top w:val="nil"/>
              <w:left w:val="nil"/>
              <w:bottom w:val="nil"/>
              <w:right w:val="nil"/>
            </w:tcBorders>
            <w:shd w:val="clear" w:color="auto" w:fill="auto"/>
            <w:noWrap/>
            <w:vAlign w:val="bottom"/>
            <w:hideMark/>
          </w:tcPr>
          <w:p w14:paraId="57277A78" w14:textId="77777777" w:rsidR="005E7B8F" w:rsidRPr="005E7B8F" w:rsidRDefault="005E7B8F" w:rsidP="005E7B8F">
            <w:pPr>
              <w:jc w:val="right"/>
              <w:rPr>
                <w:rFonts w:ascii="Times New Roman" w:eastAsia="Times New Roman" w:hAnsi="Times New Roman" w:cs="Times New Roman"/>
                <w:sz w:val="20"/>
                <w:szCs w:val="20"/>
              </w:rPr>
            </w:pPr>
          </w:p>
        </w:tc>
      </w:tr>
      <w:tr w:rsidR="005E7B8F" w:rsidRPr="005E7B8F" w14:paraId="73A6DD95" w14:textId="77777777" w:rsidTr="005E7B8F">
        <w:trPr>
          <w:trHeight w:val="320"/>
        </w:trPr>
        <w:tc>
          <w:tcPr>
            <w:tcW w:w="2977" w:type="dxa"/>
            <w:tcBorders>
              <w:top w:val="nil"/>
              <w:left w:val="nil"/>
              <w:bottom w:val="nil"/>
              <w:right w:val="nil"/>
            </w:tcBorders>
            <w:shd w:val="clear" w:color="auto" w:fill="auto"/>
            <w:noWrap/>
            <w:vAlign w:val="center"/>
            <w:hideMark/>
          </w:tcPr>
          <w:p w14:paraId="22615A9A"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Initial length</w:t>
            </w:r>
          </w:p>
        </w:tc>
        <w:tc>
          <w:tcPr>
            <w:tcW w:w="1276" w:type="dxa"/>
            <w:tcBorders>
              <w:top w:val="nil"/>
              <w:left w:val="nil"/>
              <w:bottom w:val="nil"/>
              <w:right w:val="nil"/>
            </w:tcBorders>
            <w:shd w:val="clear" w:color="auto" w:fill="auto"/>
            <w:noWrap/>
            <w:vAlign w:val="bottom"/>
            <w:hideMark/>
          </w:tcPr>
          <w:p w14:paraId="0BDD8650"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20.12</w:t>
            </w:r>
          </w:p>
        </w:tc>
        <w:tc>
          <w:tcPr>
            <w:tcW w:w="850" w:type="dxa"/>
            <w:tcBorders>
              <w:top w:val="nil"/>
              <w:left w:val="nil"/>
              <w:bottom w:val="nil"/>
              <w:right w:val="nil"/>
            </w:tcBorders>
            <w:shd w:val="clear" w:color="auto" w:fill="auto"/>
            <w:noWrap/>
            <w:vAlign w:val="bottom"/>
            <w:hideMark/>
          </w:tcPr>
          <w:p w14:paraId="4C765FA9"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1</w:t>
            </w:r>
          </w:p>
        </w:tc>
        <w:tc>
          <w:tcPr>
            <w:tcW w:w="1004" w:type="dxa"/>
            <w:tcBorders>
              <w:top w:val="nil"/>
              <w:left w:val="nil"/>
              <w:bottom w:val="nil"/>
              <w:right w:val="nil"/>
            </w:tcBorders>
            <w:shd w:val="clear" w:color="auto" w:fill="auto"/>
            <w:noWrap/>
            <w:vAlign w:val="bottom"/>
            <w:hideMark/>
          </w:tcPr>
          <w:p w14:paraId="7440C3DD" w14:textId="77777777" w:rsidR="005E7B8F" w:rsidRPr="005E7B8F" w:rsidRDefault="005E7B8F" w:rsidP="005E7B8F">
            <w:pPr>
              <w:jc w:val="right"/>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&lt;0.0001</w:t>
            </w:r>
          </w:p>
        </w:tc>
      </w:tr>
      <w:tr w:rsidR="005E7B8F" w:rsidRPr="005E7B8F" w14:paraId="6F09F6C6" w14:textId="77777777" w:rsidTr="005E7B8F">
        <w:trPr>
          <w:trHeight w:val="320"/>
        </w:trPr>
        <w:tc>
          <w:tcPr>
            <w:tcW w:w="2977" w:type="dxa"/>
            <w:tcBorders>
              <w:top w:val="nil"/>
              <w:left w:val="nil"/>
              <w:bottom w:val="nil"/>
              <w:right w:val="nil"/>
            </w:tcBorders>
            <w:shd w:val="clear" w:color="auto" w:fill="auto"/>
            <w:noWrap/>
            <w:vAlign w:val="center"/>
            <w:hideMark/>
          </w:tcPr>
          <w:p w14:paraId="638F9756" w14:textId="77777777" w:rsidR="005E7B8F" w:rsidRPr="005E7B8F" w:rsidRDefault="005E7B8F" w:rsidP="005E7B8F">
            <w:pPr>
              <w:rPr>
                <w:rFonts w:ascii="Times New Roman" w:eastAsia="Times New Roman" w:hAnsi="Times New Roman" w:cs="Times New Roman"/>
                <w:color w:val="000000"/>
              </w:rPr>
            </w:pP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p>
        </w:tc>
        <w:tc>
          <w:tcPr>
            <w:tcW w:w="1276" w:type="dxa"/>
            <w:tcBorders>
              <w:top w:val="nil"/>
              <w:left w:val="nil"/>
              <w:bottom w:val="nil"/>
              <w:right w:val="nil"/>
            </w:tcBorders>
            <w:shd w:val="clear" w:color="auto" w:fill="auto"/>
            <w:noWrap/>
            <w:vAlign w:val="bottom"/>
            <w:hideMark/>
          </w:tcPr>
          <w:p w14:paraId="16ADA1F9"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0.03</w:t>
            </w:r>
          </w:p>
        </w:tc>
        <w:tc>
          <w:tcPr>
            <w:tcW w:w="850" w:type="dxa"/>
            <w:tcBorders>
              <w:top w:val="nil"/>
              <w:left w:val="nil"/>
              <w:bottom w:val="nil"/>
              <w:right w:val="nil"/>
            </w:tcBorders>
            <w:shd w:val="clear" w:color="auto" w:fill="auto"/>
            <w:noWrap/>
            <w:vAlign w:val="bottom"/>
            <w:hideMark/>
          </w:tcPr>
          <w:p w14:paraId="1E2B9E3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004" w:type="dxa"/>
            <w:tcBorders>
              <w:top w:val="nil"/>
              <w:left w:val="nil"/>
              <w:bottom w:val="nil"/>
              <w:right w:val="nil"/>
            </w:tcBorders>
            <w:shd w:val="clear" w:color="auto" w:fill="auto"/>
            <w:noWrap/>
            <w:vAlign w:val="bottom"/>
            <w:hideMark/>
          </w:tcPr>
          <w:p w14:paraId="0A620FEF"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0.8637</w:t>
            </w:r>
          </w:p>
        </w:tc>
      </w:tr>
      <w:tr w:rsidR="005E7B8F" w:rsidRPr="005E7B8F" w14:paraId="154F590B" w14:textId="77777777" w:rsidTr="005E7B8F">
        <w:trPr>
          <w:trHeight w:val="320"/>
        </w:trPr>
        <w:tc>
          <w:tcPr>
            <w:tcW w:w="2977" w:type="dxa"/>
            <w:tcBorders>
              <w:top w:val="nil"/>
              <w:left w:val="nil"/>
              <w:bottom w:val="nil"/>
              <w:right w:val="nil"/>
            </w:tcBorders>
            <w:shd w:val="clear" w:color="auto" w:fill="auto"/>
            <w:noWrap/>
            <w:vAlign w:val="center"/>
            <w:hideMark/>
          </w:tcPr>
          <w:p w14:paraId="6C4CF78C"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Temp</w:t>
            </w:r>
          </w:p>
        </w:tc>
        <w:tc>
          <w:tcPr>
            <w:tcW w:w="1276" w:type="dxa"/>
            <w:tcBorders>
              <w:top w:val="nil"/>
              <w:left w:val="nil"/>
              <w:bottom w:val="nil"/>
              <w:right w:val="nil"/>
            </w:tcBorders>
            <w:shd w:val="clear" w:color="auto" w:fill="auto"/>
            <w:noWrap/>
            <w:vAlign w:val="bottom"/>
            <w:hideMark/>
          </w:tcPr>
          <w:p w14:paraId="5FC1AC2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0.76</w:t>
            </w:r>
          </w:p>
        </w:tc>
        <w:tc>
          <w:tcPr>
            <w:tcW w:w="850" w:type="dxa"/>
            <w:tcBorders>
              <w:top w:val="nil"/>
              <w:left w:val="nil"/>
              <w:bottom w:val="nil"/>
              <w:right w:val="nil"/>
            </w:tcBorders>
            <w:shd w:val="clear" w:color="auto" w:fill="auto"/>
            <w:noWrap/>
            <w:vAlign w:val="bottom"/>
            <w:hideMark/>
          </w:tcPr>
          <w:p w14:paraId="23F6E6A2"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004" w:type="dxa"/>
            <w:tcBorders>
              <w:top w:val="nil"/>
              <w:left w:val="nil"/>
              <w:bottom w:val="nil"/>
              <w:right w:val="nil"/>
            </w:tcBorders>
            <w:shd w:val="clear" w:color="auto" w:fill="auto"/>
            <w:noWrap/>
            <w:vAlign w:val="bottom"/>
            <w:hideMark/>
          </w:tcPr>
          <w:p w14:paraId="51FA95BD"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0.3829</w:t>
            </w:r>
          </w:p>
        </w:tc>
      </w:tr>
      <w:tr w:rsidR="005E7B8F" w:rsidRPr="005E7B8F" w14:paraId="0F34F41A" w14:textId="77777777" w:rsidTr="005E7B8F">
        <w:trPr>
          <w:trHeight w:val="320"/>
        </w:trPr>
        <w:tc>
          <w:tcPr>
            <w:tcW w:w="2977" w:type="dxa"/>
            <w:tcBorders>
              <w:top w:val="nil"/>
              <w:left w:val="nil"/>
              <w:bottom w:val="nil"/>
              <w:right w:val="nil"/>
            </w:tcBorders>
            <w:shd w:val="clear" w:color="auto" w:fill="auto"/>
            <w:noWrap/>
            <w:vAlign w:val="center"/>
            <w:hideMark/>
          </w:tcPr>
          <w:p w14:paraId="2017A542"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Initial length</w:t>
            </w:r>
            <w:r w:rsidRPr="005E7B8F">
              <w:rPr>
                <w:rFonts w:ascii="Times New Roman" w:eastAsia="Times New Roman" w:hAnsi="Times New Roman" w:cs="Times New Roman"/>
                <w:color w:val="000000"/>
              </w:rPr>
              <w:sym w:font="Symbol" w:char="F0B4"/>
            </w: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p>
        </w:tc>
        <w:tc>
          <w:tcPr>
            <w:tcW w:w="1276" w:type="dxa"/>
            <w:tcBorders>
              <w:top w:val="nil"/>
              <w:left w:val="nil"/>
              <w:bottom w:val="nil"/>
              <w:right w:val="nil"/>
            </w:tcBorders>
            <w:shd w:val="clear" w:color="auto" w:fill="auto"/>
            <w:noWrap/>
            <w:vAlign w:val="bottom"/>
            <w:hideMark/>
          </w:tcPr>
          <w:p w14:paraId="462B9989"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0.06</w:t>
            </w:r>
          </w:p>
        </w:tc>
        <w:tc>
          <w:tcPr>
            <w:tcW w:w="850" w:type="dxa"/>
            <w:tcBorders>
              <w:top w:val="nil"/>
              <w:left w:val="nil"/>
              <w:bottom w:val="nil"/>
              <w:right w:val="nil"/>
            </w:tcBorders>
            <w:shd w:val="clear" w:color="auto" w:fill="auto"/>
            <w:noWrap/>
            <w:vAlign w:val="bottom"/>
            <w:hideMark/>
          </w:tcPr>
          <w:p w14:paraId="11ADFE54"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004" w:type="dxa"/>
            <w:tcBorders>
              <w:top w:val="nil"/>
              <w:left w:val="nil"/>
              <w:bottom w:val="nil"/>
              <w:right w:val="nil"/>
            </w:tcBorders>
            <w:shd w:val="clear" w:color="auto" w:fill="auto"/>
            <w:noWrap/>
            <w:vAlign w:val="bottom"/>
            <w:hideMark/>
          </w:tcPr>
          <w:p w14:paraId="5B02A306"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0.8004</w:t>
            </w:r>
          </w:p>
        </w:tc>
      </w:tr>
      <w:tr w:rsidR="005E7B8F" w:rsidRPr="005E7B8F" w14:paraId="562DD2EF" w14:textId="77777777" w:rsidTr="005E7B8F">
        <w:trPr>
          <w:trHeight w:val="320"/>
        </w:trPr>
        <w:tc>
          <w:tcPr>
            <w:tcW w:w="2977" w:type="dxa"/>
            <w:tcBorders>
              <w:top w:val="nil"/>
              <w:left w:val="nil"/>
              <w:bottom w:val="nil"/>
              <w:right w:val="nil"/>
            </w:tcBorders>
            <w:shd w:val="clear" w:color="auto" w:fill="auto"/>
            <w:noWrap/>
            <w:vAlign w:val="center"/>
            <w:hideMark/>
          </w:tcPr>
          <w:p w14:paraId="7D853187"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Initial length</w:t>
            </w:r>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p>
        </w:tc>
        <w:tc>
          <w:tcPr>
            <w:tcW w:w="1276" w:type="dxa"/>
            <w:tcBorders>
              <w:top w:val="nil"/>
              <w:left w:val="nil"/>
              <w:bottom w:val="nil"/>
              <w:right w:val="nil"/>
            </w:tcBorders>
            <w:shd w:val="clear" w:color="auto" w:fill="auto"/>
            <w:noWrap/>
            <w:vAlign w:val="bottom"/>
            <w:hideMark/>
          </w:tcPr>
          <w:p w14:paraId="79CA0F10"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2.59</w:t>
            </w:r>
          </w:p>
        </w:tc>
        <w:tc>
          <w:tcPr>
            <w:tcW w:w="850" w:type="dxa"/>
            <w:tcBorders>
              <w:top w:val="nil"/>
              <w:left w:val="nil"/>
              <w:bottom w:val="nil"/>
              <w:right w:val="nil"/>
            </w:tcBorders>
            <w:shd w:val="clear" w:color="auto" w:fill="auto"/>
            <w:noWrap/>
            <w:vAlign w:val="bottom"/>
            <w:hideMark/>
          </w:tcPr>
          <w:p w14:paraId="57B0BEF0"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004" w:type="dxa"/>
            <w:tcBorders>
              <w:top w:val="nil"/>
              <w:left w:val="nil"/>
              <w:bottom w:val="nil"/>
              <w:right w:val="nil"/>
            </w:tcBorders>
            <w:shd w:val="clear" w:color="auto" w:fill="auto"/>
            <w:noWrap/>
            <w:vAlign w:val="bottom"/>
            <w:hideMark/>
          </w:tcPr>
          <w:p w14:paraId="3299ED35"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0.1073</w:t>
            </w:r>
          </w:p>
        </w:tc>
      </w:tr>
      <w:tr w:rsidR="005E7B8F" w:rsidRPr="005E7B8F" w14:paraId="362FE5A6" w14:textId="77777777" w:rsidTr="005E7B8F">
        <w:trPr>
          <w:trHeight w:val="320"/>
        </w:trPr>
        <w:tc>
          <w:tcPr>
            <w:tcW w:w="2977" w:type="dxa"/>
            <w:tcBorders>
              <w:top w:val="nil"/>
              <w:left w:val="nil"/>
              <w:bottom w:val="nil"/>
              <w:right w:val="nil"/>
            </w:tcBorders>
            <w:shd w:val="clear" w:color="auto" w:fill="auto"/>
            <w:noWrap/>
            <w:vAlign w:val="center"/>
            <w:hideMark/>
          </w:tcPr>
          <w:p w14:paraId="3701FC02" w14:textId="77777777" w:rsidR="005E7B8F" w:rsidRPr="005E7B8F" w:rsidRDefault="005E7B8F" w:rsidP="005E7B8F">
            <w:pPr>
              <w:rPr>
                <w:rFonts w:ascii="Times New Roman" w:eastAsia="Times New Roman" w:hAnsi="Times New Roman" w:cs="Times New Roman"/>
                <w:color w:val="000000"/>
              </w:rPr>
            </w:pP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p>
        </w:tc>
        <w:tc>
          <w:tcPr>
            <w:tcW w:w="1276" w:type="dxa"/>
            <w:tcBorders>
              <w:top w:val="nil"/>
              <w:left w:val="nil"/>
              <w:bottom w:val="nil"/>
              <w:right w:val="nil"/>
            </w:tcBorders>
            <w:shd w:val="clear" w:color="auto" w:fill="auto"/>
            <w:noWrap/>
            <w:vAlign w:val="bottom"/>
            <w:hideMark/>
          </w:tcPr>
          <w:p w14:paraId="622DA2C1"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0.16</w:t>
            </w:r>
          </w:p>
        </w:tc>
        <w:tc>
          <w:tcPr>
            <w:tcW w:w="850" w:type="dxa"/>
            <w:tcBorders>
              <w:top w:val="nil"/>
              <w:left w:val="nil"/>
              <w:bottom w:val="nil"/>
              <w:right w:val="nil"/>
            </w:tcBorders>
            <w:shd w:val="clear" w:color="auto" w:fill="auto"/>
            <w:noWrap/>
            <w:vAlign w:val="bottom"/>
            <w:hideMark/>
          </w:tcPr>
          <w:p w14:paraId="0BC9B1A4"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004" w:type="dxa"/>
            <w:tcBorders>
              <w:top w:val="nil"/>
              <w:left w:val="nil"/>
              <w:bottom w:val="nil"/>
              <w:right w:val="nil"/>
            </w:tcBorders>
            <w:shd w:val="clear" w:color="auto" w:fill="auto"/>
            <w:noWrap/>
            <w:vAlign w:val="bottom"/>
            <w:hideMark/>
          </w:tcPr>
          <w:p w14:paraId="53B086CA"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0.6912</w:t>
            </w:r>
          </w:p>
        </w:tc>
      </w:tr>
      <w:tr w:rsidR="005E7B8F" w:rsidRPr="005E7B8F" w14:paraId="4A4A0246" w14:textId="77777777" w:rsidTr="005E7B8F">
        <w:trPr>
          <w:trHeight w:val="320"/>
        </w:trPr>
        <w:tc>
          <w:tcPr>
            <w:tcW w:w="2977" w:type="dxa"/>
            <w:tcBorders>
              <w:top w:val="nil"/>
              <w:left w:val="nil"/>
              <w:bottom w:val="nil"/>
              <w:right w:val="nil"/>
            </w:tcBorders>
            <w:shd w:val="clear" w:color="auto" w:fill="auto"/>
            <w:noWrap/>
            <w:vAlign w:val="center"/>
            <w:hideMark/>
          </w:tcPr>
          <w:p w14:paraId="6689EB37"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Initial length</w:t>
            </w:r>
            <w:r w:rsidRPr="005E7B8F">
              <w:rPr>
                <w:rFonts w:ascii="Times New Roman" w:eastAsia="Times New Roman" w:hAnsi="Times New Roman" w:cs="Times New Roman"/>
                <w:color w:val="000000"/>
              </w:rPr>
              <w:sym w:font="Symbol" w:char="F0B4"/>
            </w: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p>
        </w:tc>
        <w:tc>
          <w:tcPr>
            <w:tcW w:w="1276" w:type="dxa"/>
            <w:tcBorders>
              <w:top w:val="nil"/>
              <w:left w:val="nil"/>
              <w:bottom w:val="nil"/>
              <w:right w:val="nil"/>
            </w:tcBorders>
            <w:shd w:val="clear" w:color="auto" w:fill="auto"/>
            <w:noWrap/>
            <w:vAlign w:val="bottom"/>
            <w:hideMark/>
          </w:tcPr>
          <w:p w14:paraId="54119BFC"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0.57</w:t>
            </w:r>
          </w:p>
        </w:tc>
        <w:tc>
          <w:tcPr>
            <w:tcW w:w="850" w:type="dxa"/>
            <w:tcBorders>
              <w:top w:val="nil"/>
              <w:left w:val="nil"/>
              <w:bottom w:val="nil"/>
              <w:right w:val="nil"/>
            </w:tcBorders>
            <w:shd w:val="clear" w:color="auto" w:fill="auto"/>
            <w:noWrap/>
            <w:vAlign w:val="bottom"/>
            <w:hideMark/>
          </w:tcPr>
          <w:p w14:paraId="4299E7D1"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004" w:type="dxa"/>
            <w:tcBorders>
              <w:top w:val="nil"/>
              <w:left w:val="nil"/>
              <w:bottom w:val="nil"/>
              <w:right w:val="nil"/>
            </w:tcBorders>
            <w:shd w:val="clear" w:color="auto" w:fill="auto"/>
            <w:noWrap/>
            <w:vAlign w:val="bottom"/>
            <w:hideMark/>
          </w:tcPr>
          <w:p w14:paraId="255F0B87"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0.4518</w:t>
            </w:r>
          </w:p>
        </w:tc>
      </w:tr>
      <w:tr w:rsidR="005E7B8F" w:rsidRPr="005E7B8F" w14:paraId="7A46EA37" w14:textId="77777777" w:rsidTr="005E7B8F">
        <w:trPr>
          <w:trHeight w:val="320"/>
        </w:trPr>
        <w:tc>
          <w:tcPr>
            <w:tcW w:w="2977" w:type="dxa"/>
            <w:tcBorders>
              <w:top w:val="nil"/>
              <w:left w:val="nil"/>
              <w:bottom w:val="nil"/>
              <w:right w:val="nil"/>
            </w:tcBorders>
            <w:shd w:val="clear" w:color="auto" w:fill="auto"/>
            <w:noWrap/>
            <w:vAlign w:val="bottom"/>
            <w:hideMark/>
          </w:tcPr>
          <w:p w14:paraId="1446152B" w14:textId="77777777" w:rsidR="005E7B8F" w:rsidRPr="005E7B8F" w:rsidRDefault="005E7B8F" w:rsidP="005E7B8F">
            <w:pPr>
              <w:rPr>
                <w:rFonts w:ascii="Times New Roman" w:eastAsia="Times New Roman" w:hAnsi="Times New Roman" w:cs="Times New Roman"/>
                <w:color w:val="000000"/>
                <w:sz w:val="13"/>
                <w:szCs w:val="13"/>
              </w:rPr>
            </w:pPr>
          </w:p>
        </w:tc>
        <w:tc>
          <w:tcPr>
            <w:tcW w:w="1276" w:type="dxa"/>
            <w:tcBorders>
              <w:top w:val="nil"/>
              <w:left w:val="nil"/>
              <w:bottom w:val="nil"/>
              <w:right w:val="nil"/>
            </w:tcBorders>
            <w:shd w:val="clear" w:color="auto" w:fill="auto"/>
            <w:noWrap/>
            <w:vAlign w:val="bottom"/>
            <w:hideMark/>
          </w:tcPr>
          <w:p w14:paraId="5FA6CF03" w14:textId="77777777" w:rsidR="005E7B8F" w:rsidRPr="005E7B8F" w:rsidRDefault="005E7B8F" w:rsidP="005E7B8F">
            <w:pPr>
              <w:rPr>
                <w:rFonts w:ascii="Times New Roman" w:eastAsia="Times New Roman" w:hAnsi="Times New Roman" w:cs="Times New Roman"/>
                <w:color w:val="000000"/>
              </w:rPr>
            </w:pPr>
          </w:p>
        </w:tc>
        <w:tc>
          <w:tcPr>
            <w:tcW w:w="850" w:type="dxa"/>
            <w:tcBorders>
              <w:top w:val="nil"/>
              <w:left w:val="nil"/>
              <w:bottom w:val="nil"/>
              <w:right w:val="nil"/>
            </w:tcBorders>
            <w:shd w:val="clear" w:color="auto" w:fill="auto"/>
            <w:noWrap/>
            <w:vAlign w:val="bottom"/>
            <w:hideMark/>
          </w:tcPr>
          <w:p w14:paraId="1D608F5E" w14:textId="77777777" w:rsidR="005E7B8F" w:rsidRPr="005E7B8F" w:rsidRDefault="005E7B8F" w:rsidP="005E7B8F">
            <w:pPr>
              <w:rPr>
                <w:rFonts w:ascii="Times New Roman" w:eastAsia="Times New Roman" w:hAnsi="Times New Roman" w:cs="Times New Roman"/>
                <w:color w:val="000000"/>
              </w:rPr>
            </w:pPr>
          </w:p>
        </w:tc>
        <w:tc>
          <w:tcPr>
            <w:tcW w:w="1004" w:type="dxa"/>
            <w:tcBorders>
              <w:top w:val="nil"/>
              <w:left w:val="nil"/>
              <w:bottom w:val="nil"/>
              <w:right w:val="nil"/>
            </w:tcBorders>
            <w:shd w:val="clear" w:color="auto" w:fill="auto"/>
            <w:noWrap/>
            <w:vAlign w:val="bottom"/>
            <w:hideMark/>
          </w:tcPr>
          <w:p w14:paraId="1C68C47F" w14:textId="77777777" w:rsidR="005E7B8F" w:rsidRPr="005E7B8F" w:rsidRDefault="005E7B8F" w:rsidP="005E7B8F">
            <w:pPr>
              <w:jc w:val="right"/>
              <w:rPr>
                <w:rFonts w:ascii="Times New Roman" w:eastAsia="Times New Roman" w:hAnsi="Times New Roman" w:cs="Times New Roman"/>
                <w:color w:val="000000"/>
              </w:rPr>
            </w:pPr>
          </w:p>
        </w:tc>
      </w:tr>
      <w:tr w:rsidR="005E7B8F" w:rsidRPr="005E7B8F" w14:paraId="0C8AE47F" w14:textId="77777777" w:rsidTr="005E7B8F">
        <w:trPr>
          <w:trHeight w:val="320"/>
        </w:trPr>
        <w:tc>
          <w:tcPr>
            <w:tcW w:w="2977" w:type="dxa"/>
            <w:tcBorders>
              <w:top w:val="nil"/>
              <w:left w:val="nil"/>
              <w:bottom w:val="nil"/>
              <w:right w:val="nil"/>
            </w:tcBorders>
            <w:shd w:val="clear" w:color="auto" w:fill="auto"/>
            <w:noWrap/>
            <w:vAlign w:val="bottom"/>
            <w:hideMark/>
          </w:tcPr>
          <w:p w14:paraId="0D943506"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i/>
                <w:iCs/>
                <w:color w:val="000000"/>
              </w:rPr>
              <w:t>Wet weight</w:t>
            </w:r>
          </w:p>
        </w:tc>
        <w:tc>
          <w:tcPr>
            <w:tcW w:w="1276" w:type="dxa"/>
            <w:tcBorders>
              <w:top w:val="nil"/>
              <w:left w:val="nil"/>
              <w:bottom w:val="nil"/>
              <w:right w:val="nil"/>
            </w:tcBorders>
            <w:shd w:val="clear" w:color="auto" w:fill="auto"/>
            <w:noWrap/>
            <w:vAlign w:val="bottom"/>
            <w:hideMark/>
          </w:tcPr>
          <w:p w14:paraId="09C2D02B" w14:textId="77777777" w:rsidR="005E7B8F" w:rsidRPr="005E7B8F" w:rsidRDefault="005E7B8F" w:rsidP="005E7B8F">
            <w:pPr>
              <w:rPr>
                <w:rFonts w:ascii="Times New Roman" w:eastAsia="Times New Roman" w:hAnsi="Times New Roman" w:cs="Times New Roman"/>
                <w:sz w:val="20"/>
                <w:szCs w:val="20"/>
              </w:rPr>
            </w:pPr>
          </w:p>
        </w:tc>
        <w:tc>
          <w:tcPr>
            <w:tcW w:w="850" w:type="dxa"/>
            <w:tcBorders>
              <w:top w:val="nil"/>
              <w:left w:val="nil"/>
              <w:bottom w:val="nil"/>
              <w:right w:val="nil"/>
            </w:tcBorders>
            <w:shd w:val="clear" w:color="auto" w:fill="auto"/>
            <w:noWrap/>
            <w:vAlign w:val="bottom"/>
            <w:hideMark/>
          </w:tcPr>
          <w:p w14:paraId="11B8C2D0" w14:textId="77777777" w:rsidR="005E7B8F" w:rsidRPr="005E7B8F" w:rsidRDefault="005E7B8F" w:rsidP="005E7B8F">
            <w:pPr>
              <w:rPr>
                <w:rFonts w:ascii="Times New Roman" w:eastAsia="Times New Roman" w:hAnsi="Times New Roman" w:cs="Times New Roman"/>
                <w:sz w:val="20"/>
                <w:szCs w:val="20"/>
              </w:rPr>
            </w:pPr>
          </w:p>
        </w:tc>
        <w:tc>
          <w:tcPr>
            <w:tcW w:w="1004" w:type="dxa"/>
            <w:tcBorders>
              <w:top w:val="nil"/>
              <w:left w:val="nil"/>
              <w:bottom w:val="nil"/>
              <w:right w:val="nil"/>
            </w:tcBorders>
            <w:shd w:val="clear" w:color="auto" w:fill="auto"/>
            <w:noWrap/>
            <w:vAlign w:val="bottom"/>
            <w:hideMark/>
          </w:tcPr>
          <w:p w14:paraId="78165A16" w14:textId="77777777" w:rsidR="005E7B8F" w:rsidRPr="005E7B8F" w:rsidRDefault="005E7B8F" w:rsidP="005E7B8F">
            <w:pPr>
              <w:jc w:val="right"/>
              <w:rPr>
                <w:rFonts w:ascii="Times New Roman" w:eastAsia="Times New Roman" w:hAnsi="Times New Roman" w:cs="Times New Roman"/>
                <w:sz w:val="20"/>
                <w:szCs w:val="20"/>
              </w:rPr>
            </w:pPr>
          </w:p>
        </w:tc>
      </w:tr>
      <w:tr w:rsidR="005E7B8F" w:rsidRPr="005E7B8F" w14:paraId="03AE5C63" w14:textId="77777777" w:rsidTr="005E7B8F">
        <w:trPr>
          <w:trHeight w:val="320"/>
        </w:trPr>
        <w:tc>
          <w:tcPr>
            <w:tcW w:w="2977" w:type="dxa"/>
            <w:tcBorders>
              <w:top w:val="nil"/>
              <w:left w:val="nil"/>
              <w:bottom w:val="nil"/>
              <w:right w:val="nil"/>
            </w:tcBorders>
            <w:shd w:val="clear" w:color="auto" w:fill="auto"/>
            <w:noWrap/>
            <w:vAlign w:val="center"/>
            <w:hideMark/>
          </w:tcPr>
          <w:p w14:paraId="476CA232" w14:textId="77777777" w:rsidR="005E7B8F" w:rsidRPr="005E7B8F" w:rsidRDefault="005E7B8F" w:rsidP="005E7B8F">
            <w:pPr>
              <w:rPr>
                <w:rFonts w:ascii="Times New Roman" w:eastAsia="Times New Roman" w:hAnsi="Times New Roman" w:cs="Times New Roman"/>
                <w:b/>
                <w:bCs/>
                <w:i/>
                <w:iCs/>
                <w:color w:val="000000"/>
              </w:rPr>
            </w:pPr>
            <w:r w:rsidRPr="005E7B8F">
              <w:rPr>
                <w:rFonts w:ascii="Times New Roman" w:eastAsia="Times New Roman" w:hAnsi="Times New Roman" w:cs="Times New Roman"/>
                <w:b/>
                <w:bCs/>
                <w:color w:val="000000"/>
              </w:rPr>
              <w:t>Initial weight</w:t>
            </w:r>
          </w:p>
        </w:tc>
        <w:tc>
          <w:tcPr>
            <w:tcW w:w="1276" w:type="dxa"/>
            <w:tcBorders>
              <w:top w:val="nil"/>
              <w:left w:val="nil"/>
              <w:bottom w:val="nil"/>
              <w:right w:val="nil"/>
            </w:tcBorders>
            <w:shd w:val="clear" w:color="auto" w:fill="auto"/>
            <w:noWrap/>
            <w:vAlign w:val="bottom"/>
            <w:hideMark/>
          </w:tcPr>
          <w:p w14:paraId="2D972BA3" w14:textId="77777777" w:rsidR="005E7B8F" w:rsidRPr="005E7B8F" w:rsidRDefault="005E7B8F" w:rsidP="005E7B8F">
            <w:pPr>
              <w:rPr>
                <w:rFonts w:ascii="Times New Roman" w:eastAsia="Times New Roman" w:hAnsi="Times New Roman" w:cs="Times New Roman"/>
                <w:b/>
                <w:bCs/>
                <w:i/>
                <w:iCs/>
                <w:color w:val="000000"/>
              </w:rPr>
            </w:pPr>
            <w:r w:rsidRPr="005E7B8F">
              <w:rPr>
                <w:rFonts w:ascii="Times New Roman" w:eastAsia="Times New Roman" w:hAnsi="Times New Roman" w:cs="Times New Roman"/>
                <w:b/>
                <w:bCs/>
                <w:color w:val="000000"/>
              </w:rPr>
              <w:t>35.90</w:t>
            </w:r>
          </w:p>
        </w:tc>
        <w:tc>
          <w:tcPr>
            <w:tcW w:w="850" w:type="dxa"/>
            <w:tcBorders>
              <w:top w:val="nil"/>
              <w:left w:val="nil"/>
              <w:bottom w:val="nil"/>
              <w:right w:val="nil"/>
            </w:tcBorders>
            <w:shd w:val="clear" w:color="auto" w:fill="auto"/>
            <w:noWrap/>
            <w:vAlign w:val="bottom"/>
            <w:hideMark/>
          </w:tcPr>
          <w:p w14:paraId="1B71CD08" w14:textId="77777777" w:rsidR="005E7B8F" w:rsidRPr="005E7B8F" w:rsidRDefault="005E7B8F" w:rsidP="005E7B8F">
            <w:pPr>
              <w:rPr>
                <w:rFonts w:ascii="Times New Roman" w:eastAsia="Times New Roman" w:hAnsi="Times New Roman" w:cs="Times New Roman"/>
                <w:b/>
                <w:bCs/>
                <w:sz w:val="20"/>
                <w:szCs w:val="20"/>
              </w:rPr>
            </w:pPr>
            <w:r w:rsidRPr="005E7B8F">
              <w:rPr>
                <w:rFonts w:ascii="Times New Roman" w:eastAsia="Times New Roman" w:hAnsi="Times New Roman" w:cs="Times New Roman"/>
                <w:b/>
                <w:bCs/>
                <w:color w:val="000000"/>
              </w:rPr>
              <w:t>1</w:t>
            </w:r>
          </w:p>
        </w:tc>
        <w:tc>
          <w:tcPr>
            <w:tcW w:w="1004" w:type="dxa"/>
            <w:tcBorders>
              <w:top w:val="nil"/>
              <w:left w:val="nil"/>
              <w:bottom w:val="nil"/>
              <w:right w:val="nil"/>
            </w:tcBorders>
            <w:shd w:val="clear" w:color="auto" w:fill="auto"/>
            <w:noWrap/>
            <w:vAlign w:val="bottom"/>
            <w:hideMark/>
          </w:tcPr>
          <w:p w14:paraId="77D363F3" w14:textId="77777777" w:rsidR="005E7B8F" w:rsidRPr="005E7B8F" w:rsidRDefault="005E7B8F" w:rsidP="005E7B8F">
            <w:pPr>
              <w:jc w:val="right"/>
              <w:rPr>
                <w:rFonts w:ascii="Times New Roman" w:eastAsia="Times New Roman" w:hAnsi="Times New Roman" w:cs="Times New Roman"/>
                <w:b/>
                <w:bCs/>
                <w:sz w:val="20"/>
                <w:szCs w:val="20"/>
              </w:rPr>
            </w:pPr>
            <w:r w:rsidRPr="005E7B8F">
              <w:rPr>
                <w:rFonts w:ascii="Times New Roman" w:eastAsia="Times New Roman" w:hAnsi="Times New Roman" w:cs="Times New Roman"/>
                <w:b/>
                <w:bCs/>
                <w:color w:val="000000"/>
              </w:rPr>
              <w:t>&lt;0.0001</w:t>
            </w:r>
          </w:p>
        </w:tc>
      </w:tr>
      <w:tr w:rsidR="005E7B8F" w:rsidRPr="005E7B8F" w14:paraId="1D73999C" w14:textId="77777777" w:rsidTr="005E7B8F">
        <w:trPr>
          <w:trHeight w:val="320"/>
        </w:trPr>
        <w:tc>
          <w:tcPr>
            <w:tcW w:w="2977" w:type="dxa"/>
            <w:tcBorders>
              <w:top w:val="nil"/>
              <w:left w:val="nil"/>
              <w:bottom w:val="nil"/>
              <w:right w:val="nil"/>
            </w:tcBorders>
            <w:shd w:val="clear" w:color="auto" w:fill="auto"/>
            <w:noWrap/>
            <w:vAlign w:val="center"/>
            <w:hideMark/>
          </w:tcPr>
          <w:p w14:paraId="531B0639" w14:textId="77777777" w:rsidR="005E7B8F" w:rsidRPr="005E7B8F" w:rsidRDefault="005E7B8F" w:rsidP="005E7B8F">
            <w:pPr>
              <w:rPr>
                <w:rFonts w:ascii="Times New Roman" w:eastAsia="Times New Roman" w:hAnsi="Times New Roman" w:cs="Times New Roman"/>
                <w:b/>
                <w:bCs/>
                <w:color w:val="000000"/>
              </w:rPr>
            </w:pP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p>
        </w:tc>
        <w:tc>
          <w:tcPr>
            <w:tcW w:w="1276" w:type="dxa"/>
            <w:tcBorders>
              <w:top w:val="nil"/>
              <w:left w:val="nil"/>
              <w:bottom w:val="nil"/>
              <w:right w:val="nil"/>
            </w:tcBorders>
            <w:shd w:val="clear" w:color="auto" w:fill="auto"/>
            <w:noWrap/>
            <w:vAlign w:val="bottom"/>
            <w:hideMark/>
          </w:tcPr>
          <w:p w14:paraId="4ECAA4C1"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2.85</w:t>
            </w:r>
          </w:p>
        </w:tc>
        <w:tc>
          <w:tcPr>
            <w:tcW w:w="850" w:type="dxa"/>
            <w:tcBorders>
              <w:top w:val="nil"/>
              <w:left w:val="nil"/>
              <w:bottom w:val="nil"/>
              <w:right w:val="nil"/>
            </w:tcBorders>
            <w:shd w:val="clear" w:color="auto" w:fill="auto"/>
            <w:noWrap/>
            <w:vAlign w:val="bottom"/>
            <w:hideMark/>
          </w:tcPr>
          <w:p w14:paraId="4F1F571B"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color w:val="000000"/>
              </w:rPr>
              <w:t>1</w:t>
            </w:r>
          </w:p>
        </w:tc>
        <w:tc>
          <w:tcPr>
            <w:tcW w:w="1004" w:type="dxa"/>
            <w:tcBorders>
              <w:top w:val="nil"/>
              <w:left w:val="nil"/>
              <w:bottom w:val="nil"/>
              <w:right w:val="nil"/>
            </w:tcBorders>
            <w:shd w:val="clear" w:color="auto" w:fill="auto"/>
            <w:noWrap/>
            <w:vAlign w:val="bottom"/>
            <w:hideMark/>
          </w:tcPr>
          <w:p w14:paraId="005D7C3B" w14:textId="77777777" w:rsidR="005E7B8F" w:rsidRPr="005E7B8F" w:rsidRDefault="005E7B8F" w:rsidP="005E7B8F">
            <w:pPr>
              <w:jc w:val="right"/>
              <w:rPr>
                <w:rFonts w:ascii="Times New Roman" w:eastAsia="Times New Roman" w:hAnsi="Times New Roman" w:cs="Times New Roman"/>
                <w:b/>
                <w:bCs/>
                <w:color w:val="000000"/>
              </w:rPr>
            </w:pPr>
            <w:r w:rsidRPr="005E7B8F">
              <w:rPr>
                <w:rFonts w:ascii="Times New Roman" w:eastAsia="Times New Roman" w:hAnsi="Times New Roman" w:cs="Times New Roman"/>
                <w:color w:val="000000"/>
              </w:rPr>
              <w:t>0.0913</w:t>
            </w:r>
          </w:p>
        </w:tc>
      </w:tr>
      <w:tr w:rsidR="005E7B8F" w:rsidRPr="005E7B8F" w14:paraId="5576A01C" w14:textId="77777777" w:rsidTr="005E7B8F">
        <w:trPr>
          <w:trHeight w:val="320"/>
        </w:trPr>
        <w:tc>
          <w:tcPr>
            <w:tcW w:w="2977" w:type="dxa"/>
            <w:tcBorders>
              <w:top w:val="nil"/>
              <w:left w:val="nil"/>
              <w:bottom w:val="nil"/>
              <w:right w:val="nil"/>
            </w:tcBorders>
            <w:shd w:val="clear" w:color="auto" w:fill="auto"/>
            <w:noWrap/>
            <w:vAlign w:val="center"/>
            <w:hideMark/>
          </w:tcPr>
          <w:p w14:paraId="76D8B5A9"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Temp</w:t>
            </w:r>
          </w:p>
        </w:tc>
        <w:tc>
          <w:tcPr>
            <w:tcW w:w="1276" w:type="dxa"/>
            <w:tcBorders>
              <w:top w:val="nil"/>
              <w:left w:val="nil"/>
              <w:bottom w:val="nil"/>
              <w:right w:val="nil"/>
            </w:tcBorders>
            <w:shd w:val="clear" w:color="auto" w:fill="auto"/>
            <w:noWrap/>
            <w:vAlign w:val="bottom"/>
            <w:hideMark/>
          </w:tcPr>
          <w:p w14:paraId="72BE0143"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1.69</w:t>
            </w:r>
          </w:p>
        </w:tc>
        <w:tc>
          <w:tcPr>
            <w:tcW w:w="850" w:type="dxa"/>
            <w:tcBorders>
              <w:top w:val="nil"/>
              <w:left w:val="nil"/>
              <w:bottom w:val="nil"/>
              <w:right w:val="nil"/>
            </w:tcBorders>
            <w:shd w:val="clear" w:color="auto" w:fill="auto"/>
            <w:noWrap/>
            <w:vAlign w:val="bottom"/>
            <w:hideMark/>
          </w:tcPr>
          <w:p w14:paraId="7E4364B1"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004" w:type="dxa"/>
            <w:tcBorders>
              <w:top w:val="nil"/>
              <w:left w:val="nil"/>
              <w:bottom w:val="nil"/>
              <w:right w:val="nil"/>
            </w:tcBorders>
            <w:shd w:val="clear" w:color="auto" w:fill="auto"/>
            <w:noWrap/>
            <w:vAlign w:val="bottom"/>
            <w:hideMark/>
          </w:tcPr>
          <w:p w14:paraId="7A7AD627"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0.1933</w:t>
            </w:r>
          </w:p>
        </w:tc>
      </w:tr>
      <w:tr w:rsidR="005E7B8F" w:rsidRPr="005E7B8F" w14:paraId="30B3C029" w14:textId="77777777" w:rsidTr="005E7B8F">
        <w:trPr>
          <w:trHeight w:val="320"/>
        </w:trPr>
        <w:tc>
          <w:tcPr>
            <w:tcW w:w="2977" w:type="dxa"/>
            <w:tcBorders>
              <w:top w:val="nil"/>
              <w:left w:val="nil"/>
              <w:bottom w:val="nil"/>
              <w:right w:val="nil"/>
            </w:tcBorders>
            <w:shd w:val="clear" w:color="auto" w:fill="auto"/>
            <w:noWrap/>
            <w:vAlign w:val="center"/>
            <w:hideMark/>
          </w:tcPr>
          <w:p w14:paraId="42E93B72" w14:textId="77777777" w:rsidR="005E7B8F" w:rsidRPr="005E7B8F" w:rsidRDefault="005E7B8F" w:rsidP="005E7B8F">
            <w:pPr>
              <w:rPr>
                <w:rFonts w:ascii="Times New Roman" w:eastAsia="Times New Roman" w:hAnsi="Times New Roman" w:cs="Times New Roman"/>
                <w:color w:val="000000"/>
                <w:vertAlign w:val="subscript"/>
              </w:rPr>
            </w:pPr>
            <w:r w:rsidRPr="005E7B8F">
              <w:rPr>
                <w:rFonts w:ascii="Times New Roman" w:eastAsia="Times New Roman" w:hAnsi="Times New Roman" w:cs="Times New Roman"/>
                <w:color w:val="000000"/>
              </w:rPr>
              <w:t>Initial weight</w:t>
            </w:r>
            <w:r w:rsidRPr="005E7B8F">
              <w:rPr>
                <w:rFonts w:ascii="Times New Roman" w:eastAsia="Times New Roman" w:hAnsi="Times New Roman" w:cs="Times New Roman"/>
                <w:color w:val="000000"/>
              </w:rPr>
              <w:sym w:font="Symbol" w:char="F0B4"/>
            </w: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p>
        </w:tc>
        <w:tc>
          <w:tcPr>
            <w:tcW w:w="1276" w:type="dxa"/>
            <w:tcBorders>
              <w:top w:val="nil"/>
              <w:left w:val="nil"/>
              <w:bottom w:val="nil"/>
              <w:right w:val="nil"/>
            </w:tcBorders>
            <w:shd w:val="clear" w:color="auto" w:fill="auto"/>
            <w:noWrap/>
            <w:vAlign w:val="bottom"/>
            <w:hideMark/>
          </w:tcPr>
          <w:p w14:paraId="089A6620"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0.03</w:t>
            </w:r>
          </w:p>
        </w:tc>
        <w:tc>
          <w:tcPr>
            <w:tcW w:w="850" w:type="dxa"/>
            <w:tcBorders>
              <w:top w:val="nil"/>
              <w:left w:val="nil"/>
              <w:bottom w:val="nil"/>
              <w:right w:val="nil"/>
            </w:tcBorders>
            <w:shd w:val="clear" w:color="auto" w:fill="auto"/>
            <w:noWrap/>
            <w:vAlign w:val="bottom"/>
            <w:hideMark/>
          </w:tcPr>
          <w:p w14:paraId="264C87B5"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004" w:type="dxa"/>
            <w:tcBorders>
              <w:top w:val="nil"/>
              <w:left w:val="nil"/>
              <w:bottom w:val="nil"/>
              <w:right w:val="nil"/>
            </w:tcBorders>
            <w:shd w:val="clear" w:color="auto" w:fill="auto"/>
            <w:noWrap/>
            <w:vAlign w:val="bottom"/>
            <w:hideMark/>
          </w:tcPr>
          <w:p w14:paraId="60FEF96D"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0.8716</w:t>
            </w:r>
          </w:p>
        </w:tc>
      </w:tr>
      <w:tr w:rsidR="005E7B8F" w:rsidRPr="005E7B8F" w14:paraId="26A36DD7" w14:textId="77777777" w:rsidTr="005E7B8F">
        <w:trPr>
          <w:trHeight w:val="320"/>
        </w:trPr>
        <w:tc>
          <w:tcPr>
            <w:tcW w:w="2977" w:type="dxa"/>
            <w:tcBorders>
              <w:top w:val="nil"/>
              <w:left w:val="nil"/>
              <w:bottom w:val="nil"/>
              <w:right w:val="nil"/>
            </w:tcBorders>
            <w:shd w:val="clear" w:color="auto" w:fill="auto"/>
            <w:noWrap/>
            <w:vAlign w:val="center"/>
            <w:hideMark/>
          </w:tcPr>
          <w:p w14:paraId="7ADFBE81"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Initial weight</w:t>
            </w:r>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p>
        </w:tc>
        <w:tc>
          <w:tcPr>
            <w:tcW w:w="1276" w:type="dxa"/>
            <w:tcBorders>
              <w:top w:val="nil"/>
              <w:left w:val="nil"/>
              <w:bottom w:val="nil"/>
              <w:right w:val="nil"/>
            </w:tcBorders>
            <w:shd w:val="clear" w:color="auto" w:fill="auto"/>
            <w:noWrap/>
            <w:vAlign w:val="bottom"/>
            <w:hideMark/>
          </w:tcPr>
          <w:p w14:paraId="749C645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0.15</w:t>
            </w:r>
          </w:p>
        </w:tc>
        <w:tc>
          <w:tcPr>
            <w:tcW w:w="850" w:type="dxa"/>
            <w:tcBorders>
              <w:top w:val="nil"/>
              <w:left w:val="nil"/>
              <w:bottom w:val="nil"/>
              <w:right w:val="nil"/>
            </w:tcBorders>
            <w:shd w:val="clear" w:color="auto" w:fill="auto"/>
            <w:noWrap/>
            <w:vAlign w:val="bottom"/>
            <w:hideMark/>
          </w:tcPr>
          <w:p w14:paraId="2EC2DCE3"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004" w:type="dxa"/>
            <w:tcBorders>
              <w:top w:val="nil"/>
              <w:left w:val="nil"/>
              <w:bottom w:val="nil"/>
              <w:right w:val="nil"/>
            </w:tcBorders>
            <w:shd w:val="clear" w:color="auto" w:fill="auto"/>
            <w:noWrap/>
            <w:vAlign w:val="bottom"/>
            <w:hideMark/>
          </w:tcPr>
          <w:p w14:paraId="04A0C49D"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0.6997</w:t>
            </w:r>
          </w:p>
        </w:tc>
      </w:tr>
      <w:tr w:rsidR="005E7B8F" w:rsidRPr="005E7B8F" w14:paraId="7C45FDFE" w14:textId="77777777" w:rsidTr="005E7B8F">
        <w:trPr>
          <w:trHeight w:val="320"/>
        </w:trPr>
        <w:tc>
          <w:tcPr>
            <w:tcW w:w="2977" w:type="dxa"/>
            <w:tcBorders>
              <w:top w:val="nil"/>
              <w:left w:val="nil"/>
              <w:bottom w:val="nil"/>
              <w:right w:val="nil"/>
            </w:tcBorders>
            <w:shd w:val="clear" w:color="auto" w:fill="auto"/>
            <w:noWrap/>
            <w:vAlign w:val="center"/>
            <w:hideMark/>
          </w:tcPr>
          <w:p w14:paraId="66B98A6C" w14:textId="77777777" w:rsidR="005E7B8F" w:rsidRPr="005E7B8F" w:rsidRDefault="005E7B8F" w:rsidP="005E7B8F">
            <w:pPr>
              <w:rPr>
                <w:rFonts w:ascii="Times New Roman" w:eastAsia="Times New Roman" w:hAnsi="Times New Roman" w:cs="Times New Roman"/>
                <w:color w:val="000000"/>
              </w:rPr>
            </w:pP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p>
        </w:tc>
        <w:tc>
          <w:tcPr>
            <w:tcW w:w="1276" w:type="dxa"/>
            <w:tcBorders>
              <w:top w:val="nil"/>
              <w:left w:val="nil"/>
              <w:bottom w:val="nil"/>
              <w:right w:val="nil"/>
            </w:tcBorders>
            <w:shd w:val="clear" w:color="auto" w:fill="auto"/>
            <w:noWrap/>
            <w:vAlign w:val="bottom"/>
            <w:hideMark/>
          </w:tcPr>
          <w:p w14:paraId="77004FB6"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0.23</w:t>
            </w:r>
          </w:p>
        </w:tc>
        <w:tc>
          <w:tcPr>
            <w:tcW w:w="850" w:type="dxa"/>
            <w:tcBorders>
              <w:top w:val="nil"/>
              <w:left w:val="nil"/>
              <w:bottom w:val="nil"/>
              <w:right w:val="nil"/>
            </w:tcBorders>
            <w:shd w:val="clear" w:color="auto" w:fill="auto"/>
            <w:noWrap/>
            <w:vAlign w:val="bottom"/>
            <w:hideMark/>
          </w:tcPr>
          <w:p w14:paraId="61FEEA55"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004" w:type="dxa"/>
            <w:tcBorders>
              <w:top w:val="nil"/>
              <w:left w:val="nil"/>
              <w:bottom w:val="nil"/>
              <w:right w:val="nil"/>
            </w:tcBorders>
            <w:shd w:val="clear" w:color="auto" w:fill="auto"/>
            <w:noWrap/>
            <w:vAlign w:val="bottom"/>
            <w:hideMark/>
          </w:tcPr>
          <w:p w14:paraId="0B70AA68"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0.8716</w:t>
            </w:r>
          </w:p>
        </w:tc>
      </w:tr>
      <w:tr w:rsidR="005E7B8F" w:rsidRPr="005E7B8F" w14:paraId="37ECE6DF" w14:textId="77777777" w:rsidTr="005E7B8F">
        <w:trPr>
          <w:trHeight w:val="320"/>
        </w:trPr>
        <w:tc>
          <w:tcPr>
            <w:tcW w:w="2977" w:type="dxa"/>
            <w:tcBorders>
              <w:top w:val="nil"/>
              <w:left w:val="nil"/>
              <w:bottom w:val="single" w:sz="4" w:space="0" w:color="auto"/>
              <w:right w:val="nil"/>
            </w:tcBorders>
            <w:shd w:val="clear" w:color="auto" w:fill="auto"/>
            <w:noWrap/>
            <w:vAlign w:val="center"/>
            <w:hideMark/>
          </w:tcPr>
          <w:p w14:paraId="242DEB8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Initial weight</w:t>
            </w:r>
            <w:r w:rsidRPr="005E7B8F">
              <w:rPr>
                <w:rFonts w:ascii="Times New Roman" w:eastAsia="Times New Roman" w:hAnsi="Times New Roman" w:cs="Times New Roman"/>
                <w:color w:val="000000"/>
              </w:rPr>
              <w:sym w:font="Symbol" w:char="F0B4"/>
            </w: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p>
        </w:tc>
        <w:tc>
          <w:tcPr>
            <w:tcW w:w="1276" w:type="dxa"/>
            <w:tcBorders>
              <w:top w:val="nil"/>
              <w:left w:val="nil"/>
              <w:bottom w:val="single" w:sz="4" w:space="0" w:color="auto"/>
              <w:right w:val="nil"/>
            </w:tcBorders>
            <w:shd w:val="clear" w:color="auto" w:fill="auto"/>
            <w:noWrap/>
            <w:vAlign w:val="bottom"/>
            <w:hideMark/>
          </w:tcPr>
          <w:p w14:paraId="10B1E720"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0.34</w:t>
            </w:r>
          </w:p>
        </w:tc>
        <w:tc>
          <w:tcPr>
            <w:tcW w:w="850" w:type="dxa"/>
            <w:tcBorders>
              <w:top w:val="nil"/>
              <w:left w:val="nil"/>
              <w:bottom w:val="single" w:sz="4" w:space="0" w:color="auto"/>
              <w:right w:val="nil"/>
            </w:tcBorders>
            <w:shd w:val="clear" w:color="auto" w:fill="auto"/>
            <w:noWrap/>
            <w:vAlign w:val="bottom"/>
            <w:hideMark/>
          </w:tcPr>
          <w:p w14:paraId="13FC6FE0"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004" w:type="dxa"/>
            <w:tcBorders>
              <w:top w:val="nil"/>
              <w:left w:val="nil"/>
              <w:bottom w:val="single" w:sz="4" w:space="0" w:color="auto"/>
              <w:right w:val="nil"/>
            </w:tcBorders>
            <w:shd w:val="clear" w:color="auto" w:fill="auto"/>
            <w:noWrap/>
            <w:vAlign w:val="bottom"/>
            <w:hideMark/>
          </w:tcPr>
          <w:p w14:paraId="565C8F28"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0.5589</w:t>
            </w:r>
          </w:p>
        </w:tc>
      </w:tr>
    </w:tbl>
    <w:p w14:paraId="1661BDB9" w14:textId="77777777" w:rsidR="005E7B8F" w:rsidRPr="005E7B8F" w:rsidRDefault="005E7B8F" w:rsidP="005E7B8F">
      <w:pPr>
        <w:suppressLineNumbers/>
        <w:rPr>
          <w:rFonts w:ascii="Times New Roman" w:eastAsia="Times New Roman" w:hAnsi="Times New Roman" w:cs="Times New Roman"/>
          <w:b/>
          <w:bCs/>
        </w:rPr>
      </w:pPr>
    </w:p>
    <w:p w14:paraId="3EB82B56" w14:textId="77777777" w:rsidR="005E7B8F" w:rsidRPr="005E7B8F" w:rsidRDefault="005E7B8F" w:rsidP="005E7B8F">
      <w:pPr>
        <w:suppressLineNumbers/>
        <w:rPr>
          <w:rFonts w:ascii="Times New Roman" w:eastAsia="Times New Roman" w:hAnsi="Times New Roman" w:cs="Times New Roman"/>
          <w:b/>
          <w:bCs/>
          <w:highlight w:val="yellow"/>
        </w:rPr>
      </w:pPr>
    </w:p>
    <w:p w14:paraId="3A6366DF" w14:textId="77777777" w:rsidR="005E7B8F" w:rsidRPr="005E7B8F" w:rsidRDefault="005E7B8F" w:rsidP="005E7B8F">
      <w:pPr>
        <w:suppressLineNumbers/>
        <w:rPr>
          <w:rFonts w:ascii="Times New Roman" w:eastAsia="Times New Roman" w:hAnsi="Times New Roman" w:cs="Times New Roman"/>
          <w:b/>
          <w:bCs/>
          <w:highlight w:val="yellow"/>
        </w:rPr>
      </w:pPr>
    </w:p>
    <w:p w14:paraId="126E50AE" w14:textId="77777777" w:rsidR="005E7B8F" w:rsidRPr="005E7B8F" w:rsidRDefault="005E7B8F" w:rsidP="005E7B8F">
      <w:pPr>
        <w:suppressLineNumbers/>
        <w:rPr>
          <w:rFonts w:ascii="Times New Roman" w:eastAsia="Times New Roman" w:hAnsi="Times New Roman" w:cs="Times New Roman"/>
          <w:b/>
          <w:bCs/>
          <w:highlight w:val="yellow"/>
        </w:rPr>
      </w:pPr>
    </w:p>
    <w:p w14:paraId="2D19EA9E" w14:textId="77777777" w:rsidR="005E7B8F" w:rsidRPr="005E7B8F" w:rsidRDefault="005E7B8F" w:rsidP="005E7B8F">
      <w:pPr>
        <w:suppressLineNumbers/>
        <w:rPr>
          <w:rFonts w:ascii="Times New Roman" w:eastAsia="Times New Roman" w:hAnsi="Times New Roman" w:cs="Times New Roman"/>
          <w:b/>
          <w:bCs/>
          <w:highlight w:val="yellow"/>
        </w:rPr>
      </w:pPr>
    </w:p>
    <w:p w14:paraId="564A8D35" w14:textId="77777777" w:rsidR="005E7B8F" w:rsidRPr="005E7B8F" w:rsidRDefault="005E7B8F" w:rsidP="005E7B8F">
      <w:pPr>
        <w:suppressLineNumbers/>
        <w:rPr>
          <w:rFonts w:ascii="Times New Roman" w:eastAsia="Times New Roman" w:hAnsi="Times New Roman" w:cs="Times New Roman"/>
          <w:b/>
          <w:bCs/>
          <w:highlight w:val="yellow"/>
        </w:rPr>
      </w:pPr>
    </w:p>
    <w:p w14:paraId="051813FB" w14:textId="77777777" w:rsidR="005E7B8F" w:rsidRPr="005E7B8F" w:rsidRDefault="005E7B8F" w:rsidP="005E7B8F">
      <w:pPr>
        <w:suppressLineNumbers/>
        <w:rPr>
          <w:rFonts w:ascii="Times New Roman" w:eastAsia="Times New Roman" w:hAnsi="Times New Roman" w:cs="Times New Roman"/>
          <w:b/>
          <w:bCs/>
          <w:highlight w:val="yellow"/>
        </w:rPr>
      </w:pPr>
    </w:p>
    <w:p w14:paraId="07C342FA" w14:textId="77777777" w:rsidR="005E7B8F" w:rsidRPr="005E7B8F" w:rsidRDefault="005E7B8F" w:rsidP="005E7B8F">
      <w:pPr>
        <w:suppressLineNumbers/>
        <w:rPr>
          <w:rFonts w:ascii="Times New Roman" w:eastAsia="Times New Roman" w:hAnsi="Times New Roman" w:cs="Times New Roman"/>
          <w:b/>
          <w:bCs/>
          <w:highlight w:val="yellow"/>
        </w:rPr>
      </w:pPr>
    </w:p>
    <w:p w14:paraId="68ED2C89" w14:textId="77777777" w:rsidR="005E7B8F" w:rsidRPr="005E7B8F" w:rsidRDefault="005E7B8F" w:rsidP="005E7B8F">
      <w:pPr>
        <w:suppressLineNumbers/>
        <w:rPr>
          <w:rFonts w:ascii="Times New Roman" w:eastAsia="Times New Roman" w:hAnsi="Times New Roman" w:cs="Times New Roman"/>
          <w:b/>
          <w:bCs/>
          <w:highlight w:val="yellow"/>
        </w:rPr>
      </w:pPr>
    </w:p>
    <w:p w14:paraId="6DD27B0E" w14:textId="77777777" w:rsidR="005E7B8F" w:rsidRPr="005E7B8F" w:rsidRDefault="005E7B8F" w:rsidP="005E7B8F">
      <w:pPr>
        <w:suppressLineNumbers/>
        <w:rPr>
          <w:rFonts w:ascii="Times New Roman" w:eastAsia="Times New Roman" w:hAnsi="Times New Roman" w:cs="Times New Roman"/>
          <w:b/>
          <w:bCs/>
          <w:highlight w:val="yellow"/>
        </w:rPr>
      </w:pPr>
    </w:p>
    <w:p w14:paraId="3EC7A885" w14:textId="77777777" w:rsidR="005E7B8F" w:rsidRPr="005E7B8F" w:rsidRDefault="005E7B8F" w:rsidP="005E7B8F">
      <w:pPr>
        <w:suppressLineNumbers/>
        <w:rPr>
          <w:rFonts w:ascii="Times New Roman" w:eastAsia="Times New Roman" w:hAnsi="Times New Roman" w:cs="Times New Roman"/>
          <w:b/>
          <w:bCs/>
          <w:highlight w:val="yellow"/>
        </w:rPr>
      </w:pPr>
    </w:p>
    <w:p w14:paraId="0C98C778" w14:textId="77777777" w:rsidR="005E7B8F" w:rsidRPr="005E7B8F" w:rsidRDefault="005E7B8F" w:rsidP="005E7B8F">
      <w:pPr>
        <w:suppressLineNumbers/>
        <w:rPr>
          <w:rFonts w:ascii="Times New Roman" w:eastAsia="Times New Roman" w:hAnsi="Times New Roman" w:cs="Times New Roman"/>
          <w:b/>
          <w:bCs/>
          <w:highlight w:val="yellow"/>
        </w:rPr>
      </w:pPr>
    </w:p>
    <w:p w14:paraId="5C28EF34" w14:textId="77777777" w:rsidR="005E7B8F" w:rsidRPr="005E7B8F" w:rsidRDefault="005E7B8F" w:rsidP="005E7B8F">
      <w:pPr>
        <w:suppressLineNumbers/>
        <w:rPr>
          <w:rFonts w:ascii="Times New Roman" w:eastAsia="Times New Roman" w:hAnsi="Times New Roman" w:cs="Times New Roman"/>
          <w:b/>
          <w:bCs/>
          <w:highlight w:val="yellow"/>
        </w:rPr>
      </w:pPr>
    </w:p>
    <w:p w14:paraId="296D88F7" w14:textId="77777777" w:rsidR="005E7B8F" w:rsidRPr="005E7B8F" w:rsidRDefault="005E7B8F" w:rsidP="005E7B8F">
      <w:pPr>
        <w:suppressLineNumbers/>
        <w:rPr>
          <w:rFonts w:ascii="Times New Roman" w:eastAsia="Times New Roman" w:hAnsi="Times New Roman" w:cs="Times New Roman"/>
          <w:b/>
          <w:bCs/>
          <w:highlight w:val="yellow"/>
        </w:rPr>
      </w:pPr>
    </w:p>
    <w:p w14:paraId="6A2C34DC" w14:textId="77777777" w:rsidR="005E7B8F" w:rsidRPr="005E7B8F" w:rsidRDefault="005E7B8F" w:rsidP="005E7B8F">
      <w:pPr>
        <w:suppressLineNumbers/>
        <w:rPr>
          <w:rFonts w:ascii="Times New Roman" w:eastAsia="Times New Roman" w:hAnsi="Times New Roman" w:cs="Times New Roman"/>
          <w:b/>
          <w:bCs/>
          <w:highlight w:val="yellow"/>
        </w:rPr>
      </w:pPr>
    </w:p>
    <w:p w14:paraId="3CF4C08D" w14:textId="77777777" w:rsidR="005E7B8F" w:rsidRPr="005E7B8F" w:rsidRDefault="005E7B8F" w:rsidP="005E7B8F">
      <w:pPr>
        <w:suppressLineNumbers/>
        <w:rPr>
          <w:rFonts w:ascii="Times New Roman" w:eastAsia="Times New Roman" w:hAnsi="Times New Roman" w:cs="Times New Roman"/>
          <w:b/>
          <w:bCs/>
          <w:highlight w:val="yellow"/>
        </w:rPr>
      </w:pPr>
    </w:p>
    <w:p w14:paraId="148BB8E4" w14:textId="77777777" w:rsidR="005E7B8F" w:rsidRPr="005E7B8F" w:rsidRDefault="005E7B8F" w:rsidP="005E7B8F">
      <w:pPr>
        <w:suppressLineNumbers/>
        <w:rPr>
          <w:rFonts w:ascii="Times New Roman" w:eastAsia="Times New Roman" w:hAnsi="Times New Roman" w:cs="Times New Roman"/>
          <w:b/>
          <w:bCs/>
          <w:highlight w:val="yellow"/>
        </w:rPr>
      </w:pPr>
    </w:p>
    <w:p w14:paraId="4F40CA3C" w14:textId="77777777" w:rsidR="005E7B8F" w:rsidRPr="005E7B8F" w:rsidRDefault="005E7B8F" w:rsidP="005E7B8F">
      <w:pPr>
        <w:suppressLineNumbers/>
        <w:rPr>
          <w:rFonts w:ascii="Times New Roman" w:eastAsia="Times New Roman" w:hAnsi="Times New Roman" w:cs="Times New Roman"/>
          <w:b/>
          <w:bCs/>
          <w:highlight w:val="yellow"/>
        </w:rPr>
      </w:pPr>
    </w:p>
    <w:p w14:paraId="039B3D9C" w14:textId="77777777" w:rsidR="005E7B8F" w:rsidRPr="005E7B8F" w:rsidRDefault="005E7B8F" w:rsidP="005E7B8F">
      <w:pPr>
        <w:suppressLineNumbers/>
        <w:rPr>
          <w:rFonts w:ascii="Times New Roman" w:eastAsia="Times New Roman" w:hAnsi="Times New Roman" w:cs="Times New Roman"/>
          <w:b/>
          <w:bCs/>
          <w:highlight w:val="yellow"/>
        </w:rPr>
      </w:pPr>
    </w:p>
    <w:p w14:paraId="75974D08" w14:textId="77777777" w:rsidR="005E7B8F" w:rsidRPr="005E7B8F" w:rsidRDefault="005E7B8F" w:rsidP="005E7B8F">
      <w:pPr>
        <w:suppressLineNumbers/>
        <w:rPr>
          <w:rFonts w:ascii="Times New Roman" w:eastAsia="Times New Roman" w:hAnsi="Times New Roman" w:cs="Times New Roman"/>
          <w:b/>
          <w:bCs/>
          <w:highlight w:val="yellow"/>
        </w:rPr>
      </w:pPr>
    </w:p>
    <w:p w14:paraId="4873110F" w14:textId="77777777" w:rsidR="005E7B8F" w:rsidRPr="005E7B8F" w:rsidRDefault="005E7B8F" w:rsidP="005E7B8F">
      <w:pPr>
        <w:suppressLineNumbers/>
        <w:rPr>
          <w:rFonts w:ascii="Times New Roman" w:eastAsia="Times New Roman" w:hAnsi="Times New Roman" w:cs="Times New Roman"/>
        </w:rPr>
      </w:pPr>
      <w:r w:rsidRPr="005E7B8F">
        <w:rPr>
          <w:rFonts w:ascii="Times New Roman" w:eastAsia="Times New Roman" w:hAnsi="Times New Roman" w:cs="Times New Roman"/>
          <w:b/>
          <w:bCs/>
        </w:rPr>
        <w:lastRenderedPageBreak/>
        <w:t xml:space="preserve">Table S3. </w:t>
      </w:r>
      <w:r w:rsidRPr="005E7B8F">
        <w:rPr>
          <w:rFonts w:ascii="Times New Roman" w:eastAsia="Times New Roman" w:hAnsi="Times New Roman" w:cs="Times New Roman"/>
        </w:rPr>
        <w:t xml:space="preserve">Results of Cox mixed effects regression analysis for the effects of size class, </w:t>
      </w: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rPr>
        <w:t xml:space="preserve">, temperature, and trial on startle response time. Bolded text denotes significant effects. df = degrees of freedom, D df = denominator degrees of freedom, </w:t>
      </w:r>
      <w:r w:rsidRPr="005E7B8F">
        <w:rPr>
          <w:rFonts w:ascii="Times New Roman" w:eastAsia="Times New Roman" w:hAnsi="Times New Roman" w:cs="Times New Roman"/>
          <w:color w:val="000000"/>
        </w:rPr>
        <w:sym w:font="Symbol" w:char="F063"/>
      </w:r>
      <w:r w:rsidRPr="005E7B8F">
        <w:rPr>
          <w:rFonts w:ascii="Times New Roman" w:eastAsia="Times New Roman" w:hAnsi="Times New Roman" w:cs="Times New Roman"/>
          <w:color w:val="000000"/>
          <w:vertAlign w:val="superscript"/>
        </w:rPr>
        <w:t>2</w:t>
      </w:r>
      <w:r w:rsidRPr="005E7B8F">
        <w:rPr>
          <w:rFonts w:ascii="Times New Roman" w:eastAsia="Times New Roman" w:hAnsi="Times New Roman" w:cs="Times New Roman"/>
        </w:rPr>
        <w:t xml:space="preserve"> = Chi-squared statistic, </w:t>
      </w:r>
      <w:r w:rsidRPr="005E7B8F">
        <w:rPr>
          <w:rFonts w:ascii="Times New Roman" w:eastAsia="Times New Roman" w:hAnsi="Times New Roman" w:cs="Times New Roman"/>
          <w:i/>
          <w:iCs/>
        </w:rPr>
        <w:t>P</w:t>
      </w:r>
      <w:r w:rsidRPr="005E7B8F">
        <w:rPr>
          <w:rFonts w:ascii="Times New Roman" w:eastAsia="Times New Roman" w:hAnsi="Times New Roman" w:cs="Times New Roman"/>
        </w:rPr>
        <w:t xml:space="preserve"> = p-value.</w:t>
      </w:r>
    </w:p>
    <w:p w14:paraId="01624EAF" w14:textId="77777777" w:rsidR="005E7B8F" w:rsidRPr="005E7B8F" w:rsidRDefault="005E7B8F" w:rsidP="005E7B8F">
      <w:pPr>
        <w:suppressLineNumbers/>
        <w:rPr>
          <w:rFonts w:ascii="Times New Roman" w:eastAsia="Times New Roman" w:hAnsi="Times New Roman" w:cs="Times New Roman"/>
        </w:rPr>
      </w:pPr>
    </w:p>
    <w:tbl>
      <w:tblPr>
        <w:tblW w:w="6380" w:type="dxa"/>
        <w:tblLayout w:type="fixed"/>
        <w:tblLook w:val="04A0" w:firstRow="1" w:lastRow="0" w:firstColumn="1" w:lastColumn="0" w:noHBand="0" w:noVBand="1"/>
      </w:tblPr>
      <w:tblGrid>
        <w:gridCol w:w="3261"/>
        <w:gridCol w:w="851"/>
        <w:gridCol w:w="1134"/>
        <w:gridCol w:w="1134"/>
      </w:tblGrid>
      <w:tr w:rsidR="005E7B8F" w:rsidRPr="005E7B8F" w14:paraId="2D37235D" w14:textId="77777777" w:rsidTr="005E7B8F">
        <w:trPr>
          <w:trHeight w:val="320"/>
        </w:trPr>
        <w:tc>
          <w:tcPr>
            <w:tcW w:w="3261" w:type="dxa"/>
            <w:tcBorders>
              <w:top w:val="single" w:sz="4" w:space="0" w:color="auto"/>
              <w:left w:val="nil"/>
              <w:bottom w:val="single" w:sz="4" w:space="0" w:color="auto"/>
              <w:right w:val="nil"/>
            </w:tcBorders>
            <w:shd w:val="clear" w:color="auto" w:fill="auto"/>
            <w:noWrap/>
            <w:vAlign w:val="bottom"/>
            <w:hideMark/>
          </w:tcPr>
          <w:p w14:paraId="33714812"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Source of error</w:t>
            </w:r>
          </w:p>
        </w:tc>
        <w:tc>
          <w:tcPr>
            <w:tcW w:w="851" w:type="dxa"/>
            <w:tcBorders>
              <w:top w:val="single" w:sz="4" w:space="0" w:color="auto"/>
              <w:left w:val="nil"/>
              <w:bottom w:val="single" w:sz="4" w:space="0" w:color="auto"/>
              <w:right w:val="nil"/>
            </w:tcBorders>
            <w:shd w:val="clear" w:color="auto" w:fill="auto"/>
            <w:noWrap/>
            <w:vAlign w:val="bottom"/>
            <w:hideMark/>
          </w:tcPr>
          <w:p w14:paraId="1BE6B2BC"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df</w:t>
            </w:r>
          </w:p>
        </w:tc>
        <w:tc>
          <w:tcPr>
            <w:tcW w:w="1134" w:type="dxa"/>
            <w:tcBorders>
              <w:top w:val="single" w:sz="4" w:space="0" w:color="auto"/>
              <w:left w:val="nil"/>
              <w:bottom w:val="single" w:sz="4" w:space="0" w:color="auto"/>
              <w:right w:val="nil"/>
            </w:tcBorders>
            <w:shd w:val="clear" w:color="auto" w:fill="auto"/>
            <w:noWrap/>
            <w:vAlign w:val="bottom"/>
            <w:hideMark/>
          </w:tcPr>
          <w:p w14:paraId="7C638D41" w14:textId="77777777" w:rsidR="005E7B8F" w:rsidRPr="005E7B8F" w:rsidRDefault="005E7B8F" w:rsidP="005E7B8F">
            <w:pPr>
              <w:rPr>
                <w:rFonts w:ascii="Times New Roman" w:eastAsia="Times New Roman" w:hAnsi="Times New Roman" w:cs="Times New Roman"/>
                <w:color w:val="000000"/>
                <w:vertAlign w:val="subscript"/>
              </w:rPr>
            </w:pPr>
            <w:r w:rsidRPr="005E7B8F">
              <w:rPr>
                <w:rFonts w:ascii="Times New Roman" w:eastAsia="Times New Roman" w:hAnsi="Times New Roman" w:cs="Times New Roman"/>
                <w:color w:val="000000"/>
              </w:rPr>
              <w:sym w:font="Symbol" w:char="F063"/>
            </w:r>
            <w:r w:rsidRPr="005E7B8F">
              <w:rPr>
                <w:rFonts w:ascii="Times New Roman" w:eastAsia="Times New Roman" w:hAnsi="Times New Roman" w:cs="Times New Roman"/>
                <w:color w:val="000000"/>
                <w:vertAlign w:val="superscript"/>
              </w:rPr>
              <w:t>2</w:t>
            </w:r>
          </w:p>
        </w:tc>
        <w:tc>
          <w:tcPr>
            <w:tcW w:w="1134" w:type="dxa"/>
            <w:tcBorders>
              <w:top w:val="single" w:sz="4" w:space="0" w:color="auto"/>
              <w:left w:val="nil"/>
              <w:bottom w:val="single" w:sz="4" w:space="0" w:color="auto"/>
              <w:right w:val="nil"/>
            </w:tcBorders>
            <w:shd w:val="clear" w:color="auto" w:fill="auto"/>
            <w:noWrap/>
            <w:vAlign w:val="bottom"/>
            <w:hideMark/>
          </w:tcPr>
          <w:p w14:paraId="122EEC97" w14:textId="77777777" w:rsidR="005E7B8F" w:rsidRPr="005E7B8F" w:rsidRDefault="005E7B8F" w:rsidP="005E7B8F">
            <w:pPr>
              <w:jc w:val="right"/>
              <w:rPr>
                <w:rFonts w:ascii="Times New Roman" w:eastAsia="Times New Roman" w:hAnsi="Times New Roman" w:cs="Times New Roman"/>
                <w:i/>
                <w:iCs/>
                <w:color w:val="000000"/>
              </w:rPr>
            </w:pPr>
            <w:r w:rsidRPr="005E7B8F">
              <w:rPr>
                <w:rFonts w:ascii="Times New Roman" w:eastAsia="Times New Roman" w:hAnsi="Times New Roman" w:cs="Times New Roman"/>
                <w:i/>
                <w:iCs/>
                <w:color w:val="000000"/>
              </w:rPr>
              <w:t>P</w:t>
            </w:r>
          </w:p>
        </w:tc>
      </w:tr>
      <w:tr w:rsidR="005E7B8F" w:rsidRPr="005E7B8F" w14:paraId="2D90E202" w14:textId="77777777" w:rsidTr="005E7B8F">
        <w:trPr>
          <w:trHeight w:val="320"/>
        </w:trPr>
        <w:tc>
          <w:tcPr>
            <w:tcW w:w="3261" w:type="dxa"/>
            <w:tcBorders>
              <w:top w:val="nil"/>
              <w:left w:val="nil"/>
              <w:bottom w:val="nil"/>
              <w:right w:val="nil"/>
            </w:tcBorders>
            <w:shd w:val="clear" w:color="auto" w:fill="auto"/>
            <w:noWrap/>
            <w:vAlign w:val="bottom"/>
            <w:hideMark/>
          </w:tcPr>
          <w:p w14:paraId="37547DB4"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Size class</w:t>
            </w:r>
          </w:p>
        </w:tc>
        <w:tc>
          <w:tcPr>
            <w:tcW w:w="851" w:type="dxa"/>
            <w:tcBorders>
              <w:top w:val="nil"/>
              <w:left w:val="nil"/>
              <w:bottom w:val="nil"/>
              <w:right w:val="nil"/>
            </w:tcBorders>
            <w:shd w:val="clear" w:color="auto" w:fill="auto"/>
            <w:noWrap/>
            <w:vAlign w:val="bottom"/>
            <w:hideMark/>
          </w:tcPr>
          <w:p w14:paraId="3F6730D7"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1</w:t>
            </w:r>
          </w:p>
        </w:tc>
        <w:tc>
          <w:tcPr>
            <w:tcW w:w="1134" w:type="dxa"/>
            <w:tcBorders>
              <w:top w:val="nil"/>
              <w:left w:val="nil"/>
              <w:bottom w:val="nil"/>
              <w:right w:val="nil"/>
            </w:tcBorders>
            <w:shd w:val="clear" w:color="auto" w:fill="auto"/>
            <w:noWrap/>
            <w:vAlign w:val="bottom"/>
            <w:hideMark/>
          </w:tcPr>
          <w:p w14:paraId="74C988C3"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34.56</w:t>
            </w:r>
          </w:p>
        </w:tc>
        <w:tc>
          <w:tcPr>
            <w:tcW w:w="1134" w:type="dxa"/>
            <w:tcBorders>
              <w:top w:val="nil"/>
              <w:left w:val="nil"/>
              <w:bottom w:val="nil"/>
              <w:right w:val="nil"/>
            </w:tcBorders>
            <w:shd w:val="clear" w:color="auto" w:fill="auto"/>
            <w:noWrap/>
            <w:vAlign w:val="bottom"/>
            <w:hideMark/>
          </w:tcPr>
          <w:p w14:paraId="729086D1" w14:textId="77777777" w:rsidR="005E7B8F" w:rsidRPr="005E7B8F" w:rsidRDefault="005E7B8F" w:rsidP="005E7B8F">
            <w:pPr>
              <w:jc w:val="right"/>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&lt;0.0001</w:t>
            </w:r>
          </w:p>
        </w:tc>
      </w:tr>
      <w:tr w:rsidR="005E7B8F" w:rsidRPr="005E7B8F" w14:paraId="562B1689" w14:textId="77777777" w:rsidTr="005E7B8F">
        <w:trPr>
          <w:trHeight w:val="320"/>
        </w:trPr>
        <w:tc>
          <w:tcPr>
            <w:tcW w:w="3261" w:type="dxa"/>
            <w:tcBorders>
              <w:top w:val="nil"/>
              <w:left w:val="nil"/>
              <w:bottom w:val="nil"/>
              <w:right w:val="nil"/>
            </w:tcBorders>
            <w:shd w:val="clear" w:color="auto" w:fill="auto"/>
            <w:noWrap/>
            <w:vAlign w:val="bottom"/>
            <w:hideMark/>
          </w:tcPr>
          <w:p w14:paraId="2A3B37BA" w14:textId="77777777" w:rsidR="005E7B8F" w:rsidRPr="005E7B8F" w:rsidRDefault="005E7B8F" w:rsidP="005E7B8F">
            <w:pPr>
              <w:rPr>
                <w:rFonts w:ascii="Times New Roman" w:eastAsia="Times New Roman" w:hAnsi="Times New Roman" w:cs="Times New Roman"/>
                <w:color w:val="000000"/>
                <w:vertAlign w:val="subscript"/>
              </w:rPr>
            </w:pP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p>
        </w:tc>
        <w:tc>
          <w:tcPr>
            <w:tcW w:w="851" w:type="dxa"/>
            <w:tcBorders>
              <w:top w:val="nil"/>
              <w:left w:val="nil"/>
              <w:bottom w:val="nil"/>
              <w:right w:val="nil"/>
            </w:tcBorders>
            <w:shd w:val="clear" w:color="auto" w:fill="auto"/>
            <w:noWrap/>
            <w:vAlign w:val="bottom"/>
            <w:hideMark/>
          </w:tcPr>
          <w:p w14:paraId="3CD59B9C"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134" w:type="dxa"/>
            <w:tcBorders>
              <w:top w:val="nil"/>
              <w:left w:val="nil"/>
              <w:bottom w:val="nil"/>
              <w:right w:val="nil"/>
            </w:tcBorders>
            <w:shd w:val="clear" w:color="auto" w:fill="auto"/>
            <w:noWrap/>
            <w:vAlign w:val="bottom"/>
            <w:hideMark/>
          </w:tcPr>
          <w:p w14:paraId="69BF7C9F"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1.30</w:t>
            </w:r>
          </w:p>
        </w:tc>
        <w:tc>
          <w:tcPr>
            <w:tcW w:w="1134" w:type="dxa"/>
            <w:tcBorders>
              <w:top w:val="nil"/>
              <w:left w:val="nil"/>
              <w:bottom w:val="nil"/>
              <w:right w:val="nil"/>
            </w:tcBorders>
            <w:shd w:val="clear" w:color="auto" w:fill="auto"/>
            <w:noWrap/>
            <w:vAlign w:val="bottom"/>
            <w:hideMark/>
          </w:tcPr>
          <w:p w14:paraId="721CCE81"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0.2540</w:t>
            </w:r>
          </w:p>
        </w:tc>
      </w:tr>
      <w:tr w:rsidR="005E7B8F" w:rsidRPr="005E7B8F" w14:paraId="76AE8AE5" w14:textId="77777777" w:rsidTr="005E7B8F">
        <w:trPr>
          <w:trHeight w:val="320"/>
        </w:trPr>
        <w:tc>
          <w:tcPr>
            <w:tcW w:w="3261" w:type="dxa"/>
            <w:tcBorders>
              <w:top w:val="nil"/>
              <w:left w:val="nil"/>
              <w:bottom w:val="nil"/>
              <w:right w:val="nil"/>
            </w:tcBorders>
            <w:shd w:val="clear" w:color="auto" w:fill="auto"/>
            <w:noWrap/>
            <w:vAlign w:val="bottom"/>
            <w:hideMark/>
          </w:tcPr>
          <w:p w14:paraId="4E0C605B"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Temp</w:t>
            </w:r>
          </w:p>
        </w:tc>
        <w:tc>
          <w:tcPr>
            <w:tcW w:w="851" w:type="dxa"/>
            <w:tcBorders>
              <w:top w:val="nil"/>
              <w:left w:val="nil"/>
              <w:bottom w:val="nil"/>
              <w:right w:val="nil"/>
            </w:tcBorders>
            <w:shd w:val="clear" w:color="auto" w:fill="auto"/>
            <w:noWrap/>
            <w:vAlign w:val="bottom"/>
            <w:hideMark/>
          </w:tcPr>
          <w:p w14:paraId="4BD9740D"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1</w:t>
            </w:r>
          </w:p>
        </w:tc>
        <w:tc>
          <w:tcPr>
            <w:tcW w:w="1134" w:type="dxa"/>
            <w:tcBorders>
              <w:top w:val="nil"/>
              <w:left w:val="nil"/>
              <w:bottom w:val="nil"/>
              <w:right w:val="nil"/>
            </w:tcBorders>
            <w:shd w:val="clear" w:color="auto" w:fill="auto"/>
            <w:noWrap/>
            <w:vAlign w:val="bottom"/>
            <w:hideMark/>
          </w:tcPr>
          <w:p w14:paraId="7045ED43"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20.52</w:t>
            </w:r>
          </w:p>
        </w:tc>
        <w:tc>
          <w:tcPr>
            <w:tcW w:w="1134" w:type="dxa"/>
            <w:tcBorders>
              <w:top w:val="nil"/>
              <w:left w:val="nil"/>
              <w:bottom w:val="nil"/>
              <w:right w:val="nil"/>
            </w:tcBorders>
            <w:shd w:val="clear" w:color="auto" w:fill="auto"/>
            <w:noWrap/>
            <w:vAlign w:val="bottom"/>
            <w:hideMark/>
          </w:tcPr>
          <w:p w14:paraId="45AC1BAD" w14:textId="77777777" w:rsidR="005E7B8F" w:rsidRPr="005E7B8F" w:rsidRDefault="005E7B8F" w:rsidP="005E7B8F">
            <w:pPr>
              <w:jc w:val="right"/>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&lt;0.0001</w:t>
            </w:r>
          </w:p>
        </w:tc>
      </w:tr>
      <w:tr w:rsidR="005E7B8F" w:rsidRPr="005E7B8F" w14:paraId="2D9CD535" w14:textId="77777777" w:rsidTr="005E7B8F">
        <w:trPr>
          <w:trHeight w:val="320"/>
        </w:trPr>
        <w:tc>
          <w:tcPr>
            <w:tcW w:w="3261" w:type="dxa"/>
            <w:tcBorders>
              <w:top w:val="nil"/>
              <w:left w:val="nil"/>
              <w:bottom w:val="nil"/>
              <w:right w:val="nil"/>
            </w:tcBorders>
            <w:shd w:val="clear" w:color="auto" w:fill="auto"/>
            <w:noWrap/>
            <w:vAlign w:val="bottom"/>
            <w:hideMark/>
          </w:tcPr>
          <w:p w14:paraId="2113653C"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Trial</w:t>
            </w:r>
          </w:p>
        </w:tc>
        <w:tc>
          <w:tcPr>
            <w:tcW w:w="851" w:type="dxa"/>
            <w:tcBorders>
              <w:top w:val="nil"/>
              <w:left w:val="nil"/>
              <w:bottom w:val="nil"/>
              <w:right w:val="nil"/>
            </w:tcBorders>
            <w:shd w:val="clear" w:color="auto" w:fill="auto"/>
            <w:noWrap/>
            <w:vAlign w:val="bottom"/>
            <w:hideMark/>
          </w:tcPr>
          <w:p w14:paraId="001F73F6"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3</w:t>
            </w:r>
          </w:p>
        </w:tc>
        <w:tc>
          <w:tcPr>
            <w:tcW w:w="1134" w:type="dxa"/>
            <w:tcBorders>
              <w:top w:val="nil"/>
              <w:left w:val="nil"/>
              <w:bottom w:val="nil"/>
              <w:right w:val="nil"/>
            </w:tcBorders>
            <w:shd w:val="clear" w:color="auto" w:fill="auto"/>
            <w:noWrap/>
            <w:vAlign w:val="bottom"/>
            <w:hideMark/>
          </w:tcPr>
          <w:p w14:paraId="51B04A94"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35.37</w:t>
            </w:r>
          </w:p>
        </w:tc>
        <w:tc>
          <w:tcPr>
            <w:tcW w:w="1134" w:type="dxa"/>
            <w:tcBorders>
              <w:top w:val="nil"/>
              <w:left w:val="nil"/>
              <w:bottom w:val="nil"/>
              <w:right w:val="nil"/>
            </w:tcBorders>
            <w:shd w:val="clear" w:color="auto" w:fill="auto"/>
            <w:noWrap/>
            <w:vAlign w:val="bottom"/>
            <w:hideMark/>
          </w:tcPr>
          <w:p w14:paraId="732A0208" w14:textId="77777777" w:rsidR="005E7B8F" w:rsidRPr="005E7B8F" w:rsidRDefault="005E7B8F" w:rsidP="005E7B8F">
            <w:pPr>
              <w:jc w:val="right"/>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&lt;0.0001</w:t>
            </w:r>
          </w:p>
        </w:tc>
      </w:tr>
      <w:tr w:rsidR="005E7B8F" w:rsidRPr="005E7B8F" w14:paraId="3FEB7CB4" w14:textId="77777777" w:rsidTr="005E7B8F">
        <w:trPr>
          <w:trHeight w:val="320"/>
        </w:trPr>
        <w:tc>
          <w:tcPr>
            <w:tcW w:w="3261" w:type="dxa"/>
            <w:tcBorders>
              <w:top w:val="nil"/>
              <w:left w:val="nil"/>
              <w:bottom w:val="nil"/>
              <w:right w:val="nil"/>
            </w:tcBorders>
            <w:shd w:val="clear" w:color="auto" w:fill="auto"/>
            <w:noWrap/>
            <w:vAlign w:val="bottom"/>
            <w:hideMark/>
          </w:tcPr>
          <w:p w14:paraId="74AC2619"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Size class</w:t>
            </w:r>
            <w:r w:rsidRPr="005E7B8F">
              <w:rPr>
                <w:rFonts w:ascii="Times New Roman" w:eastAsia="Times New Roman" w:hAnsi="Times New Roman" w:cs="Times New Roman"/>
                <w:color w:val="000000"/>
              </w:rPr>
              <w:sym w:font="Symbol" w:char="F0B4"/>
            </w: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p>
        </w:tc>
        <w:tc>
          <w:tcPr>
            <w:tcW w:w="851" w:type="dxa"/>
            <w:tcBorders>
              <w:top w:val="nil"/>
              <w:left w:val="nil"/>
              <w:bottom w:val="nil"/>
              <w:right w:val="nil"/>
            </w:tcBorders>
            <w:shd w:val="clear" w:color="auto" w:fill="auto"/>
            <w:noWrap/>
            <w:vAlign w:val="bottom"/>
            <w:hideMark/>
          </w:tcPr>
          <w:p w14:paraId="0B3E70BD"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134" w:type="dxa"/>
            <w:tcBorders>
              <w:top w:val="nil"/>
              <w:left w:val="nil"/>
              <w:bottom w:val="nil"/>
              <w:right w:val="nil"/>
            </w:tcBorders>
            <w:shd w:val="clear" w:color="auto" w:fill="auto"/>
            <w:noWrap/>
            <w:vAlign w:val="bottom"/>
            <w:hideMark/>
          </w:tcPr>
          <w:p w14:paraId="7577CC9D"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1.55</w:t>
            </w:r>
          </w:p>
        </w:tc>
        <w:tc>
          <w:tcPr>
            <w:tcW w:w="1134" w:type="dxa"/>
            <w:tcBorders>
              <w:top w:val="nil"/>
              <w:left w:val="nil"/>
              <w:bottom w:val="nil"/>
              <w:right w:val="nil"/>
            </w:tcBorders>
            <w:shd w:val="clear" w:color="auto" w:fill="auto"/>
            <w:noWrap/>
            <w:vAlign w:val="bottom"/>
            <w:hideMark/>
          </w:tcPr>
          <w:p w14:paraId="0FF18798"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0.2130</w:t>
            </w:r>
          </w:p>
        </w:tc>
      </w:tr>
      <w:tr w:rsidR="005E7B8F" w:rsidRPr="005E7B8F" w14:paraId="21A21606" w14:textId="77777777" w:rsidTr="005E7B8F">
        <w:trPr>
          <w:trHeight w:val="320"/>
        </w:trPr>
        <w:tc>
          <w:tcPr>
            <w:tcW w:w="3261" w:type="dxa"/>
            <w:tcBorders>
              <w:top w:val="nil"/>
              <w:left w:val="nil"/>
              <w:bottom w:val="nil"/>
              <w:right w:val="nil"/>
            </w:tcBorders>
            <w:shd w:val="clear" w:color="auto" w:fill="auto"/>
            <w:noWrap/>
            <w:vAlign w:val="bottom"/>
            <w:hideMark/>
          </w:tcPr>
          <w:p w14:paraId="481BDED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Size class</w:t>
            </w:r>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p>
        </w:tc>
        <w:tc>
          <w:tcPr>
            <w:tcW w:w="851" w:type="dxa"/>
            <w:tcBorders>
              <w:top w:val="nil"/>
              <w:left w:val="nil"/>
              <w:bottom w:val="nil"/>
              <w:right w:val="nil"/>
            </w:tcBorders>
            <w:shd w:val="clear" w:color="auto" w:fill="auto"/>
            <w:noWrap/>
            <w:vAlign w:val="bottom"/>
            <w:hideMark/>
          </w:tcPr>
          <w:p w14:paraId="70414CC0"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134" w:type="dxa"/>
            <w:tcBorders>
              <w:top w:val="nil"/>
              <w:left w:val="nil"/>
              <w:bottom w:val="nil"/>
              <w:right w:val="nil"/>
            </w:tcBorders>
            <w:shd w:val="clear" w:color="auto" w:fill="auto"/>
            <w:noWrap/>
            <w:vAlign w:val="bottom"/>
            <w:hideMark/>
          </w:tcPr>
          <w:p w14:paraId="142A4FBF"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1.11</w:t>
            </w:r>
          </w:p>
        </w:tc>
        <w:tc>
          <w:tcPr>
            <w:tcW w:w="1134" w:type="dxa"/>
            <w:tcBorders>
              <w:top w:val="nil"/>
              <w:left w:val="nil"/>
              <w:bottom w:val="nil"/>
              <w:right w:val="nil"/>
            </w:tcBorders>
            <w:shd w:val="clear" w:color="auto" w:fill="auto"/>
            <w:noWrap/>
            <w:vAlign w:val="bottom"/>
            <w:hideMark/>
          </w:tcPr>
          <w:p w14:paraId="36421EBD"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0.2917</w:t>
            </w:r>
          </w:p>
        </w:tc>
      </w:tr>
      <w:tr w:rsidR="005E7B8F" w:rsidRPr="005E7B8F" w14:paraId="63C63E0D" w14:textId="77777777" w:rsidTr="005E7B8F">
        <w:trPr>
          <w:trHeight w:val="320"/>
        </w:trPr>
        <w:tc>
          <w:tcPr>
            <w:tcW w:w="3261" w:type="dxa"/>
            <w:tcBorders>
              <w:top w:val="nil"/>
              <w:left w:val="nil"/>
              <w:bottom w:val="nil"/>
              <w:right w:val="nil"/>
            </w:tcBorders>
            <w:shd w:val="clear" w:color="auto" w:fill="auto"/>
            <w:noWrap/>
            <w:vAlign w:val="bottom"/>
            <w:hideMark/>
          </w:tcPr>
          <w:p w14:paraId="6233A417" w14:textId="77777777" w:rsidR="005E7B8F" w:rsidRPr="005E7B8F" w:rsidRDefault="005E7B8F" w:rsidP="005E7B8F">
            <w:pPr>
              <w:rPr>
                <w:rFonts w:ascii="Times New Roman" w:eastAsia="Times New Roman" w:hAnsi="Times New Roman" w:cs="Times New Roman"/>
                <w:color w:val="000000"/>
              </w:rPr>
            </w:pP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p>
        </w:tc>
        <w:tc>
          <w:tcPr>
            <w:tcW w:w="851" w:type="dxa"/>
            <w:tcBorders>
              <w:top w:val="nil"/>
              <w:left w:val="nil"/>
              <w:bottom w:val="nil"/>
              <w:right w:val="nil"/>
            </w:tcBorders>
            <w:shd w:val="clear" w:color="auto" w:fill="auto"/>
            <w:noWrap/>
            <w:vAlign w:val="bottom"/>
            <w:hideMark/>
          </w:tcPr>
          <w:p w14:paraId="722B043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134" w:type="dxa"/>
            <w:tcBorders>
              <w:top w:val="nil"/>
              <w:left w:val="nil"/>
              <w:bottom w:val="nil"/>
              <w:right w:val="nil"/>
            </w:tcBorders>
            <w:shd w:val="clear" w:color="auto" w:fill="auto"/>
            <w:noWrap/>
            <w:vAlign w:val="bottom"/>
            <w:hideMark/>
          </w:tcPr>
          <w:p w14:paraId="774E51A1"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1.32</w:t>
            </w:r>
          </w:p>
        </w:tc>
        <w:tc>
          <w:tcPr>
            <w:tcW w:w="1134" w:type="dxa"/>
            <w:tcBorders>
              <w:top w:val="nil"/>
              <w:left w:val="nil"/>
              <w:bottom w:val="nil"/>
              <w:right w:val="nil"/>
            </w:tcBorders>
            <w:shd w:val="clear" w:color="auto" w:fill="auto"/>
            <w:noWrap/>
            <w:vAlign w:val="bottom"/>
            <w:hideMark/>
          </w:tcPr>
          <w:p w14:paraId="129E739E"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0.2512</w:t>
            </w:r>
          </w:p>
        </w:tc>
      </w:tr>
      <w:tr w:rsidR="005E7B8F" w:rsidRPr="005E7B8F" w14:paraId="7194BBAF" w14:textId="77777777" w:rsidTr="005E7B8F">
        <w:trPr>
          <w:trHeight w:val="320"/>
        </w:trPr>
        <w:tc>
          <w:tcPr>
            <w:tcW w:w="3261" w:type="dxa"/>
            <w:tcBorders>
              <w:top w:val="nil"/>
              <w:left w:val="nil"/>
              <w:bottom w:val="nil"/>
              <w:right w:val="nil"/>
            </w:tcBorders>
            <w:shd w:val="clear" w:color="auto" w:fill="auto"/>
            <w:noWrap/>
            <w:vAlign w:val="bottom"/>
            <w:hideMark/>
          </w:tcPr>
          <w:p w14:paraId="474767C4"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Size class</w:t>
            </w:r>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Trial</w:t>
            </w:r>
          </w:p>
        </w:tc>
        <w:tc>
          <w:tcPr>
            <w:tcW w:w="851" w:type="dxa"/>
            <w:tcBorders>
              <w:top w:val="nil"/>
              <w:left w:val="nil"/>
              <w:bottom w:val="nil"/>
              <w:right w:val="nil"/>
            </w:tcBorders>
            <w:shd w:val="clear" w:color="auto" w:fill="auto"/>
            <w:noWrap/>
            <w:vAlign w:val="bottom"/>
            <w:hideMark/>
          </w:tcPr>
          <w:p w14:paraId="1964AB63"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w:t>
            </w:r>
          </w:p>
        </w:tc>
        <w:tc>
          <w:tcPr>
            <w:tcW w:w="1134" w:type="dxa"/>
            <w:tcBorders>
              <w:top w:val="nil"/>
              <w:left w:val="nil"/>
              <w:bottom w:val="nil"/>
              <w:right w:val="nil"/>
            </w:tcBorders>
            <w:shd w:val="clear" w:color="auto" w:fill="auto"/>
            <w:noWrap/>
            <w:vAlign w:val="bottom"/>
            <w:hideMark/>
          </w:tcPr>
          <w:p w14:paraId="460FBEFE"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3.25</w:t>
            </w:r>
          </w:p>
        </w:tc>
        <w:tc>
          <w:tcPr>
            <w:tcW w:w="1134" w:type="dxa"/>
            <w:tcBorders>
              <w:top w:val="nil"/>
              <w:left w:val="nil"/>
              <w:bottom w:val="nil"/>
              <w:right w:val="nil"/>
            </w:tcBorders>
            <w:shd w:val="clear" w:color="auto" w:fill="auto"/>
            <w:noWrap/>
            <w:vAlign w:val="bottom"/>
            <w:hideMark/>
          </w:tcPr>
          <w:p w14:paraId="651F01CB"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0.3546</w:t>
            </w:r>
          </w:p>
        </w:tc>
      </w:tr>
      <w:tr w:rsidR="005E7B8F" w:rsidRPr="005E7B8F" w14:paraId="72B4E99F" w14:textId="77777777" w:rsidTr="005E7B8F">
        <w:trPr>
          <w:trHeight w:val="320"/>
        </w:trPr>
        <w:tc>
          <w:tcPr>
            <w:tcW w:w="3261" w:type="dxa"/>
            <w:tcBorders>
              <w:top w:val="nil"/>
              <w:left w:val="nil"/>
              <w:bottom w:val="nil"/>
              <w:right w:val="nil"/>
            </w:tcBorders>
            <w:shd w:val="clear" w:color="auto" w:fill="auto"/>
            <w:noWrap/>
            <w:vAlign w:val="bottom"/>
            <w:hideMark/>
          </w:tcPr>
          <w:p w14:paraId="71F11AD6" w14:textId="77777777" w:rsidR="005E7B8F" w:rsidRPr="005E7B8F" w:rsidRDefault="005E7B8F" w:rsidP="005E7B8F">
            <w:pPr>
              <w:rPr>
                <w:rFonts w:ascii="Times New Roman" w:eastAsia="Times New Roman" w:hAnsi="Times New Roman" w:cs="Times New Roman"/>
                <w:color w:val="000000"/>
              </w:rPr>
            </w:pP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Trial</w:t>
            </w:r>
          </w:p>
        </w:tc>
        <w:tc>
          <w:tcPr>
            <w:tcW w:w="851" w:type="dxa"/>
            <w:tcBorders>
              <w:top w:val="nil"/>
              <w:left w:val="nil"/>
              <w:bottom w:val="nil"/>
              <w:right w:val="nil"/>
            </w:tcBorders>
            <w:shd w:val="clear" w:color="auto" w:fill="auto"/>
            <w:noWrap/>
            <w:vAlign w:val="bottom"/>
            <w:hideMark/>
          </w:tcPr>
          <w:p w14:paraId="499F8418"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w:t>
            </w:r>
          </w:p>
        </w:tc>
        <w:tc>
          <w:tcPr>
            <w:tcW w:w="1134" w:type="dxa"/>
            <w:tcBorders>
              <w:top w:val="nil"/>
              <w:left w:val="nil"/>
              <w:bottom w:val="nil"/>
              <w:right w:val="nil"/>
            </w:tcBorders>
            <w:shd w:val="clear" w:color="auto" w:fill="auto"/>
            <w:noWrap/>
            <w:vAlign w:val="bottom"/>
            <w:hideMark/>
          </w:tcPr>
          <w:p w14:paraId="079B6C68"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3.82</w:t>
            </w:r>
          </w:p>
        </w:tc>
        <w:tc>
          <w:tcPr>
            <w:tcW w:w="1134" w:type="dxa"/>
            <w:tcBorders>
              <w:top w:val="nil"/>
              <w:left w:val="nil"/>
              <w:bottom w:val="nil"/>
              <w:right w:val="nil"/>
            </w:tcBorders>
            <w:shd w:val="clear" w:color="auto" w:fill="auto"/>
            <w:noWrap/>
            <w:vAlign w:val="bottom"/>
            <w:hideMark/>
          </w:tcPr>
          <w:p w14:paraId="709A8388"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0.2820</w:t>
            </w:r>
          </w:p>
        </w:tc>
      </w:tr>
      <w:tr w:rsidR="005E7B8F" w:rsidRPr="005E7B8F" w14:paraId="05898FB7" w14:textId="77777777" w:rsidTr="005E7B8F">
        <w:trPr>
          <w:trHeight w:val="320"/>
        </w:trPr>
        <w:tc>
          <w:tcPr>
            <w:tcW w:w="3261" w:type="dxa"/>
            <w:tcBorders>
              <w:top w:val="nil"/>
              <w:left w:val="nil"/>
              <w:bottom w:val="nil"/>
              <w:right w:val="nil"/>
            </w:tcBorders>
            <w:shd w:val="clear" w:color="auto" w:fill="auto"/>
            <w:noWrap/>
            <w:vAlign w:val="bottom"/>
            <w:hideMark/>
          </w:tcPr>
          <w:p w14:paraId="21736449"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Temp</w:t>
            </w:r>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Trial</w:t>
            </w:r>
          </w:p>
        </w:tc>
        <w:tc>
          <w:tcPr>
            <w:tcW w:w="851" w:type="dxa"/>
            <w:tcBorders>
              <w:top w:val="nil"/>
              <w:left w:val="nil"/>
              <w:bottom w:val="nil"/>
              <w:right w:val="nil"/>
            </w:tcBorders>
            <w:shd w:val="clear" w:color="auto" w:fill="auto"/>
            <w:noWrap/>
            <w:vAlign w:val="bottom"/>
            <w:hideMark/>
          </w:tcPr>
          <w:p w14:paraId="62DB112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w:t>
            </w:r>
          </w:p>
        </w:tc>
        <w:tc>
          <w:tcPr>
            <w:tcW w:w="1134" w:type="dxa"/>
            <w:tcBorders>
              <w:top w:val="nil"/>
              <w:left w:val="nil"/>
              <w:bottom w:val="nil"/>
              <w:right w:val="nil"/>
            </w:tcBorders>
            <w:shd w:val="clear" w:color="auto" w:fill="auto"/>
            <w:noWrap/>
            <w:vAlign w:val="bottom"/>
            <w:hideMark/>
          </w:tcPr>
          <w:p w14:paraId="092E97DC"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1.42</w:t>
            </w:r>
          </w:p>
        </w:tc>
        <w:tc>
          <w:tcPr>
            <w:tcW w:w="1134" w:type="dxa"/>
            <w:tcBorders>
              <w:top w:val="nil"/>
              <w:left w:val="nil"/>
              <w:bottom w:val="nil"/>
              <w:right w:val="nil"/>
            </w:tcBorders>
            <w:shd w:val="clear" w:color="auto" w:fill="auto"/>
            <w:noWrap/>
            <w:vAlign w:val="bottom"/>
            <w:hideMark/>
          </w:tcPr>
          <w:p w14:paraId="5B84825A"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0.7016</w:t>
            </w:r>
          </w:p>
        </w:tc>
      </w:tr>
      <w:tr w:rsidR="005E7B8F" w:rsidRPr="005E7B8F" w14:paraId="6D947FDD" w14:textId="77777777" w:rsidTr="005E7B8F">
        <w:trPr>
          <w:trHeight w:val="320"/>
        </w:trPr>
        <w:tc>
          <w:tcPr>
            <w:tcW w:w="3261" w:type="dxa"/>
            <w:tcBorders>
              <w:top w:val="nil"/>
              <w:left w:val="nil"/>
              <w:bottom w:val="nil"/>
              <w:right w:val="nil"/>
            </w:tcBorders>
            <w:shd w:val="clear" w:color="auto" w:fill="auto"/>
            <w:noWrap/>
            <w:vAlign w:val="bottom"/>
            <w:hideMark/>
          </w:tcPr>
          <w:p w14:paraId="095B0ADE"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Size class</w:t>
            </w:r>
            <w:r w:rsidRPr="005E7B8F">
              <w:rPr>
                <w:rFonts w:ascii="Times New Roman" w:eastAsia="Times New Roman" w:hAnsi="Times New Roman" w:cs="Times New Roman"/>
                <w:color w:val="000000"/>
              </w:rPr>
              <w:sym w:font="Symbol" w:char="F0B4"/>
            </w: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p>
        </w:tc>
        <w:tc>
          <w:tcPr>
            <w:tcW w:w="851" w:type="dxa"/>
            <w:tcBorders>
              <w:top w:val="nil"/>
              <w:left w:val="nil"/>
              <w:bottom w:val="nil"/>
              <w:right w:val="nil"/>
            </w:tcBorders>
            <w:shd w:val="clear" w:color="auto" w:fill="auto"/>
            <w:noWrap/>
            <w:vAlign w:val="bottom"/>
            <w:hideMark/>
          </w:tcPr>
          <w:p w14:paraId="04BCA0A6"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134" w:type="dxa"/>
            <w:tcBorders>
              <w:top w:val="nil"/>
              <w:left w:val="nil"/>
              <w:bottom w:val="nil"/>
              <w:right w:val="nil"/>
            </w:tcBorders>
            <w:shd w:val="clear" w:color="auto" w:fill="auto"/>
            <w:noWrap/>
            <w:vAlign w:val="bottom"/>
            <w:hideMark/>
          </w:tcPr>
          <w:p w14:paraId="536BA40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3.71</w:t>
            </w:r>
          </w:p>
        </w:tc>
        <w:tc>
          <w:tcPr>
            <w:tcW w:w="1134" w:type="dxa"/>
            <w:tcBorders>
              <w:top w:val="nil"/>
              <w:left w:val="nil"/>
              <w:bottom w:val="nil"/>
              <w:right w:val="nil"/>
            </w:tcBorders>
            <w:shd w:val="clear" w:color="auto" w:fill="auto"/>
            <w:noWrap/>
            <w:vAlign w:val="bottom"/>
            <w:hideMark/>
          </w:tcPr>
          <w:p w14:paraId="63812C7C"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0.0540</w:t>
            </w:r>
          </w:p>
        </w:tc>
      </w:tr>
      <w:tr w:rsidR="005E7B8F" w:rsidRPr="005E7B8F" w14:paraId="3C43D542" w14:textId="77777777" w:rsidTr="005E7B8F">
        <w:trPr>
          <w:trHeight w:val="320"/>
        </w:trPr>
        <w:tc>
          <w:tcPr>
            <w:tcW w:w="3261" w:type="dxa"/>
            <w:tcBorders>
              <w:top w:val="nil"/>
              <w:left w:val="nil"/>
              <w:bottom w:val="nil"/>
              <w:right w:val="nil"/>
            </w:tcBorders>
            <w:shd w:val="clear" w:color="auto" w:fill="auto"/>
            <w:noWrap/>
            <w:vAlign w:val="bottom"/>
            <w:hideMark/>
          </w:tcPr>
          <w:p w14:paraId="74FA33EC"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Size class</w:t>
            </w:r>
            <w:r w:rsidRPr="005E7B8F">
              <w:rPr>
                <w:rFonts w:ascii="Times New Roman" w:eastAsia="Times New Roman" w:hAnsi="Times New Roman" w:cs="Times New Roman"/>
                <w:color w:val="000000"/>
              </w:rPr>
              <w:sym w:font="Symbol" w:char="F0B4"/>
            </w: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Trial</w:t>
            </w:r>
          </w:p>
        </w:tc>
        <w:tc>
          <w:tcPr>
            <w:tcW w:w="851" w:type="dxa"/>
            <w:tcBorders>
              <w:top w:val="nil"/>
              <w:left w:val="nil"/>
              <w:bottom w:val="nil"/>
              <w:right w:val="nil"/>
            </w:tcBorders>
            <w:shd w:val="clear" w:color="auto" w:fill="auto"/>
            <w:noWrap/>
            <w:vAlign w:val="bottom"/>
            <w:hideMark/>
          </w:tcPr>
          <w:p w14:paraId="3DA6E1A4"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w:t>
            </w:r>
          </w:p>
        </w:tc>
        <w:tc>
          <w:tcPr>
            <w:tcW w:w="1134" w:type="dxa"/>
            <w:tcBorders>
              <w:top w:val="nil"/>
              <w:left w:val="nil"/>
              <w:bottom w:val="nil"/>
              <w:right w:val="nil"/>
            </w:tcBorders>
            <w:shd w:val="clear" w:color="auto" w:fill="auto"/>
            <w:noWrap/>
            <w:vAlign w:val="bottom"/>
            <w:hideMark/>
          </w:tcPr>
          <w:p w14:paraId="462B22A0"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4.07</w:t>
            </w:r>
          </w:p>
        </w:tc>
        <w:tc>
          <w:tcPr>
            <w:tcW w:w="1134" w:type="dxa"/>
            <w:tcBorders>
              <w:top w:val="nil"/>
              <w:left w:val="nil"/>
              <w:bottom w:val="nil"/>
              <w:right w:val="nil"/>
            </w:tcBorders>
            <w:shd w:val="clear" w:color="auto" w:fill="auto"/>
            <w:noWrap/>
            <w:vAlign w:val="bottom"/>
            <w:hideMark/>
          </w:tcPr>
          <w:p w14:paraId="7FDC29FD"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0.2545</w:t>
            </w:r>
          </w:p>
        </w:tc>
      </w:tr>
      <w:tr w:rsidR="005E7B8F" w:rsidRPr="005E7B8F" w14:paraId="4E54448D" w14:textId="77777777" w:rsidTr="005E7B8F">
        <w:trPr>
          <w:trHeight w:val="320"/>
        </w:trPr>
        <w:tc>
          <w:tcPr>
            <w:tcW w:w="3261" w:type="dxa"/>
            <w:tcBorders>
              <w:top w:val="nil"/>
              <w:left w:val="nil"/>
              <w:bottom w:val="nil"/>
              <w:right w:val="nil"/>
            </w:tcBorders>
            <w:shd w:val="clear" w:color="auto" w:fill="auto"/>
            <w:noWrap/>
            <w:vAlign w:val="bottom"/>
            <w:hideMark/>
          </w:tcPr>
          <w:p w14:paraId="115912AE"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Size class</w:t>
            </w:r>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Trial</w:t>
            </w:r>
          </w:p>
        </w:tc>
        <w:tc>
          <w:tcPr>
            <w:tcW w:w="851" w:type="dxa"/>
            <w:tcBorders>
              <w:top w:val="nil"/>
              <w:left w:val="nil"/>
              <w:bottom w:val="nil"/>
              <w:right w:val="nil"/>
            </w:tcBorders>
            <w:shd w:val="clear" w:color="auto" w:fill="auto"/>
            <w:noWrap/>
            <w:vAlign w:val="bottom"/>
            <w:hideMark/>
          </w:tcPr>
          <w:p w14:paraId="212E5E8D"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w:t>
            </w:r>
          </w:p>
        </w:tc>
        <w:tc>
          <w:tcPr>
            <w:tcW w:w="1134" w:type="dxa"/>
            <w:tcBorders>
              <w:top w:val="nil"/>
              <w:left w:val="nil"/>
              <w:bottom w:val="nil"/>
              <w:right w:val="nil"/>
            </w:tcBorders>
            <w:shd w:val="clear" w:color="auto" w:fill="auto"/>
            <w:noWrap/>
            <w:vAlign w:val="bottom"/>
            <w:hideMark/>
          </w:tcPr>
          <w:p w14:paraId="0AEE09B0"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4.81</w:t>
            </w:r>
          </w:p>
        </w:tc>
        <w:tc>
          <w:tcPr>
            <w:tcW w:w="1134" w:type="dxa"/>
            <w:tcBorders>
              <w:top w:val="nil"/>
              <w:left w:val="nil"/>
              <w:bottom w:val="nil"/>
              <w:right w:val="nil"/>
            </w:tcBorders>
            <w:shd w:val="clear" w:color="auto" w:fill="auto"/>
            <w:noWrap/>
            <w:vAlign w:val="bottom"/>
            <w:hideMark/>
          </w:tcPr>
          <w:p w14:paraId="68F65CD5"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0.1865</w:t>
            </w:r>
          </w:p>
        </w:tc>
      </w:tr>
      <w:tr w:rsidR="005E7B8F" w:rsidRPr="005E7B8F" w14:paraId="5897D373" w14:textId="77777777" w:rsidTr="005E7B8F">
        <w:trPr>
          <w:trHeight w:val="320"/>
        </w:trPr>
        <w:tc>
          <w:tcPr>
            <w:tcW w:w="3261" w:type="dxa"/>
            <w:tcBorders>
              <w:top w:val="nil"/>
              <w:left w:val="nil"/>
              <w:bottom w:val="nil"/>
              <w:right w:val="nil"/>
            </w:tcBorders>
            <w:shd w:val="clear" w:color="auto" w:fill="auto"/>
            <w:noWrap/>
            <w:vAlign w:val="bottom"/>
            <w:hideMark/>
          </w:tcPr>
          <w:p w14:paraId="11D6A1A7" w14:textId="77777777" w:rsidR="005E7B8F" w:rsidRPr="005E7B8F" w:rsidRDefault="005E7B8F" w:rsidP="005E7B8F">
            <w:pPr>
              <w:rPr>
                <w:rFonts w:ascii="Times New Roman" w:eastAsia="Times New Roman" w:hAnsi="Times New Roman" w:cs="Times New Roman"/>
                <w:color w:val="000000"/>
              </w:rPr>
            </w:pP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Trial</w:t>
            </w:r>
          </w:p>
        </w:tc>
        <w:tc>
          <w:tcPr>
            <w:tcW w:w="851" w:type="dxa"/>
            <w:tcBorders>
              <w:top w:val="nil"/>
              <w:left w:val="nil"/>
              <w:bottom w:val="nil"/>
              <w:right w:val="nil"/>
            </w:tcBorders>
            <w:shd w:val="clear" w:color="auto" w:fill="auto"/>
            <w:noWrap/>
            <w:vAlign w:val="bottom"/>
            <w:hideMark/>
          </w:tcPr>
          <w:p w14:paraId="720441A2"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w:t>
            </w:r>
          </w:p>
        </w:tc>
        <w:tc>
          <w:tcPr>
            <w:tcW w:w="1134" w:type="dxa"/>
            <w:tcBorders>
              <w:top w:val="nil"/>
              <w:left w:val="nil"/>
              <w:bottom w:val="nil"/>
              <w:right w:val="nil"/>
            </w:tcBorders>
            <w:shd w:val="clear" w:color="auto" w:fill="auto"/>
            <w:noWrap/>
            <w:vAlign w:val="bottom"/>
            <w:hideMark/>
          </w:tcPr>
          <w:p w14:paraId="2856C602"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2.02</w:t>
            </w:r>
          </w:p>
        </w:tc>
        <w:tc>
          <w:tcPr>
            <w:tcW w:w="1134" w:type="dxa"/>
            <w:tcBorders>
              <w:top w:val="nil"/>
              <w:left w:val="nil"/>
              <w:bottom w:val="nil"/>
              <w:right w:val="nil"/>
            </w:tcBorders>
            <w:shd w:val="clear" w:color="auto" w:fill="auto"/>
            <w:noWrap/>
            <w:vAlign w:val="bottom"/>
            <w:hideMark/>
          </w:tcPr>
          <w:p w14:paraId="23F712C5"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0.5687</w:t>
            </w:r>
          </w:p>
        </w:tc>
      </w:tr>
      <w:tr w:rsidR="005E7B8F" w:rsidRPr="005E7B8F" w14:paraId="210CEDB4" w14:textId="77777777" w:rsidTr="005E7B8F">
        <w:trPr>
          <w:trHeight w:val="320"/>
        </w:trPr>
        <w:tc>
          <w:tcPr>
            <w:tcW w:w="3261" w:type="dxa"/>
            <w:tcBorders>
              <w:top w:val="nil"/>
              <w:left w:val="nil"/>
              <w:bottom w:val="single" w:sz="4" w:space="0" w:color="auto"/>
              <w:right w:val="nil"/>
            </w:tcBorders>
            <w:shd w:val="clear" w:color="auto" w:fill="auto"/>
            <w:noWrap/>
            <w:vAlign w:val="bottom"/>
            <w:hideMark/>
          </w:tcPr>
          <w:p w14:paraId="5397D258"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Size class</w:t>
            </w:r>
            <w:r w:rsidRPr="005E7B8F">
              <w:rPr>
                <w:rFonts w:ascii="Times New Roman" w:eastAsia="Times New Roman" w:hAnsi="Times New Roman" w:cs="Times New Roman"/>
                <w:color w:val="000000"/>
              </w:rPr>
              <w:sym w:font="Symbol" w:char="F0B4"/>
            </w: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Trial</w:t>
            </w:r>
          </w:p>
        </w:tc>
        <w:tc>
          <w:tcPr>
            <w:tcW w:w="851" w:type="dxa"/>
            <w:tcBorders>
              <w:top w:val="nil"/>
              <w:left w:val="nil"/>
              <w:bottom w:val="single" w:sz="4" w:space="0" w:color="auto"/>
              <w:right w:val="nil"/>
            </w:tcBorders>
            <w:shd w:val="clear" w:color="auto" w:fill="auto"/>
            <w:noWrap/>
            <w:vAlign w:val="bottom"/>
            <w:hideMark/>
          </w:tcPr>
          <w:p w14:paraId="026D6592"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w:t>
            </w:r>
          </w:p>
        </w:tc>
        <w:tc>
          <w:tcPr>
            <w:tcW w:w="1134" w:type="dxa"/>
            <w:tcBorders>
              <w:top w:val="nil"/>
              <w:left w:val="nil"/>
              <w:bottom w:val="single" w:sz="4" w:space="0" w:color="auto"/>
              <w:right w:val="nil"/>
            </w:tcBorders>
            <w:shd w:val="clear" w:color="auto" w:fill="auto"/>
            <w:noWrap/>
            <w:vAlign w:val="bottom"/>
            <w:hideMark/>
          </w:tcPr>
          <w:p w14:paraId="39DE3F39"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3,43</w:t>
            </w:r>
          </w:p>
        </w:tc>
        <w:tc>
          <w:tcPr>
            <w:tcW w:w="1134" w:type="dxa"/>
            <w:tcBorders>
              <w:top w:val="nil"/>
              <w:left w:val="nil"/>
              <w:bottom w:val="single" w:sz="4" w:space="0" w:color="auto"/>
              <w:right w:val="nil"/>
            </w:tcBorders>
            <w:shd w:val="clear" w:color="auto" w:fill="auto"/>
            <w:noWrap/>
            <w:vAlign w:val="bottom"/>
            <w:hideMark/>
          </w:tcPr>
          <w:p w14:paraId="1E2C357E"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0.3302</w:t>
            </w:r>
          </w:p>
        </w:tc>
      </w:tr>
    </w:tbl>
    <w:p w14:paraId="0807DE72" w14:textId="77777777" w:rsidR="005E7B8F" w:rsidRPr="005E7B8F" w:rsidRDefault="005E7B8F" w:rsidP="005E7B8F">
      <w:pPr>
        <w:suppressLineNumbers/>
        <w:rPr>
          <w:rFonts w:ascii="Times New Roman" w:eastAsia="Times New Roman" w:hAnsi="Times New Roman" w:cs="Times New Roman"/>
        </w:rPr>
      </w:pPr>
    </w:p>
    <w:p w14:paraId="30ED7CE7" w14:textId="77777777" w:rsidR="005E7B8F" w:rsidRPr="005E7B8F" w:rsidRDefault="005E7B8F" w:rsidP="005E7B8F">
      <w:pPr>
        <w:suppressLineNumbers/>
        <w:rPr>
          <w:rFonts w:ascii="Times New Roman" w:eastAsia="Times New Roman" w:hAnsi="Times New Roman" w:cs="Times New Roman"/>
        </w:rPr>
      </w:pPr>
    </w:p>
    <w:p w14:paraId="21DD7A51" w14:textId="77777777" w:rsidR="005E7B8F" w:rsidRPr="005E7B8F" w:rsidRDefault="005E7B8F" w:rsidP="005E7B8F">
      <w:pPr>
        <w:suppressLineNumbers/>
        <w:rPr>
          <w:rFonts w:ascii="Times New Roman" w:eastAsia="Times New Roman" w:hAnsi="Times New Roman" w:cs="Times New Roman"/>
          <w:b/>
          <w:bCs/>
        </w:rPr>
      </w:pPr>
    </w:p>
    <w:p w14:paraId="48AA4B71" w14:textId="77777777" w:rsidR="005E7B8F" w:rsidRPr="005E7B8F" w:rsidRDefault="005E7B8F" w:rsidP="005E7B8F">
      <w:pPr>
        <w:suppressLineNumbers/>
        <w:rPr>
          <w:rFonts w:ascii="Times New Roman" w:eastAsia="Times New Roman" w:hAnsi="Times New Roman" w:cs="Times New Roman"/>
          <w:b/>
          <w:bCs/>
        </w:rPr>
      </w:pPr>
    </w:p>
    <w:p w14:paraId="481D1BF8" w14:textId="77777777" w:rsidR="005E7B8F" w:rsidRPr="005E7B8F" w:rsidRDefault="005E7B8F" w:rsidP="005E7B8F">
      <w:pPr>
        <w:suppressLineNumbers/>
        <w:rPr>
          <w:rFonts w:ascii="Times New Roman" w:eastAsia="Times New Roman" w:hAnsi="Times New Roman" w:cs="Times New Roman"/>
        </w:rPr>
      </w:pPr>
      <w:r w:rsidRPr="005E7B8F">
        <w:rPr>
          <w:rFonts w:ascii="Times New Roman" w:eastAsia="Times New Roman" w:hAnsi="Times New Roman" w:cs="Times New Roman"/>
          <w:b/>
          <w:bCs/>
        </w:rPr>
        <w:t xml:space="preserve">Table S4. </w:t>
      </w:r>
      <w:r w:rsidRPr="005E7B8F">
        <w:rPr>
          <w:rFonts w:ascii="Times New Roman" w:eastAsia="Times New Roman" w:hAnsi="Times New Roman" w:cs="Times New Roman"/>
        </w:rPr>
        <w:t xml:space="preserve">Tukey HSD results for pairwise comparisons of trials for the main effect of trial in Table S2. Estimate = effect size estimate, SE = standard error, z-value = z statistic, </w:t>
      </w:r>
      <w:r w:rsidRPr="005E7B8F">
        <w:rPr>
          <w:rFonts w:ascii="Times New Roman" w:eastAsia="Times New Roman" w:hAnsi="Times New Roman" w:cs="Times New Roman"/>
          <w:i/>
          <w:iCs/>
        </w:rPr>
        <w:t>P</w:t>
      </w:r>
      <w:r w:rsidRPr="005E7B8F">
        <w:rPr>
          <w:rFonts w:ascii="Times New Roman" w:eastAsia="Times New Roman" w:hAnsi="Times New Roman" w:cs="Times New Roman"/>
        </w:rPr>
        <w:t xml:space="preserve"> = p-value.</w:t>
      </w:r>
    </w:p>
    <w:p w14:paraId="1FC6E4D8" w14:textId="77777777" w:rsidR="005E7B8F" w:rsidRPr="005E7B8F" w:rsidRDefault="005E7B8F" w:rsidP="005E7B8F">
      <w:pPr>
        <w:suppressLineNumbers/>
        <w:rPr>
          <w:rFonts w:ascii="Times New Roman" w:eastAsia="Times New Roman" w:hAnsi="Times New Roman" w:cs="Times New Roman"/>
        </w:rPr>
      </w:pPr>
    </w:p>
    <w:tbl>
      <w:tblPr>
        <w:tblW w:w="6379" w:type="dxa"/>
        <w:tblLook w:val="04A0" w:firstRow="1" w:lastRow="0" w:firstColumn="1" w:lastColumn="0" w:noHBand="0" w:noVBand="1"/>
      </w:tblPr>
      <w:tblGrid>
        <w:gridCol w:w="1418"/>
        <w:gridCol w:w="1417"/>
        <w:gridCol w:w="1276"/>
        <w:gridCol w:w="1276"/>
        <w:gridCol w:w="1013"/>
      </w:tblGrid>
      <w:tr w:rsidR="005E7B8F" w:rsidRPr="005E7B8F" w14:paraId="442FF651" w14:textId="77777777" w:rsidTr="005E7B8F">
        <w:trPr>
          <w:trHeight w:val="320"/>
        </w:trPr>
        <w:tc>
          <w:tcPr>
            <w:tcW w:w="1418" w:type="dxa"/>
            <w:tcBorders>
              <w:top w:val="single" w:sz="4" w:space="0" w:color="auto"/>
              <w:left w:val="nil"/>
              <w:bottom w:val="single" w:sz="4" w:space="0" w:color="auto"/>
              <w:right w:val="nil"/>
            </w:tcBorders>
            <w:shd w:val="clear" w:color="auto" w:fill="auto"/>
            <w:noWrap/>
            <w:vAlign w:val="bottom"/>
            <w:hideMark/>
          </w:tcPr>
          <w:p w14:paraId="2C45ED97"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Trial pairing</w:t>
            </w:r>
          </w:p>
        </w:tc>
        <w:tc>
          <w:tcPr>
            <w:tcW w:w="1417" w:type="dxa"/>
            <w:tcBorders>
              <w:top w:val="single" w:sz="4" w:space="0" w:color="auto"/>
              <w:left w:val="nil"/>
              <w:bottom w:val="single" w:sz="4" w:space="0" w:color="auto"/>
              <w:right w:val="nil"/>
            </w:tcBorders>
            <w:shd w:val="clear" w:color="auto" w:fill="auto"/>
            <w:noWrap/>
            <w:vAlign w:val="bottom"/>
            <w:hideMark/>
          </w:tcPr>
          <w:p w14:paraId="11B87966"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Estimate</w:t>
            </w:r>
          </w:p>
        </w:tc>
        <w:tc>
          <w:tcPr>
            <w:tcW w:w="1276" w:type="dxa"/>
            <w:tcBorders>
              <w:top w:val="single" w:sz="4" w:space="0" w:color="auto"/>
              <w:left w:val="nil"/>
              <w:bottom w:val="single" w:sz="4" w:space="0" w:color="auto"/>
              <w:right w:val="nil"/>
            </w:tcBorders>
            <w:shd w:val="clear" w:color="auto" w:fill="auto"/>
            <w:noWrap/>
            <w:vAlign w:val="bottom"/>
            <w:hideMark/>
          </w:tcPr>
          <w:p w14:paraId="6D15F2BA"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SE</w:t>
            </w:r>
          </w:p>
        </w:tc>
        <w:tc>
          <w:tcPr>
            <w:tcW w:w="1276" w:type="dxa"/>
            <w:tcBorders>
              <w:top w:val="single" w:sz="4" w:space="0" w:color="auto"/>
              <w:left w:val="nil"/>
              <w:bottom w:val="single" w:sz="4" w:space="0" w:color="auto"/>
              <w:right w:val="nil"/>
            </w:tcBorders>
            <w:shd w:val="clear" w:color="auto" w:fill="auto"/>
            <w:noWrap/>
            <w:vAlign w:val="bottom"/>
            <w:hideMark/>
          </w:tcPr>
          <w:p w14:paraId="7E0DBE01"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z-value</w:t>
            </w:r>
          </w:p>
        </w:tc>
        <w:tc>
          <w:tcPr>
            <w:tcW w:w="992" w:type="dxa"/>
            <w:tcBorders>
              <w:top w:val="single" w:sz="4" w:space="0" w:color="auto"/>
              <w:left w:val="nil"/>
              <w:bottom w:val="single" w:sz="4" w:space="0" w:color="auto"/>
              <w:right w:val="nil"/>
            </w:tcBorders>
            <w:shd w:val="clear" w:color="auto" w:fill="auto"/>
            <w:noWrap/>
            <w:vAlign w:val="bottom"/>
            <w:hideMark/>
          </w:tcPr>
          <w:p w14:paraId="703F370E" w14:textId="77777777" w:rsidR="005E7B8F" w:rsidRPr="005E7B8F" w:rsidRDefault="005E7B8F" w:rsidP="005E7B8F">
            <w:pPr>
              <w:jc w:val="right"/>
              <w:rPr>
                <w:rFonts w:ascii="Times New Roman" w:eastAsia="Times New Roman" w:hAnsi="Times New Roman" w:cs="Times New Roman"/>
                <w:i/>
                <w:iCs/>
                <w:color w:val="000000"/>
              </w:rPr>
            </w:pPr>
            <w:r w:rsidRPr="005E7B8F">
              <w:rPr>
                <w:rFonts w:ascii="Times New Roman" w:eastAsia="Times New Roman" w:hAnsi="Times New Roman" w:cs="Times New Roman"/>
                <w:i/>
                <w:iCs/>
                <w:color w:val="000000"/>
              </w:rPr>
              <w:t>P</w:t>
            </w:r>
          </w:p>
        </w:tc>
      </w:tr>
      <w:tr w:rsidR="005E7B8F" w:rsidRPr="005E7B8F" w14:paraId="6605C900" w14:textId="77777777" w:rsidTr="005E7B8F">
        <w:trPr>
          <w:trHeight w:val="320"/>
        </w:trPr>
        <w:tc>
          <w:tcPr>
            <w:tcW w:w="1418" w:type="dxa"/>
            <w:tcBorders>
              <w:top w:val="nil"/>
              <w:left w:val="nil"/>
              <w:bottom w:val="nil"/>
              <w:right w:val="nil"/>
            </w:tcBorders>
            <w:shd w:val="clear" w:color="auto" w:fill="auto"/>
            <w:noWrap/>
            <w:vAlign w:val="bottom"/>
            <w:hideMark/>
          </w:tcPr>
          <w:p w14:paraId="7F09605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r w:rsidRPr="005E7B8F">
              <w:rPr>
                <w:rFonts w:ascii="Times New Roman" w:eastAsia="Times New Roman" w:hAnsi="Times New Roman" w:cs="Times New Roman"/>
              </w:rPr>
              <w:t>–</w:t>
            </w:r>
            <w:r w:rsidRPr="005E7B8F">
              <w:rPr>
                <w:rFonts w:ascii="Times New Roman" w:eastAsia="Times New Roman" w:hAnsi="Times New Roman" w:cs="Times New Roman"/>
                <w:color w:val="000000"/>
              </w:rPr>
              <w:t>2</w:t>
            </w:r>
          </w:p>
        </w:tc>
        <w:tc>
          <w:tcPr>
            <w:tcW w:w="1417" w:type="dxa"/>
            <w:tcBorders>
              <w:top w:val="nil"/>
              <w:left w:val="nil"/>
              <w:bottom w:val="nil"/>
              <w:right w:val="nil"/>
            </w:tcBorders>
            <w:shd w:val="clear" w:color="auto" w:fill="auto"/>
            <w:noWrap/>
            <w:vAlign w:val="bottom"/>
            <w:hideMark/>
          </w:tcPr>
          <w:p w14:paraId="25C28895"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0.9794</w:t>
            </w:r>
          </w:p>
        </w:tc>
        <w:tc>
          <w:tcPr>
            <w:tcW w:w="1276" w:type="dxa"/>
            <w:tcBorders>
              <w:top w:val="nil"/>
              <w:left w:val="nil"/>
              <w:bottom w:val="nil"/>
              <w:right w:val="nil"/>
            </w:tcBorders>
            <w:shd w:val="clear" w:color="auto" w:fill="auto"/>
            <w:noWrap/>
            <w:vAlign w:val="bottom"/>
            <w:hideMark/>
          </w:tcPr>
          <w:p w14:paraId="32FE89F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0.4508</w:t>
            </w:r>
          </w:p>
        </w:tc>
        <w:tc>
          <w:tcPr>
            <w:tcW w:w="1276" w:type="dxa"/>
            <w:tcBorders>
              <w:top w:val="nil"/>
              <w:left w:val="nil"/>
              <w:bottom w:val="nil"/>
              <w:right w:val="nil"/>
            </w:tcBorders>
            <w:shd w:val="clear" w:color="auto" w:fill="auto"/>
            <w:noWrap/>
            <w:vAlign w:val="bottom"/>
            <w:hideMark/>
          </w:tcPr>
          <w:p w14:paraId="6A003175"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2.173</w:t>
            </w:r>
          </w:p>
        </w:tc>
        <w:tc>
          <w:tcPr>
            <w:tcW w:w="992" w:type="dxa"/>
            <w:tcBorders>
              <w:top w:val="nil"/>
              <w:left w:val="nil"/>
              <w:bottom w:val="nil"/>
              <w:right w:val="nil"/>
            </w:tcBorders>
            <w:shd w:val="clear" w:color="auto" w:fill="auto"/>
            <w:noWrap/>
            <w:vAlign w:val="bottom"/>
            <w:hideMark/>
          </w:tcPr>
          <w:p w14:paraId="24763617"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0.1305</w:t>
            </w:r>
          </w:p>
        </w:tc>
      </w:tr>
      <w:tr w:rsidR="005E7B8F" w:rsidRPr="005E7B8F" w14:paraId="77C102B3" w14:textId="77777777" w:rsidTr="005E7B8F">
        <w:trPr>
          <w:trHeight w:val="320"/>
        </w:trPr>
        <w:tc>
          <w:tcPr>
            <w:tcW w:w="1418" w:type="dxa"/>
            <w:tcBorders>
              <w:top w:val="nil"/>
              <w:left w:val="nil"/>
              <w:bottom w:val="nil"/>
              <w:right w:val="nil"/>
            </w:tcBorders>
            <w:shd w:val="clear" w:color="auto" w:fill="auto"/>
            <w:noWrap/>
            <w:vAlign w:val="bottom"/>
            <w:hideMark/>
          </w:tcPr>
          <w:p w14:paraId="06FCEB22"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1</w:t>
            </w:r>
            <w:r w:rsidRPr="005E7B8F">
              <w:rPr>
                <w:rFonts w:ascii="Times New Roman" w:eastAsia="Times New Roman" w:hAnsi="Times New Roman" w:cs="Times New Roman"/>
                <w:b/>
                <w:bCs/>
              </w:rPr>
              <w:t>–</w:t>
            </w:r>
            <w:r w:rsidRPr="005E7B8F">
              <w:rPr>
                <w:rFonts w:ascii="Times New Roman" w:eastAsia="Times New Roman" w:hAnsi="Times New Roman" w:cs="Times New Roman"/>
                <w:b/>
                <w:bCs/>
                <w:color w:val="000000"/>
              </w:rPr>
              <w:t>3</w:t>
            </w:r>
          </w:p>
        </w:tc>
        <w:tc>
          <w:tcPr>
            <w:tcW w:w="1417" w:type="dxa"/>
            <w:tcBorders>
              <w:top w:val="nil"/>
              <w:left w:val="nil"/>
              <w:bottom w:val="nil"/>
              <w:right w:val="nil"/>
            </w:tcBorders>
            <w:shd w:val="clear" w:color="auto" w:fill="auto"/>
            <w:noWrap/>
            <w:vAlign w:val="bottom"/>
            <w:hideMark/>
          </w:tcPr>
          <w:p w14:paraId="2FD51A92"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1.4173</w:t>
            </w:r>
          </w:p>
        </w:tc>
        <w:tc>
          <w:tcPr>
            <w:tcW w:w="1276" w:type="dxa"/>
            <w:tcBorders>
              <w:top w:val="nil"/>
              <w:left w:val="nil"/>
              <w:bottom w:val="nil"/>
              <w:right w:val="nil"/>
            </w:tcBorders>
            <w:shd w:val="clear" w:color="auto" w:fill="auto"/>
            <w:noWrap/>
            <w:vAlign w:val="bottom"/>
            <w:hideMark/>
          </w:tcPr>
          <w:p w14:paraId="1D6914C1"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0.4218</w:t>
            </w:r>
          </w:p>
        </w:tc>
        <w:tc>
          <w:tcPr>
            <w:tcW w:w="1276" w:type="dxa"/>
            <w:tcBorders>
              <w:top w:val="nil"/>
              <w:left w:val="nil"/>
              <w:bottom w:val="nil"/>
              <w:right w:val="nil"/>
            </w:tcBorders>
            <w:shd w:val="clear" w:color="auto" w:fill="auto"/>
            <w:noWrap/>
            <w:vAlign w:val="bottom"/>
            <w:hideMark/>
          </w:tcPr>
          <w:p w14:paraId="634DEF0D"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3.360</w:t>
            </w:r>
          </w:p>
        </w:tc>
        <w:tc>
          <w:tcPr>
            <w:tcW w:w="992" w:type="dxa"/>
            <w:tcBorders>
              <w:top w:val="nil"/>
              <w:left w:val="nil"/>
              <w:bottom w:val="nil"/>
              <w:right w:val="nil"/>
            </w:tcBorders>
            <w:shd w:val="clear" w:color="auto" w:fill="auto"/>
            <w:noWrap/>
            <w:vAlign w:val="bottom"/>
            <w:hideMark/>
          </w:tcPr>
          <w:p w14:paraId="3FD8B5BE" w14:textId="77777777" w:rsidR="005E7B8F" w:rsidRPr="005E7B8F" w:rsidRDefault="005E7B8F" w:rsidP="005E7B8F">
            <w:pPr>
              <w:jc w:val="right"/>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0.0045</w:t>
            </w:r>
          </w:p>
        </w:tc>
      </w:tr>
      <w:tr w:rsidR="005E7B8F" w:rsidRPr="005E7B8F" w14:paraId="18B37CD4" w14:textId="77777777" w:rsidTr="005E7B8F">
        <w:trPr>
          <w:trHeight w:val="320"/>
        </w:trPr>
        <w:tc>
          <w:tcPr>
            <w:tcW w:w="1418" w:type="dxa"/>
            <w:tcBorders>
              <w:top w:val="nil"/>
              <w:left w:val="nil"/>
              <w:bottom w:val="nil"/>
              <w:right w:val="nil"/>
            </w:tcBorders>
            <w:shd w:val="clear" w:color="auto" w:fill="auto"/>
            <w:noWrap/>
            <w:vAlign w:val="bottom"/>
            <w:hideMark/>
          </w:tcPr>
          <w:p w14:paraId="42919493"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1</w:t>
            </w:r>
            <w:r w:rsidRPr="005E7B8F">
              <w:rPr>
                <w:rFonts w:ascii="Times New Roman" w:eastAsia="Times New Roman" w:hAnsi="Times New Roman" w:cs="Times New Roman"/>
                <w:b/>
                <w:bCs/>
              </w:rPr>
              <w:t>–</w:t>
            </w:r>
            <w:r w:rsidRPr="005E7B8F">
              <w:rPr>
                <w:rFonts w:ascii="Times New Roman" w:eastAsia="Times New Roman" w:hAnsi="Times New Roman" w:cs="Times New Roman"/>
                <w:b/>
                <w:bCs/>
                <w:color w:val="000000"/>
              </w:rPr>
              <w:t>4</w:t>
            </w:r>
          </w:p>
        </w:tc>
        <w:tc>
          <w:tcPr>
            <w:tcW w:w="1417" w:type="dxa"/>
            <w:tcBorders>
              <w:top w:val="nil"/>
              <w:left w:val="nil"/>
              <w:bottom w:val="nil"/>
              <w:right w:val="nil"/>
            </w:tcBorders>
            <w:shd w:val="clear" w:color="auto" w:fill="auto"/>
            <w:noWrap/>
            <w:vAlign w:val="bottom"/>
            <w:hideMark/>
          </w:tcPr>
          <w:p w14:paraId="65FD9581"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2.2380</w:t>
            </w:r>
          </w:p>
        </w:tc>
        <w:tc>
          <w:tcPr>
            <w:tcW w:w="1276" w:type="dxa"/>
            <w:tcBorders>
              <w:top w:val="nil"/>
              <w:left w:val="nil"/>
              <w:bottom w:val="nil"/>
              <w:right w:val="nil"/>
            </w:tcBorders>
            <w:shd w:val="clear" w:color="auto" w:fill="auto"/>
            <w:noWrap/>
            <w:vAlign w:val="bottom"/>
            <w:hideMark/>
          </w:tcPr>
          <w:p w14:paraId="4C5D685A"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0.4489</w:t>
            </w:r>
          </w:p>
        </w:tc>
        <w:tc>
          <w:tcPr>
            <w:tcW w:w="1276" w:type="dxa"/>
            <w:tcBorders>
              <w:top w:val="nil"/>
              <w:left w:val="nil"/>
              <w:bottom w:val="nil"/>
              <w:right w:val="nil"/>
            </w:tcBorders>
            <w:shd w:val="clear" w:color="auto" w:fill="auto"/>
            <w:noWrap/>
            <w:vAlign w:val="bottom"/>
            <w:hideMark/>
          </w:tcPr>
          <w:p w14:paraId="36793384"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4.986</w:t>
            </w:r>
          </w:p>
        </w:tc>
        <w:tc>
          <w:tcPr>
            <w:tcW w:w="992" w:type="dxa"/>
            <w:tcBorders>
              <w:top w:val="nil"/>
              <w:left w:val="nil"/>
              <w:bottom w:val="nil"/>
              <w:right w:val="nil"/>
            </w:tcBorders>
            <w:shd w:val="clear" w:color="auto" w:fill="auto"/>
            <w:noWrap/>
            <w:vAlign w:val="bottom"/>
            <w:hideMark/>
          </w:tcPr>
          <w:p w14:paraId="62BA1B3A" w14:textId="77777777" w:rsidR="005E7B8F" w:rsidRPr="005E7B8F" w:rsidRDefault="005E7B8F" w:rsidP="005E7B8F">
            <w:pPr>
              <w:jc w:val="right"/>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&lt;0.0001</w:t>
            </w:r>
          </w:p>
        </w:tc>
      </w:tr>
      <w:tr w:rsidR="005E7B8F" w:rsidRPr="005E7B8F" w14:paraId="3FA96046" w14:textId="77777777" w:rsidTr="005E7B8F">
        <w:trPr>
          <w:trHeight w:val="320"/>
        </w:trPr>
        <w:tc>
          <w:tcPr>
            <w:tcW w:w="1418" w:type="dxa"/>
            <w:tcBorders>
              <w:top w:val="nil"/>
              <w:left w:val="nil"/>
              <w:bottom w:val="nil"/>
              <w:right w:val="nil"/>
            </w:tcBorders>
            <w:shd w:val="clear" w:color="auto" w:fill="auto"/>
            <w:noWrap/>
            <w:vAlign w:val="bottom"/>
            <w:hideMark/>
          </w:tcPr>
          <w:p w14:paraId="38C8950D"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2</w:t>
            </w:r>
            <w:r w:rsidRPr="005E7B8F">
              <w:rPr>
                <w:rFonts w:ascii="Times New Roman" w:eastAsia="Times New Roman" w:hAnsi="Times New Roman" w:cs="Times New Roman"/>
              </w:rPr>
              <w:t>–</w:t>
            </w:r>
            <w:r w:rsidRPr="005E7B8F">
              <w:rPr>
                <w:rFonts w:ascii="Times New Roman" w:eastAsia="Times New Roman" w:hAnsi="Times New Roman" w:cs="Times New Roman"/>
                <w:color w:val="000000"/>
              </w:rPr>
              <w:t>3</w:t>
            </w:r>
          </w:p>
        </w:tc>
        <w:tc>
          <w:tcPr>
            <w:tcW w:w="1417" w:type="dxa"/>
            <w:tcBorders>
              <w:top w:val="nil"/>
              <w:left w:val="nil"/>
              <w:bottom w:val="nil"/>
              <w:right w:val="nil"/>
            </w:tcBorders>
            <w:shd w:val="clear" w:color="auto" w:fill="auto"/>
            <w:noWrap/>
            <w:vAlign w:val="bottom"/>
            <w:hideMark/>
          </w:tcPr>
          <w:p w14:paraId="020AEADE"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0.4378</w:t>
            </w:r>
          </w:p>
        </w:tc>
        <w:tc>
          <w:tcPr>
            <w:tcW w:w="1276" w:type="dxa"/>
            <w:tcBorders>
              <w:top w:val="nil"/>
              <w:left w:val="nil"/>
              <w:bottom w:val="nil"/>
              <w:right w:val="nil"/>
            </w:tcBorders>
            <w:shd w:val="clear" w:color="auto" w:fill="auto"/>
            <w:noWrap/>
            <w:vAlign w:val="bottom"/>
            <w:hideMark/>
          </w:tcPr>
          <w:p w14:paraId="77E103A3"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0.4651</w:t>
            </w:r>
          </w:p>
        </w:tc>
        <w:tc>
          <w:tcPr>
            <w:tcW w:w="1276" w:type="dxa"/>
            <w:tcBorders>
              <w:top w:val="nil"/>
              <w:left w:val="nil"/>
              <w:bottom w:val="nil"/>
              <w:right w:val="nil"/>
            </w:tcBorders>
            <w:shd w:val="clear" w:color="auto" w:fill="auto"/>
            <w:noWrap/>
            <w:vAlign w:val="bottom"/>
            <w:hideMark/>
          </w:tcPr>
          <w:p w14:paraId="0E557EE1"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0.941</w:t>
            </w:r>
          </w:p>
        </w:tc>
        <w:tc>
          <w:tcPr>
            <w:tcW w:w="992" w:type="dxa"/>
            <w:tcBorders>
              <w:top w:val="nil"/>
              <w:left w:val="nil"/>
              <w:bottom w:val="nil"/>
              <w:right w:val="nil"/>
            </w:tcBorders>
            <w:shd w:val="clear" w:color="auto" w:fill="auto"/>
            <w:noWrap/>
            <w:vAlign w:val="bottom"/>
            <w:hideMark/>
          </w:tcPr>
          <w:p w14:paraId="00F12F1F"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0.7820</w:t>
            </w:r>
          </w:p>
        </w:tc>
      </w:tr>
      <w:tr w:rsidR="005E7B8F" w:rsidRPr="005E7B8F" w14:paraId="06D2FD88" w14:textId="77777777" w:rsidTr="005E7B8F">
        <w:trPr>
          <w:trHeight w:val="320"/>
        </w:trPr>
        <w:tc>
          <w:tcPr>
            <w:tcW w:w="1418" w:type="dxa"/>
            <w:tcBorders>
              <w:top w:val="nil"/>
              <w:left w:val="nil"/>
              <w:bottom w:val="nil"/>
              <w:right w:val="nil"/>
            </w:tcBorders>
            <w:shd w:val="clear" w:color="auto" w:fill="auto"/>
            <w:noWrap/>
            <w:vAlign w:val="bottom"/>
            <w:hideMark/>
          </w:tcPr>
          <w:p w14:paraId="5FDF371E"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2</w:t>
            </w:r>
            <w:r w:rsidRPr="005E7B8F">
              <w:rPr>
                <w:rFonts w:ascii="Times New Roman" w:eastAsia="Times New Roman" w:hAnsi="Times New Roman" w:cs="Times New Roman"/>
                <w:b/>
                <w:bCs/>
              </w:rPr>
              <w:t>–</w:t>
            </w:r>
            <w:r w:rsidRPr="005E7B8F">
              <w:rPr>
                <w:rFonts w:ascii="Times New Roman" w:eastAsia="Times New Roman" w:hAnsi="Times New Roman" w:cs="Times New Roman"/>
                <w:b/>
                <w:bCs/>
                <w:color w:val="000000"/>
              </w:rPr>
              <w:t>4</w:t>
            </w:r>
          </w:p>
        </w:tc>
        <w:tc>
          <w:tcPr>
            <w:tcW w:w="1417" w:type="dxa"/>
            <w:tcBorders>
              <w:top w:val="nil"/>
              <w:left w:val="nil"/>
              <w:bottom w:val="nil"/>
              <w:right w:val="nil"/>
            </w:tcBorders>
            <w:shd w:val="clear" w:color="auto" w:fill="auto"/>
            <w:noWrap/>
            <w:vAlign w:val="bottom"/>
            <w:hideMark/>
          </w:tcPr>
          <w:p w14:paraId="11526F77"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1.2585</w:t>
            </w:r>
          </w:p>
        </w:tc>
        <w:tc>
          <w:tcPr>
            <w:tcW w:w="1276" w:type="dxa"/>
            <w:tcBorders>
              <w:top w:val="nil"/>
              <w:left w:val="nil"/>
              <w:bottom w:val="nil"/>
              <w:right w:val="nil"/>
            </w:tcBorders>
            <w:shd w:val="clear" w:color="auto" w:fill="auto"/>
            <w:noWrap/>
            <w:vAlign w:val="bottom"/>
            <w:hideMark/>
          </w:tcPr>
          <w:p w14:paraId="228ADB7C"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0.4721</w:t>
            </w:r>
          </w:p>
        </w:tc>
        <w:tc>
          <w:tcPr>
            <w:tcW w:w="1276" w:type="dxa"/>
            <w:tcBorders>
              <w:top w:val="nil"/>
              <w:left w:val="nil"/>
              <w:bottom w:val="nil"/>
              <w:right w:val="nil"/>
            </w:tcBorders>
            <w:shd w:val="clear" w:color="auto" w:fill="auto"/>
            <w:noWrap/>
            <w:vAlign w:val="bottom"/>
            <w:hideMark/>
          </w:tcPr>
          <w:p w14:paraId="4412E0D0"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2.666</w:t>
            </w:r>
          </w:p>
        </w:tc>
        <w:tc>
          <w:tcPr>
            <w:tcW w:w="992" w:type="dxa"/>
            <w:tcBorders>
              <w:top w:val="nil"/>
              <w:left w:val="nil"/>
              <w:bottom w:val="nil"/>
              <w:right w:val="nil"/>
            </w:tcBorders>
            <w:shd w:val="clear" w:color="auto" w:fill="auto"/>
            <w:noWrap/>
            <w:vAlign w:val="bottom"/>
            <w:hideMark/>
          </w:tcPr>
          <w:p w14:paraId="23477151" w14:textId="77777777" w:rsidR="005E7B8F" w:rsidRPr="005E7B8F" w:rsidRDefault="005E7B8F" w:rsidP="005E7B8F">
            <w:pPr>
              <w:jc w:val="right"/>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0.0381</w:t>
            </w:r>
          </w:p>
        </w:tc>
      </w:tr>
      <w:tr w:rsidR="005E7B8F" w:rsidRPr="005E7B8F" w14:paraId="1852AEA2" w14:textId="77777777" w:rsidTr="005E7B8F">
        <w:trPr>
          <w:trHeight w:val="320"/>
        </w:trPr>
        <w:tc>
          <w:tcPr>
            <w:tcW w:w="1418" w:type="dxa"/>
            <w:tcBorders>
              <w:top w:val="nil"/>
              <w:left w:val="nil"/>
              <w:bottom w:val="single" w:sz="4" w:space="0" w:color="auto"/>
              <w:right w:val="nil"/>
            </w:tcBorders>
            <w:shd w:val="clear" w:color="auto" w:fill="auto"/>
            <w:noWrap/>
            <w:vAlign w:val="bottom"/>
            <w:hideMark/>
          </w:tcPr>
          <w:p w14:paraId="6754FA5C"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w:t>
            </w:r>
            <w:r w:rsidRPr="005E7B8F">
              <w:rPr>
                <w:rFonts w:ascii="Times New Roman" w:eastAsia="Times New Roman" w:hAnsi="Times New Roman" w:cs="Times New Roman"/>
              </w:rPr>
              <w:t>–</w:t>
            </w:r>
            <w:r w:rsidRPr="005E7B8F">
              <w:rPr>
                <w:rFonts w:ascii="Times New Roman" w:eastAsia="Times New Roman" w:hAnsi="Times New Roman" w:cs="Times New Roman"/>
                <w:color w:val="000000"/>
              </w:rPr>
              <w:t>4</w:t>
            </w:r>
          </w:p>
        </w:tc>
        <w:tc>
          <w:tcPr>
            <w:tcW w:w="1417" w:type="dxa"/>
            <w:tcBorders>
              <w:top w:val="nil"/>
              <w:left w:val="nil"/>
              <w:bottom w:val="single" w:sz="4" w:space="0" w:color="auto"/>
              <w:right w:val="nil"/>
            </w:tcBorders>
            <w:shd w:val="clear" w:color="auto" w:fill="auto"/>
            <w:noWrap/>
            <w:vAlign w:val="bottom"/>
            <w:hideMark/>
          </w:tcPr>
          <w:p w14:paraId="42157EDA"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0.8207</w:t>
            </w:r>
          </w:p>
        </w:tc>
        <w:tc>
          <w:tcPr>
            <w:tcW w:w="1276" w:type="dxa"/>
            <w:tcBorders>
              <w:top w:val="nil"/>
              <w:left w:val="nil"/>
              <w:bottom w:val="single" w:sz="4" w:space="0" w:color="auto"/>
              <w:right w:val="nil"/>
            </w:tcBorders>
            <w:shd w:val="clear" w:color="auto" w:fill="auto"/>
            <w:noWrap/>
            <w:vAlign w:val="bottom"/>
            <w:hideMark/>
          </w:tcPr>
          <w:p w14:paraId="4DB04C75"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0.4239</w:t>
            </w:r>
          </w:p>
        </w:tc>
        <w:tc>
          <w:tcPr>
            <w:tcW w:w="1276" w:type="dxa"/>
            <w:tcBorders>
              <w:top w:val="nil"/>
              <w:left w:val="nil"/>
              <w:bottom w:val="single" w:sz="4" w:space="0" w:color="auto"/>
              <w:right w:val="nil"/>
            </w:tcBorders>
            <w:shd w:val="clear" w:color="auto" w:fill="auto"/>
            <w:noWrap/>
            <w:vAlign w:val="bottom"/>
            <w:hideMark/>
          </w:tcPr>
          <w:p w14:paraId="7F72077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1.936</w:t>
            </w:r>
          </w:p>
        </w:tc>
        <w:tc>
          <w:tcPr>
            <w:tcW w:w="992" w:type="dxa"/>
            <w:tcBorders>
              <w:top w:val="nil"/>
              <w:left w:val="nil"/>
              <w:bottom w:val="single" w:sz="4" w:space="0" w:color="auto"/>
              <w:right w:val="nil"/>
            </w:tcBorders>
            <w:shd w:val="clear" w:color="auto" w:fill="auto"/>
            <w:noWrap/>
            <w:vAlign w:val="bottom"/>
            <w:hideMark/>
          </w:tcPr>
          <w:p w14:paraId="5495F7DD"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0.2122</w:t>
            </w:r>
          </w:p>
        </w:tc>
      </w:tr>
    </w:tbl>
    <w:p w14:paraId="37022C0F" w14:textId="77777777" w:rsidR="005E7B8F" w:rsidRPr="005E7B8F" w:rsidRDefault="005E7B8F" w:rsidP="005E7B8F">
      <w:pPr>
        <w:suppressLineNumbers/>
        <w:rPr>
          <w:rFonts w:ascii="Times New Roman" w:eastAsia="Times New Roman" w:hAnsi="Times New Roman" w:cs="Times New Roman"/>
          <w:b/>
          <w:bCs/>
        </w:rPr>
      </w:pPr>
    </w:p>
    <w:p w14:paraId="6960FF8F" w14:textId="77777777" w:rsidR="005E7B8F" w:rsidRPr="005E7B8F" w:rsidRDefault="005E7B8F" w:rsidP="005E7B8F">
      <w:pPr>
        <w:suppressLineNumbers/>
        <w:rPr>
          <w:rFonts w:ascii="Times New Roman" w:eastAsia="Times New Roman" w:hAnsi="Times New Roman" w:cs="Times New Roman"/>
          <w:b/>
          <w:bCs/>
        </w:rPr>
      </w:pPr>
    </w:p>
    <w:p w14:paraId="4938EF0F" w14:textId="77777777" w:rsidR="005E7B8F" w:rsidRPr="005E7B8F" w:rsidRDefault="005E7B8F" w:rsidP="005E7B8F">
      <w:pPr>
        <w:suppressLineNumbers/>
        <w:rPr>
          <w:rFonts w:ascii="Times New Roman" w:eastAsia="Times New Roman" w:hAnsi="Times New Roman" w:cs="Times New Roman"/>
          <w:b/>
          <w:bCs/>
        </w:rPr>
      </w:pPr>
    </w:p>
    <w:p w14:paraId="2837F1AF" w14:textId="77777777" w:rsidR="005E7B8F" w:rsidRPr="005E7B8F" w:rsidRDefault="005E7B8F" w:rsidP="005E7B8F">
      <w:pPr>
        <w:suppressLineNumbers/>
        <w:rPr>
          <w:rFonts w:ascii="Times New Roman" w:eastAsia="Times New Roman" w:hAnsi="Times New Roman" w:cs="Times New Roman"/>
          <w:b/>
          <w:bCs/>
        </w:rPr>
      </w:pPr>
    </w:p>
    <w:p w14:paraId="053F9B3F" w14:textId="77777777" w:rsidR="005E7B8F" w:rsidRPr="005E7B8F" w:rsidRDefault="005E7B8F" w:rsidP="005E7B8F">
      <w:pPr>
        <w:suppressLineNumbers/>
        <w:rPr>
          <w:rFonts w:ascii="Times New Roman" w:eastAsia="Times New Roman" w:hAnsi="Times New Roman" w:cs="Times New Roman"/>
          <w:b/>
          <w:bCs/>
        </w:rPr>
      </w:pPr>
    </w:p>
    <w:p w14:paraId="74337D1A" w14:textId="77777777" w:rsidR="005E7B8F" w:rsidRPr="005E7B8F" w:rsidRDefault="005E7B8F" w:rsidP="005E7B8F">
      <w:pPr>
        <w:suppressLineNumbers/>
        <w:rPr>
          <w:rFonts w:ascii="Times New Roman" w:eastAsia="Times New Roman" w:hAnsi="Times New Roman" w:cs="Times New Roman"/>
          <w:b/>
          <w:bCs/>
        </w:rPr>
      </w:pPr>
    </w:p>
    <w:p w14:paraId="765337A4" w14:textId="77777777" w:rsidR="005E7B8F" w:rsidRPr="005E7B8F" w:rsidRDefault="005E7B8F" w:rsidP="005E7B8F">
      <w:pPr>
        <w:suppressLineNumbers/>
        <w:rPr>
          <w:rFonts w:ascii="Times New Roman" w:eastAsia="Times New Roman" w:hAnsi="Times New Roman" w:cs="Times New Roman"/>
          <w:b/>
          <w:bCs/>
        </w:rPr>
      </w:pPr>
    </w:p>
    <w:p w14:paraId="718A8FAD" w14:textId="77777777" w:rsidR="005E7B8F" w:rsidRPr="005E7B8F" w:rsidRDefault="005E7B8F" w:rsidP="005E7B8F">
      <w:pPr>
        <w:suppressLineNumbers/>
        <w:rPr>
          <w:rFonts w:ascii="Times New Roman" w:eastAsia="Times New Roman" w:hAnsi="Times New Roman" w:cs="Times New Roman"/>
        </w:rPr>
      </w:pPr>
      <w:r w:rsidRPr="005E7B8F">
        <w:rPr>
          <w:rFonts w:ascii="Times New Roman" w:eastAsia="Times New Roman" w:hAnsi="Times New Roman" w:cs="Times New Roman"/>
          <w:b/>
          <w:bCs/>
        </w:rPr>
        <w:lastRenderedPageBreak/>
        <w:t xml:space="preserve">Table S5. </w:t>
      </w:r>
      <w:r w:rsidRPr="005E7B8F">
        <w:rPr>
          <w:rFonts w:ascii="Times New Roman" w:eastAsia="Times New Roman" w:hAnsi="Times New Roman" w:cs="Times New Roman"/>
        </w:rPr>
        <w:t xml:space="preserve">Results of linear mixed effects model analysis for the effects of size class, </w:t>
      </w: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rPr>
        <w:t xml:space="preserve">, temperature, and trial on startle response time coefficient of variation. Response variable data were log transformed prior to analysis. Bolded text denotes significant effects. SS = sum of squares, MS = mean of squares, N df = numerator degrees of freedom, D df = denominator degrees of freedom, F = Fisher’s F statistic, </w:t>
      </w:r>
      <w:r w:rsidRPr="005E7B8F">
        <w:rPr>
          <w:rFonts w:ascii="Times New Roman" w:eastAsia="Times New Roman" w:hAnsi="Times New Roman" w:cs="Times New Roman"/>
          <w:i/>
          <w:iCs/>
        </w:rPr>
        <w:t>P</w:t>
      </w:r>
      <w:r w:rsidRPr="005E7B8F">
        <w:rPr>
          <w:rFonts w:ascii="Times New Roman" w:eastAsia="Times New Roman" w:hAnsi="Times New Roman" w:cs="Times New Roman"/>
        </w:rPr>
        <w:t xml:space="preserve"> = p-value.</w:t>
      </w:r>
    </w:p>
    <w:p w14:paraId="6BB6DED9" w14:textId="77777777" w:rsidR="005E7B8F" w:rsidRPr="005E7B8F" w:rsidRDefault="005E7B8F" w:rsidP="005E7B8F">
      <w:pPr>
        <w:suppressLineNumbers/>
        <w:rPr>
          <w:rFonts w:ascii="Times New Roman" w:eastAsia="Times New Roman" w:hAnsi="Times New Roman" w:cs="Times New Roman"/>
        </w:rPr>
      </w:pPr>
    </w:p>
    <w:tbl>
      <w:tblPr>
        <w:tblW w:w="8505" w:type="dxa"/>
        <w:tblLook w:val="04A0" w:firstRow="1" w:lastRow="0" w:firstColumn="1" w:lastColumn="0" w:noHBand="0" w:noVBand="1"/>
      </w:tblPr>
      <w:tblGrid>
        <w:gridCol w:w="2960"/>
        <w:gridCol w:w="1020"/>
        <w:gridCol w:w="980"/>
        <w:gridCol w:w="780"/>
        <w:gridCol w:w="900"/>
        <w:gridCol w:w="1015"/>
        <w:gridCol w:w="876"/>
      </w:tblGrid>
      <w:tr w:rsidR="005E7B8F" w:rsidRPr="005E7B8F" w14:paraId="1AC5174E" w14:textId="77777777" w:rsidTr="005E7B8F">
        <w:trPr>
          <w:trHeight w:val="320"/>
        </w:trPr>
        <w:tc>
          <w:tcPr>
            <w:tcW w:w="2960" w:type="dxa"/>
            <w:tcBorders>
              <w:top w:val="single" w:sz="4" w:space="0" w:color="auto"/>
              <w:left w:val="nil"/>
              <w:bottom w:val="single" w:sz="4" w:space="0" w:color="auto"/>
              <w:right w:val="nil"/>
            </w:tcBorders>
            <w:shd w:val="clear" w:color="auto" w:fill="auto"/>
            <w:noWrap/>
            <w:vAlign w:val="bottom"/>
            <w:hideMark/>
          </w:tcPr>
          <w:p w14:paraId="61902689"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Source of error</w:t>
            </w:r>
          </w:p>
        </w:tc>
        <w:tc>
          <w:tcPr>
            <w:tcW w:w="1020" w:type="dxa"/>
            <w:tcBorders>
              <w:top w:val="single" w:sz="4" w:space="0" w:color="auto"/>
              <w:left w:val="nil"/>
              <w:bottom w:val="single" w:sz="4" w:space="0" w:color="auto"/>
              <w:right w:val="nil"/>
            </w:tcBorders>
            <w:shd w:val="clear" w:color="auto" w:fill="auto"/>
            <w:noWrap/>
            <w:vAlign w:val="bottom"/>
            <w:hideMark/>
          </w:tcPr>
          <w:p w14:paraId="722351C6"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SS</w:t>
            </w:r>
          </w:p>
        </w:tc>
        <w:tc>
          <w:tcPr>
            <w:tcW w:w="980" w:type="dxa"/>
            <w:tcBorders>
              <w:top w:val="single" w:sz="4" w:space="0" w:color="auto"/>
              <w:left w:val="nil"/>
              <w:bottom w:val="single" w:sz="4" w:space="0" w:color="auto"/>
              <w:right w:val="nil"/>
            </w:tcBorders>
            <w:shd w:val="clear" w:color="auto" w:fill="auto"/>
            <w:noWrap/>
            <w:vAlign w:val="bottom"/>
            <w:hideMark/>
          </w:tcPr>
          <w:p w14:paraId="50050A5F"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MS</w:t>
            </w:r>
          </w:p>
        </w:tc>
        <w:tc>
          <w:tcPr>
            <w:tcW w:w="780" w:type="dxa"/>
            <w:tcBorders>
              <w:top w:val="single" w:sz="4" w:space="0" w:color="auto"/>
              <w:left w:val="nil"/>
              <w:bottom w:val="single" w:sz="4" w:space="0" w:color="auto"/>
              <w:right w:val="nil"/>
            </w:tcBorders>
            <w:shd w:val="clear" w:color="auto" w:fill="auto"/>
            <w:noWrap/>
            <w:vAlign w:val="bottom"/>
            <w:hideMark/>
          </w:tcPr>
          <w:p w14:paraId="6C6BB8A6"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N df</w:t>
            </w:r>
          </w:p>
        </w:tc>
        <w:tc>
          <w:tcPr>
            <w:tcW w:w="900" w:type="dxa"/>
            <w:tcBorders>
              <w:top w:val="single" w:sz="4" w:space="0" w:color="auto"/>
              <w:left w:val="nil"/>
              <w:bottom w:val="single" w:sz="4" w:space="0" w:color="auto"/>
              <w:right w:val="nil"/>
            </w:tcBorders>
            <w:shd w:val="clear" w:color="auto" w:fill="auto"/>
            <w:noWrap/>
            <w:vAlign w:val="bottom"/>
            <w:hideMark/>
          </w:tcPr>
          <w:p w14:paraId="7B97A5D9"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D df</w:t>
            </w:r>
          </w:p>
        </w:tc>
        <w:tc>
          <w:tcPr>
            <w:tcW w:w="1015" w:type="dxa"/>
            <w:tcBorders>
              <w:top w:val="single" w:sz="4" w:space="0" w:color="auto"/>
              <w:left w:val="nil"/>
              <w:bottom w:val="single" w:sz="4" w:space="0" w:color="auto"/>
              <w:right w:val="nil"/>
            </w:tcBorders>
            <w:shd w:val="clear" w:color="auto" w:fill="auto"/>
            <w:noWrap/>
            <w:vAlign w:val="bottom"/>
            <w:hideMark/>
          </w:tcPr>
          <w:p w14:paraId="03C26541"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F</w:t>
            </w:r>
          </w:p>
        </w:tc>
        <w:tc>
          <w:tcPr>
            <w:tcW w:w="850" w:type="dxa"/>
            <w:tcBorders>
              <w:top w:val="single" w:sz="4" w:space="0" w:color="auto"/>
              <w:left w:val="nil"/>
              <w:bottom w:val="single" w:sz="4" w:space="0" w:color="auto"/>
              <w:right w:val="nil"/>
            </w:tcBorders>
            <w:shd w:val="clear" w:color="auto" w:fill="auto"/>
            <w:noWrap/>
            <w:vAlign w:val="bottom"/>
            <w:hideMark/>
          </w:tcPr>
          <w:p w14:paraId="53B325FC" w14:textId="77777777" w:rsidR="005E7B8F" w:rsidRPr="005E7B8F" w:rsidRDefault="005E7B8F" w:rsidP="005E7B8F">
            <w:pPr>
              <w:jc w:val="right"/>
              <w:rPr>
                <w:rFonts w:ascii="Times New Roman" w:eastAsia="Times New Roman" w:hAnsi="Times New Roman" w:cs="Times New Roman"/>
                <w:i/>
                <w:iCs/>
                <w:color w:val="000000"/>
              </w:rPr>
            </w:pPr>
            <w:r w:rsidRPr="005E7B8F">
              <w:rPr>
                <w:rFonts w:ascii="Times New Roman" w:eastAsia="Times New Roman" w:hAnsi="Times New Roman" w:cs="Times New Roman"/>
                <w:i/>
                <w:iCs/>
                <w:color w:val="000000"/>
              </w:rPr>
              <w:t>P</w:t>
            </w:r>
          </w:p>
        </w:tc>
      </w:tr>
      <w:tr w:rsidR="005E7B8F" w:rsidRPr="005E7B8F" w14:paraId="58B62AB4" w14:textId="77777777" w:rsidTr="005E7B8F">
        <w:trPr>
          <w:trHeight w:val="320"/>
        </w:trPr>
        <w:tc>
          <w:tcPr>
            <w:tcW w:w="2960" w:type="dxa"/>
            <w:tcBorders>
              <w:top w:val="nil"/>
              <w:left w:val="nil"/>
              <w:bottom w:val="nil"/>
              <w:right w:val="nil"/>
            </w:tcBorders>
            <w:shd w:val="clear" w:color="auto" w:fill="auto"/>
            <w:noWrap/>
            <w:vAlign w:val="center"/>
            <w:hideMark/>
          </w:tcPr>
          <w:p w14:paraId="161BCE40"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Size class</w:t>
            </w:r>
          </w:p>
        </w:tc>
        <w:tc>
          <w:tcPr>
            <w:tcW w:w="1020" w:type="dxa"/>
            <w:tcBorders>
              <w:top w:val="nil"/>
              <w:left w:val="nil"/>
              <w:bottom w:val="nil"/>
              <w:right w:val="nil"/>
            </w:tcBorders>
            <w:shd w:val="clear" w:color="auto" w:fill="auto"/>
            <w:noWrap/>
            <w:vAlign w:val="bottom"/>
            <w:hideMark/>
          </w:tcPr>
          <w:p w14:paraId="43C42898"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2.30</w:t>
            </w:r>
          </w:p>
        </w:tc>
        <w:tc>
          <w:tcPr>
            <w:tcW w:w="980" w:type="dxa"/>
            <w:tcBorders>
              <w:top w:val="nil"/>
              <w:left w:val="nil"/>
              <w:bottom w:val="nil"/>
              <w:right w:val="nil"/>
            </w:tcBorders>
            <w:shd w:val="clear" w:color="auto" w:fill="auto"/>
            <w:noWrap/>
            <w:vAlign w:val="bottom"/>
            <w:hideMark/>
          </w:tcPr>
          <w:p w14:paraId="575623A9"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2.30</w:t>
            </w:r>
          </w:p>
        </w:tc>
        <w:tc>
          <w:tcPr>
            <w:tcW w:w="780" w:type="dxa"/>
            <w:tcBorders>
              <w:top w:val="nil"/>
              <w:left w:val="nil"/>
              <w:bottom w:val="nil"/>
              <w:right w:val="nil"/>
            </w:tcBorders>
            <w:shd w:val="clear" w:color="auto" w:fill="auto"/>
            <w:noWrap/>
            <w:vAlign w:val="bottom"/>
            <w:hideMark/>
          </w:tcPr>
          <w:p w14:paraId="1EA2FF6F"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1</w:t>
            </w:r>
          </w:p>
        </w:tc>
        <w:tc>
          <w:tcPr>
            <w:tcW w:w="900" w:type="dxa"/>
            <w:tcBorders>
              <w:top w:val="nil"/>
              <w:left w:val="nil"/>
              <w:bottom w:val="nil"/>
              <w:right w:val="nil"/>
            </w:tcBorders>
            <w:shd w:val="clear" w:color="auto" w:fill="auto"/>
            <w:noWrap/>
            <w:vAlign w:val="bottom"/>
            <w:hideMark/>
          </w:tcPr>
          <w:p w14:paraId="6E2E1485"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15.84</w:t>
            </w:r>
          </w:p>
        </w:tc>
        <w:tc>
          <w:tcPr>
            <w:tcW w:w="1015" w:type="dxa"/>
            <w:tcBorders>
              <w:top w:val="nil"/>
              <w:left w:val="nil"/>
              <w:bottom w:val="nil"/>
              <w:right w:val="nil"/>
            </w:tcBorders>
            <w:shd w:val="clear" w:color="auto" w:fill="auto"/>
            <w:noWrap/>
            <w:vAlign w:val="bottom"/>
            <w:hideMark/>
          </w:tcPr>
          <w:p w14:paraId="78D6324A"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6.54</w:t>
            </w:r>
          </w:p>
        </w:tc>
        <w:tc>
          <w:tcPr>
            <w:tcW w:w="850" w:type="dxa"/>
            <w:tcBorders>
              <w:top w:val="nil"/>
              <w:left w:val="nil"/>
              <w:bottom w:val="nil"/>
              <w:right w:val="nil"/>
            </w:tcBorders>
            <w:shd w:val="clear" w:color="auto" w:fill="auto"/>
            <w:noWrap/>
            <w:vAlign w:val="bottom"/>
            <w:hideMark/>
          </w:tcPr>
          <w:p w14:paraId="4C544A60" w14:textId="77777777" w:rsidR="005E7B8F" w:rsidRPr="005E7B8F" w:rsidRDefault="005E7B8F" w:rsidP="005E7B8F">
            <w:pPr>
              <w:jc w:val="right"/>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0.0212</w:t>
            </w:r>
          </w:p>
        </w:tc>
      </w:tr>
      <w:tr w:rsidR="005E7B8F" w:rsidRPr="005E7B8F" w14:paraId="732D1D2A" w14:textId="77777777" w:rsidTr="005E7B8F">
        <w:trPr>
          <w:trHeight w:val="320"/>
        </w:trPr>
        <w:tc>
          <w:tcPr>
            <w:tcW w:w="2960" w:type="dxa"/>
            <w:tcBorders>
              <w:top w:val="nil"/>
              <w:left w:val="nil"/>
              <w:bottom w:val="nil"/>
              <w:right w:val="nil"/>
            </w:tcBorders>
            <w:shd w:val="clear" w:color="auto" w:fill="auto"/>
            <w:noWrap/>
            <w:vAlign w:val="center"/>
            <w:hideMark/>
          </w:tcPr>
          <w:p w14:paraId="5F910F75" w14:textId="77777777" w:rsidR="005E7B8F" w:rsidRPr="005E7B8F" w:rsidRDefault="005E7B8F" w:rsidP="005E7B8F">
            <w:pPr>
              <w:rPr>
                <w:rFonts w:ascii="Times New Roman" w:eastAsia="Times New Roman" w:hAnsi="Times New Roman" w:cs="Times New Roman"/>
                <w:color w:val="000000"/>
              </w:rPr>
            </w:pP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p>
        </w:tc>
        <w:tc>
          <w:tcPr>
            <w:tcW w:w="1020" w:type="dxa"/>
            <w:tcBorders>
              <w:top w:val="nil"/>
              <w:left w:val="nil"/>
              <w:bottom w:val="nil"/>
              <w:right w:val="nil"/>
            </w:tcBorders>
            <w:shd w:val="clear" w:color="auto" w:fill="auto"/>
            <w:noWrap/>
            <w:vAlign w:val="bottom"/>
            <w:hideMark/>
          </w:tcPr>
          <w:p w14:paraId="5B0AF410"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0.28</w:t>
            </w:r>
          </w:p>
        </w:tc>
        <w:tc>
          <w:tcPr>
            <w:tcW w:w="980" w:type="dxa"/>
            <w:tcBorders>
              <w:top w:val="nil"/>
              <w:left w:val="nil"/>
              <w:bottom w:val="nil"/>
              <w:right w:val="nil"/>
            </w:tcBorders>
            <w:shd w:val="clear" w:color="auto" w:fill="auto"/>
            <w:noWrap/>
            <w:vAlign w:val="bottom"/>
            <w:hideMark/>
          </w:tcPr>
          <w:p w14:paraId="4E41ED9E"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0.28</w:t>
            </w:r>
          </w:p>
        </w:tc>
        <w:tc>
          <w:tcPr>
            <w:tcW w:w="780" w:type="dxa"/>
            <w:tcBorders>
              <w:top w:val="nil"/>
              <w:left w:val="nil"/>
              <w:bottom w:val="nil"/>
              <w:right w:val="nil"/>
            </w:tcBorders>
            <w:shd w:val="clear" w:color="auto" w:fill="auto"/>
            <w:noWrap/>
            <w:vAlign w:val="bottom"/>
            <w:hideMark/>
          </w:tcPr>
          <w:p w14:paraId="52459E24"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900" w:type="dxa"/>
            <w:tcBorders>
              <w:top w:val="nil"/>
              <w:left w:val="nil"/>
              <w:bottom w:val="nil"/>
              <w:right w:val="nil"/>
            </w:tcBorders>
            <w:shd w:val="clear" w:color="auto" w:fill="auto"/>
            <w:noWrap/>
            <w:vAlign w:val="bottom"/>
            <w:hideMark/>
          </w:tcPr>
          <w:p w14:paraId="53D09974"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15.84</w:t>
            </w:r>
          </w:p>
        </w:tc>
        <w:tc>
          <w:tcPr>
            <w:tcW w:w="1015" w:type="dxa"/>
            <w:tcBorders>
              <w:top w:val="nil"/>
              <w:left w:val="nil"/>
              <w:bottom w:val="nil"/>
              <w:right w:val="nil"/>
            </w:tcBorders>
            <w:shd w:val="clear" w:color="auto" w:fill="auto"/>
            <w:noWrap/>
            <w:vAlign w:val="bottom"/>
            <w:hideMark/>
          </w:tcPr>
          <w:p w14:paraId="049BD0D5"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0.80</w:t>
            </w:r>
          </w:p>
        </w:tc>
        <w:tc>
          <w:tcPr>
            <w:tcW w:w="850" w:type="dxa"/>
            <w:tcBorders>
              <w:top w:val="nil"/>
              <w:left w:val="nil"/>
              <w:bottom w:val="nil"/>
              <w:right w:val="nil"/>
            </w:tcBorders>
            <w:shd w:val="clear" w:color="auto" w:fill="auto"/>
            <w:noWrap/>
            <w:vAlign w:val="bottom"/>
            <w:hideMark/>
          </w:tcPr>
          <w:p w14:paraId="68A73F1D"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0.3859</w:t>
            </w:r>
          </w:p>
        </w:tc>
      </w:tr>
      <w:tr w:rsidR="005E7B8F" w:rsidRPr="005E7B8F" w14:paraId="51B7F0F4" w14:textId="77777777" w:rsidTr="005E7B8F">
        <w:trPr>
          <w:trHeight w:val="320"/>
        </w:trPr>
        <w:tc>
          <w:tcPr>
            <w:tcW w:w="2960" w:type="dxa"/>
            <w:tcBorders>
              <w:top w:val="nil"/>
              <w:left w:val="nil"/>
              <w:bottom w:val="nil"/>
              <w:right w:val="nil"/>
            </w:tcBorders>
            <w:shd w:val="clear" w:color="auto" w:fill="auto"/>
            <w:noWrap/>
            <w:vAlign w:val="center"/>
            <w:hideMark/>
          </w:tcPr>
          <w:p w14:paraId="24C4C819"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Temp</w:t>
            </w:r>
          </w:p>
        </w:tc>
        <w:tc>
          <w:tcPr>
            <w:tcW w:w="1020" w:type="dxa"/>
            <w:tcBorders>
              <w:top w:val="nil"/>
              <w:left w:val="nil"/>
              <w:bottom w:val="nil"/>
              <w:right w:val="nil"/>
            </w:tcBorders>
            <w:shd w:val="clear" w:color="auto" w:fill="auto"/>
            <w:noWrap/>
            <w:vAlign w:val="bottom"/>
            <w:hideMark/>
          </w:tcPr>
          <w:p w14:paraId="2C3D3A07"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0.05</w:t>
            </w:r>
          </w:p>
        </w:tc>
        <w:tc>
          <w:tcPr>
            <w:tcW w:w="980" w:type="dxa"/>
            <w:tcBorders>
              <w:top w:val="nil"/>
              <w:left w:val="nil"/>
              <w:bottom w:val="nil"/>
              <w:right w:val="nil"/>
            </w:tcBorders>
            <w:shd w:val="clear" w:color="auto" w:fill="auto"/>
            <w:noWrap/>
            <w:vAlign w:val="bottom"/>
            <w:hideMark/>
          </w:tcPr>
          <w:p w14:paraId="43E7FB4E"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0.05</w:t>
            </w:r>
          </w:p>
        </w:tc>
        <w:tc>
          <w:tcPr>
            <w:tcW w:w="780" w:type="dxa"/>
            <w:tcBorders>
              <w:top w:val="nil"/>
              <w:left w:val="nil"/>
              <w:bottom w:val="nil"/>
              <w:right w:val="nil"/>
            </w:tcBorders>
            <w:shd w:val="clear" w:color="auto" w:fill="auto"/>
            <w:noWrap/>
            <w:vAlign w:val="bottom"/>
            <w:hideMark/>
          </w:tcPr>
          <w:p w14:paraId="35A0B43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900" w:type="dxa"/>
            <w:tcBorders>
              <w:top w:val="nil"/>
              <w:left w:val="nil"/>
              <w:bottom w:val="nil"/>
              <w:right w:val="nil"/>
            </w:tcBorders>
            <w:shd w:val="clear" w:color="auto" w:fill="auto"/>
            <w:noWrap/>
            <w:vAlign w:val="bottom"/>
            <w:hideMark/>
          </w:tcPr>
          <w:p w14:paraId="712F0D8D"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15.84</w:t>
            </w:r>
          </w:p>
        </w:tc>
        <w:tc>
          <w:tcPr>
            <w:tcW w:w="1015" w:type="dxa"/>
            <w:tcBorders>
              <w:top w:val="nil"/>
              <w:left w:val="nil"/>
              <w:bottom w:val="nil"/>
              <w:right w:val="nil"/>
            </w:tcBorders>
            <w:shd w:val="clear" w:color="auto" w:fill="auto"/>
            <w:noWrap/>
            <w:vAlign w:val="bottom"/>
            <w:hideMark/>
          </w:tcPr>
          <w:p w14:paraId="3527DD6C"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0.14</w:t>
            </w:r>
          </w:p>
        </w:tc>
        <w:tc>
          <w:tcPr>
            <w:tcW w:w="850" w:type="dxa"/>
            <w:tcBorders>
              <w:top w:val="nil"/>
              <w:left w:val="nil"/>
              <w:bottom w:val="nil"/>
              <w:right w:val="nil"/>
            </w:tcBorders>
            <w:shd w:val="clear" w:color="auto" w:fill="auto"/>
            <w:noWrap/>
            <w:vAlign w:val="bottom"/>
            <w:hideMark/>
          </w:tcPr>
          <w:p w14:paraId="5566542C"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0.7155</w:t>
            </w:r>
          </w:p>
        </w:tc>
      </w:tr>
      <w:tr w:rsidR="005E7B8F" w:rsidRPr="005E7B8F" w14:paraId="5DEB0D43" w14:textId="77777777" w:rsidTr="005E7B8F">
        <w:trPr>
          <w:trHeight w:val="320"/>
        </w:trPr>
        <w:tc>
          <w:tcPr>
            <w:tcW w:w="2960" w:type="dxa"/>
            <w:tcBorders>
              <w:top w:val="nil"/>
              <w:left w:val="nil"/>
              <w:bottom w:val="nil"/>
              <w:right w:val="nil"/>
            </w:tcBorders>
            <w:shd w:val="clear" w:color="auto" w:fill="auto"/>
            <w:noWrap/>
            <w:vAlign w:val="center"/>
            <w:hideMark/>
          </w:tcPr>
          <w:p w14:paraId="18A399BC"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Size class</w:t>
            </w:r>
            <w:r w:rsidRPr="005E7B8F">
              <w:rPr>
                <w:rFonts w:ascii="Times New Roman" w:eastAsia="Times New Roman" w:hAnsi="Times New Roman" w:cs="Times New Roman"/>
                <w:color w:val="000000"/>
              </w:rPr>
              <w:sym w:font="Symbol" w:char="F0B4"/>
            </w: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p>
        </w:tc>
        <w:tc>
          <w:tcPr>
            <w:tcW w:w="1020" w:type="dxa"/>
            <w:tcBorders>
              <w:top w:val="nil"/>
              <w:left w:val="nil"/>
              <w:bottom w:val="nil"/>
              <w:right w:val="nil"/>
            </w:tcBorders>
            <w:shd w:val="clear" w:color="auto" w:fill="auto"/>
            <w:noWrap/>
            <w:vAlign w:val="bottom"/>
            <w:hideMark/>
          </w:tcPr>
          <w:p w14:paraId="574D73A6"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0.45</w:t>
            </w:r>
          </w:p>
        </w:tc>
        <w:tc>
          <w:tcPr>
            <w:tcW w:w="980" w:type="dxa"/>
            <w:tcBorders>
              <w:top w:val="nil"/>
              <w:left w:val="nil"/>
              <w:bottom w:val="nil"/>
              <w:right w:val="nil"/>
            </w:tcBorders>
            <w:shd w:val="clear" w:color="auto" w:fill="auto"/>
            <w:noWrap/>
            <w:vAlign w:val="bottom"/>
            <w:hideMark/>
          </w:tcPr>
          <w:p w14:paraId="515A838A"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0.45</w:t>
            </w:r>
          </w:p>
        </w:tc>
        <w:tc>
          <w:tcPr>
            <w:tcW w:w="780" w:type="dxa"/>
            <w:tcBorders>
              <w:top w:val="nil"/>
              <w:left w:val="nil"/>
              <w:bottom w:val="nil"/>
              <w:right w:val="nil"/>
            </w:tcBorders>
            <w:shd w:val="clear" w:color="auto" w:fill="auto"/>
            <w:noWrap/>
            <w:vAlign w:val="bottom"/>
            <w:hideMark/>
          </w:tcPr>
          <w:p w14:paraId="187535FA"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900" w:type="dxa"/>
            <w:tcBorders>
              <w:top w:val="nil"/>
              <w:left w:val="nil"/>
              <w:bottom w:val="nil"/>
              <w:right w:val="nil"/>
            </w:tcBorders>
            <w:shd w:val="clear" w:color="auto" w:fill="auto"/>
            <w:noWrap/>
            <w:vAlign w:val="bottom"/>
            <w:hideMark/>
          </w:tcPr>
          <w:p w14:paraId="63A4806D"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15.84</w:t>
            </w:r>
          </w:p>
        </w:tc>
        <w:tc>
          <w:tcPr>
            <w:tcW w:w="1015" w:type="dxa"/>
            <w:tcBorders>
              <w:top w:val="nil"/>
              <w:left w:val="nil"/>
              <w:bottom w:val="nil"/>
              <w:right w:val="nil"/>
            </w:tcBorders>
            <w:shd w:val="clear" w:color="auto" w:fill="auto"/>
            <w:noWrap/>
            <w:vAlign w:val="bottom"/>
            <w:hideMark/>
          </w:tcPr>
          <w:p w14:paraId="38DFAFD0"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1.29</w:t>
            </w:r>
          </w:p>
        </w:tc>
        <w:tc>
          <w:tcPr>
            <w:tcW w:w="850" w:type="dxa"/>
            <w:tcBorders>
              <w:top w:val="nil"/>
              <w:left w:val="nil"/>
              <w:bottom w:val="nil"/>
              <w:right w:val="nil"/>
            </w:tcBorders>
            <w:shd w:val="clear" w:color="auto" w:fill="auto"/>
            <w:noWrap/>
            <w:vAlign w:val="bottom"/>
            <w:hideMark/>
          </w:tcPr>
          <w:p w14:paraId="78688CB6"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0.2733</w:t>
            </w:r>
          </w:p>
        </w:tc>
      </w:tr>
      <w:tr w:rsidR="005E7B8F" w:rsidRPr="005E7B8F" w14:paraId="1889A6A7" w14:textId="77777777" w:rsidTr="005E7B8F">
        <w:trPr>
          <w:trHeight w:val="320"/>
        </w:trPr>
        <w:tc>
          <w:tcPr>
            <w:tcW w:w="2960" w:type="dxa"/>
            <w:tcBorders>
              <w:top w:val="nil"/>
              <w:left w:val="nil"/>
              <w:bottom w:val="nil"/>
              <w:right w:val="nil"/>
            </w:tcBorders>
            <w:shd w:val="clear" w:color="auto" w:fill="auto"/>
            <w:noWrap/>
            <w:vAlign w:val="center"/>
            <w:hideMark/>
          </w:tcPr>
          <w:p w14:paraId="1D68B9F4"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Size class</w:t>
            </w:r>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p>
        </w:tc>
        <w:tc>
          <w:tcPr>
            <w:tcW w:w="1020" w:type="dxa"/>
            <w:tcBorders>
              <w:top w:val="nil"/>
              <w:left w:val="nil"/>
              <w:bottom w:val="nil"/>
              <w:right w:val="nil"/>
            </w:tcBorders>
            <w:shd w:val="clear" w:color="auto" w:fill="auto"/>
            <w:noWrap/>
            <w:vAlign w:val="bottom"/>
            <w:hideMark/>
          </w:tcPr>
          <w:p w14:paraId="55B28DB8"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0.19</w:t>
            </w:r>
          </w:p>
        </w:tc>
        <w:tc>
          <w:tcPr>
            <w:tcW w:w="980" w:type="dxa"/>
            <w:tcBorders>
              <w:top w:val="nil"/>
              <w:left w:val="nil"/>
              <w:bottom w:val="nil"/>
              <w:right w:val="nil"/>
            </w:tcBorders>
            <w:shd w:val="clear" w:color="auto" w:fill="auto"/>
            <w:noWrap/>
            <w:vAlign w:val="bottom"/>
            <w:hideMark/>
          </w:tcPr>
          <w:p w14:paraId="3DF3C202"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0.19</w:t>
            </w:r>
          </w:p>
        </w:tc>
        <w:tc>
          <w:tcPr>
            <w:tcW w:w="780" w:type="dxa"/>
            <w:tcBorders>
              <w:top w:val="nil"/>
              <w:left w:val="nil"/>
              <w:bottom w:val="nil"/>
              <w:right w:val="nil"/>
            </w:tcBorders>
            <w:shd w:val="clear" w:color="auto" w:fill="auto"/>
            <w:noWrap/>
            <w:vAlign w:val="bottom"/>
            <w:hideMark/>
          </w:tcPr>
          <w:p w14:paraId="4B668B5C"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900" w:type="dxa"/>
            <w:tcBorders>
              <w:top w:val="nil"/>
              <w:left w:val="nil"/>
              <w:bottom w:val="nil"/>
              <w:right w:val="nil"/>
            </w:tcBorders>
            <w:shd w:val="clear" w:color="auto" w:fill="auto"/>
            <w:noWrap/>
            <w:vAlign w:val="bottom"/>
            <w:hideMark/>
          </w:tcPr>
          <w:p w14:paraId="37FD30F3"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15.84</w:t>
            </w:r>
          </w:p>
        </w:tc>
        <w:tc>
          <w:tcPr>
            <w:tcW w:w="1015" w:type="dxa"/>
            <w:tcBorders>
              <w:top w:val="nil"/>
              <w:left w:val="nil"/>
              <w:bottom w:val="nil"/>
              <w:right w:val="nil"/>
            </w:tcBorders>
            <w:shd w:val="clear" w:color="auto" w:fill="auto"/>
            <w:noWrap/>
            <w:vAlign w:val="bottom"/>
            <w:hideMark/>
          </w:tcPr>
          <w:p w14:paraId="074B9CA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0.55</w:t>
            </w:r>
          </w:p>
        </w:tc>
        <w:tc>
          <w:tcPr>
            <w:tcW w:w="850" w:type="dxa"/>
            <w:tcBorders>
              <w:top w:val="nil"/>
              <w:left w:val="nil"/>
              <w:bottom w:val="nil"/>
              <w:right w:val="nil"/>
            </w:tcBorders>
            <w:shd w:val="clear" w:color="auto" w:fill="auto"/>
            <w:noWrap/>
            <w:vAlign w:val="bottom"/>
            <w:hideMark/>
          </w:tcPr>
          <w:p w14:paraId="7AC5FD0C"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0.4692</w:t>
            </w:r>
          </w:p>
        </w:tc>
      </w:tr>
      <w:tr w:rsidR="005E7B8F" w:rsidRPr="005E7B8F" w14:paraId="3D7D5808" w14:textId="77777777" w:rsidTr="005E7B8F">
        <w:trPr>
          <w:trHeight w:val="320"/>
        </w:trPr>
        <w:tc>
          <w:tcPr>
            <w:tcW w:w="2960" w:type="dxa"/>
            <w:tcBorders>
              <w:top w:val="nil"/>
              <w:left w:val="nil"/>
              <w:bottom w:val="nil"/>
              <w:right w:val="nil"/>
            </w:tcBorders>
            <w:shd w:val="clear" w:color="auto" w:fill="auto"/>
            <w:noWrap/>
            <w:vAlign w:val="center"/>
            <w:hideMark/>
          </w:tcPr>
          <w:p w14:paraId="73CB20B8" w14:textId="77777777" w:rsidR="005E7B8F" w:rsidRPr="005E7B8F" w:rsidRDefault="005E7B8F" w:rsidP="005E7B8F">
            <w:pPr>
              <w:rPr>
                <w:rFonts w:ascii="Times New Roman" w:eastAsia="Times New Roman" w:hAnsi="Times New Roman" w:cs="Times New Roman"/>
                <w:color w:val="000000"/>
              </w:rPr>
            </w:pP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p>
        </w:tc>
        <w:tc>
          <w:tcPr>
            <w:tcW w:w="1020" w:type="dxa"/>
            <w:tcBorders>
              <w:top w:val="nil"/>
              <w:left w:val="nil"/>
              <w:bottom w:val="nil"/>
              <w:right w:val="nil"/>
            </w:tcBorders>
            <w:shd w:val="clear" w:color="auto" w:fill="auto"/>
            <w:noWrap/>
            <w:vAlign w:val="bottom"/>
            <w:hideMark/>
          </w:tcPr>
          <w:p w14:paraId="52B31AB2"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0.63</w:t>
            </w:r>
          </w:p>
        </w:tc>
        <w:tc>
          <w:tcPr>
            <w:tcW w:w="980" w:type="dxa"/>
            <w:tcBorders>
              <w:top w:val="nil"/>
              <w:left w:val="nil"/>
              <w:bottom w:val="nil"/>
              <w:right w:val="nil"/>
            </w:tcBorders>
            <w:shd w:val="clear" w:color="auto" w:fill="auto"/>
            <w:noWrap/>
            <w:vAlign w:val="bottom"/>
            <w:hideMark/>
          </w:tcPr>
          <w:p w14:paraId="3C13EF36"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0.63</w:t>
            </w:r>
          </w:p>
        </w:tc>
        <w:tc>
          <w:tcPr>
            <w:tcW w:w="780" w:type="dxa"/>
            <w:tcBorders>
              <w:top w:val="nil"/>
              <w:left w:val="nil"/>
              <w:bottom w:val="nil"/>
              <w:right w:val="nil"/>
            </w:tcBorders>
            <w:shd w:val="clear" w:color="auto" w:fill="auto"/>
            <w:noWrap/>
            <w:vAlign w:val="bottom"/>
            <w:hideMark/>
          </w:tcPr>
          <w:p w14:paraId="63CCCE92"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900" w:type="dxa"/>
            <w:tcBorders>
              <w:top w:val="nil"/>
              <w:left w:val="nil"/>
              <w:bottom w:val="nil"/>
              <w:right w:val="nil"/>
            </w:tcBorders>
            <w:shd w:val="clear" w:color="auto" w:fill="auto"/>
            <w:noWrap/>
            <w:vAlign w:val="bottom"/>
            <w:hideMark/>
          </w:tcPr>
          <w:p w14:paraId="431D9CB8"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15.84</w:t>
            </w:r>
          </w:p>
        </w:tc>
        <w:tc>
          <w:tcPr>
            <w:tcW w:w="1015" w:type="dxa"/>
            <w:tcBorders>
              <w:top w:val="nil"/>
              <w:left w:val="nil"/>
              <w:bottom w:val="nil"/>
              <w:right w:val="nil"/>
            </w:tcBorders>
            <w:shd w:val="clear" w:color="auto" w:fill="auto"/>
            <w:noWrap/>
            <w:vAlign w:val="bottom"/>
            <w:hideMark/>
          </w:tcPr>
          <w:p w14:paraId="621204FA"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1.80</w:t>
            </w:r>
          </w:p>
        </w:tc>
        <w:tc>
          <w:tcPr>
            <w:tcW w:w="850" w:type="dxa"/>
            <w:tcBorders>
              <w:top w:val="nil"/>
              <w:left w:val="nil"/>
              <w:bottom w:val="nil"/>
              <w:right w:val="nil"/>
            </w:tcBorders>
            <w:shd w:val="clear" w:color="auto" w:fill="auto"/>
            <w:noWrap/>
            <w:vAlign w:val="bottom"/>
            <w:hideMark/>
          </w:tcPr>
          <w:p w14:paraId="6855C542"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0.1991</w:t>
            </w:r>
          </w:p>
        </w:tc>
      </w:tr>
      <w:tr w:rsidR="005E7B8F" w:rsidRPr="005E7B8F" w14:paraId="4545EE5E" w14:textId="77777777" w:rsidTr="005E7B8F">
        <w:trPr>
          <w:trHeight w:val="320"/>
        </w:trPr>
        <w:tc>
          <w:tcPr>
            <w:tcW w:w="2960" w:type="dxa"/>
            <w:tcBorders>
              <w:top w:val="nil"/>
              <w:left w:val="nil"/>
              <w:bottom w:val="single" w:sz="4" w:space="0" w:color="auto"/>
              <w:right w:val="nil"/>
            </w:tcBorders>
            <w:shd w:val="clear" w:color="auto" w:fill="auto"/>
            <w:noWrap/>
            <w:vAlign w:val="center"/>
            <w:hideMark/>
          </w:tcPr>
          <w:p w14:paraId="0CA709B2"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Size class</w:t>
            </w:r>
            <w:r w:rsidRPr="005E7B8F">
              <w:rPr>
                <w:rFonts w:ascii="Times New Roman" w:eastAsia="Times New Roman" w:hAnsi="Times New Roman" w:cs="Times New Roman"/>
                <w:color w:val="000000"/>
              </w:rPr>
              <w:sym w:font="Symbol" w:char="F0B4"/>
            </w: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p>
        </w:tc>
        <w:tc>
          <w:tcPr>
            <w:tcW w:w="1020" w:type="dxa"/>
            <w:tcBorders>
              <w:top w:val="nil"/>
              <w:left w:val="nil"/>
              <w:bottom w:val="single" w:sz="4" w:space="0" w:color="auto"/>
              <w:right w:val="nil"/>
            </w:tcBorders>
            <w:shd w:val="clear" w:color="auto" w:fill="auto"/>
            <w:noWrap/>
            <w:vAlign w:val="bottom"/>
            <w:hideMark/>
          </w:tcPr>
          <w:p w14:paraId="7F2B9C85"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0.10</w:t>
            </w:r>
          </w:p>
        </w:tc>
        <w:tc>
          <w:tcPr>
            <w:tcW w:w="980" w:type="dxa"/>
            <w:tcBorders>
              <w:top w:val="nil"/>
              <w:left w:val="nil"/>
              <w:bottom w:val="single" w:sz="4" w:space="0" w:color="auto"/>
              <w:right w:val="nil"/>
            </w:tcBorders>
            <w:shd w:val="clear" w:color="auto" w:fill="auto"/>
            <w:noWrap/>
            <w:vAlign w:val="bottom"/>
            <w:hideMark/>
          </w:tcPr>
          <w:p w14:paraId="4720969F"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0.10</w:t>
            </w:r>
          </w:p>
        </w:tc>
        <w:tc>
          <w:tcPr>
            <w:tcW w:w="780" w:type="dxa"/>
            <w:tcBorders>
              <w:top w:val="nil"/>
              <w:left w:val="nil"/>
              <w:bottom w:val="single" w:sz="4" w:space="0" w:color="auto"/>
              <w:right w:val="nil"/>
            </w:tcBorders>
            <w:shd w:val="clear" w:color="auto" w:fill="auto"/>
            <w:noWrap/>
            <w:vAlign w:val="bottom"/>
            <w:hideMark/>
          </w:tcPr>
          <w:p w14:paraId="483F38CA"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900" w:type="dxa"/>
            <w:tcBorders>
              <w:top w:val="nil"/>
              <w:left w:val="nil"/>
              <w:bottom w:val="single" w:sz="4" w:space="0" w:color="auto"/>
              <w:right w:val="nil"/>
            </w:tcBorders>
            <w:shd w:val="clear" w:color="auto" w:fill="auto"/>
            <w:noWrap/>
            <w:vAlign w:val="bottom"/>
            <w:hideMark/>
          </w:tcPr>
          <w:p w14:paraId="3C726DD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15.84</w:t>
            </w:r>
          </w:p>
        </w:tc>
        <w:tc>
          <w:tcPr>
            <w:tcW w:w="1015" w:type="dxa"/>
            <w:tcBorders>
              <w:top w:val="nil"/>
              <w:left w:val="nil"/>
              <w:bottom w:val="single" w:sz="4" w:space="0" w:color="auto"/>
              <w:right w:val="nil"/>
            </w:tcBorders>
            <w:shd w:val="clear" w:color="auto" w:fill="auto"/>
            <w:noWrap/>
            <w:vAlign w:val="bottom"/>
            <w:hideMark/>
          </w:tcPr>
          <w:p w14:paraId="0CED478C"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0.28</w:t>
            </w:r>
          </w:p>
        </w:tc>
        <w:tc>
          <w:tcPr>
            <w:tcW w:w="850" w:type="dxa"/>
            <w:tcBorders>
              <w:top w:val="nil"/>
              <w:left w:val="nil"/>
              <w:bottom w:val="single" w:sz="4" w:space="0" w:color="auto"/>
              <w:right w:val="nil"/>
            </w:tcBorders>
            <w:shd w:val="clear" w:color="auto" w:fill="auto"/>
            <w:noWrap/>
            <w:vAlign w:val="bottom"/>
            <w:hideMark/>
          </w:tcPr>
          <w:p w14:paraId="05DE894C"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0.6026</w:t>
            </w:r>
          </w:p>
        </w:tc>
      </w:tr>
    </w:tbl>
    <w:p w14:paraId="26D66A1C" w14:textId="77777777" w:rsidR="005E7B8F" w:rsidRPr="005E7B8F" w:rsidRDefault="005E7B8F" w:rsidP="005E7B8F">
      <w:pPr>
        <w:suppressLineNumbers/>
        <w:rPr>
          <w:rFonts w:ascii="Times New Roman" w:eastAsia="Times New Roman" w:hAnsi="Times New Roman" w:cs="Times New Roman"/>
          <w:b/>
          <w:bCs/>
        </w:rPr>
      </w:pPr>
    </w:p>
    <w:p w14:paraId="0AB18579" w14:textId="77777777" w:rsidR="005E7B8F" w:rsidRPr="005E7B8F" w:rsidRDefault="005E7B8F" w:rsidP="005E7B8F">
      <w:pPr>
        <w:suppressLineNumbers/>
        <w:rPr>
          <w:rFonts w:ascii="Times New Roman" w:eastAsia="Times New Roman" w:hAnsi="Times New Roman" w:cs="Times New Roman"/>
        </w:rPr>
      </w:pPr>
    </w:p>
    <w:p w14:paraId="575A2981" w14:textId="77777777" w:rsidR="005E7B8F" w:rsidRPr="005E7B8F" w:rsidRDefault="005E7B8F" w:rsidP="005E7B8F">
      <w:pPr>
        <w:suppressLineNumbers/>
        <w:rPr>
          <w:rFonts w:ascii="Times New Roman" w:eastAsia="Times New Roman" w:hAnsi="Times New Roman" w:cs="Times New Roman"/>
          <w:b/>
          <w:bCs/>
        </w:rPr>
      </w:pPr>
    </w:p>
    <w:p w14:paraId="38F71CB2" w14:textId="77777777" w:rsidR="005E7B8F" w:rsidRPr="005E7B8F" w:rsidRDefault="005E7B8F" w:rsidP="005E7B8F">
      <w:pPr>
        <w:suppressLineNumbers/>
        <w:rPr>
          <w:rFonts w:ascii="Times New Roman" w:eastAsia="Times New Roman" w:hAnsi="Times New Roman" w:cs="Times New Roman"/>
          <w:b/>
          <w:bCs/>
        </w:rPr>
      </w:pPr>
    </w:p>
    <w:p w14:paraId="7B14A28A" w14:textId="77777777" w:rsidR="005E7B8F" w:rsidRPr="005E7B8F" w:rsidRDefault="005E7B8F" w:rsidP="005E7B8F">
      <w:pPr>
        <w:suppressLineNumbers/>
        <w:rPr>
          <w:rFonts w:ascii="Times New Roman" w:eastAsia="Times New Roman" w:hAnsi="Times New Roman" w:cs="Times New Roman"/>
          <w:b/>
          <w:bCs/>
        </w:rPr>
      </w:pPr>
    </w:p>
    <w:p w14:paraId="61AC8C14" w14:textId="77777777" w:rsidR="005E7B8F" w:rsidRPr="005E7B8F" w:rsidRDefault="005E7B8F" w:rsidP="005E7B8F">
      <w:pPr>
        <w:suppressLineNumbers/>
        <w:rPr>
          <w:rFonts w:ascii="Times New Roman" w:eastAsia="Times New Roman" w:hAnsi="Times New Roman" w:cs="Times New Roman"/>
        </w:rPr>
      </w:pPr>
      <w:r w:rsidRPr="005E7B8F">
        <w:rPr>
          <w:rFonts w:ascii="Times New Roman" w:eastAsia="Times New Roman" w:hAnsi="Times New Roman" w:cs="Times New Roman"/>
          <w:b/>
          <w:bCs/>
        </w:rPr>
        <w:t xml:space="preserve">Table S6. </w:t>
      </w:r>
      <w:r w:rsidRPr="005E7B8F">
        <w:rPr>
          <w:rFonts w:ascii="Times New Roman" w:eastAsia="Times New Roman" w:hAnsi="Times New Roman" w:cs="Times New Roman"/>
        </w:rPr>
        <w:t xml:space="preserve">Results of logistic regression analysis for the effects of size class, </w:t>
      </w: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rPr>
        <w:t xml:space="preserve">, temperature, and trial on individuals that either opened or closed during a given trial. Bolded text denotes significant effects. </w:t>
      </w:r>
      <w:r w:rsidRPr="005E7B8F">
        <w:rPr>
          <w:rFonts w:ascii="Times New Roman" w:eastAsia="Times New Roman" w:hAnsi="Times New Roman" w:cs="Times New Roman"/>
          <w:color w:val="000000"/>
        </w:rPr>
        <w:sym w:font="Symbol" w:char="F063"/>
      </w:r>
      <w:r w:rsidRPr="005E7B8F">
        <w:rPr>
          <w:rFonts w:ascii="Times New Roman" w:eastAsia="Times New Roman" w:hAnsi="Times New Roman" w:cs="Times New Roman"/>
          <w:color w:val="000000"/>
          <w:vertAlign w:val="superscript"/>
        </w:rPr>
        <w:t>2</w:t>
      </w:r>
      <w:r w:rsidRPr="005E7B8F">
        <w:rPr>
          <w:rFonts w:ascii="Times New Roman" w:eastAsia="Times New Roman" w:hAnsi="Times New Roman" w:cs="Times New Roman"/>
          <w:color w:val="000000"/>
        </w:rPr>
        <w:t xml:space="preserve"> = chi-squared test statistic, df = degrees of freedom, </w:t>
      </w:r>
      <w:r w:rsidRPr="005E7B8F">
        <w:rPr>
          <w:rFonts w:ascii="Times New Roman" w:eastAsia="Times New Roman" w:hAnsi="Times New Roman" w:cs="Times New Roman"/>
          <w:i/>
          <w:iCs/>
          <w:color w:val="000000"/>
        </w:rPr>
        <w:t>P</w:t>
      </w:r>
      <w:r w:rsidRPr="005E7B8F">
        <w:rPr>
          <w:rFonts w:ascii="Times New Roman" w:eastAsia="Times New Roman" w:hAnsi="Times New Roman" w:cs="Times New Roman"/>
          <w:color w:val="000000"/>
        </w:rPr>
        <w:t xml:space="preserve"> = p-value.</w:t>
      </w:r>
    </w:p>
    <w:p w14:paraId="3386D686" w14:textId="77777777" w:rsidR="005E7B8F" w:rsidRPr="005E7B8F" w:rsidRDefault="005E7B8F" w:rsidP="005E7B8F">
      <w:pPr>
        <w:suppressLineNumbers/>
        <w:rPr>
          <w:rFonts w:ascii="Times New Roman" w:eastAsia="Times New Roman" w:hAnsi="Times New Roman" w:cs="Times New Roman"/>
        </w:rPr>
      </w:pPr>
    </w:p>
    <w:tbl>
      <w:tblPr>
        <w:tblW w:w="6521" w:type="dxa"/>
        <w:tblLook w:val="04A0" w:firstRow="1" w:lastRow="0" w:firstColumn="1" w:lastColumn="0" w:noHBand="0" w:noVBand="1"/>
      </w:tblPr>
      <w:tblGrid>
        <w:gridCol w:w="3402"/>
        <w:gridCol w:w="1134"/>
        <w:gridCol w:w="709"/>
        <w:gridCol w:w="1276"/>
      </w:tblGrid>
      <w:tr w:rsidR="005E7B8F" w:rsidRPr="005E7B8F" w14:paraId="13941A48" w14:textId="77777777" w:rsidTr="005E7B8F">
        <w:trPr>
          <w:trHeight w:val="320"/>
        </w:trPr>
        <w:tc>
          <w:tcPr>
            <w:tcW w:w="3402" w:type="dxa"/>
            <w:tcBorders>
              <w:top w:val="single" w:sz="4" w:space="0" w:color="auto"/>
              <w:left w:val="nil"/>
              <w:bottom w:val="single" w:sz="4" w:space="0" w:color="auto"/>
              <w:right w:val="nil"/>
            </w:tcBorders>
            <w:shd w:val="clear" w:color="auto" w:fill="auto"/>
            <w:noWrap/>
            <w:vAlign w:val="bottom"/>
            <w:hideMark/>
          </w:tcPr>
          <w:p w14:paraId="56E0A4CD"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Source of error</w:t>
            </w:r>
          </w:p>
        </w:tc>
        <w:tc>
          <w:tcPr>
            <w:tcW w:w="1134" w:type="dxa"/>
            <w:tcBorders>
              <w:top w:val="single" w:sz="4" w:space="0" w:color="auto"/>
              <w:left w:val="nil"/>
              <w:bottom w:val="single" w:sz="4" w:space="0" w:color="auto"/>
              <w:right w:val="nil"/>
            </w:tcBorders>
            <w:shd w:val="clear" w:color="auto" w:fill="auto"/>
            <w:noWrap/>
            <w:vAlign w:val="bottom"/>
            <w:hideMark/>
          </w:tcPr>
          <w:p w14:paraId="031F2950" w14:textId="77777777" w:rsidR="005E7B8F" w:rsidRPr="005E7B8F" w:rsidRDefault="005E7B8F" w:rsidP="005E7B8F">
            <w:pPr>
              <w:rPr>
                <w:rFonts w:ascii="Times New Roman" w:eastAsia="Times New Roman" w:hAnsi="Times New Roman" w:cs="Times New Roman"/>
              </w:rPr>
            </w:pPr>
            <w:r w:rsidRPr="005E7B8F">
              <w:rPr>
                <w:rFonts w:ascii="Times New Roman" w:eastAsia="Times New Roman" w:hAnsi="Times New Roman" w:cs="Times New Roman"/>
                <w:color w:val="000000"/>
              </w:rPr>
              <w:sym w:font="Symbol" w:char="F063"/>
            </w:r>
            <w:r w:rsidRPr="005E7B8F">
              <w:rPr>
                <w:rFonts w:ascii="Times New Roman" w:eastAsia="Times New Roman" w:hAnsi="Times New Roman" w:cs="Times New Roman"/>
                <w:color w:val="000000"/>
                <w:vertAlign w:val="superscript"/>
              </w:rPr>
              <w:t>2</w:t>
            </w:r>
          </w:p>
        </w:tc>
        <w:tc>
          <w:tcPr>
            <w:tcW w:w="709" w:type="dxa"/>
            <w:tcBorders>
              <w:top w:val="single" w:sz="4" w:space="0" w:color="auto"/>
              <w:left w:val="nil"/>
              <w:bottom w:val="single" w:sz="4" w:space="0" w:color="auto"/>
              <w:right w:val="nil"/>
            </w:tcBorders>
            <w:shd w:val="clear" w:color="auto" w:fill="auto"/>
            <w:noWrap/>
            <w:vAlign w:val="bottom"/>
            <w:hideMark/>
          </w:tcPr>
          <w:p w14:paraId="5D80978F"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df</w:t>
            </w:r>
          </w:p>
        </w:tc>
        <w:tc>
          <w:tcPr>
            <w:tcW w:w="1276" w:type="dxa"/>
            <w:tcBorders>
              <w:top w:val="single" w:sz="4" w:space="0" w:color="auto"/>
              <w:left w:val="nil"/>
              <w:bottom w:val="single" w:sz="4" w:space="0" w:color="auto"/>
              <w:right w:val="nil"/>
            </w:tcBorders>
            <w:shd w:val="clear" w:color="auto" w:fill="auto"/>
            <w:noWrap/>
            <w:vAlign w:val="bottom"/>
            <w:hideMark/>
          </w:tcPr>
          <w:p w14:paraId="29433D51" w14:textId="77777777" w:rsidR="005E7B8F" w:rsidRPr="005E7B8F" w:rsidRDefault="005E7B8F" w:rsidP="005E7B8F">
            <w:pPr>
              <w:jc w:val="right"/>
              <w:rPr>
                <w:rFonts w:ascii="Times New Roman" w:eastAsia="Times New Roman" w:hAnsi="Times New Roman" w:cs="Times New Roman"/>
                <w:i/>
                <w:iCs/>
                <w:color w:val="000000"/>
              </w:rPr>
            </w:pPr>
            <w:r w:rsidRPr="005E7B8F">
              <w:rPr>
                <w:rFonts w:ascii="Times New Roman" w:eastAsia="Times New Roman" w:hAnsi="Times New Roman" w:cs="Times New Roman"/>
                <w:i/>
                <w:iCs/>
                <w:color w:val="000000"/>
              </w:rPr>
              <w:t>P</w:t>
            </w:r>
          </w:p>
        </w:tc>
      </w:tr>
      <w:tr w:rsidR="005E7B8F" w:rsidRPr="005E7B8F" w14:paraId="4FEB80ED" w14:textId="77777777" w:rsidTr="005E7B8F">
        <w:trPr>
          <w:trHeight w:val="320"/>
        </w:trPr>
        <w:tc>
          <w:tcPr>
            <w:tcW w:w="3402" w:type="dxa"/>
            <w:tcBorders>
              <w:top w:val="nil"/>
              <w:left w:val="nil"/>
              <w:bottom w:val="nil"/>
              <w:right w:val="nil"/>
            </w:tcBorders>
            <w:shd w:val="clear" w:color="auto" w:fill="auto"/>
            <w:noWrap/>
            <w:vAlign w:val="bottom"/>
            <w:hideMark/>
          </w:tcPr>
          <w:p w14:paraId="33C0E511"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Size class</w:t>
            </w:r>
          </w:p>
        </w:tc>
        <w:tc>
          <w:tcPr>
            <w:tcW w:w="1134" w:type="dxa"/>
            <w:tcBorders>
              <w:top w:val="nil"/>
              <w:left w:val="nil"/>
              <w:bottom w:val="nil"/>
              <w:right w:val="nil"/>
            </w:tcBorders>
            <w:shd w:val="clear" w:color="auto" w:fill="auto"/>
            <w:noWrap/>
            <w:vAlign w:val="bottom"/>
            <w:hideMark/>
          </w:tcPr>
          <w:p w14:paraId="0A209DC3"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15.928</w:t>
            </w:r>
          </w:p>
        </w:tc>
        <w:tc>
          <w:tcPr>
            <w:tcW w:w="709" w:type="dxa"/>
            <w:tcBorders>
              <w:top w:val="nil"/>
              <w:left w:val="nil"/>
              <w:bottom w:val="nil"/>
              <w:right w:val="nil"/>
            </w:tcBorders>
            <w:shd w:val="clear" w:color="auto" w:fill="auto"/>
            <w:noWrap/>
            <w:vAlign w:val="bottom"/>
            <w:hideMark/>
          </w:tcPr>
          <w:p w14:paraId="2050FA7D"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1</w:t>
            </w:r>
          </w:p>
        </w:tc>
        <w:tc>
          <w:tcPr>
            <w:tcW w:w="1276" w:type="dxa"/>
            <w:tcBorders>
              <w:top w:val="nil"/>
              <w:left w:val="nil"/>
              <w:bottom w:val="nil"/>
              <w:right w:val="nil"/>
            </w:tcBorders>
            <w:shd w:val="clear" w:color="auto" w:fill="auto"/>
            <w:noWrap/>
            <w:vAlign w:val="bottom"/>
            <w:hideMark/>
          </w:tcPr>
          <w:p w14:paraId="5DA64D2C" w14:textId="77777777" w:rsidR="005E7B8F" w:rsidRPr="005E7B8F" w:rsidRDefault="005E7B8F" w:rsidP="005E7B8F">
            <w:pPr>
              <w:jc w:val="right"/>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&lt;0.0001</w:t>
            </w:r>
          </w:p>
        </w:tc>
      </w:tr>
      <w:tr w:rsidR="005E7B8F" w:rsidRPr="005E7B8F" w14:paraId="5901E7BE" w14:textId="77777777" w:rsidTr="005E7B8F">
        <w:trPr>
          <w:trHeight w:val="320"/>
        </w:trPr>
        <w:tc>
          <w:tcPr>
            <w:tcW w:w="3402" w:type="dxa"/>
            <w:tcBorders>
              <w:top w:val="nil"/>
              <w:left w:val="nil"/>
              <w:bottom w:val="nil"/>
              <w:right w:val="nil"/>
            </w:tcBorders>
            <w:shd w:val="clear" w:color="auto" w:fill="auto"/>
            <w:noWrap/>
            <w:vAlign w:val="bottom"/>
            <w:hideMark/>
          </w:tcPr>
          <w:p w14:paraId="18BDEC2D" w14:textId="77777777" w:rsidR="005E7B8F" w:rsidRPr="005E7B8F" w:rsidRDefault="005E7B8F" w:rsidP="005E7B8F">
            <w:pPr>
              <w:rPr>
                <w:rFonts w:ascii="Times New Roman" w:eastAsia="Times New Roman" w:hAnsi="Times New Roman" w:cs="Times New Roman"/>
                <w:color w:val="000000"/>
              </w:rPr>
            </w:pP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p>
        </w:tc>
        <w:tc>
          <w:tcPr>
            <w:tcW w:w="1134" w:type="dxa"/>
            <w:tcBorders>
              <w:top w:val="nil"/>
              <w:left w:val="nil"/>
              <w:bottom w:val="nil"/>
              <w:right w:val="nil"/>
            </w:tcBorders>
            <w:shd w:val="clear" w:color="auto" w:fill="auto"/>
            <w:noWrap/>
            <w:vAlign w:val="bottom"/>
            <w:hideMark/>
          </w:tcPr>
          <w:p w14:paraId="491A394A"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0.981</w:t>
            </w:r>
          </w:p>
        </w:tc>
        <w:tc>
          <w:tcPr>
            <w:tcW w:w="709" w:type="dxa"/>
            <w:tcBorders>
              <w:top w:val="nil"/>
              <w:left w:val="nil"/>
              <w:bottom w:val="nil"/>
              <w:right w:val="nil"/>
            </w:tcBorders>
            <w:shd w:val="clear" w:color="auto" w:fill="auto"/>
            <w:noWrap/>
            <w:vAlign w:val="bottom"/>
            <w:hideMark/>
          </w:tcPr>
          <w:p w14:paraId="0E14958A"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276" w:type="dxa"/>
            <w:tcBorders>
              <w:top w:val="nil"/>
              <w:left w:val="nil"/>
              <w:bottom w:val="nil"/>
              <w:right w:val="nil"/>
            </w:tcBorders>
            <w:shd w:val="clear" w:color="auto" w:fill="auto"/>
            <w:noWrap/>
            <w:vAlign w:val="bottom"/>
            <w:hideMark/>
          </w:tcPr>
          <w:p w14:paraId="46B997D0"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0.3220</w:t>
            </w:r>
          </w:p>
        </w:tc>
      </w:tr>
      <w:tr w:rsidR="005E7B8F" w:rsidRPr="005E7B8F" w14:paraId="090BF532" w14:textId="77777777" w:rsidTr="005E7B8F">
        <w:trPr>
          <w:trHeight w:val="320"/>
        </w:trPr>
        <w:tc>
          <w:tcPr>
            <w:tcW w:w="3402" w:type="dxa"/>
            <w:tcBorders>
              <w:top w:val="nil"/>
              <w:left w:val="nil"/>
              <w:bottom w:val="nil"/>
              <w:right w:val="nil"/>
            </w:tcBorders>
            <w:shd w:val="clear" w:color="auto" w:fill="auto"/>
            <w:noWrap/>
            <w:vAlign w:val="bottom"/>
            <w:hideMark/>
          </w:tcPr>
          <w:p w14:paraId="3924546B"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Temp</w:t>
            </w:r>
          </w:p>
        </w:tc>
        <w:tc>
          <w:tcPr>
            <w:tcW w:w="1134" w:type="dxa"/>
            <w:tcBorders>
              <w:top w:val="nil"/>
              <w:left w:val="nil"/>
              <w:bottom w:val="nil"/>
              <w:right w:val="nil"/>
            </w:tcBorders>
            <w:shd w:val="clear" w:color="auto" w:fill="auto"/>
            <w:noWrap/>
            <w:vAlign w:val="bottom"/>
            <w:hideMark/>
          </w:tcPr>
          <w:p w14:paraId="41C75208"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16.578</w:t>
            </w:r>
          </w:p>
        </w:tc>
        <w:tc>
          <w:tcPr>
            <w:tcW w:w="709" w:type="dxa"/>
            <w:tcBorders>
              <w:top w:val="nil"/>
              <w:left w:val="nil"/>
              <w:bottom w:val="nil"/>
              <w:right w:val="nil"/>
            </w:tcBorders>
            <w:shd w:val="clear" w:color="auto" w:fill="auto"/>
            <w:noWrap/>
            <w:vAlign w:val="bottom"/>
            <w:hideMark/>
          </w:tcPr>
          <w:p w14:paraId="16A2C97C"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1</w:t>
            </w:r>
          </w:p>
        </w:tc>
        <w:tc>
          <w:tcPr>
            <w:tcW w:w="1276" w:type="dxa"/>
            <w:tcBorders>
              <w:top w:val="nil"/>
              <w:left w:val="nil"/>
              <w:bottom w:val="nil"/>
              <w:right w:val="nil"/>
            </w:tcBorders>
            <w:shd w:val="clear" w:color="auto" w:fill="auto"/>
            <w:noWrap/>
            <w:vAlign w:val="bottom"/>
            <w:hideMark/>
          </w:tcPr>
          <w:p w14:paraId="7E1865F2" w14:textId="77777777" w:rsidR="005E7B8F" w:rsidRPr="005E7B8F" w:rsidRDefault="005E7B8F" w:rsidP="005E7B8F">
            <w:pPr>
              <w:jc w:val="right"/>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&lt;0.0001</w:t>
            </w:r>
          </w:p>
        </w:tc>
      </w:tr>
      <w:tr w:rsidR="005E7B8F" w:rsidRPr="005E7B8F" w14:paraId="063A2CB0" w14:textId="77777777" w:rsidTr="005E7B8F">
        <w:trPr>
          <w:trHeight w:val="320"/>
        </w:trPr>
        <w:tc>
          <w:tcPr>
            <w:tcW w:w="3402" w:type="dxa"/>
            <w:tcBorders>
              <w:top w:val="nil"/>
              <w:left w:val="nil"/>
              <w:bottom w:val="nil"/>
              <w:right w:val="nil"/>
            </w:tcBorders>
            <w:shd w:val="clear" w:color="auto" w:fill="auto"/>
            <w:noWrap/>
            <w:vAlign w:val="bottom"/>
            <w:hideMark/>
          </w:tcPr>
          <w:p w14:paraId="2ACA3171"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Trial</w:t>
            </w:r>
          </w:p>
        </w:tc>
        <w:tc>
          <w:tcPr>
            <w:tcW w:w="1134" w:type="dxa"/>
            <w:tcBorders>
              <w:top w:val="nil"/>
              <w:left w:val="nil"/>
              <w:bottom w:val="nil"/>
              <w:right w:val="nil"/>
            </w:tcBorders>
            <w:shd w:val="clear" w:color="auto" w:fill="auto"/>
            <w:noWrap/>
            <w:vAlign w:val="bottom"/>
            <w:hideMark/>
          </w:tcPr>
          <w:p w14:paraId="29D79152"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1.916</w:t>
            </w:r>
          </w:p>
        </w:tc>
        <w:tc>
          <w:tcPr>
            <w:tcW w:w="709" w:type="dxa"/>
            <w:tcBorders>
              <w:top w:val="nil"/>
              <w:left w:val="nil"/>
              <w:bottom w:val="nil"/>
              <w:right w:val="nil"/>
            </w:tcBorders>
            <w:shd w:val="clear" w:color="auto" w:fill="auto"/>
            <w:noWrap/>
            <w:vAlign w:val="bottom"/>
            <w:hideMark/>
          </w:tcPr>
          <w:p w14:paraId="4DEEC563"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w:t>
            </w:r>
          </w:p>
        </w:tc>
        <w:tc>
          <w:tcPr>
            <w:tcW w:w="1276" w:type="dxa"/>
            <w:tcBorders>
              <w:top w:val="nil"/>
              <w:left w:val="nil"/>
              <w:bottom w:val="nil"/>
              <w:right w:val="nil"/>
            </w:tcBorders>
            <w:shd w:val="clear" w:color="auto" w:fill="auto"/>
            <w:noWrap/>
            <w:vAlign w:val="bottom"/>
            <w:hideMark/>
          </w:tcPr>
          <w:p w14:paraId="5C17558F"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0.5901</w:t>
            </w:r>
          </w:p>
        </w:tc>
      </w:tr>
      <w:tr w:rsidR="005E7B8F" w:rsidRPr="005E7B8F" w14:paraId="10F4533C" w14:textId="77777777" w:rsidTr="005E7B8F">
        <w:trPr>
          <w:trHeight w:val="320"/>
        </w:trPr>
        <w:tc>
          <w:tcPr>
            <w:tcW w:w="3402" w:type="dxa"/>
            <w:tcBorders>
              <w:top w:val="nil"/>
              <w:left w:val="nil"/>
              <w:bottom w:val="nil"/>
              <w:right w:val="nil"/>
            </w:tcBorders>
            <w:shd w:val="clear" w:color="auto" w:fill="auto"/>
            <w:noWrap/>
            <w:vAlign w:val="bottom"/>
            <w:hideMark/>
          </w:tcPr>
          <w:p w14:paraId="00D11855"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Size class</w:t>
            </w:r>
            <w:r w:rsidRPr="005E7B8F">
              <w:rPr>
                <w:rFonts w:ascii="Times New Roman" w:eastAsia="Times New Roman" w:hAnsi="Times New Roman" w:cs="Times New Roman"/>
                <w:color w:val="000000"/>
              </w:rPr>
              <w:sym w:font="Symbol" w:char="F0B4"/>
            </w: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p>
        </w:tc>
        <w:tc>
          <w:tcPr>
            <w:tcW w:w="1134" w:type="dxa"/>
            <w:tcBorders>
              <w:top w:val="nil"/>
              <w:left w:val="nil"/>
              <w:bottom w:val="nil"/>
              <w:right w:val="nil"/>
            </w:tcBorders>
            <w:shd w:val="clear" w:color="auto" w:fill="auto"/>
            <w:noWrap/>
            <w:vAlign w:val="bottom"/>
            <w:hideMark/>
          </w:tcPr>
          <w:p w14:paraId="709F37CA"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0.720</w:t>
            </w:r>
          </w:p>
        </w:tc>
        <w:tc>
          <w:tcPr>
            <w:tcW w:w="709" w:type="dxa"/>
            <w:tcBorders>
              <w:top w:val="nil"/>
              <w:left w:val="nil"/>
              <w:bottom w:val="nil"/>
              <w:right w:val="nil"/>
            </w:tcBorders>
            <w:shd w:val="clear" w:color="auto" w:fill="auto"/>
            <w:noWrap/>
            <w:vAlign w:val="bottom"/>
            <w:hideMark/>
          </w:tcPr>
          <w:p w14:paraId="272C2218"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276" w:type="dxa"/>
            <w:tcBorders>
              <w:top w:val="nil"/>
              <w:left w:val="nil"/>
              <w:bottom w:val="nil"/>
              <w:right w:val="nil"/>
            </w:tcBorders>
            <w:shd w:val="clear" w:color="auto" w:fill="auto"/>
            <w:noWrap/>
            <w:vAlign w:val="bottom"/>
            <w:hideMark/>
          </w:tcPr>
          <w:p w14:paraId="6324AC56"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0.3962</w:t>
            </w:r>
          </w:p>
        </w:tc>
      </w:tr>
      <w:tr w:rsidR="005E7B8F" w:rsidRPr="005E7B8F" w14:paraId="3E0F6FCB" w14:textId="77777777" w:rsidTr="005E7B8F">
        <w:trPr>
          <w:trHeight w:val="320"/>
        </w:trPr>
        <w:tc>
          <w:tcPr>
            <w:tcW w:w="3402" w:type="dxa"/>
            <w:tcBorders>
              <w:top w:val="nil"/>
              <w:left w:val="nil"/>
              <w:bottom w:val="nil"/>
              <w:right w:val="nil"/>
            </w:tcBorders>
            <w:shd w:val="clear" w:color="auto" w:fill="auto"/>
            <w:noWrap/>
            <w:vAlign w:val="bottom"/>
            <w:hideMark/>
          </w:tcPr>
          <w:p w14:paraId="0829DF2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Size class</w:t>
            </w:r>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p>
        </w:tc>
        <w:tc>
          <w:tcPr>
            <w:tcW w:w="1134" w:type="dxa"/>
            <w:tcBorders>
              <w:top w:val="nil"/>
              <w:left w:val="nil"/>
              <w:bottom w:val="nil"/>
              <w:right w:val="nil"/>
            </w:tcBorders>
            <w:shd w:val="clear" w:color="auto" w:fill="auto"/>
            <w:noWrap/>
            <w:vAlign w:val="bottom"/>
            <w:hideMark/>
          </w:tcPr>
          <w:p w14:paraId="49633B34"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0.907</w:t>
            </w:r>
          </w:p>
        </w:tc>
        <w:tc>
          <w:tcPr>
            <w:tcW w:w="709" w:type="dxa"/>
            <w:tcBorders>
              <w:top w:val="nil"/>
              <w:left w:val="nil"/>
              <w:bottom w:val="nil"/>
              <w:right w:val="nil"/>
            </w:tcBorders>
            <w:shd w:val="clear" w:color="auto" w:fill="auto"/>
            <w:noWrap/>
            <w:vAlign w:val="bottom"/>
            <w:hideMark/>
          </w:tcPr>
          <w:p w14:paraId="7EE317C6"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276" w:type="dxa"/>
            <w:tcBorders>
              <w:top w:val="nil"/>
              <w:left w:val="nil"/>
              <w:bottom w:val="nil"/>
              <w:right w:val="nil"/>
            </w:tcBorders>
            <w:shd w:val="clear" w:color="auto" w:fill="auto"/>
            <w:noWrap/>
            <w:vAlign w:val="bottom"/>
            <w:hideMark/>
          </w:tcPr>
          <w:p w14:paraId="6913F79F"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0.3409</w:t>
            </w:r>
          </w:p>
        </w:tc>
      </w:tr>
      <w:tr w:rsidR="005E7B8F" w:rsidRPr="005E7B8F" w14:paraId="69BC647B" w14:textId="77777777" w:rsidTr="005E7B8F">
        <w:trPr>
          <w:trHeight w:val="320"/>
        </w:trPr>
        <w:tc>
          <w:tcPr>
            <w:tcW w:w="3402" w:type="dxa"/>
            <w:tcBorders>
              <w:top w:val="nil"/>
              <w:left w:val="nil"/>
              <w:bottom w:val="nil"/>
              <w:right w:val="nil"/>
            </w:tcBorders>
            <w:shd w:val="clear" w:color="auto" w:fill="auto"/>
            <w:noWrap/>
            <w:vAlign w:val="bottom"/>
            <w:hideMark/>
          </w:tcPr>
          <w:p w14:paraId="7140A133" w14:textId="77777777" w:rsidR="005E7B8F" w:rsidRPr="005E7B8F" w:rsidRDefault="005E7B8F" w:rsidP="005E7B8F">
            <w:pPr>
              <w:rPr>
                <w:rFonts w:ascii="Times New Roman" w:eastAsia="Times New Roman" w:hAnsi="Times New Roman" w:cs="Times New Roman"/>
                <w:color w:val="000000"/>
              </w:rPr>
            </w:pP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p>
        </w:tc>
        <w:tc>
          <w:tcPr>
            <w:tcW w:w="1134" w:type="dxa"/>
            <w:tcBorders>
              <w:top w:val="nil"/>
              <w:left w:val="nil"/>
              <w:bottom w:val="nil"/>
              <w:right w:val="nil"/>
            </w:tcBorders>
            <w:shd w:val="clear" w:color="auto" w:fill="auto"/>
            <w:noWrap/>
            <w:vAlign w:val="bottom"/>
            <w:hideMark/>
          </w:tcPr>
          <w:p w14:paraId="5775154A"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3.299</w:t>
            </w:r>
          </w:p>
        </w:tc>
        <w:tc>
          <w:tcPr>
            <w:tcW w:w="709" w:type="dxa"/>
            <w:tcBorders>
              <w:top w:val="nil"/>
              <w:left w:val="nil"/>
              <w:bottom w:val="nil"/>
              <w:right w:val="nil"/>
            </w:tcBorders>
            <w:shd w:val="clear" w:color="auto" w:fill="auto"/>
            <w:noWrap/>
            <w:vAlign w:val="bottom"/>
            <w:hideMark/>
          </w:tcPr>
          <w:p w14:paraId="41BEAA26"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276" w:type="dxa"/>
            <w:tcBorders>
              <w:top w:val="nil"/>
              <w:left w:val="nil"/>
              <w:bottom w:val="nil"/>
              <w:right w:val="nil"/>
            </w:tcBorders>
            <w:shd w:val="clear" w:color="auto" w:fill="auto"/>
            <w:noWrap/>
            <w:vAlign w:val="bottom"/>
            <w:hideMark/>
          </w:tcPr>
          <w:p w14:paraId="4A924DB8"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0.0693</w:t>
            </w:r>
          </w:p>
        </w:tc>
      </w:tr>
      <w:tr w:rsidR="005E7B8F" w:rsidRPr="005E7B8F" w14:paraId="0F46D768" w14:textId="77777777" w:rsidTr="005E7B8F">
        <w:trPr>
          <w:trHeight w:val="320"/>
        </w:trPr>
        <w:tc>
          <w:tcPr>
            <w:tcW w:w="3402" w:type="dxa"/>
            <w:tcBorders>
              <w:top w:val="nil"/>
              <w:left w:val="nil"/>
              <w:bottom w:val="nil"/>
              <w:right w:val="nil"/>
            </w:tcBorders>
            <w:shd w:val="clear" w:color="auto" w:fill="auto"/>
            <w:noWrap/>
            <w:vAlign w:val="bottom"/>
            <w:hideMark/>
          </w:tcPr>
          <w:p w14:paraId="7B67BE50"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Size class</w:t>
            </w:r>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Trial</w:t>
            </w:r>
          </w:p>
        </w:tc>
        <w:tc>
          <w:tcPr>
            <w:tcW w:w="1134" w:type="dxa"/>
            <w:tcBorders>
              <w:top w:val="nil"/>
              <w:left w:val="nil"/>
              <w:bottom w:val="nil"/>
              <w:right w:val="nil"/>
            </w:tcBorders>
            <w:shd w:val="clear" w:color="auto" w:fill="auto"/>
            <w:noWrap/>
            <w:vAlign w:val="bottom"/>
            <w:hideMark/>
          </w:tcPr>
          <w:p w14:paraId="55FCF806"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2.120</w:t>
            </w:r>
          </w:p>
        </w:tc>
        <w:tc>
          <w:tcPr>
            <w:tcW w:w="709" w:type="dxa"/>
            <w:tcBorders>
              <w:top w:val="nil"/>
              <w:left w:val="nil"/>
              <w:bottom w:val="nil"/>
              <w:right w:val="nil"/>
            </w:tcBorders>
            <w:shd w:val="clear" w:color="auto" w:fill="auto"/>
            <w:noWrap/>
            <w:vAlign w:val="bottom"/>
            <w:hideMark/>
          </w:tcPr>
          <w:p w14:paraId="64C3ECD9"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w:t>
            </w:r>
          </w:p>
        </w:tc>
        <w:tc>
          <w:tcPr>
            <w:tcW w:w="1276" w:type="dxa"/>
            <w:tcBorders>
              <w:top w:val="nil"/>
              <w:left w:val="nil"/>
              <w:bottom w:val="nil"/>
              <w:right w:val="nil"/>
            </w:tcBorders>
            <w:shd w:val="clear" w:color="auto" w:fill="auto"/>
            <w:noWrap/>
            <w:vAlign w:val="bottom"/>
            <w:hideMark/>
          </w:tcPr>
          <w:p w14:paraId="4B622589"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0.5479</w:t>
            </w:r>
          </w:p>
        </w:tc>
      </w:tr>
      <w:tr w:rsidR="005E7B8F" w:rsidRPr="005E7B8F" w14:paraId="60303970" w14:textId="77777777" w:rsidTr="005E7B8F">
        <w:trPr>
          <w:trHeight w:val="320"/>
        </w:trPr>
        <w:tc>
          <w:tcPr>
            <w:tcW w:w="3402" w:type="dxa"/>
            <w:tcBorders>
              <w:top w:val="nil"/>
              <w:left w:val="nil"/>
              <w:bottom w:val="nil"/>
              <w:right w:val="nil"/>
            </w:tcBorders>
            <w:shd w:val="clear" w:color="auto" w:fill="auto"/>
            <w:noWrap/>
            <w:vAlign w:val="bottom"/>
            <w:hideMark/>
          </w:tcPr>
          <w:p w14:paraId="2BC27412" w14:textId="77777777" w:rsidR="005E7B8F" w:rsidRPr="005E7B8F" w:rsidRDefault="005E7B8F" w:rsidP="005E7B8F">
            <w:pPr>
              <w:rPr>
                <w:rFonts w:ascii="Times New Roman" w:eastAsia="Times New Roman" w:hAnsi="Times New Roman" w:cs="Times New Roman"/>
                <w:color w:val="000000"/>
              </w:rPr>
            </w:pP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Trial</w:t>
            </w:r>
          </w:p>
        </w:tc>
        <w:tc>
          <w:tcPr>
            <w:tcW w:w="1134" w:type="dxa"/>
            <w:tcBorders>
              <w:top w:val="nil"/>
              <w:left w:val="nil"/>
              <w:bottom w:val="nil"/>
              <w:right w:val="nil"/>
            </w:tcBorders>
            <w:shd w:val="clear" w:color="auto" w:fill="auto"/>
            <w:noWrap/>
            <w:vAlign w:val="bottom"/>
            <w:hideMark/>
          </w:tcPr>
          <w:p w14:paraId="5DEB8E5C"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1.433</w:t>
            </w:r>
          </w:p>
        </w:tc>
        <w:tc>
          <w:tcPr>
            <w:tcW w:w="709" w:type="dxa"/>
            <w:tcBorders>
              <w:top w:val="nil"/>
              <w:left w:val="nil"/>
              <w:bottom w:val="nil"/>
              <w:right w:val="nil"/>
            </w:tcBorders>
            <w:shd w:val="clear" w:color="auto" w:fill="auto"/>
            <w:noWrap/>
            <w:vAlign w:val="bottom"/>
            <w:hideMark/>
          </w:tcPr>
          <w:p w14:paraId="30C145A0"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w:t>
            </w:r>
          </w:p>
        </w:tc>
        <w:tc>
          <w:tcPr>
            <w:tcW w:w="1276" w:type="dxa"/>
            <w:tcBorders>
              <w:top w:val="nil"/>
              <w:left w:val="nil"/>
              <w:bottom w:val="nil"/>
              <w:right w:val="nil"/>
            </w:tcBorders>
            <w:shd w:val="clear" w:color="auto" w:fill="auto"/>
            <w:noWrap/>
            <w:vAlign w:val="bottom"/>
            <w:hideMark/>
          </w:tcPr>
          <w:p w14:paraId="0198DBAD"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0.6978</w:t>
            </w:r>
          </w:p>
        </w:tc>
      </w:tr>
      <w:tr w:rsidR="005E7B8F" w:rsidRPr="005E7B8F" w14:paraId="30ABF03D" w14:textId="77777777" w:rsidTr="005E7B8F">
        <w:trPr>
          <w:trHeight w:val="320"/>
        </w:trPr>
        <w:tc>
          <w:tcPr>
            <w:tcW w:w="3402" w:type="dxa"/>
            <w:tcBorders>
              <w:top w:val="nil"/>
              <w:left w:val="nil"/>
              <w:bottom w:val="nil"/>
              <w:right w:val="nil"/>
            </w:tcBorders>
            <w:shd w:val="clear" w:color="auto" w:fill="auto"/>
            <w:noWrap/>
            <w:vAlign w:val="bottom"/>
            <w:hideMark/>
          </w:tcPr>
          <w:p w14:paraId="3518635E"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Temp</w:t>
            </w:r>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Trial</w:t>
            </w:r>
          </w:p>
        </w:tc>
        <w:tc>
          <w:tcPr>
            <w:tcW w:w="1134" w:type="dxa"/>
            <w:tcBorders>
              <w:top w:val="nil"/>
              <w:left w:val="nil"/>
              <w:bottom w:val="nil"/>
              <w:right w:val="nil"/>
            </w:tcBorders>
            <w:shd w:val="clear" w:color="auto" w:fill="auto"/>
            <w:noWrap/>
            <w:vAlign w:val="bottom"/>
            <w:hideMark/>
          </w:tcPr>
          <w:p w14:paraId="03A8DEC0"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1.900</w:t>
            </w:r>
          </w:p>
        </w:tc>
        <w:tc>
          <w:tcPr>
            <w:tcW w:w="709" w:type="dxa"/>
            <w:tcBorders>
              <w:top w:val="nil"/>
              <w:left w:val="nil"/>
              <w:bottom w:val="nil"/>
              <w:right w:val="nil"/>
            </w:tcBorders>
            <w:shd w:val="clear" w:color="auto" w:fill="auto"/>
            <w:noWrap/>
            <w:vAlign w:val="bottom"/>
            <w:hideMark/>
          </w:tcPr>
          <w:p w14:paraId="007617D0"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w:t>
            </w:r>
          </w:p>
        </w:tc>
        <w:tc>
          <w:tcPr>
            <w:tcW w:w="1276" w:type="dxa"/>
            <w:tcBorders>
              <w:top w:val="nil"/>
              <w:left w:val="nil"/>
              <w:bottom w:val="nil"/>
              <w:right w:val="nil"/>
            </w:tcBorders>
            <w:shd w:val="clear" w:color="auto" w:fill="auto"/>
            <w:noWrap/>
            <w:vAlign w:val="bottom"/>
            <w:hideMark/>
          </w:tcPr>
          <w:p w14:paraId="4D7C328B"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0.5934</w:t>
            </w:r>
          </w:p>
        </w:tc>
      </w:tr>
      <w:tr w:rsidR="005E7B8F" w:rsidRPr="005E7B8F" w14:paraId="2D547B3C" w14:textId="77777777" w:rsidTr="005E7B8F">
        <w:trPr>
          <w:trHeight w:val="320"/>
        </w:trPr>
        <w:tc>
          <w:tcPr>
            <w:tcW w:w="3402" w:type="dxa"/>
            <w:tcBorders>
              <w:top w:val="nil"/>
              <w:left w:val="nil"/>
              <w:bottom w:val="nil"/>
              <w:right w:val="nil"/>
            </w:tcBorders>
            <w:shd w:val="clear" w:color="auto" w:fill="auto"/>
            <w:noWrap/>
            <w:vAlign w:val="bottom"/>
            <w:hideMark/>
          </w:tcPr>
          <w:p w14:paraId="4F2C2F1F"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Size class</w:t>
            </w:r>
            <w:r w:rsidRPr="005E7B8F">
              <w:rPr>
                <w:rFonts w:ascii="Times New Roman" w:eastAsia="Times New Roman" w:hAnsi="Times New Roman" w:cs="Times New Roman"/>
                <w:color w:val="000000"/>
              </w:rPr>
              <w:sym w:font="Symbol" w:char="F0B4"/>
            </w: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p>
        </w:tc>
        <w:tc>
          <w:tcPr>
            <w:tcW w:w="1134" w:type="dxa"/>
            <w:tcBorders>
              <w:top w:val="nil"/>
              <w:left w:val="nil"/>
              <w:bottom w:val="nil"/>
              <w:right w:val="nil"/>
            </w:tcBorders>
            <w:shd w:val="clear" w:color="auto" w:fill="auto"/>
            <w:noWrap/>
            <w:vAlign w:val="bottom"/>
            <w:hideMark/>
          </w:tcPr>
          <w:p w14:paraId="6D18A5B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&lt;0.001</w:t>
            </w:r>
          </w:p>
        </w:tc>
        <w:tc>
          <w:tcPr>
            <w:tcW w:w="709" w:type="dxa"/>
            <w:tcBorders>
              <w:top w:val="nil"/>
              <w:left w:val="nil"/>
              <w:bottom w:val="nil"/>
              <w:right w:val="nil"/>
            </w:tcBorders>
            <w:shd w:val="clear" w:color="auto" w:fill="auto"/>
            <w:noWrap/>
            <w:vAlign w:val="bottom"/>
            <w:hideMark/>
          </w:tcPr>
          <w:p w14:paraId="659ADF3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276" w:type="dxa"/>
            <w:tcBorders>
              <w:top w:val="nil"/>
              <w:left w:val="nil"/>
              <w:bottom w:val="nil"/>
              <w:right w:val="nil"/>
            </w:tcBorders>
            <w:shd w:val="clear" w:color="auto" w:fill="auto"/>
            <w:noWrap/>
            <w:vAlign w:val="bottom"/>
            <w:hideMark/>
          </w:tcPr>
          <w:p w14:paraId="0172D4A5"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&gt;0.9999</w:t>
            </w:r>
          </w:p>
        </w:tc>
      </w:tr>
      <w:tr w:rsidR="005E7B8F" w:rsidRPr="005E7B8F" w14:paraId="60254CDE" w14:textId="77777777" w:rsidTr="005E7B8F">
        <w:trPr>
          <w:trHeight w:val="320"/>
        </w:trPr>
        <w:tc>
          <w:tcPr>
            <w:tcW w:w="3402" w:type="dxa"/>
            <w:tcBorders>
              <w:top w:val="nil"/>
              <w:left w:val="nil"/>
              <w:bottom w:val="nil"/>
              <w:right w:val="nil"/>
            </w:tcBorders>
            <w:shd w:val="clear" w:color="auto" w:fill="auto"/>
            <w:noWrap/>
            <w:vAlign w:val="bottom"/>
            <w:hideMark/>
          </w:tcPr>
          <w:p w14:paraId="1D08769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Size class</w:t>
            </w:r>
            <w:r w:rsidRPr="005E7B8F">
              <w:rPr>
                <w:rFonts w:ascii="Times New Roman" w:eastAsia="Times New Roman" w:hAnsi="Times New Roman" w:cs="Times New Roman"/>
                <w:color w:val="000000"/>
              </w:rPr>
              <w:sym w:font="Symbol" w:char="F0B4"/>
            </w: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Trial</w:t>
            </w:r>
          </w:p>
        </w:tc>
        <w:tc>
          <w:tcPr>
            <w:tcW w:w="1134" w:type="dxa"/>
            <w:tcBorders>
              <w:top w:val="nil"/>
              <w:left w:val="nil"/>
              <w:bottom w:val="nil"/>
              <w:right w:val="nil"/>
            </w:tcBorders>
            <w:shd w:val="clear" w:color="auto" w:fill="auto"/>
            <w:noWrap/>
            <w:vAlign w:val="bottom"/>
            <w:hideMark/>
          </w:tcPr>
          <w:p w14:paraId="68BAD410"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2.658</w:t>
            </w:r>
          </w:p>
        </w:tc>
        <w:tc>
          <w:tcPr>
            <w:tcW w:w="709" w:type="dxa"/>
            <w:tcBorders>
              <w:top w:val="nil"/>
              <w:left w:val="nil"/>
              <w:bottom w:val="nil"/>
              <w:right w:val="nil"/>
            </w:tcBorders>
            <w:shd w:val="clear" w:color="auto" w:fill="auto"/>
            <w:noWrap/>
            <w:vAlign w:val="bottom"/>
            <w:hideMark/>
          </w:tcPr>
          <w:p w14:paraId="62665166"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w:t>
            </w:r>
          </w:p>
        </w:tc>
        <w:tc>
          <w:tcPr>
            <w:tcW w:w="1276" w:type="dxa"/>
            <w:tcBorders>
              <w:top w:val="nil"/>
              <w:left w:val="nil"/>
              <w:bottom w:val="nil"/>
              <w:right w:val="nil"/>
            </w:tcBorders>
            <w:shd w:val="clear" w:color="auto" w:fill="auto"/>
            <w:noWrap/>
            <w:vAlign w:val="bottom"/>
            <w:hideMark/>
          </w:tcPr>
          <w:p w14:paraId="0A4DA7A6"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0.4474</w:t>
            </w:r>
          </w:p>
        </w:tc>
      </w:tr>
      <w:tr w:rsidR="005E7B8F" w:rsidRPr="005E7B8F" w14:paraId="58FB1692" w14:textId="77777777" w:rsidTr="005E7B8F">
        <w:trPr>
          <w:trHeight w:val="320"/>
        </w:trPr>
        <w:tc>
          <w:tcPr>
            <w:tcW w:w="3402" w:type="dxa"/>
            <w:tcBorders>
              <w:top w:val="nil"/>
              <w:left w:val="nil"/>
              <w:bottom w:val="nil"/>
              <w:right w:val="nil"/>
            </w:tcBorders>
            <w:shd w:val="clear" w:color="auto" w:fill="auto"/>
            <w:noWrap/>
            <w:vAlign w:val="bottom"/>
            <w:hideMark/>
          </w:tcPr>
          <w:p w14:paraId="1202B805"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Size class</w:t>
            </w:r>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Trial</w:t>
            </w:r>
          </w:p>
        </w:tc>
        <w:tc>
          <w:tcPr>
            <w:tcW w:w="1134" w:type="dxa"/>
            <w:tcBorders>
              <w:top w:val="nil"/>
              <w:left w:val="nil"/>
              <w:bottom w:val="nil"/>
              <w:right w:val="nil"/>
            </w:tcBorders>
            <w:shd w:val="clear" w:color="auto" w:fill="auto"/>
            <w:noWrap/>
            <w:vAlign w:val="bottom"/>
            <w:hideMark/>
          </w:tcPr>
          <w:p w14:paraId="0D5A435A"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&lt;0.001</w:t>
            </w:r>
          </w:p>
        </w:tc>
        <w:tc>
          <w:tcPr>
            <w:tcW w:w="709" w:type="dxa"/>
            <w:tcBorders>
              <w:top w:val="nil"/>
              <w:left w:val="nil"/>
              <w:bottom w:val="nil"/>
              <w:right w:val="nil"/>
            </w:tcBorders>
            <w:shd w:val="clear" w:color="auto" w:fill="auto"/>
            <w:noWrap/>
            <w:vAlign w:val="bottom"/>
            <w:hideMark/>
          </w:tcPr>
          <w:p w14:paraId="5AD69BA0"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w:t>
            </w:r>
          </w:p>
        </w:tc>
        <w:tc>
          <w:tcPr>
            <w:tcW w:w="1276" w:type="dxa"/>
            <w:tcBorders>
              <w:top w:val="nil"/>
              <w:left w:val="nil"/>
              <w:bottom w:val="nil"/>
              <w:right w:val="nil"/>
            </w:tcBorders>
            <w:shd w:val="clear" w:color="auto" w:fill="auto"/>
            <w:noWrap/>
            <w:vAlign w:val="bottom"/>
            <w:hideMark/>
          </w:tcPr>
          <w:p w14:paraId="761D3159"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&gt;0.9999</w:t>
            </w:r>
          </w:p>
        </w:tc>
      </w:tr>
      <w:tr w:rsidR="005E7B8F" w:rsidRPr="005E7B8F" w14:paraId="3C38EEC3" w14:textId="77777777" w:rsidTr="005E7B8F">
        <w:trPr>
          <w:trHeight w:val="320"/>
        </w:trPr>
        <w:tc>
          <w:tcPr>
            <w:tcW w:w="3402" w:type="dxa"/>
            <w:tcBorders>
              <w:top w:val="nil"/>
              <w:left w:val="nil"/>
              <w:bottom w:val="nil"/>
              <w:right w:val="nil"/>
            </w:tcBorders>
            <w:shd w:val="clear" w:color="auto" w:fill="auto"/>
            <w:noWrap/>
            <w:vAlign w:val="bottom"/>
            <w:hideMark/>
          </w:tcPr>
          <w:p w14:paraId="339DC6F7" w14:textId="77777777" w:rsidR="005E7B8F" w:rsidRPr="005E7B8F" w:rsidRDefault="005E7B8F" w:rsidP="005E7B8F">
            <w:pPr>
              <w:rPr>
                <w:rFonts w:ascii="Times New Roman" w:eastAsia="Times New Roman" w:hAnsi="Times New Roman" w:cs="Times New Roman"/>
                <w:color w:val="000000"/>
              </w:rPr>
            </w:pP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Trial</w:t>
            </w:r>
          </w:p>
        </w:tc>
        <w:tc>
          <w:tcPr>
            <w:tcW w:w="1134" w:type="dxa"/>
            <w:tcBorders>
              <w:top w:val="nil"/>
              <w:left w:val="nil"/>
              <w:bottom w:val="nil"/>
              <w:right w:val="nil"/>
            </w:tcBorders>
            <w:shd w:val="clear" w:color="auto" w:fill="auto"/>
            <w:noWrap/>
            <w:vAlign w:val="bottom"/>
            <w:hideMark/>
          </w:tcPr>
          <w:p w14:paraId="46E6C919"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&lt;0.001</w:t>
            </w:r>
          </w:p>
        </w:tc>
        <w:tc>
          <w:tcPr>
            <w:tcW w:w="709" w:type="dxa"/>
            <w:tcBorders>
              <w:top w:val="nil"/>
              <w:left w:val="nil"/>
              <w:bottom w:val="nil"/>
              <w:right w:val="nil"/>
            </w:tcBorders>
            <w:shd w:val="clear" w:color="auto" w:fill="auto"/>
            <w:noWrap/>
            <w:vAlign w:val="bottom"/>
            <w:hideMark/>
          </w:tcPr>
          <w:p w14:paraId="1EBD95F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w:t>
            </w:r>
          </w:p>
        </w:tc>
        <w:tc>
          <w:tcPr>
            <w:tcW w:w="1276" w:type="dxa"/>
            <w:tcBorders>
              <w:top w:val="nil"/>
              <w:left w:val="nil"/>
              <w:bottom w:val="nil"/>
              <w:right w:val="nil"/>
            </w:tcBorders>
            <w:shd w:val="clear" w:color="auto" w:fill="auto"/>
            <w:noWrap/>
            <w:vAlign w:val="bottom"/>
            <w:hideMark/>
          </w:tcPr>
          <w:p w14:paraId="6A2F861D"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&gt;0.9999</w:t>
            </w:r>
          </w:p>
        </w:tc>
      </w:tr>
      <w:tr w:rsidR="005E7B8F" w:rsidRPr="005E7B8F" w14:paraId="7F02C5CE" w14:textId="77777777" w:rsidTr="005E7B8F">
        <w:trPr>
          <w:trHeight w:val="320"/>
        </w:trPr>
        <w:tc>
          <w:tcPr>
            <w:tcW w:w="3402" w:type="dxa"/>
            <w:tcBorders>
              <w:top w:val="nil"/>
              <w:left w:val="nil"/>
              <w:bottom w:val="single" w:sz="4" w:space="0" w:color="auto"/>
              <w:right w:val="nil"/>
            </w:tcBorders>
            <w:shd w:val="clear" w:color="auto" w:fill="auto"/>
            <w:noWrap/>
            <w:vAlign w:val="bottom"/>
            <w:hideMark/>
          </w:tcPr>
          <w:p w14:paraId="6F2C7BB7"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Size class</w:t>
            </w:r>
            <w:r w:rsidRPr="005E7B8F">
              <w:rPr>
                <w:rFonts w:ascii="Times New Roman" w:eastAsia="Times New Roman" w:hAnsi="Times New Roman" w:cs="Times New Roman"/>
                <w:color w:val="000000"/>
              </w:rPr>
              <w:sym w:font="Symbol" w:char="F0B4"/>
            </w: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Trial</w:t>
            </w:r>
          </w:p>
        </w:tc>
        <w:tc>
          <w:tcPr>
            <w:tcW w:w="1134" w:type="dxa"/>
            <w:tcBorders>
              <w:top w:val="nil"/>
              <w:left w:val="nil"/>
              <w:bottom w:val="single" w:sz="4" w:space="0" w:color="auto"/>
              <w:right w:val="nil"/>
            </w:tcBorders>
            <w:shd w:val="clear" w:color="auto" w:fill="auto"/>
            <w:noWrap/>
            <w:vAlign w:val="bottom"/>
            <w:hideMark/>
          </w:tcPr>
          <w:p w14:paraId="18930342"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&lt;0.001</w:t>
            </w:r>
          </w:p>
        </w:tc>
        <w:tc>
          <w:tcPr>
            <w:tcW w:w="709" w:type="dxa"/>
            <w:tcBorders>
              <w:top w:val="nil"/>
              <w:left w:val="nil"/>
              <w:bottom w:val="single" w:sz="4" w:space="0" w:color="auto"/>
              <w:right w:val="nil"/>
            </w:tcBorders>
            <w:shd w:val="clear" w:color="auto" w:fill="auto"/>
            <w:noWrap/>
            <w:vAlign w:val="bottom"/>
            <w:hideMark/>
          </w:tcPr>
          <w:p w14:paraId="5AF0C47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w:t>
            </w:r>
          </w:p>
        </w:tc>
        <w:tc>
          <w:tcPr>
            <w:tcW w:w="1276" w:type="dxa"/>
            <w:tcBorders>
              <w:top w:val="nil"/>
              <w:left w:val="nil"/>
              <w:bottom w:val="single" w:sz="4" w:space="0" w:color="auto"/>
              <w:right w:val="nil"/>
            </w:tcBorders>
            <w:shd w:val="clear" w:color="auto" w:fill="auto"/>
            <w:noWrap/>
            <w:vAlign w:val="bottom"/>
            <w:hideMark/>
          </w:tcPr>
          <w:p w14:paraId="61AE83CA"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&gt;0.9999</w:t>
            </w:r>
          </w:p>
        </w:tc>
      </w:tr>
    </w:tbl>
    <w:p w14:paraId="286B5F7B" w14:textId="77777777" w:rsidR="005E7B8F" w:rsidRPr="005E7B8F" w:rsidRDefault="005E7B8F" w:rsidP="005E7B8F">
      <w:pPr>
        <w:suppressLineNumbers/>
        <w:rPr>
          <w:rFonts w:ascii="Times New Roman" w:eastAsia="Times New Roman" w:hAnsi="Times New Roman" w:cs="Times New Roman"/>
        </w:rPr>
      </w:pPr>
    </w:p>
    <w:p w14:paraId="3A3ABE09" w14:textId="77777777" w:rsidR="005E7B8F" w:rsidRPr="005E7B8F" w:rsidRDefault="005E7B8F" w:rsidP="005E7B8F">
      <w:pPr>
        <w:suppressLineNumbers/>
        <w:rPr>
          <w:rFonts w:ascii="Times New Roman" w:eastAsia="Times New Roman" w:hAnsi="Times New Roman" w:cs="Times New Roman"/>
        </w:rPr>
      </w:pPr>
    </w:p>
    <w:p w14:paraId="130E8C94" w14:textId="7A993CA0" w:rsidR="00297411" w:rsidRDefault="00297411" w:rsidP="00CB37EB">
      <w:pPr>
        <w:suppressLineNumbers/>
        <w:rPr>
          <w:rFonts w:ascii="Times New Roman" w:hAnsi="Times New Roman" w:cs="Times New Roman"/>
          <w:lang w:val="en-US"/>
        </w:rPr>
      </w:pPr>
    </w:p>
    <w:sectPr w:rsidR="00297411" w:rsidSect="005E7B8F">
      <w:pgSz w:w="12240" w:h="15840"/>
      <w:pgMar w:top="1440" w:right="1440" w:bottom="1440"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BDF6F0" w14:textId="77777777" w:rsidR="00804AA6" w:rsidRDefault="00804AA6">
      <w:r>
        <w:separator/>
      </w:r>
    </w:p>
  </w:endnote>
  <w:endnote w:type="continuationSeparator" w:id="0">
    <w:p w14:paraId="5746ABBA" w14:textId="77777777" w:rsidR="00804AA6" w:rsidRDefault="00804A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omega">
    <w:altName w:val="Cambria"/>
    <w:panose1 w:val="020B0604020202020204"/>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215F82" w14:textId="77777777" w:rsidR="00804AA6" w:rsidRDefault="00804AA6">
      <w:r>
        <w:separator/>
      </w:r>
    </w:p>
  </w:footnote>
  <w:footnote w:type="continuationSeparator" w:id="0">
    <w:p w14:paraId="59484078" w14:textId="77777777" w:rsidR="00804AA6" w:rsidRDefault="00804A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82648CD"/>
    <w:multiLevelType w:val="hybridMultilevel"/>
    <w:tmpl w:val="11A6933C"/>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15:restartNumberingAfterBreak="0">
    <w:nsid w:val="775B2B43"/>
    <w:multiLevelType w:val="hybridMultilevel"/>
    <w:tmpl w:val="207A472C"/>
    <w:lvl w:ilvl="0" w:tplc="9970F3F8">
      <w:start w:val="4"/>
      <w:numFmt w:val="bullet"/>
      <w:lvlText w:val="-"/>
      <w:lvlJc w:val="left"/>
      <w:pPr>
        <w:ind w:left="720" w:hanging="360"/>
      </w:pPr>
      <w:rPr>
        <w:rFonts w:ascii="Calibri" w:eastAsiaTheme="minorHAns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EF3"/>
    <w:rsid w:val="000036D4"/>
    <w:rsid w:val="000610F9"/>
    <w:rsid w:val="00083497"/>
    <w:rsid w:val="0009615B"/>
    <w:rsid w:val="000E3685"/>
    <w:rsid w:val="0012597F"/>
    <w:rsid w:val="0013769C"/>
    <w:rsid w:val="00144FCB"/>
    <w:rsid w:val="00147E8F"/>
    <w:rsid w:val="00164F7F"/>
    <w:rsid w:val="00172D54"/>
    <w:rsid w:val="00181773"/>
    <w:rsid w:val="00181F84"/>
    <w:rsid w:val="001947AD"/>
    <w:rsid w:val="001D2C8D"/>
    <w:rsid w:val="001E3033"/>
    <w:rsid w:val="001E4F05"/>
    <w:rsid w:val="0020535E"/>
    <w:rsid w:val="00211F64"/>
    <w:rsid w:val="00231DAC"/>
    <w:rsid w:val="00234659"/>
    <w:rsid w:val="0024646E"/>
    <w:rsid w:val="00247EF3"/>
    <w:rsid w:val="002531FE"/>
    <w:rsid w:val="00276F61"/>
    <w:rsid w:val="00297411"/>
    <w:rsid w:val="002C6403"/>
    <w:rsid w:val="002E6BF4"/>
    <w:rsid w:val="002E7536"/>
    <w:rsid w:val="002F2030"/>
    <w:rsid w:val="00307C03"/>
    <w:rsid w:val="003123C7"/>
    <w:rsid w:val="003172BC"/>
    <w:rsid w:val="0032682C"/>
    <w:rsid w:val="003422F1"/>
    <w:rsid w:val="00342E6D"/>
    <w:rsid w:val="003559B9"/>
    <w:rsid w:val="003828E4"/>
    <w:rsid w:val="00433CE1"/>
    <w:rsid w:val="00451814"/>
    <w:rsid w:val="00460D24"/>
    <w:rsid w:val="0046616A"/>
    <w:rsid w:val="00467778"/>
    <w:rsid w:val="004854DD"/>
    <w:rsid w:val="004F04C1"/>
    <w:rsid w:val="004F591B"/>
    <w:rsid w:val="00505A6F"/>
    <w:rsid w:val="00523509"/>
    <w:rsid w:val="00532355"/>
    <w:rsid w:val="00550C32"/>
    <w:rsid w:val="005545B2"/>
    <w:rsid w:val="005D2F51"/>
    <w:rsid w:val="005D39B5"/>
    <w:rsid w:val="005E7B8F"/>
    <w:rsid w:val="005F273E"/>
    <w:rsid w:val="005F43B9"/>
    <w:rsid w:val="00643C95"/>
    <w:rsid w:val="00651651"/>
    <w:rsid w:val="00677D68"/>
    <w:rsid w:val="006828B4"/>
    <w:rsid w:val="006A2314"/>
    <w:rsid w:val="006B5000"/>
    <w:rsid w:val="006C088B"/>
    <w:rsid w:val="006D4E91"/>
    <w:rsid w:val="006D521F"/>
    <w:rsid w:val="006D7267"/>
    <w:rsid w:val="006F49A5"/>
    <w:rsid w:val="00712930"/>
    <w:rsid w:val="0074433C"/>
    <w:rsid w:val="00766548"/>
    <w:rsid w:val="00772904"/>
    <w:rsid w:val="00785240"/>
    <w:rsid w:val="0078579A"/>
    <w:rsid w:val="007D6324"/>
    <w:rsid w:val="007E68BE"/>
    <w:rsid w:val="00804AA6"/>
    <w:rsid w:val="0081343C"/>
    <w:rsid w:val="0086779C"/>
    <w:rsid w:val="008A3DF2"/>
    <w:rsid w:val="008A468D"/>
    <w:rsid w:val="008C3DDA"/>
    <w:rsid w:val="008F2287"/>
    <w:rsid w:val="0090609E"/>
    <w:rsid w:val="00914A8A"/>
    <w:rsid w:val="00922D9F"/>
    <w:rsid w:val="00931A1F"/>
    <w:rsid w:val="00943795"/>
    <w:rsid w:val="009524D0"/>
    <w:rsid w:val="00953459"/>
    <w:rsid w:val="00955DEC"/>
    <w:rsid w:val="009564C6"/>
    <w:rsid w:val="00967B72"/>
    <w:rsid w:val="00983D3A"/>
    <w:rsid w:val="00994430"/>
    <w:rsid w:val="009B1678"/>
    <w:rsid w:val="009B5CC1"/>
    <w:rsid w:val="009C58CF"/>
    <w:rsid w:val="009D5518"/>
    <w:rsid w:val="009D77DE"/>
    <w:rsid w:val="009E364E"/>
    <w:rsid w:val="009E3983"/>
    <w:rsid w:val="00A03306"/>
    <w:rsid w:val="00A10CF3"/>
    <w:rsid w:val="00A124FA"/>
    <w:rsid w:val="00A4687C"/>
    <w:rsid w:val="00A52C91"/>
    <w:rsid w:val="00A674BF"/>
    <w:rsid w:val="00A855DA"/>
    <w:rsid w:val="00A949F3"/>
    <w:rsid w:val="00A95340"/>
    <w:rsid w:val="00AA0107"/>
    <w:rsid w:val="00AD0739"/>
    <w:rsid w:val="00AD6121"/>
    <w:rsid w:val="00AD6E2F"/>
    <w:rsid w:val="00AD7E9C"/>
    <w:rsid w:val="00AF2A3F"/>
    <w:rsid w:val="00B15818"/>
    <w:rsid w:val="00B251F4"/>
    <w:rsid w:val="00B35670"/>
    <w:rsid w:val="00B4585F"/>
    <w:rsid w:val="00B758F0"/>
    <w:rsid w:val="00B8664C"/>
    <w:rsid w:val="00B97BC4"/>
    <w:rsid w:val="00BB11DD"/>
    <w:rsid w:val="00BB2885"/>
    <w:rsid w:val="00BB678D"/>
    <w:rsid w:val="00BC7C05"/>
    <w:rsid w:val="00BD281D"/>
    <w:rsid w:val="00BD2DFF"/>
    <w:rsid w:val="00BD5020"/>
    <w:rsid w:val="00BF2836"/>
    <w:rsid w:val="00BF6D29"/>
    <w:rsid w:val="00C04571"/>
    <w:rsid w:val="00C0496A"/>
    <w:rsid w:val="00C13F68"/>
    <w:rsid w:val="00C5032C"/>
    <w:rsid w:val="00C539BF"/>
    <w:rsid w:val="00C9103E"/>
    <w:rsid w:val="00C96A6A"/>
    <w:rsid w:val="00C9759B"/>
    <w:rsid w:val="00CA3DCD"/>
    <w:rsid w:val="00CB0518"/>
    <w:rsid w:val="00CB37EB"/>
    <w:rsid w:val="00CB6E3C"/>
    <w:rsid w:val="00CD6740"/>
    <w:rsid w:val="00CE45A0"/>
    <w:rsid w:val="00CF013F"/>
    <w:rsid w:val="00D148F1"/>
    <w:rsid w:val="00D47FEB"/>
    <w:rsid w:val="00D73275"/>
    <w:rsid w:val="00DA0B3C"/>
    <w:rsid w:val="00DB7844"/>
    <w:rsid w:val="00DC52A9"/>
    <w:rsid w:val="00DD6FF8"/>
    <w:rsid w:val="00DF2828"/>
    <w:rsid w:val="00E04275"/>
    <w:rsid w:val="00E57302"/>
    <w:rsid w:val="00E60B43"/>
    <w:rsid w:val="00E90BCE"/>
    <w:rsid w:val="00E9586A"/>
    <w:rsid w:val="00EE49BF"/>
    <w:rsid w:val="00EF3248"/>
    <w:rsid w:val="00EF579F"/>
    <w:rsid w:val="00EF7D57"/>
    <w:rsid w:val="00F04035"/>
    <w:rsid w:val="00F109D2"/>
    <w:rsid w:val="00F24185"/>
    <w:rsid w:val="00F516C4"/>
    <w:rsid w:val="00F54FB4"/>
    <w:rsid w:val="00F91A8E"/>
    <w:rsid w:val="00F91D36"/>
    <w:rsid w:val="00FC3DE4"/>
    <w:rsid w:val="00FD1648"/>
    <w:rsid w:val="00FF716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4ECFA416"/>
  <w15:chartTrackingRefBased/>
  <w15:docId w15:val="{90AA1E2F-3C50-8D4D-89C9-A272DBEDE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7EF3"/>
  </w:style>
  <w:style w:type="paragraph" w:styleId="Heading1">
    <w:name w:val="heading 1"/>
    <w:basedOn w:val="Normal"/>
    <w:link w:val="Heading1Char"/>
    <w:uiPriority w:val="9"/>
    <w:qFormat/>
    <w:rsid w:val="00247EF3"/>
    <w:pPr>
      <w:spacing w:before="100" w:beforeAutospacing="1" w:after="100" w:afterAutospacing="1"/>
      <w:outlineLvl w:val="0"/>
    </w:pPr>
    <w:rPr>
      <w:rFonts w:ascii="Times New Roman" w:eastAsia="Times New Roman" w:hAnsi="Times New Roman" w:cs="Times New Roman"/>
      <w:b/>
      <w:bCs/>
      <w:kern w:val="36"/>
      <w:sz w:val="48"/>
      <w:szCs w:val="48"/>
      <w:lang w:val="sv-SE" w:eastAsia="sv-S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47EF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47EF3"/>
    <w:rPr>
      <w:rFonts w:ascii="Times New Roman" w:hAnsi="Times New Roman" w:cs="Times New Roman"/>
      <w:sz w:val="18"/>
      <w:szCs w:val="18"/>
    </w:rPr>
  </w:style>
  <w:style w:type="character" w:customStyle="1" w:styleId="Heading1Char">
    <w:name w:val="Heading 1 Char"/>
    <w:basedOn w:val="DefaultParagraphFont"/>
    <w:link w:val="Heading1"/>
    <w:uiPriority w:val="9"/>
    <w:rsid w:val="00247EF3"/>
    <w:rPr>
      <w:rFonts w:ascii="Times New Roman" w:eastAsia="Times New Roman" w:hAnsi="Times New Roman" w:cs="Times New Roman"/>
      <w:b/>
      <w:bCs/>
      <w:kern w:val="36"/>
      <w:sz w:val="48"/>
      <w:szCs w:val="48"/>
      <w:lang w:val="sv-SE" w:eastAsia="sv-SE"/>
    </w:rPr>
  </w:style>
  <w:style w:type="character" w:styleId="Hyperlink">
    <w:name w:val="Hyperlink"/>
    <w:basedOn w:val="DefaultParagraphFont"/>
    <w:uiPriority w:val="99"/>
    <w:unhideWhenUsed/>
    <w:rsid w:val="00247EF3"/>
    <w:rPr>
      <w:color w:val="0563C1" w:themeColor="hyperlink"/>
      <w:u w:val="single"/>
    </w:rPr>
  </w:style>
  <w:style w:type="paragraph" w:styleId="Footer">
    <w:name w:val="footer"/>
    <w:basedOn w:val="Normal"/>
    <w:link w:val="FooterChar"/>
    <w:uiPriority w:val="99"/>
    <w:unhideWhenUsed/>
    <w:rsid w:val="00247EF3"/>
    <w:pPr>
      <w:tabs>
        <w:tab w:val="center" w:pos="4680"/>
        <w:tab w:val="right" w:pos="9360"/>
      </w:tabs>
    </w:pPr>
  </w:style>
  <w:style w:type="character" w:customStyle="1" w:styleId="FooterChar">
    <w:name w:val="Footer Char"/>
    <w:basedOn w:val="DefaultParagraphFont"/>
    <w:link w:val="Footer"/>
    <w:uiPriority w:val="99"/>
    <w:rsid w:val="00247EF3"/>
  </w:style>
  <w:style w:type="character" w:styleId="PageNumber">
    <w:name w:val="page number"/>
    <w:basedOn w:val="DefaultParagraphFont"/>
    <w:uiPriority w:val="99"/>
    <w:semiHidden/>
    <w:unhideWhenUsed/>
    <w:rsid w:val="00247EF3"/>
  </w:style>
  <w:style w:type="character" w:styleId="CommentReference">
    <w:name w:val="annotation reference"/>
    <w:basedOn w:val="DefaultParagraphFont"/>
    <w:uiPriority w:val="99"/>
    <w:semiHidden/>
    <w:unhideWhenUsed/>
    <w:rsid w:val="00247EF3"/>
    <w:rPr>
      <w:sz w:val="16"/>
      <w:szCs w:val="16"/>
    </w:rPr>
  </w:style>
  <w:style w:type="character" w:styleId="LineNumber">
    <w:name w:val="line number"/>
    <w:basedOn w:val="DefaultParagraphFont"/>
    <w:uiPriority w:val="99"/>
    <w:semiHidden/>
    <w:unhideWhenUsed/>
    <w:rsid w:val="00247EF3"/>
  </w:style>
  <w:style w:type="paragraph" w:styleId="Bibliography">
    <w:name w:val="Bibliography"/>
    <w:basedOn w:val="Normal"/>
    <w:next w:val="Normal"/>
    <w:uiPriority w:val="37"/>
    <w:unhideWhenUsed/>
    <w:rsid w:val="00247EF3"/>
    <w:pPr>
      <w:spacing w:after="240"/>
    </w:pPr>
  </w:style>
  <w:style w:type="paragraph" w:styleId="CommentText">
    <w:name w:val="annotation text"/>
    <w:basedOn w:val="Normal"/>
    <w:link w:val="CommentTextChar"/>
    <w:uiPriority w:val="99"/>
    <w:unhideWhenUsed/>
    <w:rsid w:val="00247EF3"/>
    <w:rPr>
      <w:sz w:val="20"/>
      <w:szCs w:val="20"/>
    </w:rPr>
  </w:style>
  <w:style w:type="character" w:customStyle="1" w:styleId="CommentTextChar">
    <w:name w:val="Comment Text Char"/>
    <w:basedOn w:val="DefaultParagraphFont"/>
    <w:link w:val="CommentText"/>
    <w:uiPriority w:val="99"/>
    <w:rsid w:val="00247EF3"/>
    <w:rPr>
      <w:sz w:val="20"/>
      <w:szCs w:val="20"/>
    </w:rPr>
  </w:style>
  <w:style w:type="paragraph" w:styleId="CommentSubject">
    <w:name w:val="annotation subject"/>
    <w:basedOn w:val="CommentText"/>
    <w:next w:val="CommentText"/>
    <w:link w:val="CommentSubjectChar"/>
    <w:uiPriority w:val="99"/>
    <w:semiHidden/>
    <w:unhideWhenUsed/>
    <w:rsid w:val="00247EF3"/>
    <w:rPr>
      <w:b/>
      <w:bCs/>
    </w:rPr>
  </w:style>
  <w:style w:type="character" w:customStyle="1" w:styleId="CommentSubjectChar">
    <w:name w:val="Comment Subject Char"/>
    <w:basedOn w:val="CommentTextChar"/>
    <w:link w:val="CommentSubject"/>
    <w:uiPriority w:val="99"/>
    <w:semiHidden/>
    <w:rsid w:val="00247EF3"/>
    <w:rPr>
      <w:b/>
      <w:bCs/>
      <w:sz w:val="20"/>
      <w:szCs w:val="20"/>
    </w:rPr>
  </w:style>
  <w:style w:type="character" w:customStyle="1" w:styleId="nlmarticle-title">
    <w:name w:val="nlm_article-title"/>
    <w:basedOn w:val="DefaultParagraphFont"/>
    <w:rsid w:val="00247EF3"/>
  </w:style>
  <w:style w:type="paragraph" w:styleId="ListParagraph">
    <w:name w:val="List Paragraph"/>
    <w:basedOn w:val="Normal"/>
    <w:uiPriority w:val="34"/>
    <w:qFormat/>
    <w:rsid w:val="00247EF3"/>
    <w:pPr>
      <w:ind w:left="720"/>
      <w:contextualSpacing/>
    </w:pPr>
  </w:style>
  <w:style w:type="character" w:styleId="FollowedHyperlink">
    <w:name w:val="FollowedHyperlink"/>
    <w:basedOn w:val="DefaultParagraphFont"/>
    <w:uiPriority w:val="99"/>
    <w:semiHidden/>
    <w:unhideWhenUsed/>
    <w:rsid w:val="00247EF3"/>
    <w:rPr>
      <w:color w:val="954F72" w:themeColor="followedHyperlink"/>
      <w:u w:val="single"/>
    </w:rPr>
  </w:style>
  <w:style w:type="paragraph" w:styleId="Revision">
    <w:name w:val="Revision"/>
    <w:hidden/>
    <w:uiPriority w:val="99"/>
    <w:semiHidden/>
    <w:rsid w:val="00247EF3"/>
  </w:style>
  <w:style w:type="character" w:styleId="UnresolvedMention">
    <w:name w:val="Unresolved Mention"/>
    <w:basedOn w:val="DefaultParagraphFont"/>
    <w:uiPriority w:val="99"/>
    <w:semiHidden/>
    <w:unhideWhenUsed/>
    <w:rsid w:val="00247E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1323717">
      <w:bodyDiv w:val="1"/>
      <w:marLeft w:val="0"/>
      <w:marRight w:val="0"/>
      <w:marTop w:val="0"/>
      <w:marBottom w:val="0"/>
      <w:divBdr>
        <w:top w:val="none" w:sz="0" w:space="0" w:color="auto"/>
        <w:left w:val="none" w:sz="0" w:space="0" w:color="auto"/>
        <w:bottom w:val="none" w:sz="0" w:space="0" w:color="auto"/>
        <w:right w:val="none" w:sz="0" w:space="0" w:color="auto"/>
      </w:divBdr>
    </w:div>
    <w:div w:id="681202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efferycclements@gmail.com" TargetMode="External"/><Relationship Id="rId13" Type="http://schemas.openxmlformats.org/officeDocument/2006/relationships/image" Target="media/image4.jp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jeffery.clements@dfo-mpo.gc.ca" TargetMode="External"/><Relationship Id="rId12" Type="http://schemas.openxmlformats.org/officeDocument/2006/relationships/image" Target="media/image3.jp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image" Target="media/image6.jpeg"/><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www.weather.loven.gu.se/kristineberg/en/data.shtml" TargetMode="External"/><Relationship Id="rId14"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42</Pages>
  <Words>44257</Words>
  <Characters>252271</Characters>
  <Application>Microsoft Office Word</Application>
  <DocSecurity>0</DocSecurity>
  <Lines>2102</Lines>
  <Paragraphs>591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Clements</dc:creator>
  <cp:keywords/>
  <dc:description/>
  <cp:lastModifiedBy>Jeff Clements</cp:lastModifiedBy>
  <cp:revision>12</cp:revision>
  <dcterms:created xsi:type="dcterms:W3CDTF">2020-06-07T23:09:00Z</dcterms:created>
  <dcterms:modified xsi:type="dcterms:W3CDTF">2020-06-08T15:36:00Z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zotero-version="5.0.87"&gt;&lt;session id="5qWTn1yd"/&gt;&lt;style id="http://www.zotero.org/styles/behavioral-ecology" hasBibliography="1" bibliographyStyleHasBeenSet="1"/&gt;&lt;prefs&gt;&lt;pref name="fieldType" value="Field"/&gt;&lt;pref name="delayCitationU</vt:lpwstr>
  </property>
  <property fmtid="{D5CDD505-2E9C-101B-9397-08002B2CF9AE}" pid="3" name="ZOTERO_PREF_2">
    <vt:lpwstr>pdates" value="true"/&gt;&lt;pref name="dontAskDelayCitationUpdates" value="true"/&gt;&lt;/prefs&gt;&lt;/data&gt;</vt:lpwstr>
  </property>
</Properties>
</file>