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B385E" w14:textId="68FE99BB" w:rsidR="00E32D89" w:rsidRPr="00C327DA" w:rsidRDefault="00D24A94" w:rsidP="00E32D89">
      <w:pPr>
        <w:rPr>
          <w:rFonts w:ascii="Times New Roman" w:hAnsi="Times New Roman" w:cs="Times New Roman"/>
          <w:b/>
          <w:bCs/>
          <w:sz w:val="24"/>
          <w:szCs w:val="24"/>
        </w:rPr>
      </w:pPr>
      <w:bookmarkStart w:id="0" w:name="_Hlk41404589"/>
      <w:bookmarkStart w:id="1" w:name="_Hlk48044262"/>
      <w:r w:rsidRPr="00C327DA">
        <w:rPr>
          <w:rFonts w:ascii="Times New Roman" w:hAnsi="Times New Roman" w:cs="Times New Roman"/>
          <w:b/>
          <w:bCs/>
          <w:sz w:val="24"/>
          <w:szCs w:val="24"/>
        </w:rPr>
        <w:t xml:space="preserve">All together now: </w:t>
      </w:r>
      <w:r w:rsidR="00EF7124" w:rsidRPr="00C327DA">
        <w:rPr>
          <w:rFonts w:ascii="Times New Roman" w:hAnsi="Times New Roman" w:cs="Times New Roman"/>
          <w:b/>
          <w:bCs/>
          <w:sz w:val="24"/>
          <w:szCs w:val="24"/>
        </w:rPr>
        <w:t>Limitations</w:t>
      </w:r>
      <w:r w:rsidR="00E32D89" w:rsidRPr="00C327DA">
        <w:rPr>
          <w:rFonts w:ascii="Times New Roman" w:hAnsi="Times New Roman" w:cs="Times New Roman"/>
          <w:b/>
          <w:bCs/>
          <w:sz w:val="24"/>
          <w:szCs w:val="24"/>
        </w:rPr>
        <w:t xml:space="preserve"> and recommendations for the</w:t>
      </w:r>
      <w:r w:rsidR="00EF7124" w:rsidRPr="00C327DA">
        <w:rPr>
          <w:rFonts w:ascii="Times New Roman" w:hAnsi="Times New Roman" w:cs="Times New Roman"/>
          <w:b/>
          <w:bCs/>
          <w:sz w:val="24"/>
          <w:szCs w:val="24"/>
        </w:rPr>
        <w:t xml:space="preserve"> simultaneous</w:t>
      </w:r>
      <w:r w:rsidR="00E32D89" w:rsidRPr="00C327DA">
        <w:rPr>
          <w:rFonts w:ascii="Times New Roman" w:hAnsi="Times New Roman" w:cs="Times New Roman"/>
          <w:b/>
          <w:bCs/>
          <w:sz w:val="24"/>
          <w:szCs w:val="24"/>
        </w:rPr>
        <w:t xml:space="preserve"> analysis of </w:t>
      </w:r>
      <w:r w:rsidR="0065719B" w:rsidRPr="00C327DA">
        <w:rPr>
          <w:rFonts w:ascii="Times New Roman" w:hAnsi="Times New Roman" w:cs="Times New Roman"/>
          <w:b/>
          <w:bCs/>
          <w:sz w:val="24"/>
          <w:szCs w:val="24"/>
        </w:rPr>
        <w:t xml:space="preserve">all </w:t>
      </w:r>
      <w:r w:rsidR="00E32D89" w:rsidRPr="00C327DA">
        <w:rPr>
          <w:rFonts w:ascii="Times New Roman" w:hAnsi="Times New Roman" w:cs="Times New Roman"/>
          <w:b/>
          <w:bCs/>
          <w:sz w:val="24"/>
          <w:szCs w:val="24"/>
        </w:rPr>
        <w:t>eukaryot</w:t>
      </w:r>
      <w:r w:rsidR="00603B2A" w:rsidRPr="00C327DA">
        <w:rPr>
          <w:rFonts w:ascii="Times New Roman" w:hAnsi="Times New Roman" w:cs="Times New Roman"/>
          <w:b/>
          <w:bCs/>
          <w:sz w:val="24"/>
          <w:szCs w:val="24"/>
        </w:rPr>
        <w:t>ic soil sequences</w:t>
      </w:r>
    </w:p>
    <w:bookmarkEnd w:id="0"/>
    <w:p w14:paraId="52A9E2C6" w14:textId="77777777" w:rsidR="00E32D89" w:rsidRPr="00C327DA" w:rsidRDefault="00E32D89" w:rsidP="00E32D89">
      <w:pPr>
        <w:rPr>
          <w:rFonts w:ascii="Times New Roman" w:hAnsi="Times New Roman" w:cs="Times New Roman"/>
          <w:b/>
          <w:bCs/>
          <w:sz w:val="24"/>
          <w:szCs w:val="24"/>
        </w:rPr>
      </w:pPr>
    </w:p>
    <w:p w14:paraId="425E4952" w14:textId="77777777" w:rsidR="002A2074" w:rsidRPr="00C327DA" w:rsidRDefault="002A2074" w:rsidP="00055F2D">
      <w:pPr>
        <w:rPr>
          <w:rFonts w:ascii="Times New Roman" w:hAnsi="Times New Roman" w:cs="Times New Roman"/>
          <w:b/>
          <w:bCs/>
          <w:sz w:val="24"/>
          <w:szCs w:val="24"/>
        </w:rPr>
      </w:pPr>
      <w:bookmarkStart w:id="2" w:name="_Hlk37680054"/>
      <w:bookmarkEnd w:id="1"/>
    </w:p>
    <w:p w14:paraId="1B1A4595" w14:textId="1570A8B1" w:rsidR="000D42C3" w:rsidRPr="00C327DA" w:rsidRDefault="000D42C3" w:rsidP="000D42C3">
      <w:pPr>
        <w:rPr>
          <w:rFonts w:ascii="Times New Roman" w:eastAsia="Times New Roman" w:hAnsi="Times New Roman" w:cs="Times New Roman"/>
          <w:sz w:val="24"/>
          <w:szCs w:val="24"/>
        </w:rPr>
      </w:pPr>
      <w:bookmarkStart w:id="3" w:name="_Hlk48044445"/>
      <w:r w:rsidRPr="00C327DA">
        <w:rPr>
          <w:rFonts w:ascii="Times New Roman" w:eastAsia="Times New Roman" w:hAnsi="Times New Roman" w:cs="Times New Roman"/>
          <w:b/>
          <w:bCs/>
          <w:color w:val="000000"/>
          <w:sz w:val="24"/>
          <w:szCs w:val="24"/>
        </w:rPr>
        <w:t>Authors</w:t>
      </w:r>
      <w:r w:rsidRPr="00C327DA">
        <w:rPr>
          <w:rFonts w:ascii="Times New Roman" w:eastAsia="Times New Roman" w:hAnsi="Times New Roman" w:cs="Times New Roman"/>
          <w:color w:val="000000"/>
          <w:sz w:val="24"/>
          <w:szCs w:val="24"/>
        </w:rPr>
        <w:t>: Stephanie D. Jurburg*</w:t>
      </w:r>
      <w:r w:rsidRPr="00C327DA">
        <w:rPr>
          <w:rFonts w:ascii="Times New Roman" w:eastAsia="Times New Roman" w:hAnsi="Times New Roman" w:cs="Times New Roman"/>
          <w:color w:val="000000"/>
          <w:sz w:val="24"/>
          <w:szCs w:val="24"/>
          <w:vertAlign w:val="superscript"/>
        </w:rPr>
        <w:t>1,2</w:t>
      </w:r>
      <w:r w:rsidR="00C400E9" w:rsidRPr="00C327DA">
        <w:rPr>
          <w:rFonts w:ascii="Times New Roman" w:eastAsia="Times New Roman" w:hAnsi="Times New Roman" w:cs="Times New Roman"/>
          <w:color w:val="000000"/>
          <w:sz w:val="24"/>
          <w:szCs w:val="24"/>
        </w:rPr>
        <w:t>, Petr Keil</w:t>
      </w:r>
      <w:r w:rsidR="00892A8A" w:rsidRPr="00C327DA">
        <w:rPr>
          <w:rFonts w:ascii="Times New Roman" w:eastAsia="Times New Roman" w:hAnsi="Times New Roman" w:cs="Times New Roman"/>
          <w:color w:val="000000"/>
          <w:sz w:val="24"/>
          <w:szCs w:val="24"/>
          <w:vertAlign w:val="superscript"/>
        </w:rPr>
        <w:t>1,3</w:t>
      </w:r>
      <w:r w:rsidR="00B23F4D" w:rsidRPr="00C327DA">
        <w:rPr>
          <w:rFonts w:ascii="Times New Roman" w:eastAsia="Times New Roman" w:hAnsi="Times New Roman" w:cs="Times New Roman"/>
          <w:color w:val="000000"/>
          <w:sz w:val="24"/>
          <w:szCs w:val="24"/>
          <w:vertAlign w:val="superscript"/>
        </w:rPr>
        <w:t>,4</w:t>
      </w:r>
      <w:r w:rsidR="00C400E9" w:rsidRPr="00C327DA">
        <w:rPr>
          <w:rFonts w:ascii="Times New Roman" w:eastAsia="Times New Roman" w:hAnsi="Times New Roman" w:cs="Times New Roman"/>
          <w:color w:val="000000"/>
          <w:sz w:val="24"/>
          <w:szCs w:val="24"/>
        </w:rPr>
        <w:t xml:space="preserve">, </w:t>
      </w:r>
      <w:proofErr w:type="spellStart"/>
      <w:r w:rsidR="00892503" w:rsidRPr="00C327DA">
        <w:rPr>
          <w:rFonts w:ascii="Times New Roman" w:eastAsia="Times New Roman" w:hAnsi="Times New Roman" w:cs="Times New Roman"/>
          <w:color w:val="000000"/>
          <w:sz w:val="24"/>
          <w:szCs w:val="24"/>
        </w:rPr>
        <w:t>Brajesh</w:t>
      </w:r>
      <w:proofErr w:type="spellEnd"/>
      <w:r w:rsidR="00892503" w:rsidRPr="00C327DA">
        <w:rPr>
          <w:rFonts w:ascii="Times New Roman" w:eastAsia="Times New Roman" w:hAnsi="Times New Roman" w:cs="Times New Roman"/>
          <w:color w:val="000000"/>
          <w:sz w:val="24"/>
          <w:szCs w:val="24"/>
        </w:rPr>
        <w:t xml:space="preserve"> </w:t>
      </w:r>
      <w:r w:rsidR="00257FAE" w:rsidRPr="00C327DA">
        <w:rPr>
          <w:rFonts w:ascii="Times New Roman" w:eastAsia="Times New Roman" w:hAnsi="Times New Roman" w:cs="Times New Roman"/>
          <w:color w:val="000000"/>
          <w:sz w:val="24"/>
          <w:szCs w:val="24"/>
        </w:rPr>
        <w:t xml:space="preserve">K. </w:t>
      </w:r>
      <w:r w:rsidR="00892503" w:rsidRPr="00C327DA">
        <w:rPr>
          <w:rFonts w:ascii="Times New Roman" w:eastAsia="Times New Roman" w:hAnsi="Times New Roman" w:cs="Times New Roman"/>
          <w:color w:val="000000"/>
          <w:sz w:val="24"/>
          <w:szCs w:val="24"/>
        </w:rPr>
        <w:t>Singh</w:t>
      </w:r>
      <w:r w:rsidR="00B23F4D" w:rsidRPr="00C327DA">
        <w:rPr>
          <w:rFonts w:ascii="Times New Roman" w:eastAsia="Times New Roman" w:hAnsi="Times New Roman" w:cs="Times New Roman"/>
          <w:sz w:val="24"/>
          <w:szCs w:val="24"/>
          <w:vertAlign w:val="superscript"/>
        </w:rPr>
        <w:t>5</w:t>
      </w:r>
      <w:r w:rsidR="00892503" w:rsidRPr="00C327DA">
        <w:rPr>
          <w:rFonts w:ascii="Times New Roman" w:eastAsia="Times New Roman" w:hAnsi="Times New Roman" w:cs="Times New Roman"/>
          <w:color w:val="000000"/>
          <w:sz w:val="24"/>
          <w:szCs w:val="24"/>
        </w:rPr>
        <w:t xml:space="preserve">, Jonathan </w:t>
      </w:r>
      <w:r w:rsidR="00100A26" w:rsidRPr="00C327DA">
        <w:rPr>
          <w:rFonts w:ascii="Times New Roman" w:eastAsia="Times New Roman" w:hAnsi="Times New Roman" w:cs="Times New Roman"/>
          <w:color w:val="000000"/>
          <w:sz w:val="24"/>
          <w:szCs w:val="24"/>
        </w:rPr>
        <w:t xml:space="preserve">M. </w:t>
      </w:r>
      <w:r w:rsidR="00892503" w:rsidRPr="00C327DA">
        <w:rPr>
          <w:rFonts w:ascii="Times New Roman" w:eastAsia="Times New Roman" w:hAnsi="Times New Roman" w:cs="Times New Roman"/>
          <w:color w:val="000000"/>
          <w:sz w:val="24"/>
          <w:szCs w:val="24"/>
        </w:rPr>
        <w:t>Chase</w:t>
      </w:r>
      <w:r w:rsidR="00892A8A" w:rsidRPr="00C327DA">
        <w:rPr>
          <w:rFonts w:ascii="Times New Roman" w:eastAsia="Times New Roman" w:hAnsi="Times New Roman" w:cs="Times New Roman"/>
          <w:color w:val="000000"/>
          <w:sz w:val="24"/>
          <w:szCs w:val="24"/>
          <w:vertAlign w:val="superscript"/>
        </w:rPr>
        <w:t>1,3</w:t>
      </w:r>
    </w:p>
    <w:p w14:paraId="59EC2198" w14:textId="77777777" w:rsidR="000D42C3" w:rsidRPr="00C327DA" w:rsidRDefault="000D42C3" w:rsidP="000D42C3">
      <w:pPr>
        <w:rPr>
          <w:rFonts w:ascii="Times New Roman" w:eastAsia="Times New Roman" w:hAnsi="Times New Roman" w:cs="Times New Roman"/>
          <w:sz w:val="24"/>
          <w:szCs w:val="24"/>
        </w:rPr>
      </w:pPr>
    </w:p>
    <w:bookmarkEnd w:id="3"/>
    <w:p w14:paraId="52D1B476" w14:textId="77777777" w:rsidR="000D42C3" w:rsidRPr="00C327DA" w:rsidRDefault="000D42C3" w:rsidP="000D42C3">
      <w:pPr>
        <w:rPr>
          <w:rFonts w:ascii="Times New Roman" w:eastAsia="Times New Roman" w:hAnsi="Times New Roman" w:cs="Times New Roman"/>
          <w:color w:val="000000"/>
          <w:sz w:val="24"/>
          <w:szCs w:val="24"/>
        </w:rPr>
      </w:pPr>
      <w:r w:rsidRPr="00C327DA">
        <w:rPr>
          <w:rFonts w:ascii="Times New Roman" w:eastAsia="Times New Roman" w:hAnsi="Times New Roman" w:cs="Times New Roman"/>
          <w:color w:val="000000"/>
          <w:sz w:val="24"/>
          <w:szCs w:val="24"/>
          <w:vertAlign w:val="superscript"/>
        </w:rPr>
        <w:t xml:space="preserve">1 </w:t>
      </w:r>
      <w:r w:rsidRPr="00C327DA">
        <w:rPr>
          <w:rFonts w:ascii="Times New Roman" w:eastAsia="Times New Roman" w:hAnsi="Times New Roman" w:cs="Times New Roman"/>
          <w:color w:val="000000"/>
          <w:sz w:val="24"/>
          <w:szCs w:val="24"/>
        </w:rPr>
        <w:t xml:space="preserve">German Centre for Integrative Biodiversity Research (iDiv) Halle-Jena-Leipzig, </w:t>
      </w:r>
      <w:proofErr w:type="spellStart"/>
      <w:r w:rsidRPr="00C327DA">
        <w:rPr>
          <w:rFonts w:ascii="Times New Roman" w:eastAsia="Times New Roman" w:hAnsi="Times New Roman" w:cs="Times New Roman"/>
          <w:color w:val="000000"/>
          <w:sz w:val="24"/>
          <w:szCs w:val="24"/>
        </w:rPr>
        <w:t>Deutscher</w:t>
      </w:r>
      <w:proofErr w:type="spellEnd"/>
      <w:r w:rsidRPr="00C327DA">
        <w:rPr>
          <w:rFonts w:ascii="Times New Roman" w:eastAsia="Times New Roman" w:hAnsi="Times New Roman" w:cs="Times New Roman"/>
          <w:color w:val="000000"/>
          <w:sz w:val="24"/>
          <w:szCs w:val="24"/>
        </w:rPr>
        <w:t xml:space="preserve"> Platz 5e, 04103, Leipzig, Germany</w:t>
      </w:r>
    </w:p>
    <w:p w14:paraId="5204F074" w14:textId="70428CEB" w:rsidR="000D42C3" w:rsidRPr="00C327DA" w:rsidRDefault="000D42C3" w:rsidP="000D42C3">
      <w:pPr>
        <w:rPr>
          <w:rFonts w:ascii="Times New Roman" w:eastAsia="Times New Roman" w:hAnsi="Times New Roman" w:cs="Times New Roman"/>
          <w:sz w:val="24"/>
          <w:szCs w:val="24"/>
        </w:rPr>
      </w:pPr>
      <w:r w:rsidRPr="00C327DA">
        <w:rPr>
          <w:rFonts w:ascii="Times New Roman" w:eastAsia="Times New Roman" w:hAnsi="Times New Roman" w:cs="Times New Roman"/>
          <w:sz w:val="24"/>
          <w:szCs w:val="24"/>
          <w:vertAlign w:val="superscript"/>
        </w:rPr>
        <w:t xml:space="preserve">2 </w:t>
      </w:r>
      <w:r w:rsidRPr="00C327DA">
        <w:rPr>
          <w:rFonts w:ascii="Times New Roman" w:eastAsia="Times New Roman" w:hAnsi="Times New Roman" w:cs="Times New Roman"/>
          <w:sz w:val="24"/>
          <w:szCs w:val="24"/>
        </w:rPr>
        <w:t xml:space="preserve">Leipzig University, Institute of Biology, </w:t>
      </w:r>
      <w:proofErr w:type="spellStart"/>
      <w:r w:rsidRPr="00C327DA">
        <w:rPr>
          <w:rFonts w:ascii="Times New Roman" w:eastAsia="Times New Roman" w:hAnsi="Times New Roman" w:cs="Times New Roman"/>
          <w:sz w:val="24"/>
          <w:szCs w:val="24"/>
        </w:rPr>
        <w:t>Deutscher</w:t>
      </w:r>
      <w:proofErr w:type="spellEnd"/>
      <w:r w:rsidRPr="00C327DA">
        <w:rPr>
          <w:rFonts w:ascii="Times New Roman" w:eastAsia="Times New Roman" w:hAnsi="Times New Roman" w:cs="Times New Roman"/>
          <w:sz w:val="24"/>
          <w:szCs w:val="24"/>
        </w:rPr>
        <w:t xml:space="preserve"> Platz 5e, 04103 Leipzig, Germany</w:t>
      </w:r>
    </w:p>
    <w:p w14:paraId="442501BE" w14:textId="581AD9F9" w:rsidR="00892A8A" w:rsidRPr="00C327DA" w:rsidRDefault="00892A8A" w:rsidP="000D42C3">
      <w:pPr>
        <w:rPr>
          <w:rFonts w:ascii="Times New Roman" w:eastAsia="Times New Roman" w:hAnsi="Times New Roman" w:cs="Times New Roman"/>
          <w:sz w:val="24"/>
          <w:szCs w:val="24"/>
        </w:rPr>
      </w:pPr>
      <w:r w:rsidRPr="00C327DA">
        <w:rPr>
          <w:rFonts w:ascii="Times New Roman" w:eastAsia="Times New Roman" w:hAnsi="Times New Roman" w:cs="Times New Roman"/>
          <w:sz w:val="24"/>
          <w:szCs w:val="24"/>
          <w:vertAlign w:val="superscript"/>
        </w:rPr>
        <w:t>3</w:t>
      </w:r>
      <w:r w:rsidRPr="00C327DA">
        <w:rPr>
          <w:rFonts w:ascii="Times New Roman" w:eastAsia="Times New Roman" w:hAnsi="Times New Roman" w:cs="Times New Roman"/>
          <w:sz w:val="24"/>
          <w:szCs w:val="24"/>
        </w:rPr>
        <w:t>Department of Computer Science, Martin Luther University, Halle‐Wittenberg, Halle, Germany</w:t>
      </w:r>
    </w:p>
    <w:p w14:paraId="19290EE2" w14:textId="4B24DA68" w:rsidR="00B23F4D" w:rsidRPr="00CB6F3B" w:rsidRDefault="00B23F4D" w:rsidP="004F02D6">
      <w:pPr>
        <w:rPr>
          <w:rFonts w:ascii="Times New Roman" w:eastAsia="Times New Roman" w:hAnsi="Times New Roman" w:cs="Times New Roman"/>
          <w:sz w:val="24"/>
          <w:szCs w:val="24"/>
        </w:rPr>
      </w:pPr>
      <w:r w:rsidRPr="00C327DA">
        <w:rPr>
          <w:rFonts w:ascii="Times New Roman" w:eastAsia="Times New Roman" w:hAnsi="Times New Roman" w:cs="Times New Roman"/>
          <w:sz w:val="24"/>
          <w:szCs w:val="24"/>
          <w:vertAlign w:val="superscript"/>
        </w:rPr>
        <w:t>4</w:t>
      </w:r>
      <w:r w:rsidR="00C026BD" w:rsidRPr="00C327DA">
        <w:rPr>
          <w:rFonts w:ascii="Times New Roman" w:eastAsia="Times New Roman" w:hAnsi="Times New Roman" w:cs="Times New Roman"/>
          <w:sz w:val="24"/>
          <w:szCs w:val="24"/>
          <w:lang w:val="cs-CZ" w:eastAsia="cs-CZ"/>
        </w:rPr>
        <w:t xml:space="preserve"> </w:t>
      </w:r>
      <w:r w:rsidR="00C026BD" w:rsidRPr="00CB6F3B">
        <w:rPr>
          <w:rFonts w:ascii="Times New Roman" w:eastAsia="Times New Roman" w:hAnsi="Times New Roman" w:cs="Times New Roman"/>
          <w:sz w:val="24"/>
          <w:szCs w:val="24"/>
          <w:lang w:val="cs-CZ" w:eastAsia="cs-CZ"/>
        </w:rPr>
        <w:t>Faculty of Environmental Sciences, Czech University of Life Sciences Prague, Kamýcká 129, Praha – Suchdol, 16000, Czech Republic</w:t>
      </w:r>
    </w:p>
    <w:p w14:paraId="7DFAE802" w14:textId="4D020399" w:rsidR="00892A8A" w:rsidRPr="00CB6F3B" w:rsidRDefault="00B23F4D" w:rsidP="000D42C3">
      <w:pPr>
        <w:rPr>
          <w:rFonts w:ascii="Times New Roman" w:eastAsia="Times New Roman" w:hAnsi="Times New Roman" w:cs="Times New Roman"/>
          <w:sz w:val="24"/>
          <w:szCs w:val="24"/>
        </w:rPr>
      </w:pPr>
      <w:r w:rsidRPr="00CB6F3B">
        <w:rPr>
          <w:rFonts w:ascii="Times New Roman" w:eastAsia="Times New Roman" w:hAnsi="Times New Roman" w:cs="Times New Roman"/>
          <w:sz w:val="24"/>
          <w:szCs w:val="24"/>
          <w:vertAlign w:val="superscript"/>
        </w:rPr>
        <w:t>5</w:t>
      </w:r>
      <w:r w:rsidRPr="00CB6F3B">
        <w:rPr>
          <w:rFonts w:ascii="Times New Roman" w:eastAsia="Times New Roman" w:hAnsi="Times New Roman" w:cs="Times New Roman"/>
          <w:sz w:val="24"/>
          <w:szCs w:val="24"/>
        </w:rPr>
        <w:t xml:space="preserve">Hawkesbury </w:t>
      </w:r>
      <w:r w:rsidR="00892A8A" w:rsidRPr="00CB6F3B">
        <w:rPr>
          <w:rFonts w:ascii="Times New Roman" w:eastAsia="Times New Roman" w:hAnsi="Times New Roman" w:cs="Times New Roman"/>
          <w:sz w:val="24"/>
          <w:szCs w:val="24"/>
        </w:rPr>
        <w:t xml:space="preserve">Institute for the Environment, and Global Centre for Land-Based Innovation, Western Sydney University, </w:t>
      </w:r>
      <w:proofErr w:type="spellStart"/>
      <w:r w:rsidR="00892A8A" w:rsidRPr="00CB6F3B">
        <w:rPr>
          <w:rFonts w:ascii="Times New Roman" w:eastAsia="Times New Roman" w:hAnsi="Times New Roman" w:cs="Times New Roman"/>
          <w:sz w:val="24"/>
          <w:szCs w:val="24"/>
        </w:rPr>
        <w:t>Penrith</w:t>
      </w:r>
      <w:proofErr w:type="spellEnd"/>
      <w:r w:rsidR="00892A8A" w:rsidRPr="00CB6F3B">
        <w:rPr>
          <w:rFonts w:ascii="Times New Roman" w:eastAsia="Times New Roman" w:hAnsi="Times New Roman" w:cs="Times New Roman"/>
          <w:sz w:val="24"/>
          <w:szCs w:val="24"/>
        </w:rPr>
        <w:t>, NSW, Australia</w:t>
      </w:r>
    </w:p>
    <w:bookmarkEnd w:id="2"/>
    <w:p w14:paraId="228966F6" w14:textId="767FEB54" w:rsidR="000D42C3" w:rsidRPr="00CB6F3B" w:rsidRDefault="000D42C3" w:rsidP="3FE819B3">
      <w:pPr>
        <w:rPr>
          <w:rFonts w:ascii="Times New Roman" w:eastAsia="Times New Roman" w:hAnsi="Times New Roman" w:cs="Times New Roman"/>
          <w:sz w:val="24"/>
          <w:szCs w:val="24"/>
        </w:rPr>
      </w:pPr>
    </w:p>
    <w:p w14:paraId="0C3FB686" w14:textId="77777777" w:rsidR="000D42C3" w:rsidRPr="00CB6F3B" w:rsidRDefault="000D42C3" w:rsidP="000D42C3">
      <w:pPr>
        <w:rPr>
          <w:rFonts w:ascii="Times New Roman" w:eastAsia="Times New Roman" w:hAnsi="Times New Roman" w:cs="Times New Roman"/>
          <w:sz w:val="24"/>
          <w:szCs w:val="24"/>
        </w:rPr>
      </w:pPr>
      <w:r w:rsidRPr="00CB6F3B">
        <w:rPr>
          <w:rFonts w:ascii="Times New Roman" w:eastAsia="Times New Roman" w:hAnsi="Times New Roman" w:cs="Times New Roman"/>
          <w:color w:val="000000"/>
          <w:sz w:val="24"/>
          <w:szCs w:val="24"/>
        </w:rPr>
        <w:t> </w:t>
      </w:r>
    </w:p>
    <w:p w14:paraId="0349ED47" w14:textId="77777777" w:rsidR="000D42C3" w:rsidRPr="00CB6F3B" w:rsidRDefault="000D42C3" w:rsidP="000D42C3">
      <w:pPr>
        <w:rPr>
          <w:rFonts w:ascii="Times New Roman" w:eastAsia="Times New Roman" w:hAnsi="Times New Roman" w:cs="Times New Roman"/>
          <w:color w:val="000000"/>
          <w:sz w:val="24"/>
          <w:szCs w:val="24"/>
        </w:rPr>
      </w:pPr>
      <w:r w:rsidRPr="00CB6F3B">
        <w:rPr>
          <w:rFonts w:ascii="Times New Roman" w:eastAsia="Times New Roman" w:hAnsi="Times New Roman" w:cs="Times New Roman"/>
          <w:color w:val="000000"/>
          <w:sz w:val="24"/>
          <w:szCs w:val="24"/>
        </w:rPr>
        <w:t xml:space="preserve">*Correspondence: </w:t>
      </w:r>
      <w:r w:rsidRPr="00CB6F3B">
        <w:rPr>
          <w:rFonts w:ascii="Times New Roman" w:eastAsia="Times New Roman" w:hAnsi="Times New Roman" w:cs="Times New Roman"/>
          <w:color w:val="000000"/>
          <w:sz w:val="24"/>
          <w:szCs w:val="24"/>
        </w:rPr>
        <w:tab/>
        <w:t xml:space="preserve">Stephanie D. Jurburg </w:t>
      </w:r>
    </w:p>
    <w:p w14:paraId="462071EB" w14:textId="77777777" w:rsidR="000D42C3" w:rsidRPr="00CB6F3B" w:rsidRDefault="00AC1C73" w:rsidP="000D42C3">
      <w:pPr>
        <w:ind w:left="1440" w:firstLine="720"/>
        <w:rPr>
          <w:rFonts w:ascii="Times New Roman" w:eastAsia="Times New Roman" w:hAnsi="Times New Roman" w:cs="Times New Roman"/>
          <w:color w:val="000000"/>
          <w:sz w:val="24"/>
          <w:szCs w:val="24"/>
        </w:rPr>
      </w:pPr>
      <w:hyperlink r:id="rId8" w:history="1">
        <w:r w:rsidR="000D42C3" w:rsidRPr="00CB6F3B">
          <w:rPr>
            <w:rStyle w:val="Hyperlink"/>
            <w:rFonts w:ascii="Times New Roman" w:eastAsia="Times New Roman" w:hAnsi="Times New Roman" w:cs="Times New Roman"/>
            <w:sz w:val="24"/>
            <w:szCs w:val="24"/>
          </w:rPr>
          <w:t>s.d.jurburg@gmail.com</w:t>
        </w:r>
      </w:hyperlink>
      <w:r w:rsidR="000D42C3" w:rsidRPr="00CB6F3B">
        <w:rPr>
          <w:rFonts w:ascii="Times New Roman" w:eastAsia="Times New Roman" w:hAnsi="Times New Roman" w:cs="Times New Roman"/>
          <w:color w:val="000000"/>
          <w:sz w:val="24"/>
          <w:szCs w:val="24"/>
        </w:rPr>
        <w:t> </w:t>
      </w:r>
    </w:p>
    <w:p w14:paraId="65BF15E5" w14:textId="77777777" w:rsidR="000D42C3" w:rsidRPr="00CB6F3B" w:rsidRDefault="000D42C3" w:rsidP="000D42C3">
      <w:pPr>
        <w:ind w:left="2160"/>
        <w:rPr>
          <w:rFonts w:ascii="Times New Roman" w:eastAsia="Times New Roman" w:hAnsi="Times New Roman" w:cs="Times New Roman"/>
          <w:color w:val="000000"/>
          <w:sz w:val="24"/>
          <w:szCs w:val="24"/>
        </w:rPr>
      </w:pPr>
      <w:r w:rsidRPr="00CB6F3B">
        <w:rPr>
          <w:rFonts w:ascii="Times New Roman" w:eastAsia="Times New Roman" w:hAnsi="Times New Roman" w:cs="Times New Roman"/>
          <w:color w:val="000000"/>
          <w:sz w:val="24"/>
          <w:szCs w:val="24"/>
        </w:rPr>
        <w:t xml:space="preserve">German Centre for Integrative Biodiversity Research (iDiv), </w:t>
      </w:r>
      <w:proofErr w:type="spellStart"/>
      <w:r w:rsidRPr="00CB6F3B">
        <w:rPr>
          <w:rFonts w:ascii="Times New Roman" w:eastAsia="Times New Roman" w:hAnsi="Times New Roman" w:cs="Times New Roman"/>
          <w:color w:val="000000"/>
          <w:sz w:val="24"/>
          <w:szCs w:val="24"/>
        </w:rPr>
        <w:t>Deutscher</w:t>
      </w:r>
      <w:proofErr w:type="spellEnd"/>
      <w:r w:rsidRPr="00CB6F3B">
        <w:rPr>
          <w:rFonts w:ascii="Times New Roman" w:eastAsia="Times New Roman" w:hAnsi="Times New Roman" w:cs="Times New Roman"/>
          <w:color w:val="000000"/>
          <w:sz w:val="24"/>
          <w:szCs w:val="24"/>
        </w:rPr>
        <w:t xml:space="preserve"> Pl. 5E, 04103 Leipzig, Germany</w:t>
      </w:r>
    </w:p>
    <w:p w14:paraId="6EB7D4A5" w14:textId="77777777" w:rsidR="000D42C3" w:rsidRPr="00CB6F3B" w:rsidRDefault="000D42C3" w:rsidP="000D42C3">
      <w:pPr>
        <w:rPr>
          <w:rFonts w:ascii="Times New Roman" w:eastAsia="Times New Roman" w:hAnsi="Times New Roman" w:cs="Times New Roman"/>
          <w:sz w:val="24"/>
          <w:szCs w:val="24"/>
        </w:rPr>
      </w:pPr>
    </w:p>
    <w:p w14:paraId="1D65B1B5" w14:textId="77777777" w:rsidR="000D42C3" w:rsidRPr="00CB6F3B" w:rsidRDefault="000D42C3" w:rsidP="000D42C3">
      <w:pPr>
        <w:spacing w:after="240"/>
        <w:rPr>
          <w:rFonts w:ascii="Times New Roman" w:eastAsia="Times New Roman" w:hAnsi="Times New Roman" w:cs="Times New Roman"/>
          <w:sz w:val="24"/>
          <w:szCs w:val="24"/>
        </w:rPr>
      </w:pPr>
    </w:p>
    <w:p w14:paraId="615F38A8" w14:textId="472D71F1" w:rsidR="000D42C3" w:rsidRPr="00CB6F3B" w:rsidRDefault="000D42C3" w:rsidP="000D42C3">
      <w:pPr>
        <w:rPr>
          <w:rFonts w:ascii="Times New Roman" w:eastAsia="Times New Roman" w:hAnsi="Times New Roman" w:cs="Times New Roman"/>
          <w:sz w:val="24"/>
          <w:szCs w:val="24"/>
        </w:rPr>
      </w:pPr>
      <w:r w:rsidRPr="00CB6F3B">
        <w:rPr>
          <w:rFonts w:ascii="Times New Roman" w:eastAsia="Times New Roman" w:hAnsi="Times New Roman" w:cs="Times New Roman"/>
          <w:color w:val="000000"/>
          <w:sz w:val="24"/>
          <w:szCs w:val="24"/>
        </w:rPr>
        <w:t xml:space="preserve">Keywords: </w:t>
      </w:r>
      <w:r w:rsidR="009578E6" w:rsidRPr="00CB6F3B">
        <w:rPr>
          <w:rFonts w:ascii="Times New Roman" w:eastAsia="Times New Roman" w:hAnsi="Times New Roman" w:cs="Times New Roman"/>
          <w:color w:val="000000"/>
          <w:sz w:val="24"/>
          <w:szCs w:val="24"/>
        </w:rPr>
        <w:t xml:space="preserve">soil, </w:t>
      </w:r>
      <w:r w:rsidRPr="00CB6F3B">
        <w:rPr>
          <w:rFonts w:ascii="Times New Roman" w:eastAsia="Times New Roman" w:hAnsi="Times New Roman" w:cs="Times New Roman"/>
          <w:color w:val="000000"/>
          <w:sz w:val="24"/>
          <w:szCs w:val="24"/>
        </w:rPr>
        <w:t xml:space="preserve">microbiome, </w:t>
      </w:r>
      <w:r w:rsidR="009578E6" w:rsidRPr="00CB6F3B">
        <w:rPr>
          <w:rFonts w:ascii="Times New Roman" w:eastAsia="Times New Roman" w:hAnsi="Times New Roman" w:cs="Times New Roman"/>
          <w:color w:val="000000"/>
          <w:sz w:val="24"/>
          <w:szCs w:val="24"/>
        </w:rPr>
        <w:t>c</w:t>
      </w:r>
      <w:r w:rsidRPr="00CB6F3B">
        <w:rPr>
          <w:rFonts w:ascii="Times New Roman" w:eastAsia="Times New Roman" w:hAnsi="Times New Roman" w:cs="Times New Roman"/>
          <w:color w:val="000000"/>
          <w:sz w:val="24"/>
          <w:szCs w:val="24"/>
        </w:rPr>
        <w:t>ommunity ecology</w:t>
      </w:r>
      <w:r w:rsidR="009578E6" w:rsidRPr="00CB6F3B">
        <w:rPr>
          <w:rFonts w:ascii="Times New Roman" w:eastAsia="Times New Roman" w:hAnsi="Times New Roman" w:cs="Times New Roman"/>
          <w:color w:val="000000"/>
          <w:sz w:val="24"/>
          <w:szCs w:val="24"/>
        </w:rPr>
        <w:t>, sequencing</w:t>
      </w:r>
    </w:p>
    <w:p w14:paraId="1D0D5EF3" w14:textId="77777777" w:rsidR="000D42C3" w:rsidRPr="00CB6F3B" w:rsidRDefault="000D42C3" w:rsidP="000D42C3">
      <w:pPr>
        <w:rPr>
          <w:rFonts w:ascii="Times New Roman" w:eastAsia="Times New Roman" w:hAnsi="Times New Roman" w:cs="Times New Roman"/>
          <w:sz w:val="24"/>
          <w:szCs w:val="24"/>
        </w:rPr>
      </w:pPr>
      <w:r w:rsidRPr="00CB6F3B">
        <w:rPr>
          <w:rFonts w:ascii="Times New Roman" w:eastAsia="Times New Roman" w:hAnsi="Times New Roman" w:cs="Times New Roman"/>
          <w:color w:val="000000"/>
          <w:sz w:val="24"/>
          <w:szCs w:val="24"/>
        </w:rPr>
        <w:t> </w:t>
      </w:r>
    </w:p>
    <w:p w14:paraId="2500428E" w14:textId="77777777" w:rsidR="000D42C3" w:rsidRPr="00CB6F3B" w:rsidRDefault="000D42C3" w:rsidP="000D42C3">
      <w:pPr>
        <w:spacing w:after="0" w:line="240" w:lineRule="auto"/>
        <w:rPr>
          <w:rFonts w:ascii="Times New Roman" w:eastAsia="Times New Roman" w:hAnsi="Times New Roman" w:cs="Times New Roman"/>
          <w:sz w:val="24"/>
          <w:szCs w:val="24"/>
        </w:rPr>
      </w:pPr>
    </w:p>
    <w:p w14:paraId="160616DB" w14:textId="77777777" w:rsidR="000D42C3" w:rsidRPr="00CB6F3B" w:rsidRDefault="000D42C3" w:rsidP="000D42C3">
      <w:pPr>
        <w:spacing w:after="0" w:line="240" w:lineRule="auto"/>
        <w:rPr>
          <w:rFonts w:ascii="Times New Roman" w:eastAsia="Times New Roman" w:hAnsi="Times New Roman" w:cs="Times New Roman"/>
          <w:sz w:val="24"/>
          <w:szCs w:val="24"/>
        </w:rPr>
      </w:pPr>
    </w:p>
    <w:p w14:paraId="02A79E2A" w14:textId="37B46401" w:rsidR="00D12C38" w:rsidRPr="00CB6F3B" w:rsidRDefault="000D42C3" w:rsidP="00D12C38">
      <w:pPr>
        <w:jc w:val="both"/>
        <w:rPr>
          <w:rFonts w:ascii="Times New Roman" w:eastAsia="Times New Roman" w:hAnsi="Times New Roman" w:cs="Times New Roman"/>
          <w:color w:val="000000"/>
          <w:sz w:val="24"/>
          <w:szCs w:val="24"/>
        </w:rPr>
      </w:pPr>
      <w:r w:rsidRPr="00CB6F3B">
        <w:rPr>
          <w:rFonts w:ascii="Times New Roman" w:eastAsia="Times New Roman" w:hAnsi="Times New Roman" w:cs="Times New Roman"/>
          <w:color w:val="000000"/>
          <w:sz w:val="24"/>
          <w:szCs w:val="24"/>
        </w:rPr>
        <w:br w:type="page"/>
      </w:r>
      <w:r w:rsidR="00D12C38" w:rsidRPr="00CB6F3B">
        <w:rPr>
          <w:rFonts w:ascii="Times New Roman" w:eastAsia="Times New Roman" w:hAnsi="Times New Roman" w:cs="Times New Roman"/>
          <w:color w:val="000000"/>
          <w:sz w:val="24"/>
          <w:szCs w:val="24"/>
        </w:rPr>
        <w:lastRenderedPageBreak/>
        <w:t>ABSTRACT</w:t>
      </w:r>
    </w:p>
    <w:p w14:paraId="3F051A67" w14:textId="3440577C" w:rsidR="004A5221" w:rsidRPr="00CB6F3B" w:rsidRDefault="00F62DAF" w:rsidP="00B57014">
      <w:pPr>
        <w:jc w:val="both"/>
        <w:rPr>
          <w:rFonts w:ascii="Times New Roman" w:hAnsi="Times New Roman" w:cs="Times New Roman"/>
          <w:sz w:val="24"/>
          <w:szCs w:val="24"/>
        </w:rPr>
      </w:pPr>
      <w:r w:rsidRPr="00CB6F3B">
        <w:rPr>
          <w:rFonts w:ascii="Times New Roman" w:eastAsia="Times New Roman" w:hAnsi="Times New Roman" w:cs="Times New Roman"/>
          <w:color w:val="000000"/>
          <w:sz w:val="24"/>
          <w:szCs w:val="24"/>
        </w:rPr>
        <w:t xml:space="preserve">The soil environment contains a </w:t>
      </w:r>
      <w:r w:rsidR="00D170C0" w:rsidRPr="00CB6F3B">
        <w:rPr>
          <w:rFonts w:ascii="Times New Roman" w:eastAsia="Times New Roman" w:hAnsi="Times New Roman" w:cs="Times New Roman"/>
          <w:color w:val="000000"/>
          <w:sz w:val="24"/>
          <w:szCs w:val="24"/>
        </w:rPr>
        <w:t xml:space="preserve">large, but </w:t>
      </w:r>
      <w:r w:rsidRPr="00CB6F3B">
        <w:rPr>
          <w:rFonts w:ascii="Times New Roman" w:eastAsia="Times New Roman" w:hAnsi="Times New Roman" w:cs="Times New Roman"/>
          <w:color w:val="000000"/>
          <w:sz w:val="24"/>
          <w:szCs w:val="24"/>
        </w:rPr>
        <w:t xml:space="preserve">historically underexplored reservoir of biodiversity. </w:t>
      </w:r>
      <w:r w:rsidR="00D170C0" w:rsidRPr="00CB6F3B">
        <w:rPr>
          <w:rFonts w:ascii="Times New Roman" w:eastAsia="Times New Roman" w:hAnsi="Times New Roman" w:cs="Times New Roman"/>
          <w:color w:val="000000"/>
          <w:sz w:val="24"/>
          <w:szCs w:val="24"/>
        </w:rPr>
        <w:t>While</w:t>
      </w:r>
      <w:r w:rsidRPr="00CB6F3B">
        <w:rPr>
          <w:rFonts w:ascii="Times New Roman" w:eastAsia="Times New Roman" w:hAnsi="Times New Roman" w:cs="Times New Roman"/>
          <w:color w:val="000000"/>
          <w:sz w:val="24"/>
          <w:szCs w:val="24"/>
        </w:rPr>
        <w:t xml:space="preserve"> sequencing of prokaryotic marker genes </w:t>
      </w:r>
      <w:r w:rsidR="00D170C0" w:rsidRPr="00CB6F3B">
        <w:rPr>
          <w:rFonts w:ascii="Times New Roman" w:eastAsia="Times New Roman" w:hAnsi="Times New Roman" w:cs="Times New Roman"/>
          <w:color w:val="000000"/>
          <w:sz w:val="24"/>
          <w:szCs w:val="24"/>
        </w:rPr>
        <w:t>has become commonplace for the</w:t>
      </w:r>
      <w:r w:rsidRPr="00CB6F3B">
        <w:rPr>
          <w:rFonts w:ascii="Times New Roman" w:eastAsia="Times New Roman" w:hAnsi="Times New Roman" w:cs="Times New Roman"/>
          <w:color w:val="000000"/>
          <w:sz w:val="24"/>
          <w:szCs w:val="24"/>
        </w:rPr>
        <w:t xml:space="preserve"> discovery and characterization of soil bacteria and archaea</w:t>
      </w:r>
      <w:r w:rsidR="0097191D" w:rsidRPr="00CB6F3B">
        <w:rPr>
          <w:rFonts w:ascii="Times New Roman" w:eastAsia="Times New Roman" w:hAnsi="Times New Roman" w:cs="Times New Roman"/>
          <w:color w:val="000000"/>
          <w:sz w:val="24"/>
          <w:szCs w:val="24"/>
        </w:rPr>
        <w:t>, this approach has been increasingly applied to sequencing</w:t>
      </w:r>
      <w:r w:rsidR="00021A60" w:rsidRPr="00CB6F3B">
        <w:rPr>
          <w:rFonts w:ascii="Times New Roman" w:eastAsia="Times New Roman" w:hAnsi="Times New Roman" w:cs="Times New Roman"/>
          <w:color w:val="000000"/>
          <w:sz w:val="24"/>
          <w:szCs w:val="24"/>
        </w:rPr>
        <w:t xml:space="preserve"> </w:t>
      </w:r>
      <w:r w:rsidRPr="00CB6F3B">
        <w:rPr>
          <w:rFonts w:ascii="Times New Roman" w:eastAsia="Times New Roman" w:hAnsi="Times New Roman" w:cs="Times New Roman"/>
          <w:color w:val="000000"/>
          <w:sz w:val="24"/>
          <w:szCs w:val="24"/>
        </w:rPr>
        <w:t>eukaryotic marker genes</w:t>
      </w:r>
      <w:r w:rsidR="003D3CB9" w:rsidRPr="00CB6F3B">
        <w:rPr>
          <w:rFonts w:ascii="Times New Roman" w:eastAsia="Times New Roman" w:hAnsi="Times New Roman" w:cs="Times New Roman"/>
          <w:color w:val="000000"/>
          <w:sz w:val="24"/>
          <w:szCs w:val="24"/>
        </w:rPr>
        <w:t xml:space="preserve"> to characterize the diversity of soil eukaryotes</w:t>
      </w:r>
      <w:r w:rsidR="0097191D" w:rsidRPr="00CB6F3B">
        <w:rPr>
          <w:rFonts w:ascii="Times New Roman" w:eastAsia="Times New Roman" w:hAnsi="Times New Roman" w:cs="Times New Roman"/>
          <w:color w:val="000000"/>
          <w:sz w:val="24"/>
          <w:szCs w:val="24"/>
        </w:rPr>
        <w:t>.</w:t>
      </w:r>
      <w:r w:rsidR="00330428" w:rsidRPr="00CB6F3B">
        <w:rPr>
          <w:rFonts w:ascii="Times New Roman" w:eastAsia="Times New Roman" w:hAnsi="Times New Roman" w:cs="Times New Roman"/>
          <w:color w:val="000000"/>
          <w:sz w:val="24"/>
          <w:szCs w:val="24"/>
        </w:rPr>
        <w:t xml:space="preserve"> </w:t>
      </w:r>
      <w:r w:rsidR="00021A60" w:rsidRPr="00CB6F3B">
        <w:rPr>
          <w:rFonts w:ascii="Times New Roman" w:eastAsia="Times New Roman" w:hAnsi="Times New Roman" w:cs="Times New Roman"/>
          <w:color w:val="000000"/>
          <w:sz w:val="24"/>
          <w:szCs w:val="24"/>
        </w:rPr>
        <w:t>H</w:t>
      </w:r>
      <w:r w:rsidR="00330428" w:rsidRPr="00CB6F3B">
        <w:rPr>
          <w:rFonts w:ascii="Times New Roman" w:eastAsia="Times New Roman" w:hAnsi="Times New Roman" w:cs="Times New Roman"/>
          <w:color w:val="000000"/>
          <w:sz w:val="24"/>
          <w:szCs w:val="24"/>
        </w:rPr>
        <w:t xml:space="preserve">owever, </w:t>
      </w:r>
      <w:r w:rsidR="00330428" w:rsidRPr="00CB6F3B">
        <w:rPr>
          <w:rFonts w:ascii="Times New Roman" w:hAnsi="Times New Roman" w:cs="Times New Roman"/>
          <w:sz w:val="24"/>
          <w:szCs w:val="24"/>
        </w:rPr>
        <w:t xml:space="preserve">understanding the properties and limitations of eukaryotic marker sequences is essential </w:t>
      </w:r>
      <w:r w:rsidR="00021A60" w:rsidRPr="00CB6F3B">
        <w:rPr>
          <w:rFonts w:ascii="Times New Roman" w:hAnsi="Times New Roman" w:cs="Times New Roman"/>
          <w:sz w:val="24"/>
          <w:szCs w:val="24"/>
        </w:rPr>
        <w:t>for</w:t>
      </w:r>
      <w:r w:rsidR="00330428" w:rsidRPr="00CB6F3B">
        <w:rPr>
          <w:rFonts w:ascii="Times New Roman" w:hAnsi="Times New Roman" w:cs="Times New Roman"/>
          <w:sz w:val="24"/>
          <w:szCs w:val="24"/>
        </w:rPr>
        <w:t xml:space="preserve"> correctly analyzing, interpreting, and synthesizing the resulting data. </w:t>
      </w:r>
      <w:r w:rsidR="004A5221" w:rsidRPr="00CB6F3B">
        <w:rPr>
          <w:rFonts w:ascii="Times New Roman" w:hAnsi="Times New Roman" w:cs="Times New Roman"/>
          <w:sz w:val="24"/>
          <w:szCs w:val="24"/>
        </w:rPr>
        <w:t xml:space="preserve">Here, we explore how biases in sequencing data arise from variation </w:t>
      </w:r>
      <w:r w:rsidR="00330428" w:rsidRPr="00CB6F3B">
        <w:rPr>
          <w:rFonts w:ascii="Times New Roman" w:hAnsi="Times New Roman" w:cs="Times New Roman"/>
          <w:sz w:val="24"/>
          <w:szCs w:val="24"/>
        </w:rPr>
        <w:t xml:space="preserve">in </w:t>
      </w:r>
      <w:r w:rsidR="004A5221" w:rsidRPr="00CB6F3B">
        <w:rPr>
          <w:rFonts w:ascii="Times New Roman" w:hAnsi="Times New Roman" w:cs="Times New Roman"/>
          <w:sz w:val="24"/>
          <w:szCs w:val="24"/>
        </w:rPr>
        <w:t>morpholog</w:t>
      </w:r>
      <w:r w:rsidR="00B23F4D" w:rsidRPr="00CB6F3B">
        <w:rPr>
          <w:rFonts w:ascii="Times New Roman" w:hAnsi="Times New Roman" w:cs="Times New Roman"/>
          <w:sz w:val="24"/>
          <w:szCs w:val="24"/>
        </w:rPr>
        <w:t>y</w:t>
      </w:r>
      <w:r w:rsidR="00330428" w:rsidRPr="00CB6F3B">
        <w:rPr>
          <w:rFonts w:ascii="Times New Roman" w:hAnsi="Times New Roman" w:cs="Times New Roman"/>
          <w:sz w:val="24"/>
          <w:szCs w:val="24"/>
        </w:rPr>
        <w:t xml:space="preserve">, </w:t>
      </w:r>
      <w:r w:rsidR="004A5221" w:rsidRPr="00CB6F3B">
        <w:rPr>
          <w:rFonts w:ascii="Times New Roman" w:hAnsi="Times New Roman" w:cs="Times New Roman"/>
          <w:sz w:val="24"/>
          <w:szCs w:val="24"/>
        </w:rPr>
        <w:t>taxonom</w:t>
      </w:r>
      <w:r w:rsidR="00330428" w:rsidRPr="00CB6F3B">
        <w:rPr>
          <w:rFonts w:ascii="Times New Roman" w:hAnsi="Times New Roman" w:cs="Times New Roman"/>
          <w:sz w:val="24"/>
          <w:szCs w:val="24"/>
        </w:rPr>
        <w:t>y</w:t>
      </w:r>
      <w:r w:rsidR="004A5221" w:rsidRPr="00CB6F3B">
        <w:rPr>
          <w:rFonts w:ascii="Times New Roman" w:hAnsi="Times New Roman" w:cs="Times New Roman"/>
          <w:sz w:val="24"/>
          <w:szCs w:val="24"/>
        </w:rPr>
        <w:t xml:space="preserve"> and phylogen</w:t>
      </w:r>
      <w:r w:rsidR="00330428" w:rsidRPr="00CB6F3B">
        <w:rPr>
          <w:rFonts w:ascii="Times New Roman" w:hAnsi="Times New Roman" w:cs="Times New Roman"/>
          <w:sz w:val="24"/>
          <w:szCs w:val="24"/>
        </w:rPr>
        <w:t xml:space="preserve">y, </w:t>
      </w:r>
      <w:r w:rsidR="004A5221" w:rsidRPr="00CB6F3B">
        <w:rPr>
          <w:rFonts w:ascii="Times New Roman" w:hAnsi="Times New Roman" w:cs="Times New Roman"/>
          <w:sz w:val="24"/>
          <w:szCs w:val="24"/>
        </w:rPr>
        <w:t>and</w:t>
      </w:r>
      <w:r w:rsidR="00330428" w:rsidRPr="00CB6F3B">
        <w:rPr>
          <w:rFonts w:ascii="Times New Roman" w:hAnsi="Times New Roman" w:cs="Times New Roman"/>
          <w:sz w:val="24"/>
          <w:szCs w:val="24"/>
        </w:rPr>
        <w:t xml:space="preserve"> </w:t>
      </w:r>
      <w:r w:rsidR="004A5221" w:rsidRPr="00CB6F3B">
        <w:rPr>
          <w:rFonts w:ascii="Times New Roman" w:hAnsi="Times New Roman" w:cs="Times New Roman"/>
          <w:sz w:val="24"/>
          <w:szCs w:val="24"/>
        </w:rPr>
        <w:t xml:space="preserve">sampling </w:t>
      </w:r>
      <w:r w:rsidR="00330428" w:rsidRPr="00CB6F3B">
        <w:rPr>
          <w:rFonts w:ascii="Times New Roman" w:hAnsi="Times New Roman" w:cs="Times New Roman"/>
          <w:sz w:val="24"/>
          <w:szCs w:val="24"/>
        </w:rPr>
        <w:t>design, and how the</w:t>
      </w:r>
      <w:r w:rsidR="009F002E" w:rsidRPr="00CB6F3B">
        <w:rPr>
          <w:rFonts w:ascii="Times New Roman" w:hAnsi="Times New Roman" w:cs="Times New Roman"/>
          <w:sz w:val="24"/>
          <w:szCs w:val="24"/>
        </w:rPr>
        <w:t>se</w:t>
      </w:r>
      <w:r w:rsidR="00330428" w:rsidRPr="00CB6F3B">
        <w:rPr>
          <w:rFonts w:ascii="Times New Roman" w:hAnsi="Times New Roman" w:cs="Times New Roman"/>
          <w:sz w:val="24"/>
          <w:szCs w:val="24"/>
        </w:rPr>
        <w:t xml:space="preserve"> affect measurements of diversity and community composition. We </w:t>
      </w:r>
      <w:r w:rsidR="009F002E" w:rsidRPr="00CB6F3B">
        <w:rPr>
          <w:rFonts w:ascii="Times New Roman" w:hAnsi="Times New Roman" w:cs="Times New Roman"/>
          <w:sz w:val="24"/>
          <w:szCs w:val="24"/>
        </w:rPr>
        <w:t>recommend</w:t>
      </w:r>
      <w:r w:rsidR="00330428" w:rsidRPr="00CB6F3B">
        <w:rPr>
          <w:rFonts w:ascii="Times New Roman" w:hAnsi="Times New Roman" w:cs="Times New Roman"/>
          <w:sz w:val="24"/>
          <w:szCs w:val="24"/>
        </w:rPr>
        <w:t xml:space="preserve"> analytical approaches to overcome these limitations, and outline the benchmarking and standardization of sequencing protocols may improve the comparability of the data in the future. </w:t>
      </w:r>
    </w:p>
    <w:p w14:paraId="1BA6CF0D" w14:textId="60041D29" w:rsidR="00D12C38" w:rsidRPr="00CB6F3B" w:rsidRDefault="00D12C38">
      <w:pPr>
        <w:rPr>
          <w:rFonts w:ascii="Times New Roman" w:eastAsia="Times New Roman" w:hAnsi="Times New Roman" w:cs="Times New Roman"/>
          <w:color w:val="000000"/>
          <w:sz w:val="24"/>
          <w:szCs w:val="24"/>
        </w:rPr>
      </w:pPr>
    </w:p>
    <w:p w14:paraId="3DF57532" w14:textId="1AE2F556" w:rsidR="00330428" w:rsidRPr="00CB6F3B" w:rsidRDefault="00330428">
      <w:pPr>
        <w:rPr>
          <w:rFonts w:ascii="Times New Roman" w:eastAsia="Times New Roman" w:hAnsi="Times New Roman" w:cs="Times New Roman"/>
          <w:color w:val="000000"/>
          <w:sz w:val="24"/>
          <w:szCs w:val="24"/>
        </w:rPr>
      </w:pPr>
      <w:r w:rsidRPr="00CB6F3B">
        <w:rPr>
          <w:rFonts w:ascii="Times New Roman" w:eastAsia="Times New Roman" w:hAnsi="Times New Roman" w:cs="Times New Roman"/>
          <w:color w:val="000000"/>
          <w:sz w:val="24"/>
          <w:szCs w:val="24"/>
        </w:rPr>
        <w:br w:type="page"/>
      </w:r>
    </w:p>
    <w:p w14:paraId="0FEA9B8B" w14:textId="77777777" w:rsidR="00D12C38" w:rsidRPr="00CB6F3B" w:rsidRDefault="00D12C38" w:rsidP="000D6CF3">
      <w:pPr>
        <w:jc w:val="both"/>
        <w:rPr>
          <w:rFonts w:ascii="Times New Roman" w:eastAsia="Times New Roman" w:hAnsi="Times New Roman" w:cs="Times New Roman"/>
          <w:color w:val="000000"/>
          <w:sz w:val="24"/>
          <w:szCs w:val="24"/>
        </w:rPr>
      </w:pPr>
    </w:p>
    <w:p w14:paraId="5DBB081A" w14:textId="573B5673" w:rsidR="00A573D8" w:rsidRPr="00CB6F3B" w:rsidRDefault="00A573D8" w:rsidP="00EF08AE">
      <w:pPr>
        <w:pStyle w:val="ListParagraph"/>
        <w:numPr>
          <w:ilvl w:val="0"/>
          <w:numId w:val="19"/>
        </w:numPr>
        <w:spacing w:line="480" w:lineRule="auto"/>
        <w:rPr>
          <w:rFonts w:ascii="Times New Roman" w:hAnsi="Times New Roman" w:cs="Times New Roman"/>
          <w:b/>
          <w:sz w:val="24"/>
          <w:szCs w:val="24"/>
        </w:rPr>
      </w:pPr>
      <w:r w:rsidRPr="00CB6F3B">
        <w:rPr>
          <w:rFonts w:ascii="Times New Roman" w:hAnsi="Times New Roman" w:cs="Times New Roman"/>
          <w:b/>
          <w:sz w:val="24"/>
          <w:szCs w:val="24"/>
        </w:rPr>
        <w:t>INTRODUCTION</w:t>
      </w:r>
    </w:p>
    <w:p w14:paraId="7CAE0CAC" w14:textId="020320C1" w:rsidR="00D95C66" w:rsidRPr="00CB6F3B" w:rsidRDefault="00D95C66" w:rsidP="003E420F">
      <w:pPr>
        <w:spacing w:line="480" w:lineRule="auto"/>
        <w:rPr>
          <w:rFonts w:ascii="Times New Roman" w:hAnsi="Times New Roman" w:cs="Times New Roman"/>
          <w:sz w:val="24"/>
          <w:szCs w:val="24"/>
        </w:rPr>
      </w:pPr>
      <w:bookmarkStart w:id="4" w:name="_Hlk37680431"/>
      <w:r w:rsidRPr="00CB6F3B">
        <w:rPr>
          <w:rFonts w:ascii="Times New Roman" w:hAnsi="Times New Roman" w:cs="Times New Roman"/>
          <w:sz w:val="24"/>
          <w:szCs w:val="24"/>
        </w:rPr>
        <w:t>N</w:t>
      </w:r>
      <w:r w:rsidR="00A977C5" w:rsidRPr="00CB6F3B">
        <w:rPr>
          <w:rFonts w:ascii="Times New Roman" w:hAnsi="Times New Roman" w:cs="Times New Roman"/>
          <w:sz w:val="24"/>
          <w:szCs w:val="24"/>
        </w:rPr>
        <w:t>ext generation sequencing technologies ha</w:t>
      </w:r>
      <w:r w:rsidR="007360DA" w:rsidRPr="00CB6F3B">
        <w:rPr>
          <w:rFonts w:ascii="Times New Roman" w:hAnsi="Times New Roman" w:cs="Times New Roman"/>
          <w:sz w:val="24"/>
          <w:szCs w:val="24"/>
        </w:rPr>
        <w:t>ve</w:t>
      </w:r>
      <w:r w:rsidR="00A977C5" w:rsidRPr="00CB6F3B">
        <w:rPr>
          <w:rFonts w:ascii="Times New Roman" w:hAnsi="Times New Roman" w:cs="Times New Roman"/>
          <w:sz w:val="24"/>
          <w:szCs w:val="24"/>
        </w:rPr>
        <w:t xml:space="preserve"> revolutionized microbial ecology</w:t>
      </w:r>
      <w:r w:rsidR="008908FE" w:rsidRPr="00CB6F3B">
        <w:rPr>
          <w:rFonts w:ascii="Times New Roman" w:hAnsi="Times New Roman" w:cs="Times New Roman"/>
          <w:sz w:val="24"/>
          <w:szCs w:val="24"/>
        </w:rPr>
        <w:t xml:space="preserve">, revealing the extensive diversity of bacteria and archaea in our planet </w:t>
      </w:r>
      <w:r w:rsidR="008908FE"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{"citationItems":[{"id":"ITEM-1","itemData":{"author":[{"dropping-particle":"","family":"Thompson","given":"Luke R","non-dropping-particle":"","parse-names":false,"suffix":""},{"dropping-particle":"","family":"Sanders","given":"Jon G","non-dropping-particle":"","parse-names":false,"suffix":""},{"dropping-particle":"","family":"McDonald","given":"Daniel","non-dropping-particle":"","parse-names":false,"suffix":""},{"dropping-particle":"","family":"Amir","given":"Amnon","non-dropping-particle":"","parse-names":false,"suffix":""},{"dropping-particle":"","family":"Ladau","given":"Joshua","non-dropping-particle":"","parse-names":false,"suffix":""},{"dropping-particle":"","family":"Locey","given":"Kenneth J","non-dropping-particle":"","parse-names":false,"suffix":""},{"dropping-particle":"","family":"Prill","given":"Robert J","non-dropping-particle":"","parse-names":false,"suffix":""},{"dropping-particle":"","family":"Tripathi","given":"Anupriya","non-dropping-particle":"","parse-names":false,"suffix":""},{"dropping-particle":"","family":"Gibbons","given":"Sean M","non-dropping-particle":"","parse-names":false,"suffix":""},{"dropping-particle":"","family":"Ackermann","given":"Gail","non-dropping-particle":"","parse-names":false,"suffix":""},{"dropping-particle":"","family":"Navas-Molina","given":"Jose A","non-dropping-particle":"","parse-names":false,"suffix":""},{"dropping-particle":"","family":"Janssen","given":"Stefan","non-dropping-particle":"","parse-names":false,"suffix":""},{"dropping-particle":"","family":"Kopylova","given":"Evguenia","non-dropping-particle":"","parse-names":false,"suffix":""},{"dropping-particle":"","family":"Vázquez-Baeza","given":"Yoshiki","non-dropping-particle":"","parse-names":false,"suffix":""},{"dropping-particle":"","family":"González","given":"Antonio","non-dropping-particle":"","parse-names":false,"suffix":""},{"dropping-particle":"","family":"Morton","given":"James T","non-dropping-particle":"","parse-names":false,"suffix":""},{"dropping-particle":"","family":"Mirarab","given":"Siavash","non-dropping-particle":"","parse-names":false,"suffix":""},{"dropping-particle":"","family":"Zech Xu","given":"Zhenjiang","non-dropping-particle":"","parse-names":false,"suffix":""},{"dropping-particle":"","family":"Jiang","given":"Lingjing","non-dropping-particle":"","parse-names":false,"suffix":""},{"dropping-particle":"","family":"Haroon","given":"Mohamed F","non-dropping-particle":"","parse-names":false,"suffix":""},{"dropping-particle":"","family":"Kanbar","given":"Jad","non-dropping-particle":"","parse-names":false,"suffix":""},{"dropping-particle":"","family":"Zhu","given":"Qiyun","non-dropping-particle":"","parse-names":false,"suffix":""},{"dropping-particle":"","family":"Jin Song","given":"Se","non-dropping-particle":"","parse-names":false,"suffix":""},{"dropping-particle":"","family":"Kosciolek","given":"Tomasz","non-dropping-particle":"","parse-names":false,"suffix":""},{"dropping-particle":"","family":"Bokulich","given":"Nicholas A","non-dropping-particle":"","parse-names":false,"suffix":""},{"dropping-particle":"","family":"Lefler","given":"Joshua","non-dropping-particle":"","parse-names":false,"suffix":""},{"dropping-particle":"","family":"Brislawn","given":"Colin J","non-dropping-particle":"","parse-names":false,"suffix":""},{"dropping-particle":"","family":"Humphrey","given":"Gregory","non-dropping-particle":"","parse-names":false,"suffix":""},{"dropping-particle":"","family":"Owens","given":"Sarah M","non-dropping-particle":"","parse-names":false,"suffix":""},{"dropping-particle":"","family":"Hampton-Marcell","given":"Jarrad","non-dropping-particle":"","parse-names":false,"suffix":""},{"dropping-particle":"","family":"Berg-Lyons","given":"Donna","non-dropping-particle":"","parse-names":false,"suffix":""},{"dropping-particle":"","family":"McKenzie","given":"Valerie","non-dropping-particle":"","parse-names":false,"suffix":""},{"dropping-particle":"","family":"Fierer","given":"Noah","non-dropping-particle":"","parse-names":false,"suffix":""},{"dropping-particle":"","family":"Fuhrman","given":"Jed A","non-dropping-particle":"","parse-names":false,"suffix":""},{"dropping-particle":"","family":"Clauset","given":"Aaron","non-dropping-particle":"","parse-names":false,"suffix":""},{"dropping-particle":"","family":"Stevens","given":"Rick L","non-dropping-particle":"","parse-names":false,"suffix":""},{"dropping-particle":"","family":"Shade","given":"Ashley","non-dropping-particle":"","parse-names":false,"suffix":""},{"dropping-particle":"","family":"Pollard","given":"Katherine S","non-dropping-particle":"","parse-names":false,"suffix":""},{"dropping-particle":"","family":"Goodwin","given":"Kelly D","non-dropping-particle":"","parse-names":false,"suffix":""},{"dropping-particle":"","family":"Jansson","given":"Janet K","non-dropping-particle":"","parse-names":false,"suffix":""},{"dropping-particle":"","family":"Gilbert","given":"Jack A","non-dropping-particle":"","parse-names":false,"suffix":""},{"dropping-particle":"","family":"Knight","given":"Rob","non-dropping-particle":"","parse-names":false,"suffix":""},{"dropping-particle":"","family":"Consortium","given":"The Earth Microbiome Project","non-dropping-particle":"","parse-names":false,"suffix":""}],"container-title":"Nature","id":"ITEM-1","issued":{"date-parts":[["2017","11","1"]]},"publisher":"The Author(s)","title":"A communal catalogue reveals Earth’s multiscale microbial diversity","type":"article-journal"},"uris":["http://www.mendeley.com/documents/?uuid=476f49f9-b2a0-4c28-8512-0f9e05373614"]},{"id":"ITEM-2","itemData":{"DOI":"10.1038/ismej.2010.171","ISSN":"1751-7370","abstract":"Archaea, primarily Crenarchaeota, are common in soil; however, the structure of soil archaeal communities and the factors regulating their diversity and abundance remain poorly understood. Here, we used barcoded pyrosequencing to comprehensively survey archaeal and bacterial communities in 146 soils, representing a multitude of soil and ecosystem types from across the globe. Relative archaeal abundance, the percentage of all 16S rRNA gene sequences recovered that were archaeal, averaged 2% across all soils and ranged from 0% to &gt;10% in individual soils. Soil C:N ratio was the only factor consistently correlated with archaeal relative abundances, being higher in soils with lower C:N ratios. Soil archaea communities were dominated by just two phylotypes from a constrained clade within the Crenarchaeota, which together accounted for &gt;70% of all archaeal sequences obtained in the survey. As one of these phylotypes was closely related to a previously identified putative ammonia oxidizer, we sampled from two long-term nitrogen (N) addition experiments to determine if this taxon responds to experimental manipulations of N availability. Contrary to expectations, the abundance of this dominant taxon, as well as archaea overall, tended to decline with increasing N. This trend was coupled with a concurrent increase in known N-oxidizing bacteria, suggesting competitive interactions between these groups.","author":[{"dropping-particle":"","family":"Bates","given":"Scott T","non-dropping-particle":"","parse-names":false,"suffix":""},{"dropping-particle":"","family":"Berg-Lyons","given":"Donna","non-dropping-particle":"","parse-names":false,"suffix":""},{"dropping-particle":"","family":"Caporaso","given":"J Gregory","non-dropping-particle":"","parse-names":false,"suffix":""},{"dropping-particle":"","family":"Walters","given":"William A","non-dropping-particle":"","parse-names":false,"suffix":""},{"dropping-particle":"","family":"Knight","given":"Rob","non-dropping-particle":"","parse-names":false,"suffix":""},{"dropping-particle":"","family":"Fierer","given":"Noah","non-dropping-particle":"","parse-names":false,"suffix":""}],"container-title":"The ISME Journal","id":"ITEM-2","issue":"5","issued":{"date-parts":[["2011"]]},"page":"908-917","title":"Examining the global distribution of dominant archaeal populations in soil","type":"article-journal","volume":"5"},"uris":["http://www.mendeley.com/documents/?uuid=3b776e76-9c83-40c8-85e7-bc122818227a"]}],"mendeley":{"formattedCitation":"[1, 2]","plainTextFormattedCitation":"[1, 2]","previouslyFormattedCitation":"[1, 2]"},"properties":{"noteIndex":0},"schema":"https://github.com/citation-style-language/schema/raw/master/csl-citation.json"}</w:instrText>
      </w:r>
      <w:r w:rsidR="008908FE"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[1, 2]</w:t>
      </w:r>
      <w:r w:rsidR="008908FE" w:rsidRPr="00CB6F3B">
        <w:rPr>
          <w:rFonts w:ascii="Times New Roman" w:hAnsi="Times New Roman" w:cs="Times New Roman"/>
          <w:sz w:val="24"/>
          <w:szCs w:val="24"/>
        </w:rPr>
        <w:fldChar w:fldCharType="end"/>
      </w:r>
      <w:r w:rsidR="008908FE" w:rsidRPr="00CB6F3B">
        <w:rPr>
          <w:rFonts w:ascii="Times New Roman" w:hAnsi="Times New Roman" w:cs="Times New Roman"/>
          <w:sz w:val="24"/>
          <w:szCs w:val="24"/>
        </w:rPr>
        <w:t>, and providing insights into the</w:t>
      </w:r>
      <w:r w:rsidR="00862D09" w:rsidRPr="00CB6F3B">
        <w:rPr>
          <w:rFonts w:ascii="Times New Roman" w:hAnsi="Times New Roman" w:cs="Times New Roman"/>
          <w:sz w:val="24"/>
          <w:szCs w:val="24"/>
        </w:rPr>
        <w:t>ir</w:t>
      </w:r>
      <w:r w:rsidR="008908FE" w:rsidRPr="00CB6F3B">
        <w:rPr>
          <w:rFonts w:ascii="Times New Roman" w:hAnsi="Times New Roman" w:cs="Times New Roman"/>
          <w:sz w:val="24"/>
          <w:szCs w:val="24"/>
        </w:rPr>
        <w:t xml:space="preserve"> ecology </w:t>
      </w:r>
      <w:r w:rsidR="008908FE"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{"citationItems":[{"id":"ITEM-1","itemData":{"ISBN":"0027-8424","author":[{"dropping-particle":"","family":"Fierer","given":"","non-dropping-particle":"","parse-names":false,"suffix":""},{"dropping-particle":"","family":"Jackson","given":"R. B.","non-dropping-particle":"","parse-names":false,"suffix":""}],"container-title":"Proceedings of the National Academy of Sciences of the United States of America","id":"ITEM-1","issue":"3","issued":{"date-parts":[["2006"]]},"page":"626-631","title":"The diversity and biogeography of soil bacterial communities","type":"article-journal","volume":"103"},"uris":["http://www.mendeley.com/documents/?uuid=69dd193f-ad87-436f-9bd7-43b3848a94f9"]},{"id":"ITEM-2","itemData":{"DOI":"10.1038/nrmicro1341","ISSN":"1740-1526","PMID":"16415926","abstract":"We review the biogeography of microorganisms in light of the biogeography of macroorganisms. A large body of research supports the idea that free-living microbial taxa exhibit biogeographic patterns. Current evidence confirms that, as proposed by the Baas-Becking hypothesis, 'the environment selects' and is, in part, responsible for spatial variation in microbial diversity. However, recent studies also dispute the idea that 'everything is everywhere'. We also consider how the processes that generate and maintain biogeographic patterns in macroorganisms could operate in the microbial world.","author":[{"dropping-particle":"","family":"Martiny","given":"Jennifer B Hughes","non-dropping-particle":"","parse-names":false,"suffix":""},{"dropping-particle":"","family":"Bohannan","given":"Brendan J M","non-dropping-particle":"","parse-names":false,"suffix":""},{"dropping-particle":"","family":"Brown","given":"James H","non-dropping-particle":"","parse-names":false,"suffix":""},{"dropping-particle":"","family":"Colwell","given":"Robert K","non-dropping-particle":"","parse-names":false,"suffix":""},{"dropping-particle":"","family":"Fuhrman","given":"Jed A","non-dropping-particle":"","parse-names":false,"suffix":""},{"dropping-particle":"","family":"Green","given":"Jessica L","non-dropping-particle":"","parse-names":false,"suffix":""},{"dropping-particle":"","family":"Horner-Devine","given":"M Claire","non-dropping-particle":"","parse-names":false,"suffix":""},{"dropping-particle":"","family":"Kane","given":"Matthew","non-dropping-particle":"","parse-names":false,"suffix":""},{"dropping-particle":"","family":"Krumins","given":"Jennifer Adams","non-dropping-particle":"","parse-names":false,"suffix":""},{"dropping-particle":"","family":"Kuske","given":"Cheryl R","non-dropping-particle":"","parse-names":false,"suffix":""},{"dropping-particle":"","family":"Morin","given":"Peter J","non-dropping-particle":"","parse-names":false,"suffix":""},{"dropping-particle":"","family":"Naeem","given":"Shahid","non-dropping-particle":"","parse-names":false,"suffix":""},{"dropping-particle":"","family":"Ovreås","given":"Lise","non-dropping-particle":"","parse-names":false,"suffix":""},{"dropping-particle":"","family":"Reysenbach","given":"Anna-Louise","non-dropping-particle":"","parse-names":false,"suffix":""},{"dropping-particle":"","family":"Smith","given":"Val H","non-dropping-particle":"","parse-names":false,"suffix":""},{"dropping-particle":"","family":"Staley","given":"James T","non-dropping-particle":"","parse-names":false,"suffix":""}],"container-title":"Nat. Rev. Microbiol.","id":"ITEM-2","issue":"2","issued":{"date-parts":[["2006","2"]]},"page":"102-12","title":"Microbial biogeography: putting microorganisms on the map.","type":"article-journal","volume":"4"},"uris":["http://www.mendeley.com/documents/?uuid=91e72c64-f6d2-42df-a22a-809cf7d0bc0b"]}],"mendeley":{"formattedCitation":"[3, 4]","plainTextFormattedCitation":"[3, 4]","previouslyFormattedCitation":"[3, 4]"},"properties":{"noteIndex":0},"schema":"https://github.com/citation-style-language/schema/raw/master/csl-citation.json"}</w:instrText>
      </w:r>
      <w:r w:rsidR="008908FE"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[3, 4]</w:t>
      </w:r>
      <w:r w:rsidR="008908FE" w:rsidRPr="00CB6F3B">
        <w:rPr>
          <w:rFonts w:ascii="Times New Roman" w:hAnsi="Times New Roman" w:cs="Times New Roman"/>
          <w:sz w:val="24"/>
          <w:szCs w:val="24"/>
        </w:rPr>
        <w:fldChar w:fldCharType="end"/>
      </w:r>
      <w:r w:rsidR="008908FE" w:rsidRPr="00CB6F3B">
        <w:rPr>
          <w:rFonts w:ascii="Times New Roman" w:hAnsi="Times New Roman" w:cs="Times New Roman"/>
          <w:sz w:val="24"/>
          <w:szCs w:val="24"/>
        </w:rPr>
        <w:t>.</w:t>
      </w:r>
      <w:r w:rsidR="00A977C5" w:rsidRPr="00CB6F3B">
        <w:rPr>
          <w:rFonts w:ascii="Times New Roman" w:hAnsi="Times New Roman" w:cs="Times New Roman"/>
          <w:sz w:val="24"/>
          <w:szCs w:val="24"/>
        </w:rPr>
        <w:t xml:space="preserve"> </w:t>
      </w:r>
      <w:bookmarkEnd w:id="4"/>
      <w:r w:rsidR="002A640E" w:rsidRPr="00CB6F3B">
        <w:rPr>
          <w:rFonts w:ascii="Times New Roman" w:hAnsi="Times New Roman" w:cs="Times New Roman"/>
          <w:sz w:val="24"/>
          <w:szCs w:val="24"/>
        </w:rPr>
        <w:t>T</w:t>
      </w:r>
      <w:r w:rsidR="008908FE" w:rsidRPr="00CB6F3B">
        <w:rPr>
          <w:rFonts w:ascii="Times New Roman" w:hAnsi="Times New Roman" w:cs="Times New Roman"/>
          <w:sz w:val="24"/>
          <w:szCs w:val="24"/>
        </w:rPr>
        <w:t xml:space="preserve">he popularity of </w:t>
      </w:r>
      <w:r w:rsidR="00A977C5" w:rsidRPr="00CB6F3B">
        <w:rPr>
          <w:rFonts w:ascii="Times New Roman" w:hAnsi="Times New Roman" w:cs="Times New Roman"/>
          <w:sz w:val="24"/>
          <w:szCs w:val="24"/>
        </w:rPr>
        <w:t>amplicon sequencing</w:t>
      </w:r>
      <w:r w:rsidR="008908FE" w:rsidRPr="00CB6F3B">
        <w:rPr>
          <w:rFonts w:ascii="Times New Roman" w:hAnsi="Times New Roman" w:cs="Times New Roman"/>
          <w:sz w:val="24"/>
          <w:szCs w:val="24"/>
        </w:rPr>
        <w:t xml:space="preserve">, </w:t>
      </w:r>
      <w:r w:rsidR="00862D09" w:rsidRPr="00CB6F3B">
        <w:rPr>
          <w:rFonts w:ascii="Times New Roman" w:hAnsi="Times New Roman" w:cs="Times New Roman"/>
          <w:sz w:val="24"/>
          <w:szCs w:val="24"/>
        </w:rPr>
        <w:t>where</w:t>
      </w:r>
      <w:r w:rsidR="008908FE" w:rsidRPr="00CB6F3B">
        <w:rPr>
          <w:rFonts w:ascii="Times New Roman" w:hAnsi="Times New Roman" w:cs="Times New Roman"/>
          <w:sz w:val="24"/>
          <w:szCs w:val="24"/>
        </w:rPr>
        <w:t xml:space="preserve"> a section of a universal marker gene is amplified and sequenced, has soared over the past decade. In soil, amplicon sequencing of the </w:t>
      </w:r>
      <w:r w:rsidR="00A977C5" w:rsidRPr="00CB6F3B">
        <w:rPr>
          <w:rFonts w:ascii="Times New Roman" w:hAnsi="Times New Roman" w:cs="Times New Roman"/>
          <w:sz w:val="24"/>
          <w:szCs w:val="24"/>
        </w:rPr>
        <w:t>16S rRNA gene</w:t>
      </w:r>
      <w:r w:rsidRPr="00CB6F3B">
        <w:rPr>
          <w:rFonts w:ascii="Times New Roman" w:hAnsi="Times New Roman" w:cs="Times New Roman"/>
          <w:sz w:val="24"/>
          <w:szCs w:val="24"/>
        </w:rPr>
        <w:t xml:space="preserve"> has been </w:t>
      </w:r>
      <w:r w:rsidR="008908FE" w:rsidRPr="00CB6F3B">
        <w:rPr>
          <w:rFonts w:ascii="Times New Roman" w:hAnsi="Times New Roman" w:cs="Times New Roman"/>
          <w:sz w:val="24"/>
          <w:szCs w:val="24"/>
        </w:rPr>
        <w:t xml:space="preserve">especially useful, as soil </w:t>
      </w:r>
      <w:r w:rsidRPr="00CB6F3B">
        <w:rPr>
          <w:rFonts w:ascii="Times New Roman" w:hAnsi="Times New Roman" w:cs="Times New Roman"/>
          <w:sz w:val="24"/>
          <w:szCs w:val="24"/>
        </w:rPr>
        <w:t>prokaryotes</w:t>
      </w:r>
      <w:r w:rsidR="008908FE" w:rsidRPr="00CB6F3B">
        <w:rPr>
          <w:rFonts w:ascii="Times New Roman" w:hAnsi="Times New Roman" w:cs="Times New Roman"/>
          <w:sz w:val="24"/>
          <w:szCs w:val="24"/>
        </w:rPr>
        <w:t xml:space="preserve"> remain largely uncultured </w:t>
      </w:r>
      <w:r w:rsidR="0018224B" w:rsidRPr="00CB6F3B">
        <w:rPr>
          <w:rFonts w:ascii="Times New Roman" w:hAnsi="Times New Roman" w:cs="Times New Roman"/>
          <w:sz w:val="24"/>
          <w:szCs w:val="24"/>
        </w:rPr>
        <w:t xml:space="preserve">but </w:t>
      </w:r>
      <w:r w:rsidRPr="00CB6F3B">
        <w:rPr>
          <w:rFonts w:ascii="Times New Roman" w:hAnsi="Times New Roman" w:cs="Times New Roman"/>
          <w:sz w:val="24"/>
          <w:szCs w:val="24"/>
        </w:rPr>
        <w:t xml:space="preserve">are extremely diverse and </w:t>
      </w:r>
      <w:r w:rsidR="0018224B" w:rsidRPr="00CB6F3B">
        <w:rPr>
          <w:rFonts w:ascii="Times New Roman" w:hAnsi="Times New Roman" w:cs="Times New Roman"/>
          <w:sz w:val="24"/>
          <w:szCs w:val="24"/>
        </w:rPr>
        <w:t>perform key ecosystem functions</w:t>
      </w:r>
      <w:r w:rsidRPr="00CB6F3B">
        <w:rPr>
          <w:rFonts w:ascii="Times New Roman" w:hAnsi="Times New Roman" w:cs="Times New Roman"/>
          <w:sz w:val="24"/>
          <w:szCs w:val="24"/>
        </w:rPr>
        <w:t xml:space="preserve"> </w:t>
      </w:r>
      <w:r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{"citationItems":[{"id":"ITEM-1","itemData":{"DOI":"10.1038/s41396-019-0484-y","ISSN":"1751-7362","author":[{"dropping-particle":"","family":"Steen","given":"Andrew D.","non-dropping-particle":"","parse-names":false,"suffix":""},{"dropping-particle":"","family":"Crits-Christoph","given":"Alexander","non-dropping-particle":"","parse-names":false,"suffix":""},{"dropping-particle":"","family":"Carini","given":"Paul","non-dropping-particle":"","parse-names":false,"suffix":""},{"dropping-particle":"","family":"DeAngelis","given":"Kristen M.","non-dropping-particle":"","parse-names":false,"suffix":""},{"dropping-particle":"","family":"Fierer","given":"Noah","non-dropping-particle":"","parse-names":false,"suffix":""},{"dropping-particle":"","family":"Lloyd","given":"Karen G.","non-dropping-particle":"","parse-names":false,"suffix":""},{"dropping-particle":"","family":"Cameron Thrash","given":"J.","non-dropping-particle":"","parse-names":false,"suffix":""}],"container-title":"The ISME Journal","id":"ITEM-1","issued":{"date-parts":[["2019"]]},"publisher":"Springer US","title":"High proportions of bacteria and archaea across most biomes remain uncultured","type":"article-journal"},"uris":["http://www.mendeley.com/documents/?uuid=583abad0-1049-457d-9bed-1f8d5c2fca1e"]}],"mendeley":{"formattedCitation":"[5]","plainTextFormattedCitation":"[5]","previouslyFormattedCitation":"[5]"},"properties":{"noteIndex":0},"schema":"https://github.com/citation-style-language/schema/raw/master/csl-citation.json"}</w:instrText>
      </w:r>
      <w:r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[5]</w:t>
      </w:r>
      <w:r w:rsidRPr="00CB6F3B">
        <w:rPr>
          <w:rFonts w:ascii="Times New Roman" w:hAnsi="Times New Roman" w:cs="Times New Roman"/>
          <w:sz w:val="24"/>
          <w:szCs w:val="24"/>
        </w:rPr>
        <w:fldChar w:fldCharType="end"/>
      </w:r>
      <w:r w:rsidR="003C564C" w:rsidRPr="00CB6F3B">
        <w:rPr>
          <w:rFonts w:ascii="Times New Roman" w:hAnsi="Times New Roman" w:cs="Times New Roman"/>
          <w:sz w:val="24"/>
          <w:szCs w:val="24"/>
        </w:rPr>
        <w:t xml:space="preserve">. </w:t>
      </w:r>
    </w:p>
    <w:p w14:paraId="11F69894" w14:textId="2FA09F5E" w:rsidR="00D95C66" w:rsidRPr="00CB6F3B" w:rsidRDefault="00A2018D" w:rsidP="00D95C66">
      <w:pPr>
        <w:spacing w:line="480" w:lineRule="auto"/>
        <w:rPr>
          <w:rFonts w:ascii="Times New Roman" w:hAnsi="Times New Roman" w:cs="Times New Roman"/>
          <w:sz w:val="24"/>
          <w:szCs w:val="24"/>
        </w:rPr>
      </w:pPr>
      <w:r w:rsidRPr="00CB6F3B">
        <w:rPr>
          <w:rFonts w:ascii="Times New Roman" w:hAnsi="Times New Roman" w:cs="Times New Roman"/>
          <w:sz w:val="24"/>
          <w:szCs w:val="24"/>
        </w:rPr>
        <w:t>Soil eukaryotes, includ</w:t>
      </w:r>
      <w:r w:rsidR="00021A60" w:rsidRPr="00CB6F3B">
        <w:rPr>
          <w:rFonts w:ascii="Times New Roman" w:hAnsi="Times New Roman" w:cs="Times New Roman"/>
          <w:sz w:val="24"/>
          <w:szCs w:val="24"/>
        </w:rPr>
        <w:t>ing</w:t>
      </w:r>
      <w:r w:rsidRPr="00CB6F3B">
        <w:rPr>
          <w:rFonts w:ascii="Times New Roman" w:hAnsi="Times New Roman" w:cs="Times New Roman"/>
          <w:sz w:val="24"/>
          <w:szCs w:val="24"/>
        </w:rPr>
        <w:t xml:space="preserve"> protists, worms, arthropods, fungi, </w:t>
      </w:r>
      <w:r w:rsidR="008923CD" w:rsidRPr="00CB6F3B">
        <w:rPr>
          <w:rFonts w:ascii="Times New Roman" w:hAnsi="Times New Roman" w:cs="Times New Roman"/>
          <w:sz w:val="24"/>
          <w:szCs w:val="24"/>
        </w:rPr>
        <w:t xml:space="preserve">plant roots, </w:t>
      </w:r>
      <w:r w:rsidR="00262312" w:rsidRPr="00CB6F3B">
        <w:rPr>
          <w:rFonts w:ascii="Times New Roman" w:hAnsi="Times New Roman" w:cs="Times New Roman"/>
          <w:sz w:val="24"/>
          <w:szCs w:val="24"/>
        </w:rPr>
        <w:t xml:space="preserve">and </w:t>
      </w:r>
      <w:r w:rsidRPr="00CB6F3B">
        <w:rPr>
          <w:rFonts w:ascii="Times New Roman" w:hAnsi="Times New Roman" w:cs="Times New Roman"/>
          <w:sz w:val="24"/>
          <w:szCs w:val="24"/>
        </w:rPr>
        <w:t>others</w:t>
      </w:r>
      <w:r w:rsidR="00862D09" w:rsidRPr="00CB6F3B">
        <w:rPr>
          <w:rFonts w:ascii="Times New Roman" w:hAnsi="Times New Roman" w:cs="Times New Roman"/>
          <w:sz w:val="24"/>
          <w:szCs w:val="24"/>
        </w:rPr>
        <w:t>,</w:t>
      </w:r>
      <w:r w:rsidRPr="00CB6F3B">
        <w:rPr>
          <w:rFonts w:ascii="Times New Roman" w:hAnsi="Times New Roman" w:cs="Times New Roman"/>
          <w:sz w:val="24"/>
          <w:szCs w:val="24"/>
        </w:rPr>
        <w:t xml:space="preserve"> have </w:t>
      </w:r>
      <w:r w:rsidR="00262312" w:rsidRPr="00CB6F3B">
        <w:rPr>
          <w:rFonts w:ascii="Times New Roman" w:hAnsi="Times New Roman" w:cs="Times New Roman"/>
          <w:sz w:val="24"/>
          <w:szCs w:val="24"/>
        </w:rPr>
        <w:t xml:space="preserve">received comparatively less attention. This is due to technological difficulties associated with </w:t>
      </w:r>
      <w:r w:rsidRPr="00CB6F3B">
        <w:rPr>
          <w:rFonts w:ascii="Times New Roman" w:hAnsi="Times New Roman" w:cs="Times New Roman"/>
          <w:sz w:val="24"/>
          <w:szCs w:val="24"/>
        </w:rPr>
        <w:t>sampling</w:t>
      </w:r>
      <w:r w:rsidR="008908FE" w:rsidRPr="00CB6F3B">
        <w:rPr>
          <w:rFonts w:ascii="Times New Roman" w:hAnsi="Times New Roman" w:cs="Times New Roman"/>
          <w:sz w:val="24"/>
          <w:szCs w:val="24"/>
        </w:rPr>
        <w:t>,</w:t>
      </w:r>
      <w:r w:rsidR="00DD1F77" w:rsidRPr="00CB6F3B">
        <w:rPr>
          <w:rFonts w:ascii="Times New Roman" w:hAnsi="Times New Roman" w:cs="Times New Roman"/>
          <w:sz w:val="24"/>
          <w:szCs w:val="24"/>
        </w:rPr>
        <w:t xml:space="preserve"> including the complexity and heterogeneity of the soil matrix </w:t>
      </w:r>
      <w:r w:rsidR="00042852"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{"citationItems":[{"id":"ITEM-1","itemData":{"ISBN":"927948169X","author":[{"dropping-particle":"","family":"Orgiazzi","given":"Alberto","non-dropping-particle":"","parse-names":false,"suffix":""},{"dropping-particle":"","family":"Bardgett","given":"Richard D","non-dropping-particle":"","parse-names":false,"suffix":""},{"dropping-particle":"","family":"Barrios","given":"Edmundo","non-dropping-particle":"","parse-names":false,"suffix":""}],"id":"ITEM-1","issued":{"date-parts":[["2016"]]},"publisher":"European Commission","title":"Global soil biodiversity atlas.","type":"book"},"uris":["http://www.mendeley.com/documents/?uuid=1b053b0b-867c-484c-8e8a-a89aeb870e50"]}],"mendeley":{"formattedCitation":"[6]","plainTextFormattedCitation":"[6]","previouslyFormattedCitation":"[6]"},"properties":{"noteIndex":0},"schema":"https://github.com/citation-style-language/schema/raw/master/csl-citation.json"}</w:instrText>
      </w:r>
      <w:r w:rsidR="00042852"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[6]</w:t>
      </w:r>
      <w:r w:rsidR="00042852" w:rsidRPr="00CB6F3B">
        <w:rPr>
          <w:rFonts w:ascii="Times New Roman" w:hAnsi="Times New Roman" w:cs="Times New Roman"/>
          <w:sz w:val="24"/>
          <w:szCs w:val="24"/>
        </w:rPr>
        <w:fldChar w:fldCharType="end"/>
      </w:r>
      <w:r w:rsidRPr="00CB6F3B">
        <w:rPr>
          <w:rFonts w:ascii="Times New Roman" w:hAnsi="Times New Roman" w:cs="Times New Roman"/>
          <w:sz w:val="24"/>
          <w:szCs w:val="24"/>
        </w:rPr>
        <w:t xml:space="preserve">. </w:t>
      </w:r>
      <w:bookmarkStart w:id="5" w:name="_Hlk48227449"/>
      <w:r w:rsidR="00262312" w:rsidRPr="00CB6F3B">
        <w:rPr>
          <w:rFonts w:ascii="Times New Roman" w:hAnsi="Times New Roman" w:cs="Times New Roman"/>
          <w:sz w:val="24"/>
          <w:szCs w:val="24"/>
        </w:rPr>
        <w:t>Consequently</w:t>
      </w:r>
      <w:r w:rsidR="00DD1F77" w:rsidRPr="00CB6F3B">
        <w:rPr>
          <w:rFonts w:ascii="Times New Roman" w:hAnsi="Times New Roman" w:cs="Times New Roman"/>
          <w:sz w:val="24"/>
          <w:szCs w:val="24"/>
        </w:rPr>
        <w:t>, d</w:t>
      </w:r>
      <w:r w:rsidR="00D95C66" w:rsidRPr="00CB6F3B">
        <w:rPr>
          <w:rFonts w:ascii="Times New Roman" w:hAnsi="Times New Roman" w:cs="Times New Roman"/>
          <w:sz w:val="24"/>
          <w:szCs w:val="24"/>
        </w:rPr>
        <w:t xml:space="preserve">ata on the diversity and distributions of soil meso- and macrofauna are </w:t>
      </w:r>
      <w:r w:rsidR="00DD1F77" w:rsidRPr="00CB6F3B">
        <w:rPr>
          <w:rFonts w:ascii="Times New Roman" w:hAnsi="Times New Roman" w:cs="Times New Roman"/>
          <w:sz w:val="24"/>
          <w:szCs w:val="24"/>
        </w:rPr>
        <w:t>limited</w:t>
      </w:r>
      <w:r w:rsidR="00D95C66" w:rsidRPr="00CB6F3B">
        <w:rPr>
          <w:rFonts w:ascii="Times New Roman" w:hAnsi="Times New Roman" w:cs="Times New Roman"/>
          <w:sz w:val="24"/>
          <w:szCs w:val="24"/>
        </w:rPr>
        <w:t xml:space="preserve"> </w:t>
      </w:r>
      <w:r w:rsidR="00AA2E41"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{"citationItems":[{"id":"ITEM-1","itemData":{"DOI":"10.1038/s41559-018-0573-8.Global","ISBN":"4155901805738","author":[{"dropping-particle":"","family":"Cameron","given":"Erin K","non-dropping-particle":"","parse-names":false,"suffix":""},{"dropping-particle":"","family":"Martins","given":"Inês S","non-dropping-particle":"","parse-names":false,"suffix":""},{"dropping-particle":"","family":"Lavelle","given":"Patrick","non-dropping-particle":"","parse-names":false,"suffix":""},{"dropping-particle":"","family":"Mathieu","given":"Jérôme","non-dropping-particle":"","parse-names":false,"suffix":""},{"dropping-particle":"","family":"Gottschall","given":"Felix","non-dropping-particle":"","parse-names":false,"suffix":""},{"dropping-particle":"","family":"Guerra","given":"Carlos A","non-dropping-particle":"","parse-names":false,"suffix":""},{"dropping-particle":"","family":"Hines","given":"Jes","non-dropping-particle":"","parse-names":false,"suffix":""},{"dropping-particle":"","family":"Patoine","given":"Guillaume","non-dropping-particle":"","parse-names":false,"suffix":""}],"container-title":"Nature Ecology &amp; Evolution","id":"ITEM-1","issue":"7","issued":{"date-parts":[["2019"]]},"page":"1042-1043","title":"Global gaps in soil biodiversity data","type":"article-journal","volume":"2018"},"uris":["http://www.mendeley.com/documents/?uuid=b3f7bf42-f8e9-4e53-9f5f-fa27f59233bb"]}],"mendeley":{"formattedCitation":"[7]","plainTextFormattedCitation":"[7]","previouslyFormattedCitation":"[7]"},"properties":{"noteIndex":0},"schema":"https://github.com/citation-style-language/schema/raw/master/csl-citation.json"}</w:instrText>
      </w:r>
      <w:r w:rsidR="00AA2E41"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[7]</w:t>
      </w:r>
      <w:r w:rsidR="00AA2E41" w:rsidRPr="00CB6F3B">
        <w:rPr>
          <w:rFonts w:ascii="Times New Roman" w:hAnsi="Times New Roman" w:cs="Times New Roman"/>
          <w:sz w:val="24"/>
          <w:szCs w:val="24"/>
        </w:rPr>
        <w:fldChar w:fldCharType="end"/>
      </w:r>
      <w:r w:rsidR="00AA2E41" w:rsidRPr="00CB6F3B">
        <w:rPr>
          <w:rFonts w:ascii="Times New Roman" w:hAnsi="Times New Roman" w:cs="Times New Roman"/>
          <w:sz w:val="24"/>
          <w:szCs w:val="24"/>
        </w:rPr>
        <w:t>,</w:t>
      </w:r>
      <w:r w:rsidR="00D95C66" w:rsidRPr="00CB6F3B">
        <w:rPr>
          <w:rFonts w:ascii="Times New Roman" w:hAnsi="Times New Roman" w:cs="Times New Roman"/>
          <w:sz w:val="24"/>
          <w:szCs w:val="24"/>
        </w:rPr>
        <w:t xml:space="preserve"> </w:t>
      </w:r>
      <w:r w:rsidR="00AA2E41" w:rsidRPr="00CB6F3B">
        <w:rPr>
          <w:rFonts w:ascii="Times New Roman" w:hAnsi="Times New Roman" w:cs="Times New Roman"/>
          <w:sz w:val="24"/>
          <w:szCs w:val="24"/>
        </w:rPr>
        <w:t xml:space="preserve">largely because the identification of these organisms is body size-specific,  labor-intensive, and requires  a deep knowledge of organisms’ morphologies or specific biochemistry </w:t>
      </w:r>
      <w:r w:rsidR="00D95C66"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{"citationItems":[{"id":"ITEM-1","itemData":{"ISBN":"927948169X","author":[{"dropping-particle":"","family":"Orgiazzi","given":"Alberto","non-dropping-particle":"","parse-names":false,"suffix":""},{"dropping-particle":"","family":"Bardgett","given":"Richard D","non-dropping-particle":"","parse-names":false,"suffix":""},{"dropping-particle":"","family":"Barrios","given":"Edmundo","non-dropping-particle":"","parse-names":false,"suffix":""}],"id":"ITEM-1","issued":{"date-parts":[["2016"]]},"publisher":"European Commission","title":"Global soil biodiversity atlas.","type":"book"},"uris":["http://www.mendeley.com/documents/?uuid=1b053b0b-867c-484c-8e8a-a89aeb870e50"]}],"mendeley":{"formattedCitation":"[6]","plainTextFormattedCitation":"[6]","previouslyFormattedCitation":"[6]"},"properties":{"noteIndex":0},"schema":"https://github.com/citation-style-language/schema/raw/master/csl-citation.json"}</w:instrText>
      </w:r>
      <w:r w:rsidR="00D95C66"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[6]</w:t>
      </w:r>
      <w:r w:rsidR="00D95C66" w:rsidRPr="00CB6F3B">
        <w:rPr>
          <w:rFonts w:ascii="Times New Roman" w:hAnsi="Times New Roman" w:cs="Times New Roman"/>
          <w:sz w:val="24"/>
          <w:szCs w:val="24"/>
        </w:rPr>
        <w:fldChar w:fldCharType="end"/>
      </w:r>
      <w:r w:rsidR="00D95C66" w:rsidRPr="00CB6F3B">
        <w:rPr>
          <w:rFonts w:ascii="Times New Roman" w:hAnsi="Times New Roman" w:cs="Times New Roman"/>
          <w:sz w:val="24"/>
          <w:szCs w:val="24"/>
        </w:rPr>
        <w:t xml:space="preserve">. </w:t>
      </w:r>
      <w:bookmarkEnd w:id="5"/>
      <w:r w:rsidR="008908FE" w:rsidRPr="00CB6F3B">
        <w:rPr>
          <w:rFonts w:ascii="Times New Roman" w:hAnsi="Times New Roman" w:cs="Times New Roman"/>
          <w:sz w:val="24"/>
          <w:szCs w:val="24"/>
        </w:rPr>
        <w:t>Nevertheless, soil eukaryotes are essential to soil functions,</w:t>
      </w:r>
      <w:r w:rsidR="007E1F6B" w:rsidRPr="00CB6F3B">
        <w:rPr>
          <w:rFonts w:ascii="Times New Roman" w:hAnsi="Times New Roman" w:cs="Times New Roman"/>
          <w:sz w:val="24"/>
          <w:szCs w:val="24"/>
        </w:rPr>
        <w:t xml:space="preserve"> including</w:t>
      </w:r>
      <w:r w:rsidR="008908FE" w:rsidRPr="00CB6F3B">
        <w:rPr>
          <w:rFonts w:ascii="Times New Roman" w:hAnsi="Times New Roman" w:cs="Times New Roman"/>
          <w:sz w:val="24"/>
          <w:szCs w:val="24"/>
        </w:rPr>
        <w:t xml:space="preserve"> the assembly of prokaryote</w:t>
      </w:r>
      <w:r w:rsidR="007E1F6B" w:rsidRPr="00CB6F3B">
        <w:rPr>
          <w:rFonts w:ascii="Times New Roman" w:hAnsi="Times New Roman" w:cs="Times New Roman"/>
          <w:sz w:val="24"/>
          <w:szCs w:val="24"/>
        </w:rPr>
        <w:t xml:space="preserve"> communities</w:t>
      </w:r>
      <w:r w:rsidR="008908FE" w:rsidRPr="00CB6F3B">
        <w:rPr>
          <w:rFonts w:ascii="Times New Roman" w:hAnsi="Times New Roman" w:cs="Times New Roman"/>
          <w:sz w:val="24"/>
          <w:szCs w:val="24"/>
        </w:rPr>
        <w:t xml:space="preserve"> (</w:t>
      </w:r>
      <w:r w:rsidR="00862D09" w:rsidRPr="00CB6F3B">
        <w:rPr>
          <w:rFonts w:ascii="Times New Roman" w:hAnsi="Times New Roman" w:cs="Times New Roman"/>
          <w:sz w:val="24"/>
          <w:szCs w:val="24"/>
        </w:rPr>
        <w:t>as both consumers and ecosystem engineers</w:t>
      </w:r>
      <w:r w:rsidR="008908FE" w:rsidRPr="00CB6F3B">
        <w:rPr>
          <w:rFonts w:ascii="Times New Roman" w:hAnsi="Times New Roman" w:cs="Times New Roman"/>
          <w:sz w:val="24"/>
          <w:szCs w:val="24"/>
        </w:rPr>
        <w:t>)</w:t>
      </w:r>
      <w:r w:rsidR="000D6CF3"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{"citationItems":[{"id":"ITEM-1","itemData":{"DOI":"10.1111/brv.12567","ISSN":"1469185X","abstract":"Soil is one of the most biodiverse terrestrial habitats. Yet, we lack an integrative conceptual framework for understanding the patterns and mechanisms driving soil biodiversity. One of the underlying reasons for our poor understanding of soil biodiversity patterns relates to whether key biodiversity theories (historically developed for aboveground and aquatic organisms) are applicable to patterns of soil biodiversity. Here, we present a systematic literature review to investigate whether and how key biodiversity theories (species–energy relationship, theory of island biogeography, metacommunity theory, niche theory and neutral theory) can explain observed patterns of soil biodiversity. We then discuss two spatial compartments nested within soil at which biodiversity theories can be applied to acknowledge the scale-dependent nature of soil biodiversity.","author":[{"dropping-particle":"","family":"Thakur","given":"Madhav P.","non-dropping-particle":"","parse-names":false,"suffix":""},{"dropping-particle":"","family":"Phillips","given":"Helen R.P.","non-dropping-particle":"","parse-names":false,"suffix":""},{"dropping-particle":"","family":"Brose","given":"Ulrich","non-dropping-particle":"","parse-names":false,"suffix":""},{"dropping-particle":"","family":"Vries","given":"Franciska T.","non-dropping-particle":"De","parse-names":false,"suffix":""},{"dropping-particle":"","family":"Lavelle","given":"Patrick","non-dropping-particle":"","parse-names":false,"suffix":""},{"dropping-particle":"","family":"Loreau","given":"Michel","non-dropping-particle":"","parse-names":false,"suffix":""},{"dropping-particle":"","family":"Mathieu","given":"Jerome","non-dropping-particle":"","parse-names":false,"suffix":""},{"dropping-particle":"","family":"Mulder","given":"Christian","non-dropping-particle":"","parse-names":false,"suffix":""},{"dropping-particle":"","family":"Putten","given":"Wim H.","non-dropping-particle":"Van der","parse-names":false,"suffix":""},{"dropping-particle":"","family":"Rillig","given":"Matthias C.","non-dropping-particle":"","parse-names":false,"suffix":""},{"dropping-particle":"","family":"Wardle","given":"David A.","non-dropping-particle":"","parse-names":false,"suffix":""},{"dropping-particle":"","family":"Bach","given":"Elizabeth M.","non-dropping-particle":"","parse-names":false,"suffix":""},{"dropping-particle":"","family":"Bartz","given":"Marie L.C.","non-dropping-particle":"","parse-names":false,"suffix":""},{"dropping-particle":"","family":"Bennett","given":"Joanne M.","non-dropping-particle":"","parse-names":false,"suffix":""},{"dropping-particle":"","family":"Briones","given":"Maria J.I.","non-dropping-particle":"","parse-names":false,"suffix":""},{"dropping-particle":"","family":"Brown","given":"George","non-dropping-particle":"","parse-names":false,"suffix":""},{"dropping-particle":"","family":"Decaëns","given":"Thibaud","non-dropping-particle":"","parse-names":false,"suffix":""},{"dropping-particle":"","family":"Eisenhauer","given":"Nico","non-dropping-particle":"","parse-names":false,"suffix":""},{"dropping-particle":"","family":"Ferlian","given":"Olga","non-dropping-particle":"","parse-names":false,"suffix":""},{"dropping-particle":"","family":"Guerra","given":"Carlos António","non-dropping-particle":"","parse-names":false,"suffix":""},{"dropping-particle":"","family":"König-Ries","given":"Birgitta","non-dropping-particle":"","parse-names":false,"suffix":""},{"dropping-particle":"","family":"Orgiazzi","given":"Alberto","non-dropping-particle":"","parse-names":false,"suffix":""},{"dropping-particle":"","family":"Ramirez","given":"Kelly S.","non-dropping-particle":"","parse-names":false,"suffix":""},{"dropping-particle":"","family":"Russell","given":"David J.","non-dropping-particle":"","parse-names":false,"suffix":""},{"dropping-particle":"","family":"Rutgers","given":"Michiel","non-dropping-particle":"","parse-names":false,"suffix":""},{"dropping-particle":"","family":"Wall","given":"Diana H.","non-dropping-particle":"","parse-names":false,"suffix":""},{"dropping-particle":"","family":"Cameron","given":"Erin K.","non-dropping-particle":"","parse-names":false,"suffix":""}],"container-title":"Biological Reviews","id":"ITEM-1","issued":{"date-parts":[["2019"]]},"title":"Towards an integrative understanding of soil biodiversity","type":"article-journal","volume":"31"},"uris":["http://www.mendeley.com/documents/?uuid=10dd2ab6-3593-47b2-be46-0c709969b27b"]}],"mendeley":{"formattedCitation":"[8]","plainTextFormattedCitation":"[8]","previouslyFormattedCitation":"[8]"},"properties":{"noteIndex":0},"schema":"https://github.com/citation-style-language/schema/raw/master/csl-citation.json"}</w:instrText>
      </w:r>
      <w:r w:rsidR="000D6CF3"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[8]</w:t>
      </w:r>
      <w:r w:rsidR="000D6CF3" w:rsidRPr="00CB6F3B">
        <w:rPr>
          <w:rFonts w:ascii="Times New Roman" w:hAnsi="Times New Roman" w:cs="Times New Roman"/>
          <w:sz w:val="24"/>
          <w:szCs w:val="24"/>
        </w:rPr>
        <w:fldChar w:fldCharType="end"/>
      </w:r>
      <w:r w:rsidR="008908FE" w:rsidRPr="00CB6F3B">
        <w:rPr>
          <w:rFonts w:ascii="Times New Roman" w:hAnsi="Times New Roman" w:cs="Times New Roman"/>
          <w:sz w:val="24"/>
          <w:szCs w:val="24"/>
        </w:rPr>
        <w:t>.</w:t>
      </w:r>
    </w:p>
    <w:p w14:paraId="2D85677B" w14:textId="485738B1" w:rsidR="000274A8" w:rsidRPr="00CB6F3B" w:rsidRDefault="0036582A" w:rsidP="00B17355">
      <w:pPr>
        <w:spacing w:line="480" w:lineRule="auto"/>
        <w:rPr>
          <w:rFonts w:ascii="Times New Roman" w:hAnsi="Times New Roman" w:cs="Times New Roman"/>
          <w:sz w:val="24"/>
          <w:szCs w:val="24"/>
        </w:rPr>
      </w:pPr>
      <w:r w:rsidRPr="00CB6F3B">
        <w:rPr>
          <w:rFonts w:ascii="Times New Roman" w:hAnsi="Times New Roman" w:cs="Times New Roman"/>
          <w:sz w:val="24"/>
          <w:szCs w:val="24"/>
        </w:rPr>
        <w:t>A</w:t>
      </w:r>
      <w:r w:rsidR="0029247C" w:rsidRPr="00CB6F3B">
        <w:rPr>
          <w:rFonts w:ascii="Times New Roman" w:hAnsi="Times New Roman" w:cs="Times New Roman"/>
          <w:sz w:val="24"/>
          <w:szCs w:val="24"/>
        </w:rPr>
        <w:t xml:space="preserve">mplicon sequencing </w:t>
      </w:r>
      <w:bookmarkStart w:id="6" w:name="_Hlk37680780"/>
      <w:r w:rsidR="008C2CE0" w:rsidRPr="00CB6F3B">
        <w:rPr>
          <w:rFonts w:ascii="Times New Roman" w:hAnsi="Times New Roman" w:cs="Times New Roman"/>
          <w:sz w:val="24"/>
          <w:szCs w:val="24"/>
        </w:rPr>
        <w:t xml:space="preserve">has become </w:t>
      </w:r>
      <w:r w:rsidR="00B17355" w:rsidRPr="00CB6F3B">
        <w:rPr>
          <w:rFonts w:ascii="Times New Roman" w:hAnsi="Times New Roman" w:cs="Times New Roman"/>
          <w:sz w:val="24"/>
          <w:szCs w:val="24"/>
        </w:rPr>
        <w:t>an increasingly</w:t>
      </w:r>
      <w:r w:rsidR="0029247C" w:rsidRPr="00CB6F3B">
        <w:rPr>
          <w:rFonts w:ascii="Times New Roman" w:hAnsi="Times New Roman" w:cs="Times New Roman"/>
          <w:sz w:val="24"/>
          <w:szCs w:val="24"/>
        </w:rPr>
        <w:t xml:space="preserve"> attractive alternative for the identification of soil eukaryotes</w:t>
      </w:r>
      <w:r w:rsidR="00B57014" w:rsidRPr="00CB6F3B">
        <w:rPr>
          <w:rFonts w:ascii="Times New Roman" w:hAnsi="Times New Roman" w:cs="Times New Roman"/>
          <w:sz w:val="24"/>
          <w:szCs w:val="24"/>
        </w:rPr>
        <w:t xml:space="preserve"> </w:t>
      </w:r>
      <w:r w:rsidR="00B57014"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{"citationItems":[{"id":"ITEM-1","itemData":{"DOI":"10.1111/mec.14350","ISSN":"1365294X","abstract":"The genomic revolution has fundamentally changed how we survey biodiversity on earth. High-throughput sequencing (“HTS”) platforms now enable the rapid sequencing of DNA from diverse kinds of environmental samples (termed “environmental DNA” or “eDNA”). Coupling HTS with our ability to associate sequences from eDNA with a taxonomic name is called “eDNA metabarcoding” and offers a powerful molecular tool capable of noninvasively surveying species richness from many ecosystems. Here, we review the use of eDNA metabarcoding for surveying animal and plant richness, and the challenges in using eDNA approaches to estimate relative abundance. We highlight eDNA applications in freshwater, marine and terrestrial environments, and in this broad context, we distill what is known about the ability of different eDNA sample types to approximate richness in space and across time. We provide guiding questions for study design and discuss the eDNA metabarcoding workflow with a focus on primers and library preparation methods. We additionally discuss important criteria for consideration of bioinformatic filtering of data sets, with recommendations for increasing transparency. Finally, looking to the future, we discuss emerging applications of eDNA metabarcoding in ecology, conservation, invasion biology, biomonitoring, and how eDNA metabarcoding can empower citizen science and biodiversity education.","author":[{"dropping-particle":"","family":"Deiner","given":"Kristy","non-dropping-particle":"","parse-names":false,"suffix":""},{"dropping-particle":"","family":"Bik","given":"Holly M.","non-dropping-particle":"","parse-names":false,"suffix":""},{"dropping-particle":"","family":"Mächler","given":"Elvira","non-dropping-particle":"","parse-names":false,"suffix":""},{"dropping-particle":"","family":"Seymour","given":"Mathew","non-dropping-particle":"","parse-names":false,"suffix":""},{"dropping-particle":"","family":"Lacoursière-Roussel","given":"Anaïs","non-dropping-particle":"","parse-names":false,"suffix":""},{"dropping-particle":"","family":"Altermatt","given":"Florian","non-dropping-particle":"","parse-names":false,"suffix":""},{"dropping-particle":"","family":"Creer","given":"Simon","non-dropping-particle":"","parse-names":false,"suffix":""},{"dropping-particle":"","family":"Bista","given":"Iliana","non-dropping-particle":"","parse-names":false,"suffix":""},{"dropping-particle":"","family":"Lodge","given":"David M.","non-dropping-particle":"","parse-names":false,"suffix":""},{"dropping-particle":"","family":"Vere","given":"Natasha","non-dropping-particle":"de","parse-names":false,"suffix":""},{"dropping-particle":"","family":"Pfrender","given":"Michael E.","non-dropping-particle":"","parse-names":false,"suffix":""},{"dropping-particle":"","family":"Bernatchez","given":"Louis","non-dropping-particle":"","parse-names":false,"suffix":""}],"container-title":"Molecular Ecology","id":"ITEM-1","issue":"21","issued":{"date-parts":[["2017"]]},"page":"5872-5895","title":"Environmental DNA metabarcoding: Transforming how we survey animal and plant communities","type":"article-journal","volume":"26"},"uris":["http://www.mendeley.com/documents/?uuid=901dc902-6c46-4124-82b9-fd58f25484b7"]}],"mendeley":{"formattedCitation":"[9]","plainTextFormattedCitation":"[9]","previouslyFormattedCitation":"[9]"},"properties":{"noteIndex":0},"schema":"https://github.com/citation-style-language/schema/raw/master/csl-citation.json"}</w:instrText>
      </w:r>
      <w:r w:rsidR="00B57014"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[9]</w:t>
      </w:r>
      <w:r w:rsidR="00B57014" w:rsidRPr="00CB6F3B">
        <w:rPr>
          <w:rFonts w:ascii="Times New Roman" w:hAnsi="Times New Roman" w:cs="Times New Roman"/>
          <w:sz w:val="24"/>
          <w:szCs w:val="24"/>
        </w:rPr>
        <w:fldChar w:fldCharType="end"/>
      </w:r>
      <w:r w:rsidR="0029247C" w:rsidRPr="00CB6F3B">
        <w:rPr>
          <w:rFonts w:ascii="Times New Roman" w:hAnsi="Times New Roman" w:cs="Times New Roman"/>
          <w:sz w:val="24"/>
          <w:szCs w:val="24"/>
        </w:rPr>
        <w:t xml:space="preserve">. </w:t>
      </w:r>
      <w:bookmarkEnd w:id="6"/>
      <w:r w:rsidR="00AA2E41" w:rsidRPr="00CB6F3B">
        <w:rPr>
          <w:rFonts w:ascii="Times New Roman" w:hAnsi="Times New Roman" w:cs="Times New Roman"/>
          <w:sz w:val="24"/>
          <w:szCs w:val="24"/>
        </w:rPr>
        <w:t xml:space="preserve">Universal marker genes including the </w:t>
      </w:r>
      <w:r w:rsidR="00333EDA" w:rsidRPr="00CB6F3B">
        <w:rPr>
          <w:rFonts w:ascii="Times New Roman" w:hAnsi="Times New Roman" w:cs="Times New Roman"/>
          <w:sz w:val="24"/>
          <w:szCs w:val="24"/>
        </w:rPr>
        <w:t>ITS region</w:t>
      </w:r>
      <w:r w:rsidR="00AA2E41" w:rsidRPr="00CB6F3B">
        <w:rPr>
          <w:rFonts w:ascii="Times New Roman" w:hAnsi="Times New Roman" w:cs="Times New Roman"/>
          <w:sz w:val="24"/>
          <w:szCs w:val="24"/>
        </w:rPr>
        <w:t xml:space="preserve">, </w:t>
      </w:r>
      <w:r w:rsidR="007E1F6B" w:rsidRPr="00CB6F3B">
        <w:rPr>
          <w:rFonts w:ascii="Times New Roman" w:hAnsi="Times New Roman" w:cs="Times New Roman"/>
          <w:sz w:val="24"/>
          <w:szCs w:val="24"/>
        </w:rPr>
        <w:t>as well as</w:t>
      </w:r>
      <w:r w:rsidR="00262312" w:rsidRPr="00CB6F3B">
        <w:rPr>
          <w:rFonts w:ascii="Times New Roman" w:hAnsi="Times New Roman" w:cs="Times New Roman"/>
          <w:sz w:val="24"/>
          <w:szCs w:val="24"/>
        </w:rPr>
        <w:t xml:space="preserve"> </w:t>
      </w:r>
      <w:r w:rsidR="00213751" w:rsidRPr="00CB6F3B">
        <w:rPr>
          <w:rFonts w:ascii="Times New Roman" w:hAnsi="Times New Roman" w:cs="Times New Roman"/>
          <w:sz w:val="24"/>
          <w:szCs w:val="24"/>
        </w:rPr>
        <w:t>the 18S rRNA and the COI gene</w:t>
      </w:r>
      <w:r w:rsidR="00262312" w:rsidRPr="00CB6F3B">
        <w:rPr>
          <w:rFonts w:ascii="Times New Roman" w:hAnsi="Times New Roman" w:cs="Times New Roman"/>
          <w:sz w:val="24"/>
          <w:szCs w:val="24"/>
        </w:rPr>
        <w:t>s</w:t>
      </w:r>
      <w:r w:rsidR="007E1F6B" w:rsidRPr="00CB6F3B">
        <w:rPr>
          <w:rFonts w:ascii="Times New Roman" w:hAnsi="Times New Roman" w:cs="Times New Roman"/>
          <w:sz w:val="24"/>
          <w:szCs w:val="24"/>
        </w:rPr>
        <w:t>,</w:t>
      </w:r>
      <w:r w:rsidR="00213751" w:rsidRPr="00CB6F3B">
        <w:rPr>
          <w:rFonts w:ascii="Times New Roman" w:hAnsi="Times New Roman" w:cs="Times New Roman"/>
          <w:sz w:val="24"/>
          <w:szCs w:val="24"/>
        </w:rPr>
        <w:t xml:space="preserve"> have been used to assess the global diversity of fungi</w:t>
      </w:r>
      <w:r w:rsidR="0029247C" w:rsidRPr="00CB6F3B">
        <w:rPr>
          <w:rFonts w:ascii="Times New Roman" w:hAnsi="Times New Roman" w:cs="Times New Roman"/>
          <w:sz w:val="24"/>
          <w:szCs w:val="24"/>
        </w:rPr>
        <w:t xml:space="preserve"> </w:t>
      </w:r>
      <w:r w:rsidR="0029247C"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{"citationItems":[{"id":"ITEM-1","itemData":{"DOI":"10.1038/s41467-019-13164-8","ISSN":"20411723","abstract":"The evolutionary and environmental factors that shape fungal biogeography are incompletely understood. Here, we assemble a large dataset consisting of previously generated mycobiome data linked to specific geographical locations across the world. We use this dataset to describe the distribution of fungal taxa and to look for correlations with different environmental factors such as climate, soil and vegetation variables. Our meta-study identifies climate as an important driver of different aspects of fungal biogeography, including the global distribution of common fungi as well as the composition and diversity of fungal communities. In our analysis, fungal diversity is concentrated at high latitudes, in contrast with the opposite pattern previously shown for plants and other organisms. Mycorrhizal fungi appear to have narrower climatic tolerances than pathogenic fungi. We speculate that climate change could affect ecosystem functioning because of the narrow climatic tolerances of key fungal taxa.","author":[{"dropping-particle":"","family":"Větrovský","given":"Tomáš","non-dropping-particle":"","parse-names":false,"suffix":""},{"dropping-particle":"","family":"Kohout","given":"Petr","non-dropping-particle":"","parse-names":false,"suffix":""},{"dropping-particle":"","family":"Kopecký","given":"Martin","non-dropping-particle":"","parse-names":false,"suffix":""},{"dropping-particle":"","family":"Machac","given":"Antonin","non-dropping-particle":"","parse-names":false,"suffix":""},{"dropping-particle":"","family":"Man","given":"Matěj","non-dropping-particle":"","parse-names":false,"suffix":""},{"dropping-particle":"","family":"Bahnmann","given":"Barbara Doreen","non-dropping-particle":"","parse-names":false,"suffix":""},{"dropping-particle":"","family":"Brabcová","given":"Vendula","non-dropping-particle":"","parse-names":false,"suffix":""},{"dropping-particle":"","family":"Choi","given":"Jinlyung","non-dropping-particle":"","parse-names":false,"suffix":""},{"dropping-particle":"","family":"Meszárošová","given":"Lenka","non-dropping-particle":"","parse-names":false,"suffix":""},{"dropping-particle":"","family":"Human","given":"Zander Rainier","non-dropping-particle":"","parse-names":false,"suffix":""},{"dropping-particle":"","family":"Lepinay","given":"Clémentine","non-dropping-particle":"","parse-names":false,"suffix":""},{"dropping-particle":"","family":"Lladó","given":"Salvador","non-dropping-particle":"","parse-names":false,"suffix":""},{"dropping-particle":"","family":"López-Mondéjar","given":"Rubén","non-dropping-particle":"","parse-names":false,"suffix":""},{"dropping-particle":"","family":"Martinović","given":"Tijana","non-dropping-particle":"","parse-names":false,"suffix":""},{"dropping-particle":"","family":"Mašínová","given":"Tereza","non-dropping-particle":"","parse-names":false,"suffix":""},{"dropping-particle":"","family":"Morais","given":"Daniel","non-dropping-particle":"","parse-names":false,"suffix":""},{"dropping-particle":"","family":"Navrátilová","given":"Diana","non-dropping-particle":"","parse-names":false,"suffix":""},{"dropping-particle":"","family":"Odriozola","given":"Iñaki","non-dropping-particle":"","parse-names":false,"suffix":""},{"dropping-particle":"","family":"Štursová","given":"Martina","non-dropping-particle":"","parse-names":false,"suffix":""},{"dropping-particle":"","family":"Švec","given":"Karel","non-dropping-particle":"","parse-names":false,"suffix":""},{"dropping-particle":"","family":"Tláskal","given":"Vojtěch","non-dropping-particle":"","parse-names":false,"suffix":""},{"dropping-particle":"","family":"Urbanová","given":"Michaela","non-dropping-particle":"","parse-names":false,"suffix":""},{"dropping-particle":"","family":"Wan","given":"Joe","non-dropping-particle":"","parse-names":false,"suffix":""},{"dropping-particle":"","family":"Žifčáková","given":"Lucia","non-dropping-particle":"","parse-names":false,"suffix":""},{"dropping-particle":"","family":"Howe","given":"Adina","non-dropping-particle":"","parse-names":false,"suffix":""},{"dropping-particle":"","family":"Ladau","given":"Joshua","non-dropping-particle":"","parse-names":false,"suffix":""},{"dropping-particle":"","family":"Peay","given":"Kabir Gabriel","non-dropping-particle":"","parse-names":false,"suffix":""},{"dropping-particle":"","family":"Storch","given":"David","non-dropping-particle":"","parse-names":false,"suffix":""},{"dropping-particle":"","family":"Wild","given":"Jan","non-dropping-particle":"","parse-names":false,"suffix":""},{"dropping-particle":"","family":"Baldrian","given":"Petr","non-dropping-particle":"","parse-names":false,"suffix":""}],"container-title":"Nature Communications","id":"ITEM-1","issue":"1","issued":{"date-parts":[["2019"]]},"page":"1-9","title":"A meta-analysis of global fungal distribution reveals climate-driven patterns","type":"article-journal","volume":"10"},"uris":["http://www.mendeley.com/documents/?uuid=e6296c4d-3dee-466f-84ef-e49aa2dde8ab"]},{"id":"ITEM-2","itemData":{"ISSN":"0036-8075","author":[{"dropping-particle":"","family":"Tedersoo","given":"Leho","non-dropping-particle":"","parse-names":false,"suffix":""},{"dropping-particle":"","family":"Bahram","given":"Mohammad","non-dropping-particle":"","parse-names":false,"suffix":""},{"dropping-particle":"","family":"Põlme","given":"Sergei","non-dropping-particle":"","parse-names":false,"suffix":""},{"dropping-particle":"","family":"Kõljalg","given":"Urmas","non-dropping-particle":"","parse-names":false,"suffix":""},{"dropping-particle":"","family":"Yorou","given":"Nourou S","non-dropping-particle":"","parse-names":false,"suffix":""},{"dropping-particle":"","family":"Wijesundera","given":"Ravi","non-dropping-particle":"","parse-names":false,"suffix":""},{"dropping-particle":"","family":"Ruiz","given":"Luis Villarreal","non-dropping-particle":"","parse-names":false,"suffix":""},{"dropping-particle":"","family":"Vasco-Palacios","given":"Aída M","non-dropping-particle":"","parse-names":false,"suffix":""},{"dropping-particle":"","family":"Thu","given":"Pham Quang","non-dropping-particle":"","parse-names":false,"suffix":""},{"dropping-particle":"","family":"Suija","given":"Ave","non-dropping-particle":"","parse-names":false,"suffix":""}],"container-title":"science","id":"ITEM-2","issue":"6213","issued":{"date-parts":[["2014"]]},"page":"1256688","publisher":"American Association for the Advancement of Science","title":"Global diversity and geography of soil fungi","type":"article-journal","volume":"346"},"uris":["http://www.mendeley.com/documents/?uuid=4908b7ee-86bb-4eee-bf0e-7583dad5a74c"]}],"mendeley":{"formattedCitation":"[10, 11]","plainTextFormattedCitation":"[10, 11]","previouslyFormattedCitation":"[10, 11]"},"properties":{"noteIndex":0},"schema":"https://github.com/citation-style-language/schema/raw/master/csl-citation.json"}</w:instrText>
      </w:r>
      <w:r w:rsidR="0029247C"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[10, 11]</w:t>
      </w:r>
      <w:r w:rsidR="0029247C" w:rsidRPr="00CB6F3B">
        <w:rPr>
          <w:rFonts w:ascii="Times New Roman" w:hAnsi="Times New Roman" w:cs="Times New Roman"/>
          <w:sz w:val="24"/>
          <w:szCs w:val="24"/>
        </w:rPr>
        <w:fldChar w:fldCharType="end"/>
      </w:r>
      <w:r w:rsidR="00213751" w:rsidRPr="00CB6F3B">
        <w:rPr>
          <w:rFonts w:ascii="Times New Roman" w:hAnsi="Times New Roman" w:cs="Times New Roman"/>
          <w:sz w:val="24"/>
          <w:szCs w:val="24"/>
        </w:rPr>
        <w:t xml:space="preserve">, </w:t>
      </w:r>
      <w:r w:rsidR="008022C2" w:rsidRPr="00CB6F3B">
        <w:rPr>
          <w:rFonts w:ascii="Times New Roman" w:hAnsi="Times New Roman" w:cs="Times New Roman"/>
          <w:sz w:val="24"/>
          <w:szCs w:val="24"/>
        </w:rPr>
        <w:t xml:space="preserve">protists </w:t>
      </w:r>
      <w:r w:rsidR="008022C2"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{"citationItems":[{"id":"ITEM-1","itemData":{"DOI":"10.1126/sciadv.aax8787","ISSN":"23752548","PMID":"32042898","abstract":"Protists are ubiquitous in soil, where they are key contributors to nutrient cycling and energy transfer. However, protists have received far less attention than other components of the soil microbiome. We used amplicon sequencing of soils from 180 locations across six continents to investigate the ecological preferences of protists and their functional contributions to belowground systems. We complemented these analyses with shotgun metagenomic sequencing of 46 soils to validate the identities of the more abundant protist lineages. We found that most soils are dominated by consumers, although parasites and phototrophs are particularly abundant in tropical and arid ecosystems, respectively. The best predictors of protist composition (primarily annual precipitation) are fundamentally distinct from those shaping bacterial and archaeal communities (namely, soil pH). Some protists and bacteria co-occur globally, highlighting the potential importance of these largely undescribed belowground interactions. Together, this study allowed us to identify the most abundant and ubiquitous protists living in soil, with our work providing a cross-ecosystem perspective on the factors structuring soil protist communities and their likely contributions to soil functioning.","author":[{"dropping-particle":"","family":"Oliverio","given":"Angela M.","non-dropping-particle":"","parse-names":false,"suffix":""},{"dropping-particle":"","family":"Geisen","given":"Stefan","non-dropping-particle":"","parse-names":false,"suffix":""},{"dropping-particle":"","family":"Delgado-Baquerizo","given":"Manuel","non-dropping-particle":"","parse-names":false,"suffix":""},{"dropping-particle":"","family":"Maestre","given":"Fernando T.","non-dropping-particle":"","parse-names":false,"suffix":""},{"dropping-particle":"","family":"Turner","given":"Benjamin L.","non-dropping-particle":"","parse-names":false,"suffix":""},{"dropping-particle":"","family":"Fierer","given":"Noah","non-dropping-particle":"","parse-names":false,"suffix":""}],"container-title":"Science Advances","id":"ITEM-1","issue":"4","issued":{"date-parts":[["2020"]]},"page":"1-11","title":"The global-scale distributions of soil protists and their contributions to belowground systems","type":"article-journal","volume":"6"},"uris":["http://www.mendeley.com/documents/?uuid=23009ef4-4b9b-4df7-8ec0-293cde89c825"]}],"mendeley":{"formattedCitation":"[12]","plainTextFormattedCitation":"[12]","previouslyFormattedCitation":"[12]"},"properties":{"noteIndex":0},"schema":"https://github.com/citation-style-language/schema/raw/master/csl-citation.json"}</w:instrText>
      </w:r>
      <w:r w:rsidR="008022C2"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[12]</w:t>
      </w:r>
      <w:r w:rsidR="008022C2" w:rsidRPr="00CB6F3B">
        <w:rPr>
          <w:rFonts w:ascii="Times New Roman" w:hAnsi="Times New Roman" w:cs="Times New Roman"/>
          <w:sz w:val="24"/>
          <w:szCs w:val="24"/>
        </w:rPr>
        <w:fldChar w:fldCharType="end"/>
      </w:r>
      <w:r w:rsidR="00213751" w:rsidRPr="00CB6F3B">
        <w:rPr>
          <w:rFonts w:ascii="Times New Roman" w:hAnsi="Times New Roman" w:cs="Times New Roman"/>
          <w:sz w:val="24"/>
          <w:szCs w:val="24"/>
        </w:rPr>
        <w:t>,</w:t>
      </w:r>
      <w:r w:rsidR="0029247C" w:rsidRPr="00CB6F3B">
        <w:rPr>
          <w:rFonts w:ascii="Times New Roman" w:hAnsi="Times New Roman" w:cs="Times New Roman"/>
          <w:sz w:val="24"/>
          <w:szCs w:val="24"/>
        </w:rPr>
        <w:t xml:space="preserve"> </w:t>
      </w:r>
      <w:r w:rsidR="005E2EAC" w:rsidRPr="00CB6F3B">
        <w:rPr>
          <w:rFonts w:ascii="Times New Roman" w:hAnsi="Times New Roman" w:cs="Times New Roman"/>
          <w:sz w:val="24"/>
          <w:szCs w:val="24"/>
        </w:rPr>
        <w:t>nematodes</w:t>
      </w:r>
      <w:r w:rsidR="009A38CE" w:rsidRPr="00CB6F3B">
        <w:rPr>
          <w:rFonts w:ascii="Times New Roman" w:hAnsi="Times New Roman" w:cs="Times New Roman"/>
          <w:sz w:val="24"/>
          <w:szCs w:val="24"/>
        </w:rPr>
        <w:t xml:space="preserve"> and microarthropods </w:t>
      </w:r>
      <w:r w:rsidR="009A38CE"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{"citationItems":[{"id":"ITEM-1","itemData":{"DOI":"10.1073/pnas.1103824108","ISSN":"00278424","abstract":"The global distribution of soil animals and the relationship of below-ground biodiversity to above-ground biodiversity are not well understood. We examined 17,516 environmental 18S rRNA gene sequences representing 20 phyla of soil animals sampled from 11 locations covering a range of biomes and latitudes around the world. No globally cosmopolitan taxa were found and only 14 of 2,259 operational taxonomic units (OTUs) found were common to four or more locations. Half of those were circumpolar and may reflect higher connectivity among circumpolar locations compared with other locations in the study. Even when OTU assembly criteria were relaxed to approximate the family taxonomic level, only 34 OTUs were common to four or more locations. A comparison of our diversity and community structure data to environmental factors suggests that below-ground animal diversity may be inversely related to above-ground biodiversity. Our data suggest that greater soil inorganic N and lower pH could explain the low below-ground biodiversity found at locations of high above-ground biodiversity. Our locations could also be characterized as being dominated by microarthropods or dominated by nematodes. Locations dominated by arthropods were primarily forests with lower soil pH, root biomass, mean annual temperature, low soil inorganic N and higher C:N, litter and moisture compared with nematode-dominated locations, which were mostly grasslands. Overall, our data indicate that small soil animals have distinct biogeographical distributions and provide unique evidence of the link between above-ground and below-ground biodiversity at a global scale.","author":[{"dropping-particle":"","family":"Wu","given":"Tiehang","non-dropping-particle":"","parse-names":false,"suffix":""},{"dropping-particle":"","family":"Ayres","given":"Edward","non-dropping-particle":"","parse-names":false,"suffix":""},{"dropping-particle":"","family":"Bardgett","given":"Richard D.","non-dropping-particle":"","parse-names":false,"suffix":""},{"dropping-particle":"","family":"Wall","given":"Diana H.","non-dropping-particle":"","parse-names":false,"suffix":""},{"dropping-particle":"","family":"Garey","given":"James R.","non-dropping-particle":"","parse-names":false,"suffix":""}],"container-title":"Proceedings of the National Academy of Sciences of the United States of America","id":"ITEM-1","issue":"43","issued":{"date-parts":[["2011"]]},"page":"17720-17725","title":"Molecular study of worldwide distribution and diversity of soil animals","type":"article-journal","volume":"108"},"uris":["http://www.mendeley.com/documents/?uuid=f33eb993-8eb8-45b7-9273-cb9f11b08c02"]}],"mendeley":{"formattedCitation":"[13]","plainTextFormattedCitation":"[13]","previouslyFormattedCitation":"[13]"},"properties":{"noteIndex":0},"schema":"https://github.com/citation-style-language/schema/raw/master/csl-citation.json"}</w:instrText>
      </w:r>
      <w:r w:rsidR="009A38CE"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[13]</w:t>
      </w:r>
      <w:r w:rsidR="009A38CE" w:rsidRPr="00CB6F3B">
        <w:rPr>
          <w:rFonts w:ascii="Times New Roman" w:hAnsi="Times New Roman" w:cs="Times New Roman"/>
          <w:sz w:val="24"/>
          <w:szCs w:val="24"/>
        </w:rPr>
        <w:fldChar w:fldCharType="end"/>
      </w:r>
      <w:r w:rsidR="005E2EAC" w:rsidRPr="00CB6F3B">
        <w:rPr>
          <w:rFonts w:ascii="Times New Roman" w:hAnsi="Times New Roman" w:cs="Times New Roman"/>
          <w:sz w:val="24"/>
          <w:szCs w:val="24"/>
        </w:rPr>
        <w:t xml:space="preserve">, </w:t>
      </w:r>
      <w:r w:rsidR="005756F7" w:rsidRPr="00CB6F3B">
        <w:rPr>
          <w:rFonts w:ascii="Times New Roman" w:hAnsi="Times New Roman" w:cs="Times New Roman"/>
          <w:sz w:val="24"/>
          <w:szCs w:val="24"/>
        </w:rPr>
        <w:t xml:space="preserve">soil fauna </w:t>
      </w:r>
      <w:r w:rsidR="005756F7"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{"citationItems":[{"id":"ITEM-1","itemData":{"DOI":"10.1038/s41598-018-28603-7","ISSN":"20452322","abstract":"The litter layer of tropical forests supports a significant fraction of total arthropod diversity and decomposition of this layer is the main pathway by which nutrients are returned to the soil and CO2 to the atmosphere. Conversion of tropical forests to agriculture is the main threat to biodiversity and ecosystem services, and understanding effects on the litter layer is important for understanding and mitigating these impacts. We used high through-put DNA sequencing of the mitochondrial cytochrome c oxidase subunit I (COI) gene to assess seasonal changes in the diversity and composition of the litter fauna at five matched pairs of native forests and rubber plantations in tropical SW China every month for a year, and measured the environmental factors expected to drive intra-Annual variation. Forests and rubber had very different arthropod assemblages throughout the year, with forests more species-rich than rubber in all months except February. Very high rates of intra-Annual turnover in species composition in both forests and rubber were associated with seasonality in environmental variables, with the influence of particular variables differing among taxa. Tropical arthropods are very sensitive to seasonality and sampling at only one time of the year captures only a subset of the total community.","author":[{"dropping-particle":"","family":"Beng","given":"Kingsly C.","non-dropping-particle":"","parse-names":false,"suffix":""},{"dropping-particle":"","family":"Corlett","given":"Richard T.","non-dropping-particle":"","parse-names":false,"suffix":""},{"dropping-particle":"","family":"Tomlinson","given":"Kyle W.","non-dropping-particle":"","parse-names":false,"suffix":""}],"container-title":"Scientific Reports","id":"ITEM-1","issue":"1","issued":{"date-parts":[["2018"]]},"page":"1-13","publisher":"Springer US","title":"Seasonal changes in the diversity and composition of the litter fauna in native forests and rubber plantations","type":"article-journal","volume":"8"},"uris":["http://www.mendeley.com/documents/?uuid=e0c44cd0-2476-44b7-9f0f-ca3643e84f5f"]}],"mendeley":{"formattedCitation":"[14]","plainTextFormattedCitation":"[14]","previouslyFormattedCitation":"[14]"},"properties":{"noteIndex":0},"schema":"https://github.com/citation-style-language/schema/raw/master/csl-citation.json"}</w:instrText>
      </w:r>
      <w:r w:rsidR="005756F7"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[14]</w:t>
      </w:r>
      <w:r w:rsidR="005756F7" w:rsidRPr="00CB6F3B">
        <w:rPr>
          <w:rFonts w:ascii="Times New Roman" w:hAnsi="Times New Roman" w:cs="Times New Roman"/>
          <w:sz w:val="24"/>
          <w:szCs w:val="24"/>
        </w:rPr>
        <w:fldChar w:fldCharType="end"/>
      </w:r>
      <w:r w:rsidR="00254996" w:rsidRPr="00CB6F3B">
        <w:rPr>
          <w:rFonts w:ascii="Times New Roman" w:hAnsi="Times New Roman" w:cs="Times New Roman"/>
          <w:sz w:val="24"/>
          <w:szCs w:val="24"/>
        </w:rPr>
        <w:t xml:space="preserve"> and rotifers </w:t>
      </w:r>
      <w:r w:rsidR="00254996"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{"citationItems":[{"id":"ITEM-1","itemData":{"DOI":"10.1073/pnas.1012678108","ISSN":"00278424","abstract":"Bdelloid rotifers are important contributors to biogeochemical cycling and trophic dynamics of both aquatic and terrestrial ecosystems, but little is known about their biogeographic distribution and community structure in terrestrial environments. This lack of knowledge stems from a lack of phylogenetic information and assumptions that microbial eukaryotes are globally distributed and have very limited diversity across vast geographic distances. However, these assumptions have been based more on assessments of their morphology than any measure of their true genetic diversity and biogeographic distribution. We developed specific primers for the cytochrome c oxidase subunit 1 (cox1) gene of bdelloid rotifers and amplified and cloned sequences using a nested sampling scheme that represented local (0-10 m) to global (up to 10,000 km) scales. Using phylogenetic community analyses (UniFrac) and geospatial statistics (semivariograms, mantel tests), we were able to reject the hypothesis that communities of rotifers are the same across even fairly small geographic distances. Bdelloid communities showed highly significant spatial structuring with spatial autocorrelation ranges of 54-133 m, but beyond that distance communities were extremely dissimilar. Furthermore, we show that these spatial patterns are driven not only by changes in relative abundance of phylotypes but also by absolute changes in phylotype occurrence (richness). There is almost no overlap in phylotype [or operational taxonomic unit (OTU)] occurrence between communities at distances beyond the autocorrelation range (</w:instrText>
      </w:r>
      <w:r w:rsidR="0041205F" w:rsidRPr="00CB6F3B">
        <w:rPr>
          <w:rFonts w:ascii="Cambria Math" w:hAnsi="Cambria Math" w:cs="Cambria Math"/>
          <w:sz w:val="24"/>
          <w:szCs w:val="24"/>
        </w:rPr>
        <w:instrText>∼</w:instrText>
      </w:r>
      <w:r w:rsidR="0041205F" w:rsidRPr="00CB6F3B">
        <w:rPr>
          <w:rFonts w:ascii="Times New Roman" w:hAnsi="Times New Roman" w:cs="Times New Roman"/>
          <w:sz w:val="24"/>
          <w:szCs w:val="24"/>
        </w:rPr>
        <w:instrText>133 m). Such small species ranges, combined with their ubiquity in soils, make it increasingly clear that the biodiversity of bdelloid rotifers (and other less easily dispersed microbes) is much higher than previously thought.","author":[{"dropping-particle":"","family":"Robeson","given":"Michael S.","non-dropping-particle":"","parse-names":false,"suffix":""},{"dropping-particle":"","family":"King","given":"Andrew J.","non-dropping-particle":"","parse-names":false,"suffix":""},{"dropping-particle":"","family":"Freeman","given":"Kristen R.","non-dropping-particle":"","parse-names":false,"suffix":""},{"dropping-particle":"","family":"Birky","given":"C. William","non-dropping-particle":"","parse-names":false,"suffix":""},{"dropping-particle":"","family":"Martin","given":"Andrew P.","non-dropping-particle":"","parse-names":false,"suffix":""},{"dropping-particle":"","family":"Schmidt","given":"Steven K.","non-dropping-particle":"","parse-names":false,"suffix":""}],"container-title":"Proceedings of the National Academy of Sciences","id":"ITEM-1","issue":"11","issued":{"date-parts":[["2011","3","15"]]},"page":"4406-4410","title":"Soil rotifer communities are extremely diverse globally but spatially autocorrelated locally","type":"article-journal","volume":"108"},"uris":["http://www.mendeley.com/documents/?uuid=3491d4f1-7a33-388f-8fd2-b10e75f7383f"]}],"mendeley":{"formattedCitation":"[15]","plainTextFormattedCitation":"[15]","previouslyFormattedCitation":"[15]"},"properties":{"noteIndex":0},"schema":"https://github.com/citation-style-language/schema/raw/master/csl-citation.json"}</w:instrText>
      </w:r>
      <w:r w:rsidR="00254996"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[15]</w:t>
      </w:r>
      <w:r w:rsidR="00254996" w:rsidRPr="00CB6F3B">
        <w:rPr>
          <w:rFonts w:ascii="Times New Roman" w:hAnsi="Times New Roman" w:cs="Times New Roman"/>
          <w:sz w:val="24"/>
          <w:szCs w:val="24"/>
        </w:rPr>
        <w:fldChar w:fldCharType="end"/>
      </w:r>
      <w:r w:rsidR="005756F7" w:rsidRPr="00CB6F3B">
        <w:rPr>
          <w:rFonts w:ascii="Times New Roman" w:hAnsi="Times New Roman" w:cs="Times New Roman"/>
          <w:sz w:val="24"/>
          <w:szCs w:val="24"/>
        </w:rPr>
        <w:t>.</w:t>
      </w:r>
      <w:r w:rsidR="00213751" w:rsidRPr="00CB6F3B">
        <w:rPr>
          <w:rFonts w:ascii="Times New Roman" w:hAnsi="Times New Roman" w:cs="Times New Roman"/>
          <w:sz w:val="24"/>
          <w:szCs w:val="24"/>
        </w:rPr>
        <w:t xml:space="preserve"> </w:t>
      </w:r>
      <w:r w:rsidR="004E5B7E" w:rsidRPr="00CB6F3B">
        <w:rPr>
          <w:rFonts w:ascii="Times New Roman" w:hAnsi="Times New Roman" w:cs="Times New Roman"/>
          <w:sz w:val="24"/>
          <w:szCs w:val="24"/>
        </w:rPr>
        <w:t>These marker</w:t>
      </w:r>
      <w:r w:rsidR="00213751" w:rsidRPr="00CB6F3B">
        <w:rPr>
          <w:rFonts w:ascii="Times New Roman" w:hAnsi="Times New Roman" w:cs="Times New Roman"/>
          <w:sz w:val="24"/>
          <w:szCs w:val="24"/>
        </w:rPr>
        <w:t>s</w:t>
      </w:r>
      <w:r w:rsidR="004E5B7E" w:rsidRPr="00CB6F3B">
        <w:rPr>
          <w:rFonts w:ascii="Times New Roman" w:hAnsi="Times New Roman" w:cs="Times New Roman"/>
          <w:sz w:val="24"/>
          <w:szCs w:val="24"/>
        </w:rPr>
        <w:t xml:space="preserve"> </w:t>
      </w:r>
      <w:r w:rsidR="000274A8" w:rsidRPr="00CB6F3B">
        <w:rPr>
          <w:rFonts w:ascii="Times New Roman" w:hAnsi="Times New Roman" w:cs="Times New Roman"/>
          <w:sz w:val="24"/>
          <w:szCs w:val="24"/>
        </w:rPr>
        <w:t xml:space="preserve">allow </w:t>
      </w:r>
      <w:r w:rsidR="00262312" w:rsidRPr="00CB6F3B">
        <w:rPr>
          <w:rFonts w:ascii="Times New Roman" w:hAnsi="Times New Roman" w:cs="Times New Roman"/>
          <w:sz w:val="24"/>
          <w:szCs w:val="24"/>
        </w:rPr>
        <w:t>researchers</w:t>
      </w:r>
      <w:r w:rsidR="000274A8" w:rsidRPr="00CB6F3B">
        <w:rPr>
          <w:rFonts w:ascii="Times New Roman" w:hAnsi="Times New Roman" w:cs="Times New Roman"/>
          <w:sz w:val="24"/>
          <w:szCs w:val="24"/>
        </w:rPr>
        <w:t xml:space="preserve"> </w:t>
      </w:r>
      <w:r w:rsidR="004E5B7E" w:rsidRPr="00CB6F3B">
        <w:rPr>
          <w:rFonts w:ascii="Times New Roman" w:hAnsi="Times New Roman" w:cs="Times New Roman"/>
          <w:sz w:val="24"/>
          <w:szCs w:val="24"/>
        </w:rPr>
        <w:t xml:space="preserve">to </w:t>
      </w:r>
      <w:r w:rsidRPr="00CB6F3B">
        <w:rPr>
          <w:rFonts w:ascii="Times New Roman" w:hAnsi="Times New Roman" w:cs="Times New Roman"/>
          <w:sz w:val="24"/>
          <w:szCs w:val="24"/>
        </w:rPr>
        <w:t>study</w:t>
      </w:r>
      <w:r w:rsidR="00BD2ACA" w:rsidRPr="00CB6F3B">
        <w:rPr>
          <w:rFonts w:ascii="Times New Roman" w:hAnsi="Times New Roman" w:cs="Times New Roman"/>
          <w:sz w:val="24"/>
          <w:szCs w:val="24"/>
        </w:rPr>
        <w:t xml:space="preserve"> several groups </w:t>
      </w:r>
      <w:r w:rsidR="000274A8" w:rsidRPr="00CB6F3B">
        <w:rPr>
          <w:rFonts w:ascii="Times New Roman" w:hAnsi="Times New Roman" w:cs="Times New Roman"/>
          <w:sz w:val="24"/>
          <w:szCs w:val="24"/>
        </w:rPr>
        <w:t>simultaneously</w:t>
      </w:r>
      <w:r w:rsidR="00BD2ACA" w:rsidRPr="00CB6F3B">
        <w:rPr>
          <w:rFonts w:ascii="Times New Roman" w:hAnsi="Times New Roman" w:cs="Times New Roman"/>
          <w:sz w:val="24"/>
          <w:szCs w:val="24"/>
        </w:rPr>
        <w:t>, filling gaps in soil biodiversity data and serving as the basis for synthesis efforts</w:t>
      </w:r>
      <w:r w:rsidR="008022C2" w:rsidRPr="00CB6F3B">
        <w:rPr>
          <w:rFonts w:ascii="Times New Roman" w:hAnsi="Times New Roman" w:cs="Times New Roman"/>
          <w:sz w:val="24"/>
          <w:szCs w:val="24"/>
        </w:rPr>
        <w:t xml:space="preserve"> </w:t>
      </w:r>
      <w:r w:rsidR="003948C7"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10.1016/j.soilbio.2014.10.014","ISSN":"0038-0717","author":[{"dropping-particle":"","family":"Orgiazzi","given":"Alberto","non-dropping-particle":"","parse-names":false,"suffix":""},{"dropping-particle":"","family":"Bonnet","given":"Martha","non-dropping-particle":"","parse-names":false,"suffix":""},{"dropping-particle":"","family":"Panagos","given":"Panos","non-dropping-particle":"","parse-names":false,"suffix":""},{"dropping-particle":"","family":"Arjen","given":"Gerard","non-dropping-particle":"","parse-names":false,"suffix":""},{"dropping-particle":"","family":"Groot","given":"De","non-dropping-particle":"","parse-names":false,"suffix":""},{"dropping-particle":"","family":"Lemanceau","given":"Philippe","non-dropping-particle":"","parse-names":false,"suffix":""}],"container-title":"Soil Biology and Biochemistry","id":"ITEM-1","issued":{"date-parts":[["2015"]]},"page":"244-250","publisher":"Elsevier Ltd","title":"Soil biodiversity and DNA barcodes : opportunities and challenges","type":"article-journal","volume":"80"},"uris":["http://www.mendeley.com/documents/?uuid=cf387785-5088-4afe-ae55-1f7387166fc6"]}],"mendeley":{"formattedCitation":"[16]","plainTextFormattedCitation":"[16]","previouslyFormattedCitation":"[16]"},"properties":{"noteIndex":0},"schema":"https://github.com/citation-style-language/schema/raw/master/csl-citation.json"}</w:instrText>
      </w:r>
      <w:r w:rsidR="003948C7"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[16]</w:t>
      </w:r>
      <w:r w:rsidR="003948C7" w:rsidRPr="00CB6F3B">
        <w:rPr>
          <w:rFonts w:ascii="Times New Roman" w:hAnsi="Times New Roman" w:cs="Times New Roman"/>
          <w:sz w:val="24"/>
          <w:szCs w:val="24"/>
        </w:rPr>
        <w:fldChar w:fldCharType="end"/>
      </w:r>
      <w:r w:rsidR="008022C2" w:rsidRPr="00CB6F3B">
        <w:rPr>
          <w:rFonts w:ascii="Times New Roman" w:hAnsi="Times New Roman" w:cs="Times New Roman"/>
          <w:sz w:val="24"/>
          <w:szCs w:val="24"/>
        </w:rPr>
        <w:t xml:space="preserve">. </w:t>
      </w:r>
      <w:r w:rsidR="00734C10" w:rsidRPr="00CB6F3B">
        <w:rPr>
          <w:rFonts w:ascii="Times New Roman" w:hAnsi="Times New Roman" w:cs="Times New Roman"/>
          <w:sz w:val="24"/>
          <w:szCs w:val="24"/>
        </w:rPr>
        <w:t xml:space="preserve">Such efforts </w:t>
      </w:r>
      <w:r w:rsidR="008022C2" w:rsidRPr="00CB6F3B">
        <w:rPr>
          <w:rFonts w:ascii="Times New Roman" w:hAnsi="Times New Roman" w:cs="Times New Roman"/>
          <w:sz w:val="24"/>
          <w:szCs w:val="24"/>
        </w:rPr>
        <w:t xml:space="preserve">are underway </w:t>
      </w:r>
      <w:r w:rsidR="00DD1F77" w:rsidRPr="00CB6F3B">
        <w:rPr>
          <w:rFonts w:ascii="Times New Roman" w:hAnsi="Times New Roman" w:cs="Times New Roman"/>
          <w:sz w:val="24"/>
          <w:szCs w:val="24"/>
        </w:rPr>
        <w:t>both at regional and global scales</w:t>
      </w:r>
      <w:r w:rsidR="002A2074" w:rsidRPr="00CB6F3B">
        <w:rPr>
          <w:rFonts w:ascii="Times New Roman" w:hAnsi="Times New Roman" w:cs="Times New Roman"/>
          <w:sz w:val="24"/>
          <w:szCs w:val="24"/>
        </w:rPr>
        <w:t xml:space="preserve"> </w:t>
      </w:r>
      <w:r w:rsidR="008022C2" w:rsidRPr="00CB6F3B">
        <w:rPr>
          <w:rFonts w:ascii="Times New Roman" w:hAnsi="Times New Roman" w:cs="Times New Roman"/>
          <w:sz w:val="24"/>
          <w:szCs w:val="24"/>
        </w:rPr>
        <w:t>(</w:t>
      </w:r>
      <w:r w:rsidR="00FB3E76" w:rsidRPr="00CB6F3B">
        <w:rPr>
          <w:rFonts w:ascii="Times New Roman" w:hAnsi="Times New Roman" w:cs="Times New Roman"/>
          <w:sz w:val="24"/>
          <w:szCs w:val="24"/>
        </w:rPr>
        <w:t>e.g</w:t>
      </w:r>
      <w:r w:rsidR="008022C2" w:rsidRPr="00CB6F3B">
        <w:rPr>
          <w:rFonts w:ascii="Times New Roman" w:hAnsi="Times New Roman" w:cs="Times New Roman"/>
          <w:sz w:val="24"/>
          <w:szCs w:val="24"/>
        </w:rPr>
        <w:t>.,</w:t>
      </w:r>
      <w:r w:rsidR="009A38CE"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{"citationItems":[{"id":"ITEM-1","itemData":{"DOI":"10.1111/mec.15299","author":[{"dropping-particle":"","family":"Bastida","given":"Felipe","non-dropping-particle":"","parse-names":false,"suffix":""},{"dropping-particle":"","family":"Eldridge","given":"David J","non-dropping-particle":"","parse-names":false,"suffix":""},{"dropping-particle":"","family":"Abades","given":"Sebastián","non-dropping-particle":"","parse-names":false,"suffix":""},{"dropping-particle":"","family":"Alfaro","given":"Fernando D","non-dropping-particle":"","parse-names":false,"suffix":""},{"dropping-particle":"","family":"Gallardo","given":"Antonio","non-dropping-particle":"","parse-names":false,"suffix":""},{"dropping-particle":"","family":"Carlos","given":"Laura García-velázquez","non-dropping-particle":"","parse-names":false,"suffix":""},{"dropping-particle":"","family":"Stephen","given":"García","non-dropping-particle":"","parse-names":false,"suffix":""},{"dropping-particle":"","family":"Pérez","given":"Cecilia A","non-dropping-particle":"","parse-names":false,"suffix":""},{"dropping-particle":"","family":"Santos","given":"Fernanda","non-dropping-particle":"","parse-names":false,"suffix":""},{"dropping-particle":"","family":"Trivedi","given":"Pankaj","non-dropping-particle":"","parse-names":false,"suffix":""},{"dropping-particle":"","family":"Williams","given":"Mark A","non-dropping-particle":"","parse-names":false,"suffix":""},{"dropping-particle":"","family":"Delgado-baquerizo","given":"Manuel","non-dropping-particle":"","parse-names":false,"suffix":""}],"id":"ITEM-1","issue":"May","issued":{"date-parts":[["2019"]]},"page":"1-10","title":"Climatic vulnerabilities and ecological preferences of soil invertebrates across biomes","type":"article-journal"},"uris":["http://www.mendeley.com/documents/?uuid=bafe555d-d9f3-4bb1-844d-c5085a6e5992"]},{"id":"ITEM-2","itemData":{"author":[{"dropping-particle":"","family":"Ramirez","given":"Kelly S","non-dropping-particle":"","parse-names":false,"suffix":""},{"dropping-particle":"","family":"Leff","given":"Jonathan W","non-dropping-particle":"","parse-names":false,"suffix":""},{"dropping-particle":"","family":"Barberan","given":"Albert","non-dropping-particle":"","parse-names":false,"suffix":""},{"dropping-particle":"","family":"Bates, Scott Thomas","given":"","non-dropping-particle":"","parse-names":false,"suffix":""},{"dropping-particle":"","family":"Betley","given":"Jason","non-dropping-particle":"","parse-names":false,"suffix":""},{"dropping-particle":"","family":"Crowther","given":"Thomas W","non-dropping-particle":"","parse-names":false,"suffix":""},{"dropping-particle":"","family":"Kelly","given":"Eugene F","non-dropping-particle":"","parse-names":false,"suffix":""},{"dropping-particle":"","family":"Oldfield","given":"Emily E","non-dropping-particle":"","parse-names":false,"suffix":""},{"dropping-particle":"","family":"Shaw","given":"E Ashley","non-dropping-particle":"","parse-names":false,"suffix":""},{"dropping-particle":"","family":"Steenbock","given":"Christopher","non-dropping-particle":"","parse-names":false,"suffix":""},{"dropping-particle":"","family":"Bradford","given":"Mark A","non-dropping-particle":"","parse-names":false,"suffix":""},{"dropping-particle":"","family":"Wall","given":"Diana H","non-dropping-particle":"","parse-names":false,"suffix":""},{"dropping-particle":"","family":"Fierer","given":"Noah","non-dropping-particle":"","parse-names":false,"suffix":""}],"id":"ITEM-2","issued":{"date-parts":[["2014"]]},"title":"Biogeographic patterns in below-ground diversity in New York City ’ s Central Park are similar to those observed globally","type":"article-journal"},"uris":["http://www.mendeley.com/documents/?uuid=1f7761d3-148b-4ecc-9a45-2893668196ec"]},{"id":"ITEM-3","itemData":{"DOI":"10.1038/s41559-019-1084-y","ISSN":"2397-334X","author":[{"dropping-particle":"","family":"Delgado-Baquerizo","given":"Manuel","non-dropping-particle":"","parse-names":false,"suffix":""},{"dropping-particle":"","family":"Reich","given":"Peter B","non-dropping-particle":"","parse-names":false,"suffix":""},{"dropping-particle":"","family":"Trivedi","given":"Chanda","non-dropping-particle":"","parse-names":false,"suffix":""},{"dropping-particle":"","family":"Eldridge","given":"David J","non-dropping-particle":"","parse-names":false,"suffix":""},{"dropping-particle":"","family":"Abades","given":"Sebastián","non-dropping-particle":"","parse-names":false,"suffix":""},{"dropping-particle":"","family":"Alfaro","given":"Fernando D","non-dropping-particle":"","parse-names":false,"suffix":""},{"dropping-particle":"","family":"Bastida","given":"Felipe","non-dropping-particle":"","parse-names":false,"suffix":""},{"dropping-particle":"","family":"Berhe","given":"Asmeret A","non-dropping-particle":"","parse-names":false,"suffix":""},{"dropping-particle":"","family":"Cutler","given":"Nick A","non-dropping-particle":"","parse-names":false,"suffix":""},{"dropping-particle":"","family":"Gallardo","given":"Antonio","non-dropping-particle":"","parse-names":false,"suffix":""},{"dropping-particle":"","family":"García-velázquez","given":"Laura","non-dropping-particle":"","parse-names":false,"suffix":""},{"dropping-particle":"","family":"Hart","given":"Stephen C","non-dropping-particle":"","parse-names":false,"suffix":""},{"dropping-particle":"","family":"Hayes","given":"Patrick E","non-dropping-particle":"","parse-names":false,"suffix":""},{"dropping-particle":"","family":"He","given":"Ji-zheng","non-dropping-particle":"","parse-names":false,"suffix":""},{"dropping-particle":"","family":"Hseu","given":"Zeng-yei","non-dropping-particle":"","parse-names":false,"suffix":""},{"dropping-particle":"","family":"Hu","given":"Hang-wei","non-dropping-particle":"","parse-names":false,"suffix":""},{"dropping-particle":"","family":"Kirchmair","given":"Martin","non-dropping-particle":"","parse-names":false,"suffix":""},{"dropping-particle":"","family":"Neuhauser","given":"Sigrid","non-dropping-particle":"","parse-names":false,"suffix":""}],"container-title":"Nature Ecology &amp; Evolution","id":"ITEM-3","issue":"February","issued":{"date-parts":[["2020"]]},"publisher":"Springer US","title":"Multiple elements of soil biodiversity drive ecosystem functions across biomes","type":"article-journal","volume":"4"},"uris":["http://www.mendeley.com/documents/?uuid=9911165c-9caf-42a6-a6b8-a03c05bc2074"]}],"mendeley":{"formattedCitation":"[17–19]","plainTextFormattedCitation":"[17–19]","previouslyFormattedCitation":"[17–19]"},"properties":{"noteIndex":0},"schema":"https://github.com/citation-style-language/schema/raw/master/csl-citation.json"}</w:instrText>
      </w:r>
      <w:r w:rsidR="009A38CE"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[17–19]</w:t>
      </w:r>
      <w:r w:rsidR="009A38CE" w:rsidRPr="00CB6F3B">
        <w:rPr>
          <w:rFonts w:ascii="Times New Roman" w:hAnsi="Times New Roman" w:cs="Times New Roman"/>
          <w:sz w:val="24"/>
          <w:szCs w:val="24"/>
        </w:rPr>
        <w:fldChar w:fldCharType="end"/>
      </w:r>
      <w:r w:rsidR="002A2074" w:rsidRPr="00CB6F3B">
        <w:rPr>
          <w:rStyle w:val="CommentReference"/>
        </w:rPr>
        <w:t>)</w:t>
      </w:r>
      <w:r w:rsidR="008022C2" w:rsidRPr="00CB6F3B">
        <w:rPr>
          <w:rFonts w:ascii="Times New Roman" w:hAnsi="Times New Roman" w:cs="Times New Roman"/>
          <w:sz w:val="24"/>
          <w:szCs w:val="24"/>
        </w:rPr>
        <w:t xml:space="preserve">. </w:t>
      </w:r>
    </w:p>
    <w:p w14:paraId="1ABEFD24" w14:textId="2AC1A13E" w:rsidR="00AE4F11" w:rsidRPr="00CB6F3B" w:rsidRDefault="00A23A0A" w:rsidP="00B17355">
      <w:pPr>
        <w:spacing w:line="480" w:lineRule="auto"/>
        <w:rPr>
          <w:rFonts w:ascii="Times New Roman" w:hAnsi="Times New Roman" w:cs="Times New Roman"/>
          <w:sz w:val="24"/>
          <w:szCs w:val="24"/>
        </w:rPr>
      </w:pPr>
      <w:r w:rsidRPr="00CB6F3B">
        <w:rPr>
          <w:rFonts w:ascii="Times New Roman" w:hAnsi="Times New Roman" w:cs="Times New Roman"/>
          <w:sz w:val="24"/>
          <w:szCs w:val="24"/>
        </w:rPr>
        <w:lastRenderedPageBreak/>
        <w:t xml:space="preserve">Less well appreciated, however, is that </w:t>
      </w:r>
      <w:r w:rsidR="000D6CF3" w:rsidRPr="00CB6F3B">
        <w:rPr>
          <w:rFonts w:ascii="Times New Roman" w:hAnsi="Times New Roman" w:cs="Times New Roman"/>
          <w:sz w:val="24"/>
          <w:szCs w:val="24"/>
        </w:rPr>
        <w:t>t</w:t>
      </w:r>
      <w:r w:rsidR="00BD2ACA" w:rsidRPr="00CB6F3B">
        <w:rPr>
          <w:rFonts w:ascii="Times New Roman" w:hAnsi="Times New Roman" w:cs="Times New Roman"/>
          <w:sz w:val="24"/>
          <w:szCs w:val="24"/>
        </w:rPr>
        <w:t>he</w:t>
      </w:r>
      <w:r w:rsidR="00B17355" w:rsidRPr="00CB6F3B">
        <w:rPr>
          <w:rFonts w:ascii="Times New Roman" w:hAnsi="Times New Roman" w:cs="Times New Roman"/>
          <w:sz w:val="24"/>
          <w:szCs w:val="24"/>
        </w:rPr>
        <w:t xml:space="preserve"> interpretation of eukaryotic amplicon sequences </w:t>
      </w:r>
      <w:r w:rsidRPr="00CB6F3B">
        <w:rPr>
          <w:rFonts w:ascii="Times New Roman" w:hAnsi="Times New Roman" w:cs="Times New Roman"/>
          <w:sz w:val="24"/>
          <w:szCs w:val="24"/>
        </w:rPr>
        <w:t xml:space="preserve">differs </w:t>
      </w:r>
      <w:r w:rsidR="00B17355" w:rsidRPr="00CB6F3B">
        <w:rPr>
          <w:rFonts w:ascii="Times New Roman" w:hAnsi="Times New Roman" w:cs="Times New Roman"/>
          <w:sz w:val="24"/>
          <w:szCs w:val="24"/>
        </w:rPr>
        <w:t xml:space="preserve">radically from </w:t>
      </w:r>
      <w:r w:rsidR="00B8071A" w:rsidRPr="00CB6F3B">
        <w:rPr>
          <w:rFonts w:ascii="Times New Roman" w:hAnsi="Times New Roman" w:cs="Times New Roman"/>
          <w:sz w:val="24"/>
          <w:szCs w:val="24"/>
        </w:rPr>
        <w:t xml:space="preserve">that of the </w:t>
      </w:r>
      <w:r w:rsidR="00B17355" w:rsidRPr="00CB6F3B">
        <w:rPr>
          <w:rFonts w:ascii="Times New Roman" w:hAnsi="Times New Roman" w:cs="Times New Roman"/>
          <w:sz w:val="24"/>
          <w:szCs w:val="24"/>
        </w:rPr>
        <w:t>prokaryot</w:t>
      </w:r>
      <w:r w:rsidR="00B8071A" w:rsidRPr="00CB6F3B">
        <w:rPr>
          <w:rFonts w:ascii="Times New Roman" w:hAnsi="Times New Roman" w:cs="Times New Roman"/>
          <w:sz w:val="24"/>
          <w:szCs w:val="24"/>
        </w:rPr>
        <w:t>es</w:t>
      </w:r>
      <w:r w:rsidRPr="00CB6F3B">
        <w:rPr>
          <w:rFonts w:ascii="Times New Roman" w:hAnsi="Times New Roman" w:cs="Times New Roman"/>
          <w:sz w:val="24"/>
          <w:szCs w:val="24"/>
        </w:rPr>
        <w:t xml:space="preserve"> </w:t>
      </w:r>
      <w:r w:rsidR="0036582A" w:rsidRPr="00CB6F3B">
        <w:rPr>
          <w:rFonts w:ascii="Times New Roman" w:hAnsi="Times New Roman" w:cs="Times New Roman"/>
          <w:sz w:val="24"/>
          <w:szCs w:val="24"/>
        </w:rPr>
        <w:t xml:space="preserve">for </w:t>
      </w:r>
      <w:r w:rsidR="00B17355" w:rsidRPr="00CB6F3B">
        <w:rPr>
          <w:rFonts w:ascii="Times New Roman" w:hAnsi="Times New Roman" w:cs="Times New Roman"/>
          <w:sz w:val="24"/>
          <w:szCs w:val="24"/>
        </w:rPr>
        <w:t>which the current protocols were originally developed</w:t>
      </w:r>
      <w:r w:rsidR="000D6CF3" w:rsidRPr="00CB6F3B">
        <w:rPr>
          <w:rFonts w:ascii="Times New Roman" w:hAnsi="Times New Roman" w:cs="Times New Roman"/>
          <w:sz w:val="24"/>
          <w:szCs w:val="24"/>
        </w:rPr>
        <w:t xml:space="preserve">. Understanding the properties and limitations of amplicon sequencing applied to eukaryotic markers is essential </w:t>
      </w:r>
      <w:r w:rsidRPr="00CB6F3B">
        <w:rPr>
          <w:rFonts w:ascii="Times New Roman" w:hAnsi="Times New Roman" w:cs="Times New Roman"/>
          <w:sz w:val="24"/>
          <w:szCs w:val="24"/>
        </w:rPr>
        <w:t xml:space="preserve">for </w:t>
      </w:r>
      <w:r w:rsidR="000D6CF3" w:rsidRPr="00CB6F3B">
        <w:rPr>
          <w:rFonts w:ascii="Times New Roman" w:hAnsi="Times New Roman" w:cs="Times New Roman"/>
          <w:sz w:val="24"/>
          <w:szCs w:val="24"/>
        </w:rPr>
        <w:t xml:space="preserve">analyzing and interpreting the results </w:t>
      </w:r>
      <w:r w:rsidR="000D6CF3"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{"citationItems":[{"id":"ITEM-1","itemData":{"DOI":"10.1038/ismej.2008.44","ISSN":"1751-7370","abstract":"Molecular microbial community analysis methods have revolutionized our understanding of the diversity and distribution of bacteria, archaea and microbial eukaryotes. The information obtained has adequately demonstrated that the analysis of microbial model systems can provide important insights into ecosystem function and stability. However, the terminology and metrics used in macroecology must be applied cautiously because the methods available to characterize microbial diversity are inherently limited in their ability to detect the many numerically minor constituents of microbial communities. In this review, we focus on the use of indices to quantify the diversity found in microbial communities, and on the methods used to generate the data from which those indices are calculated. Useful conclusions regarding diversity can only be deduced if the properties of the various methods used are well understood. The commonly used diversity metrics differ in the weight they give to organisms that differ in abundance, so understanding the properties of these metrics is essential. In this review, we illustrate important methodological and metric-dependent differences using simulated communities. We conclude that the assessment of richness in complex communities is futile without extensive sampling, and that some diversity indices can be estimated with reasonable accuracy through the analysis of clone libraries, but not from community fingerprint data.","author":[{"dropping-particle":"","family":"Bent","given":"Stephen J","non-dropping-particle":"","parse-names":false,"suffix":""},{"dropping-particle":"","family":"Forney","given":"Larry J","non-dropping-particle":"","parse-names":false,"suffix":""}],"container-title":"The ISME Journal","id":"ITEM-1","issue":"7","issued":{"date-parts":[["2008"]]},"page":"689-695","title":"The tragedy of the uncommon: understanding limitations in the analysis of microbial diversity","type":"article-journal","volume":"2"},"uris":["http://www.mendeley.com/documents/?uuid=cd278efb-0b87-4307-83be-bf9f67e43bcd"]}],"mendeley":{"formattedCitation":"[20]","plainTextFormattedCitation":"[20]","previouslyFormattedCitation":"[20]"},"properties":{"noteIndex":0},"schema":"https://github.com/citation-style-language/schema/raw/master/csl-citation.json"}</w:instrText>
      </w:r>
      <w:r w:rsidR="000D6CF3"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[20]</w:t>
      </w:r>
      <w:r w:rsidR="000D6CF3" w:rsidRPr="00CB6F3B">
        <w:rPr>
          <w:rFonts w:ascii="Times New Roman" w:hAnsi="Times New Roman" w:cs="Times New Roman"/>
          <w:sz w:val="24"/>
          <w:szCs w:val="24"/>
        </w:rPr>
        <w:fldChar w:fldCharType="end"/>
      </w:r>
      <w:r w:rsidR="00B17355" w:rsidRPr="00CB6F3B">
        <w:rPr>
          <w:rFonts w:ascii="Times New Roman" w:hAnsi="Times New Roman" w:cs="Times New Roman"/>
          <w:sz w:val="24"/>
          <w:szCs w:val="24"/>
        </w:rPr>
        <w:t xml:space="preserve">. </w:t>
      </w:r>
      <w:bookmarkStart w:id="7" w:name="_Hlk49267986"/>
      <w:r w:rsidR="00B17355" w:rsidRPr="00CB6F3B">
        <w:rPr>
          <w:rFonts w:ascii="Times New Roman" w:hAnsi="Times New Roman" w:cs="Times New Roman"/>
          <w:sz w:val="24"/>
          <w:szCs w:val="24"/>
        </w:rPr>
        <w:t xml:space="preserve">Here, we explore how the wide range </w:t>
      </w:r>
      <w:r w:rsidR="00EF08AE" w:rsidRPr="00CB6F3B">
        <w:rPr>
          <w:rFonts w:ascii="Times New Roman" w:hAnsi="Times New Roman" w:cs="Times New Roman"/>
          <w:sz w:val="24"/>
          <w:szCs w:val="24"/>
        </w:rPr>
        <w:t xml:space="preserve">of morphological and phylogenetic variation and sampling practices </w:t>
      </w:r>
      <w:r w:rsidR="00395DEF" w:rsidRPr="00CB6F3B">
        <w:rPr>
          <w:rFonts w:ascii="Times New Roman" w:hAnsi="Times New Roman" w:cs="Times New Roman"/>
          <w:sz w:val="24"/>
          <w:szCs w:val="24"/>
        </w:rPr>
        <w:t xml:space="preserve">compromise </w:t>
      </w:r>
      <w:r w:rsidR="00EF08AE" w:rsidRPr="00CB6F3B">
        <w:rPr>
          <w:rFonts w:ascii="Times New Roman" w:hAnsi="Times New Roman" w:cs="Times New Roman"/>
          <w:sz w:val="24"/>
          <w:szCs w:val="24"/>
        </w:rPr>
        <w:t xml:space="preserve">the </w:t>
      </w:r>
      <w:r w:rsidR="00395DEF" w:rsidRPr="00CB6F3B">
        <w:rPr>
          <w:rFonts w:ascii="Times New Roman" w:hAnsi="Times New Roman" w:cs="Times New Roman"/>
          <w:sz w:val="24"/>
          <w:szCs w:val="24"/>
        </w:rPr>
        <w:t>comparability of biodiversity and community composition among taxa, studies, and sampling designs</w:t>
      </w:r>
      <w:r w:rsidRPr="00CB6F3B">
        <w:rPr>
          <w:rFonts w:ascii="Times New Roman" w:hAnsi="Times New Roman" w:cs="Times New Roman"/>
          <w:sz w:val="24"/>
          <w:szCs w:val="24"/>
        </w:rPr>
        <w:t xml:space="preserve"> from amplicon sequencing data</w:t>
      </w:r>
      <w:r w:rsidR="00395DEF" w:rsidRPr="00CB6F3B">
        <w:rPr>
          <w:rFonts w:ascii="Times New Roman" w:hAnsi="Times New Roman" w:cs="Times New Roman"/>
          <w:sz w:val="24"/>
          <w:szCs w:val="24"/>
        </w:rPr>
        <w:t xml:space="preserve">. </w:t>
      </w:r>
      <w:r w:rsidR="00B964C2" w:rsidRPr="00CB6F3B">
        <w:rPr>
          <w:rFonts w:ascii="Times New Roman" w:hAnsi="Times New Roman" w:cs="Times New Roman"/>
          <w:sz w:val="24"/>
          <w:szCs w:val="24"/>
        </w:rPr>
        <w:t>Our aim is to identify the challenges and limitations associated with this technique</w:t>
      </w:r>
      <w:r w:rsidR="00B8071A" w:rsidRPr="00CB6F3B">
        <w:rPr>
          <w:rFonts w:ascii="Times New Roman" w:hAnsi="Times New Roman" w:cs="Times New Roman"/>
          <w:sz w:val="24"/>
          <w:szCs w:val="24"/>
        </w:rPr>
        <w:t>, as well as to provide</w:t>
      </w:r>
      <w:r w:rsidR="00B964C2" w:rsidRPr="00CB6F3B">
        <w:rPr>
          <w:rFonts w:ascii="Times New Roman" w:hAnsi="Times New Roman" w:cs="Times New Roman"/>
          <w:sz w:val="24"/>
          <w:szCs w:val="24"/>
        </w:rPr>
        <w:t xml:space="preserve"> recommendations on how to produce and analyze amplicon sequencing data</w:t>
      </w:r>
      <w:r w:rsidR="00B8071A" w:rsidRPr="00CB6F3B">
        <w:rPr>
          <w:rFonts w:ascii="Times New Roman" w:hAnsi="Times New Roman" w:cs="Times New Roman"/>
          <w:sz w:val="24"/>
          <w:szCs w:val="24"/>
        </w:rPr>
        <w:t xml:space="preserve"> so that the data are reusable and results </w:t>
      </w:r>
      <w:r w:rsidR="00B50C57" w:rsidRPr="00CB6F3B">
        <w:rPr>
          <w:rFonts w:ascii="Times New Roman" w:hAnsi="Times New Roman" w:cs="Times New Roman"/>
          <w:sz w:val="24"/>
          <w:szCs w:val="24"/>
        </w:rPr>
        <w:t>interpret</w:t>
      </w:r>
      <w:r w:rsidR="00B8071A" w:rsidRPr="00CB6F3B">
        <w:rPr>
          <w:rFonts w:ascii="Times New Roman" w:hAnsi="Times New Roman" w:cs="Times New Roman"/>
          <w:sz w:val="24"/>
          <w:szCs w:val="24"/>
        </w:rPr>
        <w:t>able</w:t>
      </w:r>
      <w:r w:rsidR="00395DEF" w:rsidRPr="00CB6F3B">
        <w:rPr>
          <w:rFonts w:ascii="Times New Roman" w:hAnsi="Times New Roman" w:cs="Times New Roman"/>
          <w:sz w:val="24"/>
          <w:szCs w:val="24"/>
        </w:rPr>
        <w:t xml:space="preserve">. </w:t>
      </w:r>
      <w:bookmarkEnd w:id="7"/>
    </w:p>
    <w:p w14:paraId="6E225494" w14:textId="28B6D579" w:rsidR="00CC174C" w:rsidRPr="00CB6F3B" w:rsidRDefault="00A573D8" w:rsidP="00CC174C">
      <w:pPr>
        <w:pStyle w:val="ListParagraph"/>
        <w:numPr>
          <w:ilvl w:val="0"/>
          <w:numId w:val="19"/>
        </w:numPr>
        <w:spacing w:line="480" w:lineRule="auto"/>
        <w:rPr>
          <w:rFonts w:ascii="Times New Roman" w:hAnsi="Times New Roman" w:cs="Times New Roman"/>
          <w:b/>
          <w:sz w:val="24"/>
          <w:szCs w:val="24"/>
        </w:rPr>
      </w:pPr>
      <w:r w:rsidRPr="00CB6F3B">
        <w:rPr>
          <w:rFonts w:ascii="Times New Roman" w:hAnsi="Times New Roman" w:cs="Times New Roman"/>
          <w:b/>
          <w:sz w:val="24"/>
          <w:szCs w:val="24"/>
        </w:rPr>
        <w:t>PROBLEMS</w:t>
      </w:r>
    </w:p>
    <w:p w14:paraId="0CCA5239" w14:textId="4065F6D0" w:rsidR="00462796" w:rsidRPr="00CB6F3B" w:rsidRDefault="00B8071A" w:rsidP="003E420F">
      <w:pPr>
        <w:spacing w:line="480" w:lineRule="auto"/>
        <w:rPr>
          <w:rFonts w:ascii="Times New Roman" w:hAnsi="Times New Roman" w:cs="Times New Roman"/>
          <w:sz w:val="24"/>
          <w:szCs w:val="24"/>
        </w:rPr>
      </w:pPr>
      <w:r w:rsidRPr="00CB6F3B">
        <w:rPr>
          <w:rFonts w:ascii="Times New Roman" w:hAnsi="Times New Roman" w:cs="Times New Roman"/>
          <w:sz w:val="24"/>
          <w:szCs w:val="24"/>
        </w:rPr>
        <w:t>M</w:t>
      </w:r>
      <w:r w:rsidR="00790E4C" w:rsidRPr="00CB6F3B">
        <w:rPr>
          <w:rFonts w:ascii="Times New Roman" w:hAnsi="Times New Roman" w:cs="Times New Roman"/>
          <w:sz w:val="24"/>
          <w:szCs w:val="24"/>
        </w:rPr>
        <w:t>orphological, taxonomic</w:t>
      </w:r>
      <w:r w:rsidRPr="00CB6F3B">
        <w:rPr>
          <w:rFonts w:ascii="Times New Roman" w:hAnsi="Times New Roman" w:cs="Times New Roman"/>
          <w:sz w:val="24"/>
          <w:szCs w:val="24"/>
        </w:rPr>
        <w:t>,</w:t>
      </w:r>
      <w:r w:rsidR="00790E4C" w:rsidRPr="00CB6F3B">
        <w:rPr>
          <w:rFonts w:ascii="Times New Roman" w:hAnsi="Times New Roman" w:cs="Times New Roman"/>
          <w:sz w:val="24"/>
          <w:szCs w:val="24"/>
        </w:rPr>
        <w:t xml:space="preserve"> phylogenetic, and sampling variation</w:t>
      </w:r>
      <w:r w:rsidR="002533EF" w:rsidRPr="00CB6F3B">
        <w:rPr>
          <w:rFonts w:ascii="Times New Roman" w:hAnsi="Times New Roman" w:cs="Times New Roman"/>
          <w:sz w:val="24"/>
          <w:szCs w:val="24"/>
        </w:rPr>
        <w:t xml:space="preserve"> may</w:t>
      </w:r>
      <w:r w:rsidRPr="00CB6F3B">
        <w:rPr>
          <w:rFonts w:ascii="Times New Roman" w:hAnsi="Times New Roman" w:cs="Times New Roman"/>
          <w:sz w:val="24"/>
          <w:szCs w:val="24"/>
        </w:rPr>
        <w:t xml:space="preserve"> all</w:t>
      </w:r>
      <w:r w:rsidR="002533EF" w:rsidRPr="00CB6F3B">
        <w:rPr>
          <w:rFonts w:ascii="Times New Roman" w:hAnsi="Times New Roman" w:cs="Times New Roman"/>
          <w:sz w:val="24"/>
          <w:szCs w:val="24"/>
        </w:rPr>
        <w:t xml:space="preserve"> bias the quality of amplicon sequencing data</w:t>
      </w:r>
      <w:r w:rsidRPr="00CB6F3B">
        <w:rPr>
          <w:rFonts w:ascii="Times New Roman" w:hAnsi="Times New Roman" w:cs="Times New Roman"/>
          <w:sz w:val="24"/>
          <w:szCs w:val="24"/>
        </w:rPr>
        <w:t xml:space="preserve"> of eukaryotes. In turn, this</w:t>
      </w:r>
      <w:r w:rsidR="002533EF" w:rsidRPr="00CB6F3B">
        <w:rPr>
          <w:rFonts w:ascii="Times New Roman" w:hAnsi="Times New Roman" w:cs="Times New Roman"/>
          <w:sz w:val="24"/>
          <w:szCs w:val="24"/>
        </w:rPr>
        <w:t xml:space="preserve"> </w:t>
      </w:r>
      <w:r w:rsidR="00603D86" w:rsidRPr="00CB6F3B">
        <w:rPr>
          <w:rFonts w:ascii="Times New Roman" w:hAnsi="Times New Roman" w:cs="Times New Roman"/>
          <w:sz w:val="24"/>
          <w:szCs w:val="24"/>
        </w:rPr>
        <w:t>alter</w:t>
      </w:r>
      <w:r w:rsidRPr="00CB6F3B">
        <w:rPr>
          <w:rFonts w:ascii="Times New Roman" w:hAnsi="Times New Roman" w:cs="Times New Roman"/>
          <w:sz w:val="24"/>
          <w:szCs w:val="24"/>
        </w:rPr>
        <w:t>s</w:t>
      </w:r>
      <w:r w:rsidR="00603D86" w:rsidRPr="00CB6F3B">
        <w:rPr>
          <w:rFonts w:ascii="Times New Roman" w:hAnsi="Times New Roman" w:cs="Times New Roman"/>
          <w:sz w:val="24"/>
          <w:szCs w:val="24"/>
        </w:rPr>
        <w:t xml:space="preserve"> estimates</w:t>
      </w:r>
      <w:r w:rsidR="002533EF" w:rsidRPr="00CB6F3B">
        <w:rPr>
          <w:rFonts w:ascii="Times New Roman" w:hAnsi="Times New Roman" w:cs="Times New Roman"/>
          <w:sz w:val="24"/>
          <w:szCs w:val="24"/>
        </w:rPr>
        <w:t xml:space="preserve"> of </w:t>
      </w:r>
      <w:r w:rsidRPr="00CB6F3B">
        <w:rPr>
          <w:rFonts w:ascii="Times New Roman" w:hAnsi="Times New Roman" w:cs="Times New Roman"/>
          <w:sz w:val="24"/>
          <w:szCs w:val="24"/>
        </w:rPr>
        <w:t xml:space="preserve">their </w:t>
      </w:r>
      <w:r w:rsidR="002533EF" w:rsidRPr="00CB6F3B">
        <w:rPr>
          <w:rFonts w:ascii="Times New Roman" w:hAnsi="Times New Roman" w:cs="Times New Roman"/>
          <w:sz w:val="24"/>
          <w:szCs w:val="24"/>
        </w:rPr>
        <w:t xml:space="preserve">diversity, abundance, and distribution. </w:t>
      </w:r>
    </w:p>
    <w:p w14:paraId="3E1E7245" w14:textId="42031F08" w:rsidR="008C727B" w:rsidRPr="00CB6F3B" w:rsidRDefault="00EF08AE" w:rsidP="003E420F">
      <w:pPr>
        <w:spacing w:line="480" w:lineRule="auto"/>
        <w:rPr>
          <w:rFonts w:ascii="Times New Roman" w:hAnsi="Times New Roman" w:cs="Times New Roman"/>
          <w:b/>
          <w:sz w:val="24"/>
          <w:szCs w:val="24"/>
        </w:rPr>
      </w:pPr>
      <w:r w:rsidRPr="00CB6F3B">
        <w:rPr>
          <w:rFonts w:ascii="Times New Roman" w:hAnsi="Times New Roman" w:cs="Times New Roman"/>
          <w:b/>
          <w:sz w:val="24"/>
          <w:szCs w:val="24"/>
        </w:rPr>
        <w:t xml:space="preserve">2.1 </w:t>
      </w:r>
      <w:r w:rsidR="00395DEF" w:rsidRPr="00CB6F3B">
        <w:rPr>
          <w:rFonts w:ascii="Times New Roman" w:hAnsi="Times New Roman" w:cs="Times New Roman"/>
          <w:b/>
          <w:sz w:val="24"/>
          <w:szCs w:val="24"/>
        </w:rPr>
        <w:t>Morphological variation</w:t>
      </w:r>
    </w:p>
    <w:p w14:paraId="4FC6155C" w14:textId="3EFBDDB7" w:rsidR="00603D86" w:rsidRPr="00CB6F3B" w:rsidRDefault="00D361B2" w:rsidP="00603D86">
      <w:pPr>
        <w:spacing w:line="480" w:lineRule="auto"/>
        <w:rPr>
          <w:rFonts w:ascii="Times New Roman" w:hAnsi="Times New Roman" w:cs="Times New Roman"/>
          <w:sz w:val="24"/>
          <w:szCs w:val="24"/>
        </w:rPr>
      </w:pPr>
      <w:r w:rsidRPr="00CB6F3B">
        <w:rPr>
          <w:rFonts w:ascii="Times New Roman" w:hAnsi="Times New Roman" w:cs="Times New Roman"/>
          <w:sz w:val="24"/>
          <w:szCs w:val="24"/>
        </w:rPr>
        <w:t>S</w:t>
      </w:r>
      <w:r w:rsidR="008C727B" w:rsidRPr="00CB6F3B">
        <w:rPr>
          <w:rFonts w:ascii="Times New Roman" w:hAnsi="Times New Roman" w:cs="Times New Roman"/>
          <w:sz w:val="24"/>
          <w:szCs w:val="24"/>
        </w:rPr>
        <w:t xml:space="preserve">oil eukaryotes </w:t>
      </w:r>
      <w:r w:rsidR="009046F8" w:rsidRPr="00CB6F3B">
        <w:rPr>
          <w:rFonts w:ascii="Times New Roman" w:hAnsi="Times New Roman" w:cs="Times New Roman"/>
          <w:sz w:val="24"/>
          <w:szCs w:val="24"/>
        </w:rPr>
        <w:t>range in</w:t>
      </w:r>
      <w:r w:rsidR="008C727B" w:rsidRPr="00CB6F3B">
        <w:rPr>
          <w:rFonts w:ascii="Times New Roman" w:hAnsi="Times New Roman" w:cs="Times New Roman"/>
          <w:sz w:val="24"/>
          <w:szCs w:val="24"/>
        </w:rPr>
        <w:t xml:space="preserve"> </w:t>
      </w:r>
      <w:r w:rsidR="00341058" w:rsidRPr="00CB6F3B">
        <w:rPr>
          <w:rFonts w:ascii="Times New Roman" w:hAnsi="Times New Roman" w:cs="Times New Roman"/>
          <w:sz w:val="24"/>
          <w:szCs w:val="24"/>
        </w:rPr>
        <w:t>body size</w:t>
      </w:r>
      <w:r w:rsidR="008C727B" w:rsidRPr="00CB6F3B">
        <w:rPr>
          <w:rFonts w:ascii="Times New Roman" w:hAnsi="Times New Roman" w:cs="Times New Roman"/>
          <w:sz w:val="24"/>
          <w:szCs w:val="24"/>
        </w:rPr>
        <w:t xml:space="preserve"> </w:t>
      </w:r>
      <w:r w:rsidRPr="00CB6F3B">
        <w:rPr>
          <w:rFonts w:ascii="Times New Roman" w:hAnsi="Times New Roman" w:cs="Times New Roman"/>
          <w:sz w:val="24"/>
          <w:szCs w:val="24"/>
        </w:rPr>
        <w:t>from</w:t>
      </w:r>
      <w:r w:rsidR="009046F8" w:rsidRPr="00CB6F3B">
        <w:rPr>
          <w:rFonts w:ascii="Times New Roman" w:hAnsi="Times New Roman" w:cs="Times New Roman"/>
          <w:sz w:val="24"/>
          <w:szCs w:val="24"/>
        </w:rPr>
        <w:t xml:space="preserve"> </w:t>
      </w:r>
      <w:r w:rsidR="008C727B" w:rsidRPr="00CB6F3B">
        <w:rPr>
          <w:rFonts w:ascii="Times New Roman" w:hAnsi="Times New Roman" w:cs="Times New Roman"/>
          <w:sz w:val="24"/>
          <w:szCs w:val="24"/>
        </w:rPr>
        <w:t xml:space="preserve">unicellular protists to multicellular </w:t>
      </w:r>
      <w:r w:rsidRPr="00CB6F3B">
        <w:rPr>
          <w:rFonts w:ascii="Times New Roman" w:hAnsi="Times New Roman" w:cs="Times New Roman"/>
          <w:sz w:val="24"/>
          <w:szCs w:val="24"/>
        </w:rPr>
        <w:t>organisms (</w:t>
      </w:r>
      <w:r w:rsidR="00262312" w:rsidRPr="00CB6F3B">
        <w:rPr>
          <w:rFonts w:ascii="Times New Roman" w:hAnsi="Times New Roman" w:cs="Times New Roman"/>
          <w:sz w:val="24"/>
          <w:szCs w:val="24"/>
        </w:rPr>
        <w:t xml:space="preserve">i.e., earthworms and snails; </w:t>
      </w:r>
      <w:r w:rsidRPr="00CB6F3B">
        <w:rPr>
          <w:rFonts w:ascii="Times New Roman" w:hAnsi="Times New Roman" w:cs="Times New Roman"/>
          <w:sz w:val="24"/>
          <w:szCs w:val="24"/>
        </w:rPr>
        <w:t>Figure 1</w:t>
      </w:r>
      <w:r w:rsidR="003B75F9" w:rsidRPr="00CB6F3B">
        <w:rPr>
          <w:rFonts w:ascii="Times New Roman" w:hAnsi="Times New Roman" w:cs="Times New Roman"/>
          <w:sz w:val="24"/>
          <w:szCs w:val="24"/>
        </w:rPr>
        <w:t>a</w:t>
      </w:r>
      <w:r w:rsidRPr="00CB6F3B">
        <w:rPr>
          <w:rFonts w:ascii="Times New Roman" w:hAnsi="Times New Roman" w:cs="Times New Roman"/>
          <w:sz w:val="24"/>
          <w:szCs w:val="24"/>
        </w:rPr>
        <w:t>), all of which may contribute DNA to a soil sample</w:t>
      </w:r>
      <w:r w:rsidR="008C727B" w:rsidRPr="00CB6F3B">
        <w:rPr>
          <w:rFonts w:ascii="Times New Roman" w:hAnsi="Times New Roman" w:cs="Times New Roman"/>
          <w:sz w:val="24"/>
          <w:szCs w:val="24"/>
        </w:rPr>
        <w:t>.</w:t>
      </w:r>
      <w:r w:rsidRPr="00CB6F3B">
        <w:rPr>
          <w:rFonts w:ascii="Times New Roman" w:hAnsi="Times New Roman" w:cs="Times New Roman"/>
          <w:sz w:val="24"/>
          <w:szCs w:val="24"/>
        </w:rPr>
        <w:t xml:space="preserve"> </w:t>
      </w:r>
      <w:r w:rsidR="00B57014" w:rsidRPr="00CB6F3B">
        <w:rPr>
          <w:rFonts w:ascii="Times New Roman" w:hAnsi="Times New Roman" w:cs="Times New Roman"/>
          <w:sz w:val="24"/>
          <w:szCs w:val="24"/>
        </w:rPr>
        <w:t xml:space="preserve">The </w:t>
      </w:r>
      <w:r w:rsidR="00603D86" w:rsidRPr="00CB6F3B">
        <w:rPr>
          <w:rFonts w:ascii="Times New Roman" w:hAnsi="Times New Roman" w:cs="Times New Roman"/>
          <w:sz w:val="24"/>
          <w:szCs w:val="24"/>
        </w:rPr>
        <w:t xml:space="preserve">study </w:t>
      </w:r>
      <w:r w:rsidR="00B57014" w:rsidRPr="00CB6F3B">
        <w:rPr>
          <w:rFonts w:ascii="Times New Roman" w:hAnsi="Times New Roman" w:cs="Times New Roman"/>
          <w:sz w:val="24"/>
          <w:szCs w:val="24"/>
        </w:rPr>
        <w:t>of ecological communities with a</w:t>
      </w:r>
      <w:r w:rsidRPr="00CB6F3B">
        <w:rPr>
          <w:rFonts w:ascii="Times New Roman" w:hAnsi="Times New Roman" w:cs="Times New Roman"/>
          <w:sz w:val="24"/>
          <w:szCs w:val="24"/>
        </w:rPr>
        <w:t xml:space="preserve">mplicon sequencing relies on the assumption that the genes belonging to each individual in the community are amplified proportional to their </w:t>
      </w:r>
      <w:r w:rsidR="001E345C" w:rsidRPr="00CB6F3B">
        <w:rPr>
          <w:rFonts w:ascii="Times New Roman" w:hAnsi="Times New Roman" w:cs="Times New Roman"/>
          <w:sz w:val="24"/>
          <w:szCs w:val="24"/>
        </w:rPr>
        <w:t>abundance</w:t>
      </w:r>
      <w:r w:rsidRPr="00CB6F3B">
        <w:rPr>
          <w:rFonts w:ascii="Times New Roman" w:hAnsi="Times New Roman" w:cs="Times New Roman"/>
          <w:sz w:val="24"/>
          <w:szCs w:val="24"/>
        </w:rPr>
        <w:t xml:space="preserve"> in the community</w:t>
      </w:r>
      <w:r w:rsidR="00356E43" w:rsidRPr="00CB6F3B">
        <w:rPr>
          <w:rFonts w:ascii="Times New Roman" w:hAnsi="Times New Roman" w:cs="Times New Roman"/>
          <w:sz w:val="24"/>
          <w:szCs w:val="24"/>
        </w:rPr>
        <w:t xml:space="preserve"> (</w:t>
      </w:r>
      <w:r w:rsidR="00603D86" w:rsidRPr="00CB6F3B">
        <w:rPr>
          <w:rFonts w:ascii="Times New Roman" w:hAnsi="Times New Roman" w:cs="Times New Roman"/>
          <w:sz w:val="24"/>
          <w:szCs w:val="24"/>
        </w:rPr>
        <w:t>ideally</w:t>
      </w:r>
      <w:r w:rsidR="00356E43" w:rsidRPr="00CB6F3B">
        <w:rPr>
          <w:rFonts w:ascii="Times New Roman" w:hAnsi="Times New Roman" w:cs="Times New Roman"/>
          <w:sz w:val="24"/>
          <w:szCs w:val="24"/>
        </w:rPr>
        <w:t>, one gene: one organism; Figure 1b)</w:t>
      </w:r>
      <w:r w:rsidR="00603D86" w:rsidRPr="00CB6F3B">
        <w:rPr>
          <w:rFonts w:ascii="Times New Roman" w:hAnsi="Times New Roman" w:cs="Times New Roman"/>
          <w:sz w:val="24"/>
          <w:szCs w:val="24"/>
        </w:rPr>
        <w:t xml:space="preserve">. </w:t>
      </w:r>
      <w:bookmarkStart w:id="8" w:name="_Hlk48652408"/>
      <w:r w:rsidR="00603D86" w:rsidRPr="00CB6F3B">
        <w:rPr>
          <w:rFonts w:ascii="Times New Roman" w:hAnsi="Times New Roman" w:cs="Times New Roman"/>
          <w:sz w:val="24"/>
          <w:szCs w:val="24"/>
        </w:rPr>
        <w:t>All life deviates from this assumption, but with</w:t>
      </w:r>
      <w:r w:rsidR="00356E43" w:rsidRPr="00CB6F3B">
        <w:rPr>
          <w:rFonts w:ascii="Times New Roman" w:hAnsi="Times New Roman" w:cs="Times New Roman"/>
          <w:sz w:val="24"/>
          <w:szCs w:val="24"/>
        </w:rPr>
        <w:t xml:space="preserve"> their variable morphologies, soil eukaryotes </w:t>
      </w:r>
      <w:r w:rsidR="00603D86" w:rsidRPr="00CB6F3B">
        <w:rPr>
          <w:rFonts w:ascii="Times New Roman" w:hAnsi="Times New Roman" w:cs="Times New Roman"/>
          <w:sz w:val="24"/>
          <w:szCs w:val="24"/>
        </w:rPr>
        <w:t>deviate from</w:t>
      </w:r>
      <w:r w:rsidR="00356E43" w:rsidRPr="00CB6F3B">
        <w:rPr>
          <w:rFonts w:ascii="Times New Roman" w:hAnsi="Times New Roman" w:cs="Times New Roman"/>
          <w:sz w:val="24"/>
          <w:szCs w:val="24"/>
        </w:rPr>
        <w:t xml:space="preserve"> one gene:</w:t>
      </w:r>
      <w:r w:rsidR="00603D86" w:rsidRPr="00CB6F3B">
        <w:rPr>
          <w:rFonts w:ascii="Times New Roman" w:hAnsi="Times New Roman" w:cs="Times New Roman"/>
          <w:sz w:val="24"/>
          <w:szCs w:val="24"/>
        </w:rPr>
        <w:t xml:space="preserve"> </w:t>
      </w:r>
      <w:r w:rsidR="00356E43" w:rsidRPr="00CB6F3B">
        <w:rPr>
          <w:rFonts w:ascii="Times New Roman" w:hAnsi="Times New Roman" w:cs="Times New Roman"/>
          <w:sz w:val="24"/>
          <w:szCs w:val="24"/>
        </w:rPr>
        <w:t>one organism in several ways</w:t>
      </w:r>
      <w:r w:rsidR="00603D86" w:rsidRPr="00CB6F3B">
        <w:rPr>
          <w:rFonts w:ascii="Times New Roman" w:hAnsi="Times New Roman" w:cs="Times New Roman"/>
          <w:sz w:val="24"/>
          <w:szCs w:val="24"/>
        </w:rPr>
        <w:t>, and to a greater extent than prokaryotes</w:t>
      </w:r>
      <w:r w:rsidR="00356E43" w:rsidRPr="00CB6F3B">
        <w:rPr>
          <w:rFonts w:ascii="Times New Roman" w:hAnsi="Times New Roman" w:cs="Times New Roman"/>
          <w:sz w:val="24"/>
          <w:szCs w:val="24"/>
        </w:rPr>
        <w:t xml:space="preserve">. </w:t>
      </w:r>
    </w:p>
    <w:bookmarkEnd w:id="8"/>
    <w:p w14:paraId="6000A188" w14:textId="392DCB7E" w:rsidR="005913DF" w:rsidRPr="00CB6F3B" w:rsidRDefault="00356E43" w:rsidP="008F1714">
      <w:pPr>
        <w:spacing w:line="480" w:lineRule="auto"/>
        <w:rPr>
          <w:rFonts w:ascii="Times New Roman" w:eastAsia="Times New Roman" w:hAnsi="Times New Roman" w:cs="Times New Roman"/>
          <w:sz w:val="24"/>
          <w:szCs w:val="24"/>
        </w:rPr>
      </w:pPr>
      <w:r w:rsidRPr="00CB6F3B">
        <w:rPr>
          <w:rFonts w:ascii="Times New Roman" w:hAnsi="Times New Roman" w:cs="Times New Roman"/>
          <w:sz w:val="24"/>
          <w:szCs w:val="24"/>
        </w:rPr>
        <w:t>First, multicellularity disrupts estimates of relative abundances</w:t>
      </w:r>
      <w:r w:rsidR="00B2608A" w:rsidRPr="00CB6F3B">
        <w:rPr>
          <w:rFonts w:ascii="Times New Roman" w:hAnsi="Times New Roman" w:cs="Times New Roman"/>
          <w:sz w:val="24"/>
          <w:szCs w:val="24"/>
        </w:rPr>
        <w:t>, as these become confounded with the organisms’ sizes</w:t>
      </w:r>
      <w:r w:rsidRPr="00CB6F3B">
        <w:rPr>
          <w:rFonts w:ascii="Times New Roman" w:hAnsi="Times New Roman" w:cs="Times New Roman"/>
          <w:sz w:val="24"/>
          <w:szCs w:val="24"/>
        </w:rPr>
        <w:t xml:space="preserve"> </w:t>
      </w:r>
      <w:r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author":[{"dropping-particle":"","family":"Elbrecht","given":"Vasco","non-dropping-particle":"","parse-names":false,"suffix":""},{"dropping-particle":"","family":"Leese","given":"Florian","non-dropping-particle":"","parse-names":false,"suffix":""}],"container-title":"PeerJ","id":"ITEM-1","issue":"May","issued":{"date-parts":[["2015"]]},"title":"Can DNA-based ecosystem assessments quantify species abundance ? Testing primer bias and biomass - sequence relationships with an innovative metabarcoding protocol","type":"article-journal"},"uris":["http://www.mendeley.com/documents/?uuid=c0291cdc-b689-479b-9539-8dd18668416f"]}],"mendeley":{"formattedCitation":"[21]","plainTextFormattedCitation":"[21]","previouslyFormattedCitation":"[21]"},"properties":{"noteIndex":0},"schema":"https://github.com/citation-style-language/schema/raw/master/csl-citation.json"}</w:instrText>
      </w:r>
      <w:r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[21]</w:t>
      </w:r>
      <w:r w:rsidRPr="00CB6F3B">
        <w:rPr>
          <w:rFonts w:ascii="Times New Roman" w:hAnsi="Times New Roman" w:cs="Times New Roman"/>
          <w:sz w:val="24"/>
          <w:szCs w:val="24"/>
        </w:rPr>
        <w:fldChar w:fldCharType="end"/>
      </w:r>
      <w:r w:rsidRPr="00CB6F3B">
        <w:rPr>
          <w:rFonts w:ascii="Times New Roman" w:hAnsi="Times New Roman" w:cs="Times New Roman"/>
          <w:sz w:val="24"/>
          <w:szCs w:val="24"/>
        </w:rPr>
        <w:t xml:space="preserve"> (Figure 1c). Second, the variable number of copies of </w:t>
      </w:r>
      <w:r w:rsidR="008F1714" w:rsidRPr="00CB6F3B">
        <w:rPr>
          <w:rFonts w:ascii="Times New Roman" w:hAnsi="Times New Roman" w:cs="Times New Roman"/>
          <w:sz w:val="24"/>
          <w:szCs w:val="24"/>
        </w:rPr>
        <w:t xml:space="preserve">a marker </w:t>
      </w:r>
      <w:r w:rsidR="008F1714" w:rsidRPr="00CB6F3B">
        <w:rPr>
          <w:rFonts w:ascii="Times New Roman" w:hAnsi="Times New Roman" w:cs="Times New Roman"/>
          <w:sz w:val="24"/>
          <w:szCs w:val="24"/>
        </w:rPr>
        <w:lastRenderedPageBreak/>
        <w:t xml:space="preserve">gene is exacerbated in eukaryotes. </w:t>
      </w:r>
      <w:bookmarkStart w:id="9" w:name="_Hlk55209245"/>
      <w:r w:rsidR="00362EF9" w:rsidRPr="00CB6F3B">
        <w:rPr>
          <w:rFonts w:ascii="Times New Roman" w:hAnsi="Times New Roman" w:cs="Times New Roman"/>
          <w:sz w:val="24"/>
          <w:szCs w:val="24"/>
        </w:rPr>
        <w:t>While bacterial cells may contain up to 15 copies of the 16S RNA gene</w:t>
      </w:r>
      <w:r w:rsidR="00174C7F" w:rsidRPr="00CB6F3B">
        <w:rPr>
          <w:rFonts w:ascii="Times New Roman" w:hAnsi="Times New Roman" w:cs="Times New Roman"/>
          <w:sz w:val="24"/>
          <w:szCs w:val="24"/>
        </w:rPr>
        <w:t>,</w:t>
      </w:r>
      <w:r w:rsidR="00362EF9" w:rsidRPr="00CB6F3B">
        <w:rPr>
          <w:rFonts w:ascii="Times New Roman" w:hAnsi="Times New Roman" w:cs="Times New Roman"/>
          <w:sz w:val="24"/>
          <w:szCs w:val="24"/>
        </w:rPr>
        <w:t xml:space="preserve"> protists may contain between 1 and 400,000 copies of the 18S rRNA gene</w:t>
      </w:r>
      <w:r w:rsidR="001F1D02" w:rsidRPr="00CB6F3B">
        <w:rPr>
          <w:rFonts w:ascii="Times New Roman" w:hAnsi="Times New Roman" w:cs="Times New Roman"/>
          <w:sz w:val="24"/>
          <w:szCs w:val="24"/>
        </w:rPr>
        <w:t xml:space="preserve">, </w:t>
      </w:r>
      <w:r w:rsidR="00362EF9" w:rsidRPr="00CB6F3B">
        <w:rPr>
          <w:rFonts w:ascii="Times New Roman" w:hAnsi="Times New Roman" w:cs="Times New Roman"/>
          <w:sz w:val="24"/>
          <w:szCs w:val="24"/>
        </w:rPr>
        <w:t>(</w:t>
      </w:r>
      <w:r w:rsidR="00362EF9"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{"citationItems":[{"id":"ITEM-1","itemData":{"ISBN":"0192506471","author":[{"dropping-particle":"","family":"Kirchman","given":"David L","non-dropping-particle":"","parse-names":false,"suffix":""}],"id":"ITEM-1","issued":{"date-parts":[["2018"]]},"publisher":"Oxford University Press","title":"Processes in microbial ecology","type":"book"},"uris":["http://www.mendeley.com/documents/?uuid=02d070ed-4814-43a3-ad6c-f37476ec4aa4"]}],"mendeley":{"formattedCitation":"[22]","plainTextFormattedCitation":"[22]","previouslyFormattedCitation":"[22]"},"properties":{"noteIndex":0},"schema":"https://github.com/citation-style-language/schema/raw/master/csl-citation.json"}</w:instrText>
      </w:r>
      <w:r w:rsidR="00362EF9"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[22]</w:t>
      </w:r>
      <w:r w:rsidR="00362EF9" w:rsidRPr="00CB6F3B">
        <w:rPr>
          <w:rFonts w:ascii="Times New Roman" w:hAnsi="Times New Roman" w:cs="Times New Roman"/>
          <w:sz w:val="24"/>
          <w:szCs w:val="24"/>
        </w:rPr>
        <w:fldChar w:fldCharType="end"/>
      </w:r>
      <w:r w:rsidR="00603D86" w:rsidRPr="00CB6F3B">
        <w:rPr>
          <w:rFonts w:ascii="Times New Roman" w:hAnsi="Times New Roman" w:cs="Times New Roman"/>
          <w:sz w:val="24"/>
          <w:szCs w:val="24"/>
        </w:rPr>
        <w:t xml:space="preserve">, </w:t>
      </w:r>
      <w:r w:rsidR="00362EF9" w:rsidRPr="00CB6F3B">
        <w:rPr>
          <w:rFonts w:ascii="Times New Roman" w:hAnsi="Times New Roman" w:cs="Times New Roman"/>
          <w:sz w:val="24"/>
          <w:szCs w:val="24"/>
        </w:rPr>
        <w:t xml:space="preserve">Figure 1d). </w:t>
      </w:r>
      <w:bookmarkStart w:id="10" w:name="_Hlk48655595"/>
      <w:bookmarkEnd w:id="9"/>
      <w:r w:rsidR="00603D86" w:rsidRPr="00CB6F3B">
        <w:rPr>
          <w:rFonts w:ascii="Times New Roman" w:hAnsi="Times New Roman" w:cs="Times New Roman"/>
          <w:sz w:val="24"/>
          <w:szCs w:val="24"/>
        </w:rPr>
        <w:t>In bacteria, this variable gene copy number</w:t>
      </w:r>
      <w:r w:rsidR="00362EF9" w:rsidRPr="00CB6F3B">
        <w:rPr>
          <w:rFonts w:ascii="Times New Roman" w:hAnsi="Times New Roman" w:cs="Times New Roman"/>
          <w:sz w:val="24"/>
          <w:szCs w:val="24"/>
        </w:rPr>
        <w:t xml:space="preserve"> can be corrected</w:t>
      </w:r>
      <w:r w:rsidR="00B2608A" w:rsidRPr="00CB6F3B">
        <w:rPr>
          <w:rFonts w:ascii="Times New Roman" w:hAnsi="Times New Roman" w:cs="Times New Roman"/>
          <w:sz w:val="24"/>
          <w:szCs w:val="24"/>
        </w:rPr>
        <w:t xml:space="preserve"> using bacterial sequence databases</w:t>
      </w:r>
      <w:r w:rsidR="00917260" w:rsidRPr="00CB6F3B">
        <w:rPr>
          <w:rFonts w:ascii="Times New Roman" w:hAnsi="Times New Roman" w:cs="Times New Roman"/>
          <w:sz w:val="24"/>
          <w:szCs w:val="24"/>
        </w:rPr>
        <w:t xml:space="preserve"> (although is discouraged for soil prokaryotes, which are poorly represented in sequence databases</w:t>
      </w:r>
      <w:r w:rsidR="00B2608A" w:rsidRPr="00CB6F3B">
        <w:rPr>
          <w:rFonts w:ascii="Times New Roman" w:hAnsi="Times New Roman" w:cs="Times New Roman"/>
          <w:sz w:val="24"/>
          <w:szCs w:val="24"/>
        </w:rPr>
        <w:t xml:space="preserve"> </w:t>
      </w:r>
      <w:r w:rsidR="00362EF9"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ISSN":"2049-2618","author":[{"dropping-particle":"","family":"Louca","given":"Stilianos","non-dropping-particle":"","parse-names":false,"suffix":""},{"dropping-particle":"","family":"Doebeli","given":"Michael","non-dropping-particle":"","parse-names":false,"suffix":""},{"dropping-particle":"","family":"Parfrey","given":"Laura Wegener","non-dropping-particle":"","parse-names":false,"suffix":""}],"container-title":"Microbiome","id":"ITEM-1","issue":"1","issued":{"date-parts":[["2018"]]},"page":"41","publisher":"Springer","title":"Correcting for 16S rRNA gene copy numbers in microbiome surveys remains an unsolved problem","type":"article-journal","volume":"6"},"uris":["http://www.mendeley.com/documents/?uuid=3acc5fda-a059-4e48-8147-775761c8d82e"]}],"mendeley":{"formattedCitation":"[23]","plainTextFormattedCitation":"[23]","previouslyFormattedCitation":"[23]"},"properties":{"noteIndex":0},"schema":"https://github.com/citation-style-language/schema/raw/master/csl-citation.json"}</w:instrText>
      </w:r>
      <w:r w:rsidR="00362EF9"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[23]</w:t>
      </w:r>
      <w:r w:rsidR="00362EF9" w:rsidRPr="00CB6F3B">
        <w:rPr>
          <w:rFonts w:ascii="Times New Roman" w:hAnsi="Times New Roman" w:cs="Times New Roman"/>
          <w:sz w:val="24"/>
          <w:szCs w:val="24"/>
        </w:rPr>
        <w:fldChar w:fldCharType="end"/>
      </w:r>
      <w:r w:rsidR="00917260" w:rsidRPr="00CB6F3B">
        <w:rPr>
          <w:rFonts w:ascii="Times New Roman" w:hAnsi="Times New Roman" w:cs="Times New Roman"/>
          <w:sz w:val="24"/>
          <w:szCs w:val="24"/>
        </w:rPr>
        <w:t>)</w:t>
      </w:r>
      <w:r w:rsidR="00B2608A" w:rsidRPr="00CB6F3B">
        <w:rPr>
          <w:rFonts w:ascii="Times New Roman" w:hAnsi="Times New Roman" w:cs="Times New Roman"/>
          <w:sz w:val="24"/>
          <w:szCs w:val="24"/>
        </w:rPr>
        <w:t xml:space="preserve">; </w:t>
      </w:r>
      <w:bookmarkEnd w:id="10"/>
      <w:r w:rsidR="00B2608A" w:rsidRPr="00CB6F3B">
        <w:rPr>
          <w:rFonts w:ascii="Times New Roman" w:hAnsi="Times New Roman" w:cs="Times New Roman"/>
          <w:sz w:val="24"/>
          <w:szCs w:val="24"/>
        </w:rPr>
        <w:t>h</w:t>
      </w:r>
      <w:r w:rsidR="00362EF9" w:rsidRPr="00CB6F3B">
        <w:rPr>
          <w:rFonts w:ascii="Times New Roman" w:hAnsi="Times New Roman" w:cs="Times New Roman"/>
          <w:sz w:val="24"/>
          <w:szCs w:val="24"/>
        </w:rPr>
        <w:t xml:space="preserve">owever, eukaryotic sequence databases are considerably sparser </w:t>
      </w:r>
      <w:r w:rsidR="00362EF9"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{"citationItems":[{"id":"ITEM-1","itemData":{"DOI":"10.1016/j.soilbio.2019.107536","ISSN":"00380717","abstract":"Soils host the vast majority of life on Earth including microorganisms and animals, and supporting all terrestrial vegetation. While soil organisms are pivotal for ecosystem functioning, the assemblages of different biota from a taxonomic and functional perspective, as well as how these different organisms interact, remains poorly known. We provide a brief overview of the taxonomic and functional diversity of all major groups of soil biota across different scales and organism sizes, ranging from viruses to prokaryotes and eukaryotes. This reveals knowledge gaps in relation to all soil biodiversity groups, which are especially evident for viruses, protists, micro- and meso-fauna. We review currently-available methods to study the taxonomic and functional diversity of soil organisms by grouping all commonly-used methods into morphological, biochemical and molecular approaches. We list potentials and limitations of the methods to reveal that there is, as yet, no single method to fully characterize the biodiversity even of a single group of soil biota. Yet, we stress that we now have the methods available to enable scientists to disentangle the taxonomic and functional diversity of virtually all soil organisms. We provide a user-friendly guide to help researchers address a wider variety of soil biodiversity in their studies by discussing and critically analysing the various potentials and limitations of diverse methods to study distinct groups of soil life. We highlight that integrative methodological approaches, ideally in collaborative interactions, are key to advancing our understanding of soil biodiversity, such as the combination of morphological and molecular approaches to overcome method-specific limitations. Together, integrative efforts can provide information on the abundance, biomass, diversity and function of several groups of soil biota simultaneously. This newly-obtained integrative information on soil biodiversity will help to define the importance of soil biodiversity in ecosystem processes, functions, and services, and serve to refine food-web and earth system models.","author":[{"dropping-particle":"","family":"Geisen","given":"Stefan","non-dropping-particle":"","parse-names":false,"suffix":""},{"dropping-particle":"","family":"Briones","given":"Maria J.I.","non-dropping-particle":"","parse-names":false,"suffix":""},{"dropping-particle":"","family":"Gan","given":"Huijie","non-dropping-particle":"","parse-names":false,"suffix":""},{"dropping-particle":"","family":"Behan-Pelletier","given":"Valerie M.","non-dropping-particle":"","parse-names":false,"suffix":""},{"dropping-particle":"","family":"Friman","given":"Ville Petri","non-dropping-particle":"","parse-names":false,"suffix":""},{"dropping-particle":"","family":"Groot","given":"G. Arjen","non-dropping-particle":"de","parse-names":false,"suffix":""},{"dropping-particle":"","family":"Hannula","given":"S. Emilia","non-dropping-particle":"","parse-names":false,"suffix":""},{"dropping-particle":"","family":"Lindo","given":"Zoë","non-dropping-particle":"","parse-names":false,"suffix":""},{"dropping-particle":"","family":"Philippot","given":"Laurent","non-dropping-particle":"","parse-names":false,"suffix":""},{"dropping-particle":"V.","family":"Tiunov","given":"Alexei","non-dropping-particle":"","parse-names":false,"suffix":""},{"dropping-particle":"","family":"Wall","given":"Diana H.","non-dropping-particle":"","parse-names":false,"suffix":""}],"container-title":"Soil Biology and Biochemistry","id":"ITEM-1","issued":{"date-parts":[["2019","9","1"]]},"publisher":"Elsevier Ltd","title":"A methodological framework to embrace soil biodiversity","type":"article","volume":"136"},"uris":["http://www.mendeley.com/documents/?uuid=7a357cc4-9669-3f43-a3f7-93815928918f"]}],"mendeley":{"formattedCitation":"[24]","plainTextFormattedCitation":"[24]","previouslyFormattedCitation":"[24]"},"properties":{"noteIndex":0},"schema":"https://github.com/citation-style-language/schema/raw/master/csl-citation.json"}</w:instrText>
      </w:r>
      <w:r w:rsidR="00362EF9"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[24]</w:t>
      </w:r>
      <w:r w:rsidR="00362EF9" w:rsidRPr="00CB6F3B">
        <w:rPr>
          <w:rFonts w:ascii="Times New Roman" w:hAnsi="Times New Roman" w:cs="Times New Roman"/>
          <w:sz w:val="24"/>
          <w:szCs w:val="24"/>
        </w:rPr>
        <w:fldChar w:fldCharType="end"/>
      </w:r>
      <w:r w:rsidR="00362EF9" w:rsidRPr="00CB6F3B">
        <w:rPr>
          <w:rFonts w:ascii="Times New Roman" w:hAnsi="Times New Roman" w:cs="Times New Roman"/>
          <w:sz w:val="24"/>
          <w:szCs w:val="24"/>
        </w:rPr>
        <w:t>.</w:t>
      </w:r>
      <w:r w:rsidR="00B2608A" w:rsidRPr="00CB6F3B">
        <w:rPr>
          <w:rFonts w:ascii="Times New Roman" w:hAnsi="Times New Roman" w:cs="Times New Roman"/>
          <w:sz w:val="24"/>
          <w:szCs w:val="24"/>
        </w:rPr>
        <w:t xml:space="preserve"> </w:t>
      </w:r>
      <w:r w:rsidR="008F1714" w:rsidRPr="00CB6F3B">
        <w:rPr>
          <w:rFonts w:ascii="Times New Roman" w:hAnsi="Times New Roman" w:cs="Times New Roman"/>
          <w:sz w:val="24"/>
          <w:szCs w:val="24"/>
        </w:rPr>
        <w:t xml:space="preserve">These two phenomena </w:t>
      </w:r>
      <w:r w:rsidRPr="00CB6F3B">
        <w:rPr>
          <w:rFonts w:ascii="Times New Roman" w:hAnsi="Times New Roman" w:cs="Times New Roman"/>
          <w:sz w:val="24"/>
          <w:szCs w:val="24"/>
        </w:rPr>
        <w:t xml:space="preserve">obfuscate the relationship </w:t>
      </w:r>
      <w:r w:rsidR="008F1714" w:rsidRPr="00CB6F3B">
        <w:rPr>
          <w:rFonts w:ascii="Times New Roman" w:hAnsi="Times New Roman" w:cs="Times New Roman"/>
          <w:sz w:val="24"/>
          <w:szCs w:val="24"/>
        </w:rPr>
        <w:t>between the number of gene copies detected</w:t>
      </w:r>
      <w:r w:rsidR="00CB2456" w:rsidRPr="00CB6F3B">
        <w:rPr>
          <w:rFonts w:ascii="Times New Roman" w:hAnsi="Times New Roman" w:cs="Times New Roman"/>
          <w:sz w:val="24"/>
          <w:szCs w:val="24"/>
        </w:rPr>
        <w:t xml:space="preserve"> from a sample</w:t>
      </w:r>
      <w:r w:rsidR="008F1714" w:rsidRPr="00CB6F3B">
        <w:rPr>
          <w:rFonts w:ascii="Times New Roman" w:hAnsi="Times New Roman" w:cs="Times New Roman"/>
          <w:sz w:val="24"/>
          <w:szCs w:val="24"/>
        </w:rPr>
        <w:t xml:space="preserve"> and the abundance of organism</w:t>
      </w:r>
      <w:r w:rsidR="00CB2456" w:rsidRPr="00CB6F3B">
        <w:rPr>
          <w:rFonts w:ascii="Times New Roman" w:hAnsi="Times New Roman" w:cs="Times New Roman"/>
          <w:sz w:val="24"/>
          <w:szCs w:val="24"/>
        </w:rPr>
        <w:t>s</w:t>
      </w:r>
      <w:r w:rsidR="008F1714" w:rsidRPr="00CB6F3B">
        <w:rPr>
          <w:rFonts w:ascii="Times New Roman" w:hAnsi="Times New Roman" w:cs="Times New Roman"/>
          <w:sz w:val="24"/>
          <w:szCs w:val="24"/>
        </w:rPr>
        <w:t xml:space="preserve"> in the community</w:t>
      </w:r>
      <w:r w:rsidR="00CB2456" w:rsidRPr="00CB6F3B">
        <w:rPr>
          <w:rFonts w:ascii="Times New Roman" w:hAnsi="Times New Roman" w:cs="Times New Roman"/>
          <w:sz w:val="24"/>
          <w:szCs w:val="24"/>
        </w:rPr>
        <w:t xml:space="preserve">, </w:t>
      </w:r>
      <w:r w:rsidR="008F1714" w:rsidRPr="00CB6F3B">
        <w:rPr>
          <w:rFonts w:ascii="Times New Roman" w:hAnsi="Times New Roman" w:cs="Times New Roman"/>
          <w:sz w:val="24"/>
          <w:szCs w:val="24"/>
        </w:rPr>
        <w:t xml:space="preserve">leading to </w:t>
      </w:r>
      <w:r w:rsidR="00FB2333" w:rsidRPr="00CB6F3B">
        <w:rPr>
          <w:rFonts w:ascii="Times New Roman" w:hAnsi="Times New Roman" w:cs="Times New Roman"/>
          <w:sz w:val="24"/>
          <w:szCs w:val="24"/>
        </w:rPr>
        <w:t xml:space="preserve">potential </w:t>
      </w:r>
      <w:r w:rsidR="008F1714" w:rsidRPr="00CB6F3B">
        <w:rPr>
          <w:rFonts w:ascii="Times New Roman" w:hAnsi="Times New Roman" w:cs="Times New Roman"/>
          <w:sz w:val="24"/>
          <w:szCs w:val="24"/>
        </w:rPr>
        <w:t>overestimation of the abundance of larger individuals or those with the most copies of the marker gene</w:t>
      </w:r>
      <w:r w:rsidRPr="00CB6F3B">
        <w:rPr>
          <w:rFonts w:ascii="Times New Roman" w:hAnsi="Times New Roman" w:cs="Times New Roman"/>
          <w:sz w:val="24"/>
          <w:szCs w:val="24"/>
        </w:rPr>
        <w:t xml:space="preserve"> (Figure </w:t>
      </w:r>
      <w:r w:rsidR="008F1714" w:rsidRPr="00CB6F3B">
        <w:rPr>
          <w:rFonts w:ascii="Times New Roman" w:hAnsi="Times New Roman" w:cs="Times New Roman"/>
          <w:sz w:val="24"/>
          <w:szCs w:val="24"/>
        </w:rPr>
        <w:t>1g-h</w:t>
      </w:r>
      <w:r w:rsidRPr="00CB6F3B">
        <w:rPr>
          <w:rFonts w:ascii="Times New Roman" w:hAnsi="Times New Roman" w:cs="Times New Roman"/>
          <w:sz w:val="24"/>
          <w:szCs w:val="24"/>
        </w:rPr>
        <w:t xml:space="preserve">, </w:t>
      </w:r>
      <w:r w:rsidRPr="00CB6F3B">
        <w:rPr>
          <w:rFonts w:ascii="Times New Roman" w:eastAsia="Times New Roman" w:hAnsi="Times New Roman" w:cs="Times New Roman"/>
          <w:sz w:val="24"/>
          <w:szCs w:val="24"/>
        </w:rPr>
        <w:fldChar w:fldCharType="begin" w:fldLock="1"/>
      </w:r>
      <w:r w:rsidR="0041205F" w:rsidRPr="00CB6F3B">
        <w:rPr>
          <w:rFonts w:ascii="Times New Roman" w:eastAsia="Times New Roman" w:hAnsi="Times New Roman" w:cs="Times New Roman"/>
          <w:sz w:val="24"/>
          <w:szCs w:val="24"/>
        </w:rPr>
        <w:instrText>ADDIN CSL_CITATION {"citationItems":[{"id":"ITEM-1","itemData":{"DOI":"10.1016/j.soilbio.2019.107536","ISSN":"00380717","abstract":"Soils host the vast majority of life on Earth including microorganisms and animals, and supporting all terrestrial vegetation. While soil organisms are pivotal for ecosystem functioning, the assemblages of different biota from a taxonomic and functional perspective, as well as how these different organisms interact, remains poorly known. We provide a brief overview of the taxonomic and functional diversity of all major groups of soil biota across different scales and organism sizes, ranging from viruses to prokaryotes and eukaryotes. This reveals knowledge gaps in relation to all soil biodiversity groups, which are especially evident for viruses, protists, micro- and meso-fauna. We review currently-available methods to study the taxonomic and functional diversity of soil organisms by grouping all commonly-used methods into morphological, biochemical and molecular approaches. We list potentials and limitations of the methods to reveal that there is, as yet, no single method to fully characterize the biodiversity even of a single group of soil biota. Yet, we stress that we now have the methods available to enable scientists to disentangle the taxonomic and functional diversity of virtually all soil organisms. We provide a user-friendly guide to help researchers address a wider variety of soil biodiversity in their studies by discussing and critically analysing the various potentials and limitations of diverse methods to study distinct groups of soil life. We highlight that integrative methodological approaches, ideally in collaborative interactions, are key to advancing our understanding of soil biodiversity, such as the combination of morphological and molecular approaches to overcome method-specific limitations. Together, integrative efforts can provide information on the abundance, biomass, diversity and function of several groups of soil biota simultaneously. This newly-obtained integrative information on soil biodiversity will help to define the importance of soil biodiversity in ecosystem processes, functions, and services, and serve to refine food-web and earth system models.","author":[{"dropping-particle":"","family":"Geisen","given":"Stefan","non-dropping-particle":"","parse-names":false,"suffix":""},{"dropping-particle":"","family":"Briones","given":"Maria J.I.","non-dropping-particle":"","parse-names":false,"suffix":""},{"dropping-particle":"","family":"Gan","given":"Huijie","non-dropping-particle":"","parse-names":false,"suffix":""},{"dropping-particle":"","family":"Behan-Pelletier","given":"Valerie M.","non-dropping-particle":"","parse-names":false,"suffix":""},{"dropping-particle":"","family":"Friman","given":"Ville Petri","non-dropping-particle":"","parse-names":false,"suffix":""},{"dropping-particle":"","family":"Groot","given":"G. Arjen","non-dropping-particle":"de","parse-names":false,"suffix":""},{"dropping-particle":"","family":"Hannula","given":"S. Emilia","non-dropping-particle":"","parse-names":false,"suffix":""},{"dropping-particle":"","family":"Lindo","given":"Zoë","non-dropping-particle":"","parse-names":false,"suffix":""},{"dropping-particle":"","family":"Philippot","given":"Laurent","non-dropping-particle":"","parse-names":false,"suffix":""},{"dropping-particle":"V.","family":"Tiunov","given":"Alexei","non-dropping-particle":"","parse-names":false,"suffix":""},{"dropping-particle":"","family":"Wall","given":"Diana H.","non-dropping-particle":"","parse-names":false,"suffix":""}],"container-title":"Soil Biology and Biochemistry","id":"ITEM-1","issued":{"date-parts":[["2019","9","1"]]},"publisher":"Elsevier Ltd","title":"A methodological framework to embrace soil biodiversity","type":"article","volume":"136"},"uris":["http://www.mendeley.com/documents/?uuid=7a357cc4-9669-3f43-a3f7-93815928918f"]}],"mendeley":{"formattedCitation":"[24]","plainTextFormattedCitation":"[24]","previouslyFormattedCitation":"[24]"},"properties":{"noteIndex":0},"schema":"https://github.com/citation-style-language/schema/raw/master/csl-citation.json"}</w:instrText>
      </w:r>
      <w:r w:rsidRPr="00CB6F3B">
        <w:rPr>
          <w:rFonts w:ascii="Times New Roman" w:eastAsia="Times New Roman" w:hAnsi="Times New Roman" w:cs="Times New Roman"/>
          <w:sz w:val="24"/>
          <w:szCs w:val="24"/>
        </w:rPr>
        <w:fldChar w:fldCharType="separate"/>
      </w:r>
      <w:r w:rsidR="00B50C57" w:rsidRPr="00CB6F3B">
        <w:rPr>
          <w:rFonts w:ascii="Times New Roman" w:eastAsia="Times New Roman" w:hAnsi="Times New Roman" w:cs="Times New Roman"/>
          <w:noProof/>
          <w:sz w:val="24"/>
          <w:szCs w:val="24"/>
        </w:rPr>
        <w:t>[24]</w:t>
      </w:r>
      <w:r w:rsidRPr="00CB6F3B">
        <w:rPr>
          <w:rFonts w:ascii="Times New Roman" w:eastAsia="Times New Roman" w:hAnsi="Times New Roman" w:cs="Times New Roman"/>
          <w:sz w:val="24"/>
          <w:szCs w:val="24"/>
        </w:rPr>
        <w:fldChar w:fldCharType="end"/>
      </w:r>
      <w:r w:rsidRPr="00CB6F3B">
        <w:rPr>
          <w:rFonts w:ascii="Times New Roman" w:hAnsi="Times New Roman" w:cs="Times New Roman"/>
          <w:sz w:val="24"/>
          <w:szCs w:val="24"/>
        </w:rPr>
        <w:t xml:space="preserve">). </w:t>
      </w:r>
      <w:r w:rsidR="000F26A4" w:rsidRPr="00CB6F3B">
        <w:rPr>
          <w:rFonts w:ascii="Times New Roman" w:hAnsi="Times New Roman" w:cs="Times New Roman"/>
          <w:sz w:val="24"/>
          <w:szCs w:val="24"/>
        </w:rPr>
        <w:t xml:space="preserve">Studies focusing on groups </w:t>
      </w:r>
      <w:r w:rsidR="00D52D53" w:rsidRPr="00CB6F3B">
        <w:rPr>
          <w:rFonts w:ascii="Times New Roman" w:hAnsi="Times New Roman" w:cs="Times New Roman"/>
          <w:sz w:val="24"/>
          <w:szCs w:val="24"/>
        </w:rPr>
        <w:t xml:space="preserve">with known cell numbers </w:t>
      </w:r>
      <w:r w:rsidR="000F26A4" w:rsidRPr="00CB6F3B">
        <w:rPr>
          <w:rFonts w:ascii="Times New Roman" w:hAnsi="Times New Roman" w:cs="Times New Roman"/>
          <w:sz w:val="24"/>
          <w:szCs w:val="24"/>
        </w:rPr>
        <w:t xml:space="preserve">have approached this limitation </w:t>
      </w:r>
      <w:r w:rsidR="00262312" w:rsidRPr="00CB6F3B">
        <w:rPr>
          <w:rFonts w:ascii="Times New Roman" w:hAnsi="Times New Roman" w:cs="Times New Roman"/>
          <w:sz w:val="24"/>
          <w:szCs w:val="24"/>
        </w:rPr>
        <w:t xml:space="preserve">by </w:t>
      </w:r>
      <w:r w:rsidR="00364490" w:rsidRPr="00CB6F3B">
        <w:rPr>
          <w:rFonts w:ascii="Times New Roman" w:hAnsi="Times New Roman" w:cs="Times New Roman"/>
          <w:sz w:val="24"/>
          <w:szCs w:val="24"/>
        </w:rPr>
        <w:t xml:space="preserve">modelling relative copy numbers per individuals </w:t>
      </w:r>
      <w:r w:rsidR="00100A26" w:rsidRPr="00CB6F3B">
        <w:rPr>
          <w:rFonts w:ascii="Times New Roman" w:hAnsi="Times New Roman" w:cs="Times New Roman"/>
          <w:sz w:val="24"/>
          <w:szCs w:val="24"/>
        </w:rPr>
        <w:t xml:space="preserve">(e.g., </w:t>
      </w:r>
      <w:r w:rsidR="00364490" w:rsidRPr="00CB6F3B">
        <w:rPr>
          <w:rFonts w:ascii="Times New Roman" w:hAnsi="Times New Roman" w:cs="Times New Roman"/>
          <w:sz w:val="24"/>
          <w:szCs w:val="24"/>
        </w:rPr>
        <w:t xml:space="preserve">in nematodes </w:t>
      </w:r>
      <w:r w:rsidR="00364490"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{"citationItems":[{"id":"ITEM-1","itemData":{"DOI":"10.1111/mec.12480","ISSN":"0962-1083","abstract":"Nematodes are abundant consumers in grassland soils, but more sensitive and specific methods of enumeration are needed to improve our understanding of how different nematode species affect, and are affected by, ecosystem processes. High-throughput amplicon sequencing is used to enumerate microbial and invertebrate communities at a high level of taxonomic resolution, but the method requires validation against traditional specimen-based morphological identifications. To investigate the consistency between these approaches, we enumerated nematodes from a 25-year field experiment using both morphological and molecular identification techniques in order to determine the long-term effects of annual burning and nitrogen enrichment on soil nematode communities. Family-level frequencies based on amplicon sequencing were not initially consistent with specimen-based counts, but correction for differences in rRNA gene copy number using a genetic algorithm improved quantitative accuracy. Multivariate analysis of corrected sequence-based abundances of nematode families was consistent with, but not identical to, analysis of specimen-based counts. In both cases, herbivores, fungivores and predator/omnivores generally were more abundant in burned than nonburned plots, while bacterivores generally were more abundant in nonburned or nitrogen-enriched plots. Discriminate analysis of sequence-based abundances identified putative indicator species representing each trophic group. We conclude that high-throughput amplicon sequencing can be a valuable method for characterizing nematode communities at high taxonomic resolution as long as rRNA gene copy number variation is accounted for and accurate sequence databases are available. © 2013 John Wiley &amp; Sons Ltd.","author":[{"dropping-particle":"","family":"Darby","given":"B. J.","non-dropping-particle":"","parse-names":false,"suffix":""},{"dropping-particle":"","family":"Todd","given":"Timothy C.","non-dropping-particle":"","parse-names":false,"suffix":""},{"dropping-particle":"","family":"Herman","given":"Michael A.","non-dropping-particle":"","parse-names":false,"suffix":""}],"container-title":"Molecular ecology","id":"ITEM-1","issue":"21","issued":{"date-parts":[["2013"]]},"page":"5456-5471","publisher":"Wiley Online Library","title":"High‐throughput amplicon sequencing of r RNA genes requires a copy number correction to accurately reflect the effects of management practices on soil nematode community structure","type":"article-journal","volume":"22"},"uris":["http://www.mendeley.com/documents/?uuid=548e1e33-c58d-4cef-ae7d-16b7e8ae94ee"]}],"mendeley":{"formattedCitation":"[25]","plainTextFormattedCitation":"[25]","previouslyFormattedCitation":"[25]"},"properties":{"noteIndex":0},"schema":"https://github.com/citation-style-language/schema/raw/master/csl-citation.json"}</w:instrText>
      </w:r>
      <w:r w:rsidR="00364490"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[25]</w:t>
      </w:r>
      <w:r w:rsidR="00364490" w:rsidRPr="00CB6F3B">
        <w:rPr>
          <w:rFonts w:ascii="Times New Roman" w:hAnsi="Times New Roman" w:cs="Times New Roman"/>
          <w:sz w:val="24"/>
          <w:szCs w:val="24"/>
        </w:rPr>
        <w:fldChar w:fldCharType="end"/>
      </w:r>
      <w:r w:rsidR="00B31723" w:rsidRPr="00CB6F3B">
        <w:rPr>
          <w:rFonts w:ascii="Times New Roman" w:hAnsi="Times New Roman" w:cs="Times New Roman"/>
          <w:sz w:val="24"/>
          <w:szCs w:val="24"/>
        </w:rPr>
        <w:t xml:space="preserve"> </w:t>
      </w:r>
      <w:r w:rsidR="00774067" w:rsidRPr="00CB6F3B">
        <w:rPr>
          <w:rFonts w:ascii="Times New Roman" w:hAnsi="Times New Roman" w:cs="Times New Roman"/>
          <w:sz w:val="24"/>
          <w:szCs w:val="24"/>
        </w:rPr>
        <w:t xml:space="preserve">and protists </w:t>
      </w:r>
      <w:r w:rsidR="005523B1" w:rsidRPr="00CB6F3B">
        <w:rPr>
          <w:rFonts w:ascii="Times New Roman" w:eastAsia="Times New Roman" w:hAnsi="Times New Roman" w:cs="Times New Roman"/>
          <w:sz w:val="24"/>
          <w:szCs w:val="24"/>
        </w:rPr>
        <w:fldChar w:fldCharType="begin" w:fldLock="1"/>
      </w:r>
      <w:r w:rsidR="0041205F" w:rsidRPr="00CB6F3B">
        <w:rPr>
          <w:rFonts w:ascii="Times New Roman" w:eastAsia="Times New Roman" w:hAnsi="Times New Roman" w:cs="Times New Roman"/>
          <w:sz w:val="24"/>
          <w:szCs w:val="24"/>
        </w:rPr>
        <w:instrText>ADDIN CSL_CITATION {"citationItems":[{"id":"ITEM-1","itemData":{"DOI":"10.3389/fmars.2019.00219","ISSN":"2296-7745","author":[{"dropping-particle":"","family":"Gong","given":"Weida","non-dropping-particle":"","parse-names":false,"suffix":""},{"dropping-particle":"","family":"Marchetti","given":"Adrian","non-dropping-particle":"","parse-names":false,"suffix":""}],"container-title":"Frontiers in Marine Science","id":"ITEM-1","issued":{"date-parts":[["2019","4","26"]]},"title":"Estimation of 18S Gene Copy Number in Marine Eukaryotic Plankton Using a Next-Generation Sequencing Approach","type":"article-journal","volume":"6"},"uris":["http://www.mendeley.com/documents/?uuid=836094f2-a0ba-3b04-a233-300ace1ac7cc"]}],"mendeley":{"formattedCitation":"[26]","plainTextFormattedCitation":"[26]","previouslyFormattedCitation":"[26]"},"properties":{"noteIndex":0},"schema":"https://github.com/citation-style-language/schema/raw/master/csl-citation.json"}</w:instrText>
      </w:r>
      <w:r w:rsidR="005523B1" w:rsidRPr="00CB6F3B">
        <w:rPr>
          <w:rFonts w:ascii="Times New Roman" w:eastAsia="Times New Roman" w:hAnsi="Times New Roman" w:cs="Times New Roman"/>
          <w:sz w:val="24"/>
          <w:szCs w:val="24"/>
        </w:rPr>
        <w:fldChar w:fldCharType="separate"/>
      </w:r>
      <w:r w:rsidR="00B50C57" w:rsidRPr="00CB6F3B">
        <w:rPr>
          <w:rFonts w:ascii="Times New Roman" w:eastAsia="Times New Roman" w:hAnsi="Times New Roman" w:cs="Times New Roman"/>
          <w:noProof/>
          <w:sz w:val="24"/>
          <w:szCs w:val="24"/>
        </w:rPr>
        <w:t>[26]</w:t>
      </w:r>
      <w:r w:rsidR="005523B1" w:rsidRPr="00CB6F3B">
        <w:rPr>
          <w:rFonts w:ascii="Times New Roman" w:eastAsia="Times New Roman" w:hAnsi="Times New Roman" w:cs="Times New Roman"/>
          <w:sz w:val="24"/>
          <w:szCs w:val="24"/>
        </w:rPr>
        <w:fldChar w:fldCharType="end"/>
      </w:r>
      <w:r w:rsidR="00100A26" w:rsidRPr="00CB6F3B">
        <w:rPr>
          <w:rFonts w:ascii="Times New Roman" w:eastAsia="Times New Roman" w:hAnsi="Times New Roman" w:cs="Times New Roman"/>
          <w:sz w:val="24"/>
          <w:szCs w:val="24"/>
        </w:rPr>
        <w:t xml:space="preserve">), but </w:t>
      </w:r>
      <w:r w:rsidR="00F839DF" w:rsidRPr="00CB6F3B">
        <w:rPr>
          <w:rFonts w:ascii="Times New Roman" w:eastAsia="Times New Roman" w:hAnsi="Times New Roman" w:cs="Times New Roman"/>
          <w:sz w:val="24"/>
          <w:szCs w:val="24"/>
        </w:rPr>
        <w:t xml:space="preserve">this does not work for the majority of soil fauna </w:t>
      </w:r>
      <w:r w:rsidR="00100A26" w:rsidRPr="00CB6F3B">
        <w:rPr>
          <w:rFonts w:ascii="Times New Roman" w:eastAsia="Times New Roman" w:hAnsi="Times New Roman" w:cs="Times New Roman"/>
          <w:sz w:val="24"/>
          <w:szCs w:val="24"/>
        </w:rPr>
        <w:t xml:space="preserve">that </w:t>
      </w:r>
      <w:r w:rsidR="00CB2456" w:rsidRPr="00CB6F3B">
        <w:rPr>
          <w:rFonts w:ascii="Times New Roman" w:eastAsia="Times New Roman" w:hAnsi="Times New Roman" w:cs="Times New Roman"/>
          <w:sz w:val="24"/>
          <w:szCs w:val="24"/>
        </w:rPr>
        <w:t xml:space="preserve">are highly variable </w:t>
      </w:r>
      <w:r w:rsidR="00F839DF" w:rsidRPr="00CB6F3B">
        <w:rPr>
          <w:rFonts w:ascii="Times New Roman" w:eastAsia="Times New Roman" w:hAnsi="Times New Roman" w:cs="Times New Roman"/>
          <w:sz w:val="24"/>
          <w:szCs w:val="24"/>
        </w:rPr>
        <w:t>in body sizes</w:t>
      </w:r>
      <w:r w:rsidR="00DF051C" w:rsidRPr="00CB6F3B">
        <w:rPr>
          <w:rFonts w:ascii="Times New Roman" w:eastAsia="Times New Roman" w:hAnsi="Times New Roman" w:cs="Times New Roman"/>
          <w:sz w:val="24"/>
          <w:szCs w:val="24"/>
        </w:rPr>
        <w:t xml:space="preserve">. </w:t>
      </w:r>
    </w:p>
    <w:p w14:paraId="716F2B94" w14:textId="2B09F9C0" w:rsidR="008F1714" w:rsidRPr="00CB6F3B" w:rsidRDefault="00B2608A" w:rsidP="008F1714">
      <w:pPr>
        <w:spacing w:line="480" w:lineRule="auto"/>
        <w:rPr>
          <w:rFonts w:ascii="Times New Roman" w:hAnsi="Times New Roman" w:cs="Times New Roman"/>
          <w:sz w:val="24"/>
          <w:szCs w:val="24"/>
        </w:rPr>
      </w:pPr>
      <w:r w:rsidRPr="00CB6F3B">
        <w:rPr>
          <w:rFonts w:ascii="Times New Roman" w:hAnsi="Times New Roman" w:cs="Times New Roman"/>
          <w:sz w:val="24"/>
          <w:szCs w:val="24"/>
        </w:rPr>
        <w:t xml:space="preserve">Third, a single eukaryotic cell may have multiple, different copies of </w:t>
      </w:r>
      <w:r w:rsidR="00262312" w:rsidRPr="00CB6F3B">
        <w:rPr>
          <w:rFonts w:ascii="Times New Roman" w:hAnsi="Times New Roman" w:cs="Times New Roman"/>
          <w:sz w:val="24"/>
          <w:szCs w:val="24"/>
        </w:rPr>
        <w:t xml:space="preserve">a </w:t>
      </w:r>
      <w:r w:rsidRPr="00CB6F3B">
        <w:rPr>
          <w:rFonts w:ascii="Times New Roman" w:hAnsi="Times New Roman" w:cs="Times New Roman"/>
          <w:sz w:val="24"/>
          <w:szCs w:val="24"/>
        </w:rPr>
        <w:t>gene (</w:t>
      </w:r>
      <w:r w:rsidR="005913DF" w:rsidRPr="00CB6F3B">
        <w:rPr>
          <w:rFonts w:ascii="Times New Roman" w:hAnsi="Times New Roman" w:cs="Times New Roman"/>
          <w:sz w:val="24"/>
          <w:szCs w:val="24"/>
        </w:rPr>
        <w:t xml:space="preserve">intragenomic </w:t>
      </w:r>
      <w:r w:rsidRPr="00CB6F3B">
        <w:rPr>
          <w:rFonts w:ascii="Times New Roman" w:hAnsi="Times New Roman" w:cs="Times New Roman"/>
          <w:sz w:val="24"/>
          <w:szCs w:val="24"/>
        </w:rPr>
        <w:t>polymorphisms, Figure 1e)</w:t>
      </w:r>
      <w:r w:rsidR="00100A26" w:rsidRPr="00CB6F3B">
        <w:rPr>
          <w:rFonts w:ascii="Times New Roman" w:hAnsi="Times New Roman" w:cs="Times New Roman"/>
          <w:sz w:val="24"/>
          <w:szCs w:val="24"/>
        </w:rPr>
        <w:t xml:space="preserve"> (e.g., </w:t>
      </w:r>
      <w:r w:rsidRPr="00CB6F3B">
        <w:rPr>
          <w:rFonts w:ascii="Times New Roman" w:hAnsi="Times New Roman" w:cs="Times New Roman"/>
          <w:sz w:val="24"/>
          <w:szCs w:val="24"/>
        </w:rPr>
        <w:t>protists</w:t>
      </w:r>
      <w:r w:rsidR="005913DF" w:rsidRPr="00CB6F3B">
        <w:rPr>
          <w:rFonts w:ascii="Times New Roman" w:hAnsi="Times New Roman" w:cs="Times New Roman"/>
          <w:sz w:val="24"/>
          <w:szCs w:val="24"/>
        </w:rPr>
        <w:t xml:space="preserve">, </w:t>
      </w:r>
      <w:r w:rsidRPr="00CB6F3B">
        <w:rPr>
          <w:rFonts w:ascii="Times New Roman" w:hAnsi="Times New Roman" w:cs="Times New Roman"/>
          <w:sz w:val="24"/>
          <w:szCs w:val="24"/>
        </w:rPr>
        <w:t>nematodes</w:t>
      </w:r>
      <w:r w:rsidR="005913DF" w:rsidRPr="00CB6F3B">
        <w:rPr>
          <w:rFonts w:ascii="Times New Roman" w:hAnsi="Times New Roman" w:cs="Times New Roman"/>
          <w:sz w:val="24"/>
          <w:szCs w:val="24"/>
        </w:rPr>
        <w:t>, and fungi</w:t>
      </w:r>
      <w:r w:rsidR="00100A26" w:rsidRPr="00CB6F3B">
        <w:rPr>
          <w:rFonts w:ascii="Times New Roman" w:hAnsi="Times New Roman" w:cs="Times New Roman"/>
          <w:sz w:val="24"/>
          <w:szCs w:val="24"/>
        </w:rPr>
        <w:t>;</w:t>
      </w:r>
      <w:r w:rsidRPr="00CB6F3B">
        <w:rPr>
          <w:rFonts w:ascii="Times New Roman" w:hAnsi="Times New Roman" w:cs="Times New Roman"/>
          <w:sz w:val="24"/>
          <w:szCs w:val="24"/>
        </w:rPr>
        <w:t xml:space="preserve"> </w:t>
      </w:r>
      <w:r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{"citationItems":[{"id":"ITEM-1","itemData":{"DOI":"10.1111/j.1365-294X.2007.03576.x","ISSN":"09621083","author":[{"dropping-particle":"","family":"Thornhill","given":"Daniel J.","non-dropping-particle":"","parse-names":false,"suffix":""},{"dropping-particle":"","family":"Santos","given":"Scott R.","non-dropping-particle":"","parse-names":false,"suffix":""}],"container-title":"Molecular Ecology","id":"ITEM-1","issue":"24","issued":{"date-parts":[["2007","12"]]},"page":"5326-5340","title":"Measuring rDNA diversity in eukaryotic microbial systems: how intragenomic variation, pseudogenes, and PCR artifacts confound biodiversity estimates","type":"article-journal","volume":"16"},"uris":["http://www.mendeley.com/documents/?uuid=ff99c042-f032-3958-90eb-d8f93fe15039"]},{"id":"ITEM-2","itemData":{"DOI":"10.1371/journal.pone.0078230","ISSN":"19326203","abstract":"Ribosomal loci represent a major tool for investigating environmental diversity and community structure via high-throughput marker gene studies of eukaryotes (e.g. 18S rRNA). Since the estimation of species' abundance is a major goal of environmental studies (by counting numbers of sequences), understanding the patterns of rRNA copy number across species will be critical for informing such high-throughput approaches. Such knowledge is critical, given that ribosomal RNA genes exist within multi-copy repeated arrays in a genome. Here we measured the repeat copy number for six nematode species by mapping the sequences from whole genome shotgun libraries against reference sequences for their rRNA repeat. This revealed a 6-fold variation in repeat copy number amongst taxa investigated, with levels of intragenomic variation ranging from 56 to 323 copies of the rRNA array. By applying the same approach to four C. elegans mutation accumulation lines propagated by repeated bottlenecking for an average of ~400 generations, we find on average a 2-fold increase in repeat copy number (rate of increase in rRNA estimated at 0.0285-0.3414 copies per generation), suggesting that rRNA repeat copy number is subject to selection. Within each Caenorhabditis species, the majority of intragenomic variation found across the rRNA repeat was observed within gene regions (18S, 28S, 5.8S), suggesting that such intragenomic variation is not a product of selection for rRNA coding function. We find that the dramatic variation in repeat copy number among these six nematode genomes would limit the use of rRNA in estimates of organismal abundance. In addition, the unique pattern of variation within a single genome was uncorrelated with patterns of divergence between species, reflecting a strong signature of natural selection for rRNA function. A better understanding of the factors that control or affect copy number in these arrays, as well as their rates and patterns of evolution, will be critical for informing estimates of global biodiversity. © 2013 Bik et al.","author":[{"dropping-particle":"","family":"Bik","given":"Holly M.","non-dropping-particle":"","parse-names":false,"suffix":""},{"dropping-particle":"","family":"Fournier","given":"David","non-dropping-particle":"","parse-names":false,"suffix":""},{"dropping-particle":"","family":"Sung","given":"Way","non-dropping-particle":"","parse-names":false,"suffix":""},{"dropping-particle":"","family":"Bergeron","given":"R. Daniel","non-dropping-particle":"","parse-names":false,"suffix":""},{"dropping-particle":"","family":"Thomas","given":"W. Kelley","non-dropping-particle":"","parse-names":false,"suffix":""}],"container-title":"PLoS ONE","id":"ITEM-2","issue":"10","issued":{"date-parts":[["2013"]]},"page":"1-8","title":"Intra-Genomic Variation in the Ribosomal Repeats of Nematodes","type":"article-journal","volume":"8"},"uris":["http://www.mendeley.com/documents/?uuid=0a8e546b-c232-4199-847a-6534d33e08e0"]},{"id":"ITEM-3","itemData":{"DOI":"10.1080/21501203.2016.1204369","ISSN":"2150-1203","abstract":"A concerted evolution model has been proposed to explain the observed lack of sequence variation among the multiple ribosomal RNA (rRNA) gene copies in many different eukaryotic species. Recent studies on the level of intragenomic variations in the rRNA gene repeats of fungi resulted in controversial conclusions. In this study, we clearly showed that significant polymorphisms of the internal transcribed spacers (ITS1 and ITS2) of ribosomal DNA (rDNA) exist within the genome of a strain of the yeast species Pichia membranifaciens. More interestingly, we showed that the intragenomic ITS sequence polymorphisms were formed by intergenomic rDNA recombination among different P. membranifaciens strains with significantly different ITS sequences. Intergenomic rDNA recombination was also responsible for the diversification of rDNA sequences in different strains of the species. After the events bring together different rDNA types in individual genomes of the P. membranifaciens strains compared, rDNA sequence heterogeneity has remained in the genome of one but eliminated by homogenisation in the genomes of other strains. Our findings show new clue for further investigation on the mechanism of concerted evolution of rRNA genes in eukaryotes.","author":[{"dropping-particle":"","family":"Wu","given":"Zuo-Wei","non-dropping-particle":"","parse-names":false,"suffix":""},{"dropping-particle":"","family":"Wang","given":"Qi-Ming","non-dropping-particle":"","parse-names":false,"suffix":""},{"dropping-particle":"","family":"Liu","given":"Xin-Zhan","non-dropping-particle":"","parse-names":false,"suffix":""},{"dropping-particle":"","family":"Bai","given":"Feng-Yan","non-dropping-particle":"","parse-names":false,"suffix":""}],"container-title":"Mycology","id":"ITEM-3","issue":"3","issued":{"date-parts":[["2016","7","11"]]},"language":"eng","page":"102-111","publisher":"Taylor &amp; Francis","title":"Intragenomic polymorphism and intergenomic recombination in the ribosomal RNA genes of strains belonging to a yeast species Pichia membranifaciens","type":"article-journal","volume":"7"},"uris":["http://www.mendeley.com/documents/?uuid=0a04dd29-be02-44b1-9066-515772c319da"]}],"mendeley":{"formattedCitation":"[27–29]","plainTextFormattedCitation":"[27–29]","previouslyFormattedCitation":"[27–29]"},"properties":{"noteIndex":0},"schema":"https://github.com/citation-style-language/schema/raw/master/csl-citation.json"}</w:instrText>
      </w:r>
      <w:r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[27–29]</w:t>
      </w:r>
      <w:r w:rsidRPr="00CB6F3B">
        <w:rPr>
          <w:rFonts w:ascii="Times New Roman" w:hAnsi="Times New Roman" w:cs="Times New Roman"/>
          <w:sz w:val="24"/>
          <w:szCs w:val="24"/>
        </w:rPr>
        <w:fldChar w:fldCharType="end"/>
      </w:r>
      <w:r w:rsidR="00100A26" w:rsidRPr="00CB6F3B">
        <w:rPr>
          <w:rFonts w:ascii="Times New Roman" w:hAnsi="Times New Roman" w:cs="Times New Roman"/>
          <w:sz w:val="24"/>
          <w:szCs w:val="24"/>
        </w:rPr>
        <w:t>)</w:t>
      </w:r>
      <w:r w:rsidRPr="00CB6F3B">
        <w:rPr>
          <w:rFonts w:ascii="Times New Roman" w:hAnsi="Times New Roman" w:cs="Times New Roman"/>
          <w:sz w:val="24"/>
          <w:szCs w:val="24"/>
        </w:rPr>
        <w:t xml:space="preserve">(Figure 1f). </w:t>
      </w:r>
      <w:r w:rsidR="005913DF" w:rsidRPr="00CB6F3B">
        <w:rPr>
          <w:rFonts w:ascii="Times New Roman" w:hAnsi="Times New Roman" w:cs="Times New Roman"/>
          <w:sz w:val="24"/>
          <w:szCs w:val="24"/>
        </w:rPr>
        <w:t>W</w:t>
      </w:r>
      <w:r w:rsidRPr="00CB6F3B">
        <w:rPr>
          <w:rFonts w:ascii="Times New Roman" w:hAnsi="Times New Roman" w:cs="Times New Roman"/>
          <w:sz w:val="24"/>
          <w:szCs w:val="24"/>
        </w:rPr>
        <w:t xml:space="preserve">hile multicellularity and multiple gene copies per </w:t>
      </w:r>
      <w:r w:rsidR="00262312" w:rsidRPr="00CB6F3B">
        <w:rPr>
          <w:rFonts w:ascii="Times New Roman" w:hAnsi="Times New Roman" w:cs="Times New Roman"/>
          <w:sz w:val="24"/>
          <w:szCs w:val="24"/>
        </w:rPr>
        <w:t xml:space="preserve">cell </w:t>
      </w:r>
      <w:r w:rsidRPr="00CB6F3B">
        <w:rPr>
          <w:rFonts w:ascii="Times New Roman" w:hAnsi="Times New Roman" w:cs="Times New Roman"/>
          <w:sz w:val="24"/>
          <w:szCs w:val="24"/>
        </w:rPr>
        <w:t xml:space="preserve">lead to </w:t>
      </w:r>
      <w:r w:rsidR="00174C7F" w:rsidRPr="00CB6F3B">
        <w:rPr>
          <w:rFonts w:ascii="Times New Roman" w:hAnsi="Times New Roman" w:cs="Times New Roman"/>
          <w:sz w:val="24"/>
          <w:szCs w:val="24"/>
        </w:rPr>
        <w:t>an overestimation of</w:t>
      </w:r>
      <w:r w:rsidRPr="00CB6F3B">
        <w:rPr>
          <w:rFonts w:ascii="Times New Roman" w:hAnsi="Times New Roman" w:cs="Times New Roman"/>
          <w:sz w:val="24"/>
          <w:szCs w:val="24"/>
        </w:rPr>
        <w:t xml:space="preserve"> abundance, </w:t>
      </w:r>
      <w:r w:rsidR="005913DF" w:rsidRPr="00CB6F3B">
        <w:rPr>
          <w:rFonts w:ascii="Times New Roman" w:hAnsi="Times New Roman" w:cs="Times New Roman"/>
          <w:sz w:val="24"/>
          <w:szCs w:val="24"/>
        </w:rPr>
        <w:t xml:space="preserve">intragenomic polymorphisms </w:t>
      </w:r>
      <w:r w:rsidR="00100A26" w:rsidRPr="00CB6F3B">
        <w:rPr>
          <w:rFonts w:ascii="Times New Roman" w:hAnsi="Times New Roman" w:cs="Times New Roman"/>
          <w:sz w:val="24"/>
          <w:szCs w:val="24"/>
        </w:rPr>
        <w:t xml:space="preserve">can </w:t>
      </w:r>
      <w:r w:rsidR="00174C7F" w:rsidRPr="00CB6F3B">
        <w:rPr>
          <w:rFonts w:ascii="Times New Roman" w:hAnsi="Times New Roman" w:cs="Times New Roman"/>
          <w:sz w:val="24"/>
          <w:szCs w:val="24"/>
        </w:rPr>
        <w:t xml:space="preserve">result in </w:t>
      </w:r>
      <w:r w:rsidR="008F1714" w:rsidRPr="00CB6F3B">
        <w:rPr>
          <w:rFonts w:ascii="Times New Roman" w:hAnsi="Times New Roman" w:cs="Times New Roman"/>
          <w:sz w:val="24"/>
          <w:szCs w:val="24"/>
        </w:rPr>
        <w:t xml:space="preserve">inflated estimates of biodiversity (Figure 1f). </w:t>
      </w:r>
      <w:r w:rsidR="00FB2333" w:rsidRPr="00CB6F3B">
        <w:rPr>
          <w:rFonts w:ascii="Times New Roman" w:hAnsi="Times New Roman" w:cs="Times New Roman"/>
          <w:sz w:val="24"/>
          <w:szCs w:val="24"/>
        </w:rPr>
        <w:t>T</w:t>
      </w:r>
      <w:r w:rsidR="00174C7F" w:rsidRPr="00CB6F3B">
        <w:rPr>
          <w:rFonts w:ascii="Times New Roman" w:hAnsi="Times New Roman" w:cs="Times New Roman"/>
          <w:sz w:val="24"/>
          <w:szCs w:val="24"/>
        </w:rPr>
        <w:t xml:space="preserve">hese polymorphisms </w:t>
      </w:r>
      <w:r w:rsidR="00FB2333" w:rsidRPr="00CB6F3B">
        <w:rPr>
          <w:rFonts w:ascii="Times New Roman" w:hAnsi="Times New Roman" w:cs="Times New Roman"/>
          <w:sz w:val="24"/>
          <w:szCs w:val="24"/>
        </w:rPr>
        <w:t xml:space="preserve">can </w:t>
      </w:r>
      <w:r w:rsidR="00174C7F" w:rsidRPr="00CB6F3B">
        <w:rPr>
          <w:rFonts w:ascii="Times New Roman" w:hAnsi="Times New Roman" w:cs="Times New Roman"/>
          <w:sz w:val="24"/>
          <w:szCs w:val="24"/>
        </w:rPr>
        <w:t>emerge</w:t>
      </w:r>
      <w:r w:rsidR="00FB2333" w:rsidRPr="00CB6F3B">
        <w:rPr>
          <w:rFonts w:ascii="Times New Roman" w:hAnsi="Times New Roman" w:cs="Times New Roman"/>
          <w:sz w:val="24"/>
          <w:szCs w:val="24"/>
        </w:rPr>
        <w:t xml:space="preserve"> quickly</w:t>
      </w:r>
      <w:r w:rsidR="00174C7F" w:rsidRPr="00CB6F3B">
        <w:rPr>
          <w:rFonts w:ascii="Times New Roman" w:hAnsi="Times New Roman" w:cs="Times New Roman"/>
          <w:sz w:val="24"/>
          <w:szCs w:val="24"/>
        </w:rPr>
        <w:t xml:space="preserve"> (i.e., over 400 generations in a nematode population </w:t>
      </w:r>
      <w:r w:rsidR="008F1714"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{"citationItems":[{"id":"ITEM-1","itemData":{"DOI":"10.1371/journal.pone.0078230","ISSN":"19326203","abstract":"Ribosomal loci represent a major tool for investigating environmental diversity and community structure via high-throughput marker gene studies of eukaryotes (e.g. 18S rRNA). Since the estimation of species' abundance is a major goal of environmental studies (by counting numbers of sequences), understanding the patterns of rRNA copy number across species will be critical for informing such high-throughput approaches. Such knowledge is critical, given that ribosomal RNA genes exist within multi-copy repeated arrays in a genome. Here we measured the repeat copy number for six nematode species by mapping the sequences from whole genome shotgun libraries against reference sequences for their rRNA repeat. This revealed a 6-fold variation in repeat copy number amongst taxa investigated, with levels of intragenomic variation ranging from 56 to 323 copies of the rRNA array. By applying the same approach to four C. elegans mutation accumulation lines propagated by repeated bottlenecking for an average of ~400 generations, we find on average a 2-fold increase in repeat copy number (rate of increase in rRNA estimated at 0.0285-0.3414 copies per generation), suggesting that rRNA repeat copy number is subject to selection. Within each Caenorhabditis species, the majority of intragenomic variation found across the rRNA repeat was observed within gene regions (18S, 28S, 5.8S), suggesting that such intragenomic variation is not a product of selection for rRNA coding function. We find that the dramatic variation in repeat copy number among these six nematode genomes would limit the use of rRNA in estimates of organismal abundance. In addition, the unique pattern of variation within a single genome was uncorrelated with patterns of divergence between species, reflecting a strong signature of natural selection for rRNA function. A better understanding of the factors that control or affect copy number in these arrays, as well as their rates and patterns of evolution, will be critical for informing estimates of global biodiversity. © 2013 Bik et al.","author":[{"dropping-particle":"","family":"Bik","given":"Holly M.","non-dropping-particle":"","parse-names":false,"suffix":""},{"dropping-particle":"","family":"Fournier","given":"David","non-dropping-particle":"","parse-names":false,"suffix":""},{"dropping-particle":"","family":"Sung","given":"Way","non-dropping-particle":"","parse-names":false,"suffix":""},{"dropping-particle":"","family":"Bergeron","given":"R. Daniel","non-dropping-particle":"","parse-names":false,"suffix":""},{"dropping-particle":"","family":"Thomas","given":"W. Kelley","non-dropping-particle":"","parse-names":false,"suffix":""}],"container-title":"PLoS ONE","id":"ITEM-1","issue":"10","issued":{"date-parts":[["2013"]]},"page":"1-8","title":"Intra-Genomic Variation in the Ribosomal Repeats of Nematodes","type":"article-journal","volume":"8"},"uris":["http://www.mendeley.com/documents/?uuid=0a8e546b-c232-4199-847a-6534d33e08e0"]}],"mendeley":{"formattedCitation":"[28]","plainTextFormattedCitation":"[28]","previouslyFormattedCitation":"[28]"},"properties":{"noteIndex":0},"schema":"https://github.com/citation-style-language/schema/raw/master/csl-citation.json"}</w:instrText>
      </w:r>
      <w:r w:rsidR="008F1714"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[28]</w:t>
      </w:r>
      <w:r w:rsidR="008F1714" w:rsidRPr="00CB6F3B">
        <w:rPr>
          <w:rFonts w:ascii="Times New Roman" w:hAnsi="Times New Roman" w:cs="Times New Roman"/>
          <w:sz w:val="24"/>
          <w:szCs w:val="24"/>
        </w:rPr>
        <w:fldChar w:fldCharType="end"/>
      </w:r>
      <w:r w:rsidR="00174C7F" w:rsidRPr="00CB6F3B">
        <w:rPr>
          <w:rFonts w:ascii="Times New Roman" w:hAnsi="Times New Roman" w:cs="Times New Roman"/>
          <w:sz w:val="24"/>
          <w:szCs w:val="24"/>
        </w:rPr>
        <w:t>)</w:t>
      </w:r>
      <w:r w:rsidR="008F1714" w:rsidRPr="00CB6F3B">
        <w:rPr>
          <w:rFonts w:ascii="Times New Roman" w:hAnsi="Times New Roman" w:cs="Times New Roman"/>
          <w:sz w:val="24"/>
          <w:szCs w:val="24"/>
        </w:rPr>
        <w:t>.</w:t>
      </w:r>
    </w:p>
    <w:p w14:paraId="140218DB" w14:textId="560AF93C" w:rsidR="00C37555" w:rsidRPr="00CB6F3B" w:rsidRDefault="00EF08AE" w:rsidP="003E420F">
      <w:pPr>
        <w:spacing w:line="480" w:lineRule="auto"/>
        <w:rPr>
          <w:rFonts w:ascii="Times New Roman" w:hAnsi="Times New Roman" w:cs="Times New Roman"/>
          <w:b/>
          <w:sz w:val="24"/>
          <w:szCs w:val="24"/>
        </w:rPr>
      </w:pPr>
      <w:r w:rsidRPr="00CB6F3B">
        <w:rPr>
          <w:rFonts w:ascii="Times New Roman" w:hAnsi="Times New Roman" w:cs="Times New Roman"/>
          <w:b/>
          <w:sz w:val="24"/>
          <w:szCs w:val="24"/>
        </w:rPr>
        <w:t xml:space="preserve">2.2 </w:t>
      </w:r>
      <w:r w:rsidR="00395DEF" w:rsidRPr="00CB6F3B">
        <w:rPr>
          <w:rFonts w:ascii="Times New Roman" w:hAnsi="Times New Roman" w:cs="Times New Roman"/>
          <w:b/>
          <w:sz w:val="24"/>
          <w:szCs w:val="24"/>
        </w:rPr>
        <w:t>Taxonomic and phylogenetic variation</w:t>
      </w:r>
    </w:p>
    <w:p w14:paraId="42EAD5E0" w14:textId="61389E9E" w:rsidR="00C62303" w:rsidRPr="00CB6F3B" w:rsidRDefault="00395485" w:rsidP="003E420F">
      <w:pPr>
        <w:spacing w:line="480" w:lineRule="auto"/>
        <w:rPr>
          <w:rFonts w:ascii="Times New Roman" w:hAnsi="Times New Roman" w:cs="Times New Roman"/>
          <w:sz w:val="24"/>
          <w:szCs w:val="24"/>
        </w:rPr>
      </w:pPr>
      <w:r w:rsidRPr="00CB6F3B">
        <w:rPr>
          <w:rFonts w:ascii="Times New Roman" w:hAnsi="Times New Roman" w:cs="Times New Roman"/>
          <w:sz w:val="24"/>
          <w:szCs w:val="24"/>
        </w:rPr>
        <w:t xml:space="preserve">To work </w:t>
      </w:r>
      <w:r w:rsidR="006C1AFA" w:rsidRPr="00CB6F3B">
        <w:rPr>
          <w:rFonts w:ascii="Times New Roman" w:hAnsi="Times New Roman" w:cs="Times New Roman"/>
          <w:sz w:val="24"/>
          <w:szCs w:val="24"/>
        </w:rPr>
        <w:t>accurately</w:t>
      </w:r>
      <w:r w:rsidRPr="00CB6F3B">
        <w:rPr>
          <w:rFonts w:ascii="Times New Roman" w:hAnsi="Times New Roman" w:cs="Times New Roman"/>
          <w:sz w:val="24"/>
          <w:szCs w:val="24"/>
        </w:rPr>
        <w:t xml:space="preserve">, the marker gene or region of choice must be sufficiently conserved on either </w:t>
      </w:r>
      <w:r w:rsidR="00571AAA" w:rsidRPr="00CB6F3B">
        <w:rPr>
          <w:rFonts w:ascii="Times New Roman" w:hAnsi="Times New Roman" w:cs="Times New Roman"/>
          <w:sz w:val="24"/>
          <w:szCs w:val="24"/>
        </w:rPr>
        <w:t>flank</w:t>
      </w:r>
      <w:r w:rsidRPr="00CB6F3B">
        <w:rPr>
          <w:rFonts w:ascii="Times New Roman" w:hAnsi="Times New Roman" w:cs="Times New Roman"/>
          <w:sz w:val="24"/>
          <w:szCs w:val="24"/>
        </w:rPr>
        <w:t xml:space="preserve"> of the </w:t>
      </w:r>
      <w:r w:rsidR="00571AAA" w:rsidRPr="00CB6F3B">
        <w:rPr>
          <w:rFonts w:ascii="Times New Roman" w:hAnsi="Times New Roman" w:cs="Times New Roman"/>
          <w:sz w:val="24"/>
          <w:szCs w:val="24"/>
        </w:rPr>
        <w:t xml:space="preserve">DNA </w:t>
      </w:r>
      <w:r w:rsidRPr="00CB6F3B">
        <w:rPr>
          <w:rFonts w:ascii="Times New Roman" w:hAnsi="Times New Roman" w:cs="Times New Roman"/>
          <w:sz w:val="24"/>
          <w:szCs w:val="24"/>
        </w:rPr>
        <w:t xml:space="preserve">segment so that primers can capture all versions of the </w:t>
      </w:r>
      <w:r w:rsidR="00571AAA" w:rsidRPr="00CB6F3B">
        <w:rPr>
          <w:rFonts w:ascii="Times New Roman" w:hAnsi="Times New Roman" w:cs="Times New Roman"/>
          <w:sz w:val="24"/>
          <w:szCs w:val="24"/>
        </w:rPr>
        <w:t>segment</w:t>
      </w:r>
      <w:r w:rsidRPr="00CB6F3B">
        <w:rPr>
          <w:rFonts w:ascii="Times New Roman" w:hAnsi="Times New Roman" w:cs="Times New Roman"/>
          <w:sz w:val="24"/>
          <w:szCs w:val="24"/>
        </w:rPr>
        <w:t>; but it must</w:t>
      </w:r>
      <w:r w:rsidR="00571AAA" w:rsidRPr="00CB6F3B">
        <w:rPr>
          <w:rFonts w:ascii="Times New Roman" w:hAnsi="Times New Roman" w:cs="Times New Roman"/>
          <w:sz w:val="24"/>
          <w:szCs w:val="24"/>
        </w:rPr>
        <w:t xml:space="preserve"> also</w:t>
      </w:r>
      <w:r w:rsidRPr="00CB6F3B">
        <w:rPr>
          <w:rFonts w:ascii="Times New Roman" w:hAnsi="Times New Roman" w:cs="Times New Roman"/>
          <w:sz w:val="24"/>
          <w:szCs w:val="24"/>
        </w:rPr>
        <w:t xml:space="preserve"> be </w:t>
      </w:r>
      <w:r w:rsidR="000446C2" w:rsidRPr="00CB6F3B">
        <w:rPr>
          <w:rFonts w:ascii="Times New Roman" w:hAnsi="Times New Roman" w:cs="Times New Roman"/>
          <w:sz w:val="24"/>
          <w:szCs w:val="24"/>
        </w:rPr>
        <w:t>adequately</w:t>
      </w:r>
      <w:r w:rsidRPr="00CB6F3B">
        <w:rPr>
          <w:rFonts w:ascii="Times New Roman" w:hAnsi="Times New Roman" w:cs="Times New Roman"/>
          <w:sz w:val="24"/>
          <w:szCs w:val="24"/>
        </w:rPr>
        <w:t xml:space="preserve"> variable in the center of the segment to classify species according to variations in the DNA sequence</w:t>
      </w:r>
      <w:r w:rsidR="00C62303" w:rsidRPr="00CB6F3B">
        <w:rPr>
          <w:rFonts w:ascii="Times New Roman" w:hAnsi="Times New Roman" w:cs="Times New Roman"/>
          <w:sz w:val="24"/>
          <w:szCs w:val="24"/>
        </w:rPr>
        <w:t xml:space="preserve">s. </w:t>
      </w:r>
      <w:r w:rsidR="002D4146" w:rsidRPr="00CB6F3B">
        <w:rPr>
          <w:rFonts w:ascii="Times New Roman" w:hAnsi="Times New Roman" w:cs="Times New Roman"/>
          <w:sz w:val="24"/>
          <w:szCs w:val="24"/>
        </w:rPr>
        <w:t>Such an ideal universal marker does not exist, as life exhibits a</w:t>
      </w:r>
      <w:r w:rsidR="00C62303" w:rsidRPr="00CB6F3B">
        <w:rPr>
          <w:rFonts w:ascii="Times New Roman" w:hAnsi="Times New Roman" w:cs="Times New Roman"/>
          <w:sz w:val="24"/>
          <w:szCs w:val="24"/>
        </w:rPr>
        <w:t xml:space="preserve"> wide range of taxonomic and phylogenetic variation</w:t>
      </w:r>
      <w:r w:rsidR="002D4146" w:rsidRPr="00CB6F3B">
        <w:rPr>
          <w:rFonts w:ascii="Times New Roman" w:hAnsi="Times New Roman" w:cs="Times New Roman"/>
          <w:sz w:val="24"/>
          <w:szCs w:val="24"/>
        </w:rPr>
        <w:t xml:space="preserve">. While the 16S rRNA gene is </w:t>
      </w:r>
      <w:r w:rsidR="002D4146" w:rsidRPr="00CB6F3B">
        <w:rPr>
          <w:rFonts w:ascii="Times New Roman" w:hAnsi="Times New Roman" w:cs="Times New Roman"/>
          <w:sz w:val="24"/>
          <w:szCs w:val="24"/>
        </w:rPr>
        <w:lastRenderedPageBreak/>
        <w:t>widely used to classify prokaryotes into taxonomic units, no such consensus exists among eukaryotes, and</w:t>
      </w:r>
      <w:r w:rsidR="000446C2" w:rsidRPr="00CB6F3B">
        <w:rPr>
          <w:rFonts w:ascii="Times New Roman" w:hAnsi="Times New Roman" w:cs="Times New Roman"/>
          <w:sz w:val="24"/>
          <w:szCs w:val="24"/>
        </w:rPr>
        <w:t xml:space="preserve"> extant markers must consider several hurdles that arise from </w:t>
      </w:r>
      <w:r w:rsidR="00C62303" w:rsidRPr="00CB6F3B">
        <w:rPr>
          <w:rFonts w:ascii="Times New Roman" w:hAnsi="Times New Roman" w:cs="Times New Roman"/>
          <w:sz w:val="24"/>
          <w:szCs w:val="24"/>
        </w:rPr>
        <w:t>this</w:t>
      </w:r>
      <w:r w:rsidR="000446C2" w:rsidRPr="00CB6F3B">
        <w:rPr>
          <w:rFonts w:ascii="Times New Roman" w:hAnsi="Times New Roman" w:cs="Times New Roman"/>
          <w:sz w:val="24"/>
          <w:szCs w:val="24"/>
        </w:rPr>
        <w:t xml:space="preserve"> variation. </w:t>
      </w:r>
    </w:p>
    <w:p w14:paraId="3399A3B2" w14:textId="7EA9F791" w:rsidR="005523B1" w:rsidRPr="00CB6F3B" w:rsidRDefault="005523B1" w:rsidP="003E420F">
      <w:pPr>
        <w:spacing w:line="480" w:lineRule="auto"/>
        <w:rPr>
          <w:rFonts w:ascii="Times New Roman" w:hAnsi="Times New Roman" w:cs="Times New Roman"/>
          <w:sz w:val="24"/>
          <w:szCs w:val="24"/>
        </w:rPr>
      </w:pPr>
      <w:r w:rsidRPr="00CB6F3B">
        <w:rPr>
          <w:rFonts w:ascii="Times New Roman" w:hAnsi="Times New Roman" w:cs="Times New Roman"/>
          <w:sz w:val="24"/>
          <w:szCs w:val="24"/>
        </w:rPr>
        <w:t>Primer mismatches, in which a primer does not match the DNA template and fails to amplify it, occur selectively</w:t>
      </w:r>
      <w:r w:rsidR="008C5A05" w:rsidRPr="00CB6F3B">
        <w:rPr>
          <w:rFonts w:ascii="Times New Roman" w:hAnsi="Times New Roman" w:cs="Times New Roman"/>
          <w:sz w:val="24"/>
          <w:szCs w:val="24"/>
        </w:rPr>
        <w:t xml:space="preserve"> </w:t>
      </w:r>
      <w:r w:rsidR="002036AE"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author":[{"dropping-particle":"","family":"Elbrecht","given":"Vasco","non-dropping-particle":"","parse-names":false,"suffix":""},{"dropping-particle":"","family":"Leese","given":"Florian","non-dropping-particle":"","parse-names":false,"suffix":""}],"container-title":"PeerJ","id":"ITEM-1","issue":"May","issued":{"date-parts":[["2015"]]},"title":"Can DNA-based ecosystem assessments quantify species abundance ? Testing primer bias and biomass - sequence relationships with an innovative metabarcoding protocol","type":"article-journal"},"uris":["http://www.mendeley.com/documents/?uuid=c0291cdc-b689-479b-9539-8dd18668416f"]},{"id":"ITEM-2","itemData":{"DOI":"10.1038/s42003-018-0119-2","ISSN":"23993642","abstract":"Accurate assessments of biodiversity are crucial to advising ecosystem-monitoring programs and understanding ecosystem function. Nevertheless, a standard operating procedure to assess biodiversity accurately and consistently has not been established. This is especially true for meiofauna, a diverse community (&gt;20 phyla) of small benthic invertebrates that have fundamental ecological roles. Recent studies show that metabarcoding is a cost-effective and time-effective method to estimate meiofauna biodiversity, in contrast to morphological-based taxonomy. Here, we compare biodiversity assessments of a diverse meiofaunal community derived by applying multiple taxonomic methods based on comparative morphology, molecular phylogenetic analysis, DNA barcoding of individual specimens, and metabarcoding of environmental DNA. We show that biodiversity estimates are strongly biased across taxonomic methods and phyla. Such biases affect understanding of community structures and ecological interpretations. This study supports the urgency of improving aspects of environmental high-throughput sequencing and the value of taxonomists in correctly understanding biodiversity estimates.","author":[{"dropping-particle":"","family":"Leasi","given":"Francesca","non-dropping-particle":"","parse-names":false,"suffix":""},{"dropping-particle":"","family":"Sevigny","given":"Joseph L.","non-dropping-particle":"","parse-names":false,"suffix":""},{"dropping-particle":"","family":"Laflamme","given":"Eric M.","non-dropping-particle":"","parse-names":false,"suffix":""},{"dropping-particle":"","family":"Artois","given":"Tom","non-dropping-particle":"","parse-names":false,"suffix":""},{"dropping-particle":"","family":"Curini-Galletti","given":"Marco","non-dropping-particle":"","parse-names":false,"suffix":""},{"dropping-particle":"","family":"Jesus Navarrete","given":"Alberto","non-dropping-particle":"de","parse-names":false,"suffix":""},{"dropping-particle":"","family":"Domenico","given":"Maikon","non-dropping-particle":"Di","parse-names":false,"suffix":""},{"dropping-particle":"","family":"Goetz","given":"Freya","non-dropping-particle":"","parse-names":false,"suffix":""},{"dropping-particle":"","family":"Hall","given":"Jeffrey A.","non-dropping-particle":"","parse-names":false,"suffix":""},{"dropping-particle":"","family":"Hochberg","given":"Rick","non-dropping-particle":"","parse-names":false,"suffix":""},{"dropping-particle":"","family":"Jörger","given":"Katharina M.","non-dropping-particle":"","parse-names":false,"suffix":""},{"dropping-particle":"","family":"Jondelius","given":"Ulf","non-dropping-particle":"","parse-names":false,"suffix":""},{"dropping-particle":"","family":"Todaro","given":"M. Antonio","non-dropping-particle":"","parse-names":false,"suffix":""},{"dropping-particle":"","family":"Wirshing","given":"Herman H.","non-dropping-particle":"","parse-names":false,"suffix":""},{"dropping-particle":"","family":"Norenburg","given":"Jon L.","non-dropping-particle":"","parse-names":false,"suffix":""},{"dropping-particle":"","family":"Thomas","given":"W. Kelley","non-dropping-particle":"","parse-names":false,"suffix":""}],"container-title":"Communications biology","id":"ITEM-2","issue":"1","issued":{"date-parts":[["2018","8","14"]]},"page":"112","publisher":"NLM (Medline)","title":"Biodiversity estimates and ecological interpretations of meiofaunal communities are biased by the taxonomic approach","type":"article-journal","volume":"1"},"uris":["http://www.mendeley.com/documents/?uuid=7fa923ef-2ed0-324a-95aa-6c8a3e340e39"]},{"id":"ITEM-3","itemData":{"DOI":"10.1038/ismej.2015.116","ISSN":"17517370","abstract":"Plant species richness and the presence of certain influential species (sampling effect) drive the stability and functionality of ecosystems as well as primary production and biomass of consumers. However, little is known about these floristic effects on richness and community composition of soil biota in forest habitats owing to methodological constraints. We developed a DNA metabarcoding approach to identify the major eukaryote groups directly from soil with roughly species-level resolution. Using this method, we examined the effects of tree diversity and individual tree species on soil microbial biomass and taxonomic richness of soil biota in two experimental study systems in Finland and Estonia and accounted for edaphic variables and spatial autocorrelation. Our analyses revealed that the effects of tree diversity and individual species on soil biota are largely context dependent. Multiple regression and structural equation modelling suggested that biomass, soil pH, nutrients and tree species directly affect richness of different taxonomic groups. The community composition of most soil organisms was strongly correlated due to similar response to environmental predictors rather than causal relationships. On a local scale, soil resources and tree species have stronger effect on diversity of soil biota than tree species richness per se.","author":[{"dropping-particle":"","family":"Tedersoo","given":"Leho","non-dropping-particle":"","parse-names":false,"suffix":""},{"dropping-particle":"","family":"Bahram","given":"Mohammad","non-dropping-particle":"","parse-names":false,"suffix":""},{"dropping-particle":"","family":"Cajthaml","given":"Tomáš","non-dropping-particle":"","parse-names":false,"suffix":""},{"dropping-particle":"","family":"Põlme","given":"Sergei","non-dropping-particle":"","parse-names":false,"suffix":""},{"dropping-particle":"","family":"Hiiesalu","given":"Indrek","non-dropping-particle":"","parse-names":false,"suffix":""},{"dropping-particle":"","family":"Anslan","given":"Sten","non-dropping-particle":"","parse-names":false,"suffix":""},{"dropping-particle":"","family":"Harend","given":"Helery","non-dropping-particle":"","parse-names":false,"suffix":""},{"dropping-particle":"","family":"Buegger","given":"Franz","non-dropping-particle":"","parse-names":false,"suffix":""},{"dropping-particle":"","family":"Pritsch","given":"Karin","non-dropping-particle":"","parse-names":false,"suffix":""},{"dropping-particle":"","family":"Koricheva","given":"Julia","non-dropping-particle":"","parse-names":false,"suffix":""},{"dropping-particle":"","family":"Abarenkov","given":"Kessy","non-dropping-particle":"","parse-names":false,"suffix":""}],"container-title":"ISME Journal","id":"ITEM-3","issue":"2","issued":{"date-parts":[["2016","2","1"]]},"page":"346-362","publisher":"Nature Publishing Group","title":"Tree diversity and species identity effects on soil fungi, protists and animals are context dependent","type":"article-journal","volume":"10"},"uris":["http://www.mendeley.com/documents/?uuid=9315f833-8164-3f70-9c93-83dea010178c"]}],"mendeley":{"formattedCitation":"[21, 30, 31]","plainTextFormattedCitation":"[21, 30, 31]","previouslyFormattedCitation":"[21, 30, 31]"},"properties":{"noteIndex":0},"schema":"https://github.com/citation-style-language/schema/raw/master/csl-citation.json"}</w:instrText>
      </w:r>
      <w:r w:rsidR="002036AE"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[21, 30, 31]</w:t>
      </w:r>
      <w:r w:rsidR="002036AE" w:rsidRPr="00CB6F3B">
        <w:rPr>
          <w:rFonts w:ascii="Times New Roman" w:hAnsi="Times New Roman" w:cs="Times New Roman"/>
          <w:sz w:val="24"/>
          <w:szCs w:val="24"/>
        </w:rPr>
        <w:fldChar w:fldCharType="end"/>
      </w:r>
      <w:r w:rsidR="008C5A05" w:rsidRPr="00CB6F3B">
        <w:rPr>
          <w:rFonts w:ascii="Times New Roman" w:hAnsi="Times New Roman" w:cs="Times New Roman"/>
          <w:sz w:val="24"/>
          <w:szCs w:val="24"/>
        </w:rPr>
        <w:t xml:space="preserve">, </w:t>
      </w:r>
      <w:r w:rsidR="00746045" w:rsidRPr="00CB6F3B">
        <w:rPr>
          <w:rFonts w:ascii="Times New Roman" w:hAnsi="Times New Roman" w:cs="Times New Roman"/>
          <w:sz w:val="24"/>
          <w:szCs w:val="24"/>
        </w:rPr>
        <w:t>resulting in diversity</w:t>
      </w:r>
      <w:r w:rsidR="000314DB" w:rsidRPr="00CB6F3B">
        <w:rPr>
          <w:rFonts w:ascii="Times New Roman" w:hAnsi="Times New Roman" w:cs="Times New Roman"/>
          <w:sz w:val="24"/>
          <w:szCs w:val="24"/>
        </w:rPr>
        <w:t xml:space="preserve"> </w:t>
      </w:r>
      <w:r w:rsidR="00BB58CE" w:rsidRPr="00CB6F3B">
        <w:rPr>
          <w:rFonts w:ascii="Times New Roman" w:hAnsi="Times New Roman" w:cs="Times New Roman"/>
          <w:sz w:val="24"/>
          <w:szCs w:val="24"/>
        </w:rPr>
        <w:t xml:space="preserve">underestimation </w:t>
      </w:r>
      <w:r w:rsidR="000314DB" w:rsidRPr="00CB6F3B">
        <w:rPr>
          <w:rFonts w:ascii="Times New Roman" w:hAnsi="Times New Roman" w:cs="Times New Roman"/>
          <w:sz w:val="24"/>
          <w:szCs w:val="24"/>
        </w:rPr>
        <w:t>(Figure 2b</w:t>
      </w:r>
      <w:r w:rsidR="0001281A" w:rsidRPr="00CB6F3B">
        <w:rPr>
          <w:rFonts w:ascii="Times New Roman" w:hAnsi="Times New Roman" w:cs="Times New Roman"/>
          <w:sz w:val="24"/>
          <w:szCs w:val="24"/>
        </w:rPr>
        <w:t>,e</w:t>
      </w:r>
      <w:r w:rsidR="000314DB" w:rsidRPr="00CB6F3B">
        <w:rPr>
          <w:rFonts w:ascii="Times New Roman" w:hAnsi="Times New Roman" w:cs="Times New Roman"/>
          <w:sz w:val="24"/>
          <w:szCs w:val="24"/>
        </w:rPr>
        <w:t>)</w:t>
      </w:r>
      <w:r w:rsidR="008C5A05" w:rsidRPr="00CB6F3B">
        <w:rPr>
          <w:rFonts w:ascii="Times New Roman" w:hAnsi="Times New Roman" w:cs="Times New Roman"/>
          <w:sz w:val="24"/>
          <w:szCs w:val="24"/>
        </w:rPr>
        <w:t>.</w:t>
      </w:r>
      <w:r w:rsidRPr="00CB6F3B">
        <w:rPr>
          <w:rFonts w:ascii="Times New Roman" w:hAnsi="Times New Roman" w:cs="Times New Roman"/>
          <w:sz w:val="24"/>
          <w:szCs w:val="24"/>
        </w:rPr>
        <w:t xml:space="preserve"> </w:t>
      </w:r>
      <w:r w:rsidR="00FB2333" w:rsidRPr="00CB6F3B">
        <w:rPr>
          <w:rFonts w:ascii="Times New Roman" w:hAnsi="Times New Roman" w:cs="Times New Roman"/>
          <w:sz w:val="24"/>
          <w:szCs w:val="24"/>
        </w:rPr>
        <w:t>Such p</w:t>
      </w:r>
      <w:r w:rsidR="00E22F30" w:rsidRPr="00CB6F3B">
        <w:rPr>
          <w:rFonts w:ascii="Times New Roman" w:hAnsi="Times New Roman" w:cs="Times New Roman"/>
          <w:sz w:val="24"/>
          <w:szCs w:val="24"/>
        </w:rPr>
        <w:t xml:space="preserve">rimer mismatches result in the systematic exclusion of certain clades. </w:t>
      </w:r>
      <w:r w:rsidR="00FA73E2" w:rsidRPr="00CB6F3B">
        <w:rPr>
          <w:rFonts w:ascii="Times New Roman" w:hAnsi="Times New Roman" w:cs="Times New Roman"/>
          <w:sz w:val="24"/>
          <w:szCs w:val="24"/>
        </w:rPr>
        <w:t>S</w:t>
      </w:r>
      <w:r w:rsidRPr="00CB6F3B">
        <w:rPr>
          <w:rFonts w:ascii="Times New Roman" w:hAnsi="Times New Roman" w:cs="Times New Roman"/>
          <w:sz w:val="24"/>
          <w:szCs w:val="24"/>
        </w:rPr>
        <w:t>oil invertebrate communities exhibi</w:t>
      </w:r>
      <w:r w:rsidR="00FA73E2" w:rsidRPr="00CB6F3B">
        <w:rPr>
          <w:rFonts w:ascii="Times New Roman" w:hAnsi="Times New Roman" w:cs="Times New Roman"/>
          <w:sz w:val="24"/>
          <w:szCs w:val="24"/>
        </w:rPr>
        <w:t>t</w:t>
      </w:r>
      <w:r w:rsidRPr="00CB6F3B">
        <w:rPr>
          <w:rFonts w:ascii="Times New Roman" w:hAnsi="Times New Roman" w:cs="Times New Roman"/>
          <w:sz w:val="24"/>
          <w:szCs w:val="24"/>
        </w:rPr>
        <w:t xml:space="preserve"> different compositions depending on whether the 28S rRNA gene or the COI gene </w:t>
      </w:r>
      <w:r w:rsidR="00FA73E2" w:rsidRPr="00CB6F3B">
        <w:rPr>
          <w:rFonts w:ascii="Times New Roman" w:hAnsi="Times New Roman" w:cs="Times New Roman"/>
          <w:sz w:val="24"/>
          <w:szCs w:val="24"/>
        </w:rPr>
        <w:t xml:space="preserve">is </w:t>
      </w:r>
      <w:r w:rsidRPr="00CB6F3B">
        <w:rPr>
          <w:rFonts w:ascii="Times New Roman" w:hAnsi="Times New Roman" w:cs="Times New Roman"/>
          <w:sz w:val="24"/>
          <w:szCs w:val="24"/>
        </w:rPr>
        <w:t xml:space="preserve">sequenced </w:t>
      </w:r>
      <w:r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{"citationItems":[{"id":"ITEM-1","itemData":{"DOI":"10.1002/eap.1877","ISSN":"1051-0761","author":[{"dropping-particle":"","family":"Dopheide","given":"Andrew","non-dropping-particle":"","parse-names":false,"suffix":""},{"dropping-particle":"","family":"Tooman","given":"Leah K.","non-dropping-particle":"","parse-names":false,"suffix":""},{"dropping-particle":"","family":"Grosser","given":"Stefanie","non-dropping-particle":"","parse-names":false,"suffix":""},{"dropping-particle":"","family":"Agabiti","given":"Barbara","non-dropping-particle":"","parse-names":false,"suffix":""},{"dropping-particle":"","family":"Rhode","given":"Birgit","non-dropping-particle":"","parse-names":false,"suffix":""},{"dropping-particle":"","family":"Xie","given":"Dong","non-dropping-particle":"","parse-names":false,"suffix":""},{"dropping-particle":"","family":"Stevens","given":"Mark I.","non-dropping-particle":"","parse-names":false,"suffix":""},{"dropping-particle":"","family":"Nelson","given":"Nicola","non-dropping-particle":"","parse-names":false,"suffix":""},{"dropping-particle":"","family":"Buckley","given":"Thomas R.","non-dropping-particle":"","parse-names":false,"suffix":""},{"dropping-particle":"","family":"Drummond","given":"Alexei J.","non-dropping-particle":"","parse-names":false,"suffix":""},{"dropping-particle":"","family":"Newcomb","given":"Richard D.","non-dropping-particle":"","parse-names":false,"suffix":""}],"container-title":"Ecological Applications","id":"ITEM-1","issue":"4","issued":{"date-parts":[["2019","6","8"]]},"page":"e01877","title":"Estimating the biodiversity of terrestrial invertebrates on a forested island using DNA barcodes and metabarcoding data","type":"article-journal","volume":"29"},"uris":["http://www.mendeley.com/documents/?uuid=3a7fcdb7-9389-3ffc-a29f-aec69511a2a1"]}],"mendeley":{"formattedCitation":"[32]","plainTextFormattedCitation":"[32]","previouslyFormattedCitation":"[32]"},"properties":{"noteIndex":0},"schema":"https://github.com/citation-style-language/schema/raw/master/csl-citation.json"}</w:instrText>
      </w:r>
      <w:r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[32]</w:t>
      </w:r>
      <w:r w:rsidRPr="00CB6F3B">
        <w:rPr>
          <w:rFonts w:ascii="Times New Roman" w:hAnsi="Times New Roman" w:cs="Times New Roman"/>
          <w:sz w:val="24"/>
          <w:szCs w:val="24"/>
        </w:rPr>
        <w:fldChar w:fldCharType="end"/>
      </w:r>
      <w:r w:rsidRPr="00CB6F3B">
        <w:rPr>
          <w:rFonts w:ascii="Times New Roman" w:hAnsi="Times New Roman" w:cs="Times New Roman"/>
          <w:sz w:val="24"/>
          <w:szCs w:val="24"/>
        </w:rPr>
        <w:t xml:space="preserve">, </w:t>
      </w:r>
      <w:r w:rsidR="00C4679F" w:rsidRPr="00CB6F3B">
        <w:rPr>
          <w:rFonts w:ascii="Times New Roman" w:hAnsi="Times New Roman" w:cs="Times New Roman"/>
          <w:sz w:val="24"/>
          <w:szCs w:val="24"/>
        </w:rPr>
        <w:t xml:space="preserve">and richness estimates depend on whether the 18S rRNA or COI gene </w:t>
      </w:r>
      <w:r w:rsidR="00FA73E2" w:rsidRPr="00CB6F3B">
        <w:rPr>
          <w:rFonts w:ascii="Times New Roman" w:hAnsi="Times New Roman" w:cs="Times New Roman"/>
          <w:sz w:val="24"/>
          <w:szCs w:val="24"/>
        </w:rPr>
        <w:t>are</w:t>
      </w:r>
      <w:r w:rsidR="00C4679F" w:rsidRPr="00CB6F3B">
        <w:rPr>
          <w:rFonts w:ascii="Times New Roman" w:hAnsi="Times New Roman" w:cs="Times New Roman"/>
          <w:sz w:val="24"/>
          <w:szCs w:val="24"/>
        </w:rPr>
        <w:t xml:space="preserve"> sequenced </w:t>
      </w:r>
      <w:r w:rsidR="00C4679F" w:rsidRPr="00CB6F3B">
        <w:rPr>
          <w:rFonts w:ascii="Times New Roman" w:eastAsia="Times New Roman" w:hAnsi="Times New Roman" w:cs="Times New Roman"/>
          <w:sz w:val="24"/>
          <w:szCs w:val="24"/>
        </w:rPr>
        <w:fldChar w:fldCharType="begin" w:fldLock="1"/>
      </w:r>
      <w:r w:rsidR="0041205F" w:rsidRPr="00CB6F3B">
        <w:rPr>
          <w:rFonts w:ascii="Times New Roman" w:eastAsia="Times New Roman" w:hAnsi="Times New Roman" w:cs="Times New Roman"/>
          <w:sz w:val="24"/>
          <w:szCs w:val="24"/>
        </w:rPr>
        <w:instrText>ADDIN CSL_CITATION {"citationItems":[{"id":"ITEM-1","itemData":{"DOI":"10.1073/pnas.1209160109","ISSN":"00278424","abstract":"Molecular tools have revolutionized the exploration of biodiversity, especially in organisms for which traditional taxonomy is difficult, such as for microscopic animals (meiofauna). Environmental (eDNA) metabarcode surveys of DNA extracted from sediment samples are increasingly popular for surveying biodiversity. Most eDNA surveys use the nuclear gene-encoding small-subunit rDNA gene (18S) as a marker; however, different markers and metrics used for delimiting species have not yet been evaluated against each other or against morphologically defined species (morphospecies). We assessed more than 12,000 meiofaunal sequences of 18S and of the main alternatively used marker [Cytochrome c oxidase subunit I (COI) mtDNA] belonging to 55 datasets covering three taxonomic ranks. Our results show that 18S reduced diversity estimates by a factor of 0.4 relative to morphospecies, whereas COI increased diversity estimates by a factor of 7.6. Moreover, estimates of species richness using COI were robust among three of four commonly used delimitation metrics, whereas estimates using 18S varied widely with the different metrics. We show that meiofaunal diversity has been greatly underestimated by 18S eDNA surveys and that the use of COI provides a better estimate of diversity. The suitability of COI is supported by cross-mating experiments in the literature and evolutionary analyses of discreteness in patterns of genetic variation. Furthermore its splitting of morphospecies is expected from documented levels of cryptic taxa in exemplar meiofauna. We recommend against using 18S as a marker for biodiversity surveys and suggest that use of COI for eDNA surveys could provide more accurate estimates of species richness in the future.","author":[{"dropping-particle":"","family":"Tang","given":"Cuong Q.","non-dropping-particle":"","parse-names":false,"suffix":""},{"dropping-particle":"","family":"Leasi","given":"Francesca","non-dropping-particle":"","parse-names":false,"suffix":""},{"dropping-particle":"","family":"Obertegger","given":"Ulrike","non-dropping-particle":"","parse-names":false,"suffix":""},{"dropping-particle":"","family":"Kieneke","given":"Alexander","non-dropping-particle":"","parse-names":false,"suffix":""},{"dropping-particle":"","family":"Barraclough","given":"Timothy G.","non-dropping-particle":"","parse-names":false,"suffix":""},{"dropping-particle":"","family":"Fontaneto","given":"Diego","non-dropping-particle":"","parse-names":false,"suffix":""}],"container-title":"Proceedings of the National Academy of Sciences of the United States of America","id":"ITEM-1","issue":"40","issued":{"date-parts":[["2012","10","2"]]},"page":"16208-16212","title":"The widely used small subunit 18S rDNA molecule greatly underestimates true diversity in biodiversity surveys of the meiofauna","type":"article-journal","volume":"109"},"uris":["http://www.mendeley.com/documents/?uuid=94c576a1-9445-3251-af16-fe1bc93b6f5a"]}],"mendeley":{"formattedCitation":"[33]","plainTextFormattedCitation":"[33]","previouslyFormattedCitation":"[33]"},"properties":{"noteIndex":0},"schema":"https://github.com/citation-style-language/schema/raw/master/csl-citation.json"}</w:instrText>
      </w:r>
      <w:r w:rsidR="00C4679F" w:rsidRPr="00CB6F3B">
        <w:rPr>
          <w:rFonts w:ascii="Times New Roman" w:eastAsia="Times New Roman" w:hAnsi="Times New Roman" w:cs="Times New Roman"/>
          <w:sz w:val="24"/>
          <w:szCs w:val="24"/>
        </w:rPr>
        <w:fldChar w:fldCharType="separate"/>
      </w:r>
      <w:r w:rsidR="00B50C57" w:rsidRPr="00CB6F3B">
        <w:rPr>
          <w:rFonts w:ascii="Times New Roman" w:eastAsia="Times New Roman" w:hAnsi="Times New Roman" w:cs="Times New Roman"/>
          <w:noProof/>
          <w:sz w:val="24"/>
          <w:szCs w:val="24"/>
        </w:rPr>
        <w:t>[33]</w:t>
      </w:r>
      <w:r w:rsidR="00C4679F" w:rsidRPr="00CB6F3B">
        <w:rPr>
          <w:rFonts w:ascii="Times New Roman" w:eastAsia="Times New Roman" w:hAnsi="Times New Roman" w:cs="Times New Roman"/>
          <w:sz w:val="24"/>
          <w:szCs w:val="24"/>
        </w:rPr>
        <w:fldChar w:fldCharType="end"/>
      </w:r>
      <w:r w:rsidR="00C4679F" w:rsidRPr="00CB6F3B">
        <w:rPr>
          <w:rFonts w:ascii="Times New Roman" w:eastAsia="Times New Roman" w:hAnsi="Times New Roman" w:cs="Times New Roman"/>
          <w:sz w:val="24"/>
          <w:szCs w:val="24"/>
        </w:rPr>
        <w:t xml:space="preserve">. </w:t>
      </w:r>
      <w:r w:rsidR="00C4679F" w:rsidRPr="00CB6F3B">
        <w:rPr>
          <w:rFonts w:ascii="Times New Roman" w:hAnsi="Times New Roman" w:cs="Times New Roman"/>
          <w:sz w:val="24"/>
          <w:szCs w:val="24"/>
        </w:rPr>
        <w:t xml:space="preserve">Estimates may also depend on the target region selected </w:t>
      </w:r>
      <w:r w:rsidR="00C4679F" w:rsidRPr="00CB6F3B">
        <w:rPr>
          <w:rFonts w:ascii="Times New Roman" w:hAnsi="Times New Roman" w:cs="Times New Roman"/>
          <w:i/>
          <w:sz w:val="24"/>
          <w:szCs w:val="24"/>
        </w:rPr>
        <w:t>within</w:t>
      </w:r>
      <w:r w:rsidR="00C4679F" w:rsidRPr="00CB6F3B">
        <w:rPr>
          <w:rFonts w:ascii="Times New Roman" w:hAnsi="Times New Roman" w:cs="Times New Roman"/>
          <w:sz w:val="24"/>
          <w:szCs w:val="24"/>
        </w:rPr>
        <w:t xml:space="preserve"> the marker gene</w:t>
      </w:r>
      <w:r w:rsidR="00FA73E2" w:rsidRPr="00CB6F3B">
        <w:rPr>
          <w:rFonts w:ascii="Times New Roman" w:hAnsi="Times New Roman" w:cs="Times New Roman"/>
          <w:sz w:val="24"/>
          <w:szCs w:val="24"/>
        </w:rPr>
        <w:t xml:space="preserve"> (e.g., in</w:t>
      </w:r>
      <w:r w:rsidR="00C4679F" w:rsidRPr="00CB6F3B">
        <w:rPr>
          <w:rFonts w:ascii="Times New Roman" w:hAnsi="Times New Roman" w:cs="Times New Roman"/>
          <w:sz w:val="24"/>
          <w:szCs w:val="24"/>
        </w:rPr>
        <w:t xml:space="preserve"> the 18S rRNA gene </w:t>
      </w:r>
      <w:r w:rsidR="00C4679F"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{"citationItems":[{"id":"ITEM-1","itemData":{"DOI":"10.1038/s42003-018-0119-2","ISSN":"23993642","abstract":"Accurate assessments of biodiversity are crucial to advising ecosystem-monitoring programs and understanding ecosystem function. Nevertheless, a standard operating procedure to assess biodiversity accurately and consistently has not been established. This is especially true for meiofauna, a diverse community (&gt;20 phyla) of small benthic invertebrates that have fundamental ecological roles. Recent studies show that metabarcoding is a cost-effective and time-effective method to estimate meiofauna biodiversity, in contrast to morphological-based taxonomy. Here, we compare biodiversity assessments of a diverse meiofaunal community derived by applying multiple taxonomic methods based on comparative morphology, molecular phylogenetic analysis, DNA barcoding of individual specimens, and metabarcoding of environmental DNA. We show that biodiversity estimates are strongly biased across taxonomic methods and phyla. Such biases affect understanding of community structures and ecological interpretations. This study supports the urgency of improving aspects of environmental high-throughput sequencing and the value of taxonomists in correctly understanding biodiversity estimates.","author":[{"dropping-particle":"","family":"Leasi","given":"Francesca","non-dropping-particle":"","parse-names":false,"suffix":""},{"dropping-particle":"","family":"Sevigny","given":"Joseph L.","non-dropping-particle":"","parse-names":false,"suffix":""},{"dropping-particle":"","family":"Laflamme","given":"Eric M.","non-dropping-particle":"","parse-names":false,"suffix":""},{"dropping-particle":"","family":"Artois","given":"Tom","non-dropping-particle":"","parse-names":false,"suffix":""},{"dropping-particle":"","family":"Curini-Galletti","given":"Marco","non-dropping-particle":"","parse-names":false,"suffix":""},{"dropping-particle":"","family":"Jesus Navarrete","given":"Alberto","non-dropping-particle":"de","parse-names":false,"suffix":""},{"dropping-particle":"","family":"Domenico","given":"Maikon","non-dropping-particle":"Di","parse-names":false,"suffix":""},{"dropping-particle":"","family":"Goetz","given":"Freya","non-dropping-particle":"","parse-names":false,"suffix":""},{"dropping-particle":"","family":"Hall","given":"Jeffrey A.","non-dropping-particle":"","parse-names":false,"suffix":""},{"dropping-particle":"","family":"Hochberg","given":"Rick","non-dropping-particle":"","parse-names":false,"suffix":""},{"dropping-particle":"","family":"Jörger","given":"Katharina M.","non-dropping-particle":"","parse-names":false,"suffix":""},{"dropping-particle":"","family":"Jondelius","given":"Ulf","non-dropping-particle":"","parse-names":false,"suffix":""},{"dropping-particle":"","family":"Todaro","given":"M. Antonio","non-dropping-particle":"","parse-names":false,"suffix":""},{"dropping-particle":"","family":"Wirshing","given":"Herman H.","non-dropping-particle":"","parse-names":false,"suffix":""},{"dropping-particle":"","family":"Norenburg","given":"Jon L.","non-dropping-particle":"","parse-names":false,"suffix":""},{"dropping-particle":"","family":"Thomas","given":"W. Kelley","non-dropping-particle":"","parse-names":false,"suffix":""}],"container-title":"Communications biology","id":"ITEM-1","issue":"1","issued":{"date-parts":[["2018","8","14"]]},"page":"112","publisher":"NLM (Medline)","title":"Biodiversity estimates and ecological interpretations of meiofaunal communities are biased by the taxonomic approach","type":"article-journal","volume":"1"},"uris":["http://www.mendeley.com/documents/?uuid=7fa923ef-2ed0-324a-95aa-6c8a3e340e39"]}],"mendeley":{"formattedCitation":"[30]","plainTextFormattedCitation":"[30]","previouslyFormattedCitation":"[30]"},"properties":{"noteIndex":0},"schema":"https://github.com/citation-style-language/schema/raw/master/csl-citation.json"}</w:instrText>
      </w:r>
      <w:r w:rsidR="00C4679F"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[30]</w:t>
      </w:r>
      <w:r w:rsidR="00C4679F" w:rsidRPr="00CB6F3B">
        <w:rPr>
          <w:rFonts w:ascii="Times New Roman" w:hAnsi="Times New Roman" w:cs="Times New Roman"/>
          <w:sz w:val="24"/>
          <w:szCs w:val="24"/>
        </w:rPr>
        <w:fldChar w:fldCharType="end"/>
      </w:r>
      <w:r w:rsidR="00FA73E2" w:rsidRPr="00CB6F3B">
        <w:rPr>
          <w:rFonts w:ascii="Times New Roman" w:hAnsi="Times New Roman" w:cs="Times New Roman"/>
          <w:sz w:val="24"/>
          <w:szCs w:val="24"/>
        </w:rPr>
        <w:t>)</w:t>
      </w:r>
      <w:r w:rsidR="00C4679F" w:rsidRPr="00CB6F3B">
        <w:rPr>
          <w:rFonts w:ascii="Times New Roman" w:hAnsi="Times New Roman" w:cs="Times New Roman"/>
          <w:sz w:val="24"/>
          <w:szCs w:val="24"/>
        </w:rPr>
        <w:t>.</w:t>
      </w:r>
    </w:p>
    <w:p w14:paraId="053D9AD1" w14:textId="0D461527" w:rsidR="00D8382F" w:rsidRPr="00CB6F3B" w:rsidRDefault="000E587D" w:rsidP="00D8382F">
      <w:pPr>
        <w:spacing w:line="480" w:lineRule="auto"/>
        <w:rPr>
          <w:rFonts w:ascii="Times New Roman" w:hAnsi="Times New Roman" w:cs="Times New Roman"/>
          <w:sz w:val="24"/>
          <w:szCs w:val="24"/>
        </w:rPr>
      </w:pPr>
      <w:r w:rsidRPr="00CB6F3B">
        <w:rPr>
          <w:rFonts w:ascii="Times New Roman" w:hAnsi="Times New Roman" w:cs="Times New Roman"/>
          <w:sz w:val="24"/>
          <w:szCs w:val="24"/>
        </w:rPr>
        <w:t xml:space="preserve">The ability of a marker gene to detect taxonomic diversity is further obscured </w:t>
      </w:r>
      <w:r w:rsidR="005663C3" w:rsidRPr="00CB6F3B">
        <w:rPr>
          <w:rFonts w:ascii="Times New Roman" w:hAnsi="Times New Roman" w:cs="Times New Roman"/>
          <w:sz w:val="24"/>
          <w:szCs w:val="24"/>
        </w:rPr>
        <w:t>by the relationship between trait- and gene-based taxonomy</w:t>
      </w:r>
      <w:r w:rsidRPr="00CB6F3B">
        <w:rPr>
          <w:rFonts w:ascii="Times New Roman" w:hAnsi="Times New Roman" w:cs="Times New Roman"/>
          <w:sz w:val="24"/>
          <w:szCs w:val="24"/>
        </w:rPr>
        <w:t>.</w:t>
      </w:r>
      <w:r w:rsidR="005663C3" w:rsidRPr="00CB6F3B">
        <w:rPr>
          <w:rFonts w:ascii="Times New Roman" w:hAnsi="Times New Roman" w:cs="Times New Roman"/>
          <w:sz w:val="24"/>
          <w:szCs w:val="24"/>
        </w:rPr>
        <w:t xml:space="preserve"> </w:t>
      </w:r>
      <w:r w:rsidR="0079332E" w:rsidRPr="00CB6F3B">
        <w:rPr>
          <w:rFonts w:ascii="Times New Roman" w:hAnsi="Times New Roman" w:cs="Times New Roman"/>
          <w:sz w:val="24"/>
          <w:szCs w:val="24"/>
        </w:rPr>
        <w:t>On the one hand</w:t>
      </w:r>
      <w:r w:rsidR="005663C3" w:rsidRPr="00CB6F3B">
        <w:rPr>
          <w:rFonts w:ascii="Times New Roman" w:hAnsi="Times New Roman" w:cs="Times New Roman"/>
          <w:sz w:val="24"/>
          <w:szCs w:val="24"/>
        </w:rPr>
        <w:t xml:space="preserve">, </w:t>
      </w:r>
      <w:r w:rsidR="00D8382F" w:rsidRPr="00CB6F3B">
        <w:rPr>
          <w:rFonts w:ascii="Times New Roman" w:hAnsi="Times New Roman" w:cs="Times New Roman"/>
          <w:sz w:val="24"/>
          <w:szCs w:val="24"/>
        </w:rPr>
        <w:t>varying rates of evolution between different clades result in different taxonomic resolutions. For example, morphological differentiation</w:t>
      </w:r>
      <w:r w:rsidR="00FB2333" w:rsidRPr="00CB6F3B">
        <w:rPr>
          <w:rFonts w:ascii="Times New Roman" w:hAnsi="Times New Roman" w:cs="Times New Roman"/>
          <w:sz w:val="24"/>
          <w:szCs w:val="24"/>
        </w:rPr>
        <w:t xml:space="preserve"> in recently radiated lineages</w:t>
      </w:r>
      <w:r w:rsidR="00D8382F" w:rsidRPr="00CB6F3B">
        <w:rPr>
          <w:rFonts w:ascii="Times New Roman" w:hAnsi="Times New Roman" w:cs="Times New Roman"/>
          <w:sz w:val="24"/>
          <w:szCs w:val="24"/>
        </w:rPr>
        <w:t xml:space="preserve"> may be more apparent than genetic differences </w:t>
      </w:r>
      <w:r w:rsidR="00D8382F"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{"citationItems":[{"id":"ITEM-1","itemData":{"DOI":"10.1016/j.tree.2019.12.003","ISSN":"01695347","abstract":"The ease of sequencing DNA barcodes promoted a species identification system universally applicable across animal phyla. However, relying on a single mitochondrial DNA fragment has a number of drawbacks that can mislead species delimitation and identification. Implementation of multiple nuclear markers would mitigate the limits of the current barcoding system if these markers are universally applicable across species, carry sufficient information to discriminate between closely related species, and if sequencing and analyzing these markers can be automatized. As sequencing costs continue to fall, we believe that the time is right to extend DNA barcoding. Here we argue that nearly universal single-copy nuclear protein-coding genes deliver the desired characteristics and could be used to reliably delimit and identify animal species.","author":[{"dropping-particle":"","family":"Eberle","given":"Jonas","non-dropping-particle":"","parse-names":false,"suffix":""},{"dropping-particle":"","family":"Ahrens","given":"Dirk","non-dropping-particle":"","parse-names":false,"suffix":""},{"dropping-particle":"","family":"Mayer","given":"Christoph","non-dropping-particle":"","parse-names":false,"suffix":""},{"dropping-particle":"","family":"Niehuis","given":"Oliver","non-dropping-particle":"","parse-names":false,"suffix":""},{"dropping-particle":"","family":"Misof","given":"Bernhard","non-dropping-particle":"","parse-names":false,"suffix":""}],"container-title":"Trends in Ecology and Evolution","id":"ITEM-1","issued":{"date-parts":[["2020"]]},"page":"1-10","publisher":"Elsevier Ltd","title":"A Plea for Standardized Nuclear Markers in Metazoan DNA Taxonomy","type":"article-journal"},"uris":["http://www.mendeley.com/documents/?uuid=878ef3ab-dda7-4e16-a942-544f96708615"]}],"mendeley":{"formattedCitation":"[34]","plainTextFormattedCitation":"[34]","previouslyFormattedCitation":"[34]"},"properties":{"noteIndex":0},"schema":"https://github.com/citation-style-language/schema/raw/master/csl-citation.json"}</w:instrText>
      </w:r>
      <w:r w:rsidR="00D8382F"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[34]</w:t>
      </w:r>
      <w:r w:rsidR="00D8382F" w:rsidRPr="00CB6F3B">
        <w:rPr>
          <w:rFonts w:ascii="Times New Roman" w:hAnsi="Times New Roman" w:cs="Times New Roman"/>
          <w:sz w:val="24"/>
          <w:szCs w:val="24"/>
        </w:rPr>
        <w:fldChar w:fldCharType="end"/>
      </w:r>
      <w:r w:rsidR="00D8382F" w:rsidRPr="00CB6F3B">
        <w:rPr>
          <w:rFonts w:ascii="Times New Roman" w:hAnsi="Times New Roman" w:cs="Times New Roman"/>
          <w:sz w:val="24"/>
          <w:szCs w:val="24"/>
        </w:rPr>
        <w:t xml:space="preserve">. These may result in the classification of all members of a clade as a single species (Figure 2c,e) </w:t>
      </w:r>
      <w:r w:rsidR="00D8382F"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{"citationItems":[{"id":"ITEM-1","itemData":{"DOI":"10.1038/ismej.2015.116","ISSN":"17517370","abstract":"Plant species richness and the presence of certain influential species (sampling effect) drive the stability and functionality of ecosystems as well as primary production and biomass of consumers. However, little is known about these floristic effects on richness and community composition of soil biota in forest habitats owing to methodological constraints. We developed a DNA metabarcoding approach to identify the major eukaryote groups directly from soil with roughly species-level resolution. Using this method, we examined the effects of tree diversity and individual tree species on soil microbial biomass and taxonomic richness of soil biota in two experimental study systems in Finland and Estonia and accounted for edaphic variables and spatial autocorrelation. Our analyses revealed that the effects of tree diversity and individual species on soil biota are largely context dependent. Multiple regression and structural equation modelling suggested that biomass, soil pH, nutrients and tree species directly affect richness of different taxonomic groups. The community composition of most soil organisms was strongly correlated due to similar response to environmental predictors rather than causal relationships. On a local scale, soil resources and tree species have stronger effect on diversity of soil biota than tree species richness per se.","author":[{"dropping-particle":"","family":"Tedersoo","given":"Leho","non-dropping-particle":"","parse-names":false,"suffix":""},{"dropping-particle":"","family":"Bahram","given":"Mohammad","non-dropping-particle":"","parse-names":false,"suffix":""},{"dropping-particle":"","family":"Cajthaml","given":"Tomáš","non-dropping-particle":"","parse-names":false,"suffix":""},{"dropping-particle":"","family":"Põlme","given":"Sergei","non-dropping-particle":"","parse-names":false,"suffix":""},{"dropping-particle":"","family":"Hiiesalu","given":"Indrek","non-dropping-particle":"","parse-names":false,"suffix":""},{"dropping-particle":"","family":"Anslan","given":"Sten","non-dropping-particle":"","parse-names":false,"suffix":""},{"dropping-particle":"","family":"Harend","given":"Helery","non-dropping-particle":"","parse-names":false,"suffix":""},{"dropping-particle":"","family":"Buegger","given":"Franz","non-dropping-particle":"","parse-names":false,"suffix":""},{"dropping-particle":"","family":"Pritsch","given":"Karin","non-dropping-particle":"","parse-names":false,"suffix":""},{"dropping-particle":"","family":"Koricheva","given":"Julia","non-dropping-particle":"","parse-names":false,"suffix":""},{"dropping-particle":"","family":"Abarenkov","given":"Kessy","non-dropping-particle":"","parse-names":false,"suffix":""}],"container-title":"ISME Journal","id":"ITEM-1","issue":"2","issued":{"date-parts":[["2016","2","1"]]},"page":"346-362","publisher":"Nature Publishing Group","title":"Tree diversity and species identity effects on soil fungi, protists and animals are context dependent","type":"article-journal","volume":"10"},"uris":["http://www.mendeley.com/documents/?uuid=9315f833-8164-3f70-9c93-83dea010178c"]},{"id":"ITEM-2","itemData":{"DOI":"10.1073/pnas.1209160109","ISSN":"00278424","abstract":"Molecular tools have revolutionized the exploration of biodiversity, especially in organisms for which traditional taxonomy is difficult, such as for microscopic animals (meiofauna). Environmental (eDNA) metabarcode surveys of DNA extracted from sediment samples are increasingly popular for surveying biodiversity. Most eDNA surveys use the nuclear gene-encoding small-subunit rDNA gene (18S) as a marker; however, different markers and metrics used for delimiting species have not yet been evaluated against each other or against morphologically defined species (morphospecies). We assessed more than 12,000 meiofaunal sequences of 18S and of the main alternatively used marker [Cytochrome c oxidase subunit I (COI) mtDNA] belonging to 55 datasets covering three taxonomic ranks. Our results show that 18S reduced diversity estimates by a factor of 0.4 relative to morphospecies, whereas COI increased diversity estimates by a factor of 7.6. Moreover, estimates of species richness using COI were robust among three of four commonly used delimitation metrics, whereas estimates using 18S varied widely with the different metrics. We show that meiofaunal diversity has been greatly underestimated by 18S eDNA surveys and that the use of COI provides a better estimate of diversity. The suitability of COI is supported by cross-mating experiments in the literature and evolutionary analyses of discreteness in patterns of genetic variation. Furthermore its splitting of morphospecies is expected from documented levels of cryptic taxa in exemplar meiofauna. We recommend against using 18S as a marker for biodiversity surveys and suggest that use of COI for eDNA surveys could provide more accurate estimates of species richness in the future.","author":[{"dropping-particle":"","family":"Tang","given":"Cuong Q.","non-dropping-particle":"","parse-names":false,"suffix":""},{"dropping-particle":"","family":"Leasi","given":"Francesca","non-dropping-particle":"","parse-names":false,"suffix":""},{"dropping-particle":"","family":"Obertegger","given":"Ulrike","non-dropping-particle":"","parse-names":false,"suffix":""},{"dropping-particle":"","family":"Kieneke","given":"Alexander","non-dropping-particle":"","parse-names":false,"suffix":""},{"dropping-particle":"","family":"Barraclough","given":"Timothy G.","non-dropping-particle":"","parse-names":false,"suffix":""},{"dropping-particle":"","family":"Fontaneto","given":"Diego","non-dropping-particle":"","parse-names":false,"suffix":""}],"container-title":"Proceedings of the National Academy of Sciences of the United States of America","id":"ITEM-2","issue":"40","issued":{"date-parts":[["2012","10","2"]]},"page":"16208-16212","title":"The widely used small subunit 18S rDNA molecule greatly underestimates true diversity in biodiversity surveys of the meiofauna","type":"article-journal","volume":"109"},"uris":["http://www.mendeley.com/documents/?uuid=94c576a1-9445-3251-af16-fe1bc93b6f5a"]}],"mendeley":{"formattedCitation":"[31, 33]","plainTextFormattedCitation":"[31, 33]","previouslyFormattedCitation":"[31, 33]"},"properties":{"noteIndex":0},"schema":"https://github.com/citation-style-language/schema/raw/master/csl-citation.json"}</w:instrText>
      </w:r>
      <w:r w:rsidR="00D8382F"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[31, 33]</w:t>
      </w:r>
      <w:r w:rsidR="00D8382F" w:rsidRPr="00CB6F3B">
        <w:rPr>
          <w:rFonts w:ascii="Times New Roman" w:hAnsi="Times New Roman" w:cs="Times New Roman"/>
          <w:sz w:val="24"/>
          <w:szCs w:val="24"/>
        </w:rPr>
        <w:fldChar w:fldCharType="end"/>
      </w:r>
      <w:r w:rsidR="00D8382F" w:rsidRPr="00CB6F3B">
        <w:rPr>
          <w:rFonts w:ascii="Times New Roman" w:hAnsi="Times New Roman" w:cs="Times New Roman"/>
          <w:sz w:val="24"/>
          <w:szCs w:val="24"/>
        </w:rPr>
        <w:t xml:space="preserve">, and also result in the underestimation of diversity </w:t>
      </w:r>
      <w:r w:rsidR="00D8382F"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{"citationItems":[{"id":"ITEM-1","itemData":{"DOI":"10.1038/s42003-018-0119-2","ISSN":"23993642","abstract":"Accurate assessments of biodiversity are crucial to advising ecosystem-monitoring programs and understanding ecosystem function. Nevertheless, a standard operating procedure to assess biodiversity accurately and consistently has not been established. This is especially true for meiofauna, a diverse community (&gt;20 phyla) of small benthic invertebrates that have fundamental ecological roles. Recent studies show that metabarcoding is a cost-effective and time-effective method to estimate meiofauna biodiversity, in contrast to morphological-based taxonomy. Here, we compare biodiversity assessments of a diverse meiofaunal community derived by applying multiple taxonomic methods based on comparative morphology, molecular phylogenetic analysis, DNA barcoding of individual specimens, and metabarcoding of environmental DNA. We show that biodiversity estimates are strongly biased across taxonomic methods and phyla. Such biases affect understanding of community structures and ecological interpretations. This study supports the urgency of improving aspects of environmental high-throughput sequencing and the value of taxonomists in correctly understanding biodiversity estimates.","author":[{"dropping-particle":"","family":"Leasi","given":"Francesca","non-dropping-particle":"","parse-names":false,"suffix":""},{"dropping-particle":"","family":"Sevigny","given":"Joseph L.","non-dropping-particle":"","parse-names":false,"suffix":""},{"dropping-particle":"","family":"Laflamme","given":"Eric M.","non-dropping-particle":"","parse-names":false,"suffix":""},{"dropping-particle":"","family":"Artois","given":"Tom","non-dropping-particle":"","parse-names":false,"suffix":""},{"dropping-particle":"","family":"Curini-Galletti","given":"Marco","non-dropping-particle":"","parse-names":false,"suffix":""},{"dropping-particle":"","family":"Jesus Navarrete","given":"Alberto","non-dropping-particle":"de","parse-names":false,"suffix":""},{"dropping-particle":"","family":"Domenico","given":"Maikon","non-dropping-particle":"Di","parse-names":false,"suffix":""},{"dropping-particle":"","family":"Goetz","given":"Freya","non-dropping-particle":"","parse-names":false,"suffix":""},{"dropping-particle":"","family":"Hall","given":"Jeffrey A.","non-dropping-particle":"","parse-names":false,"suffix":""},{"dropping-particle":"","family":"Hochberg","given":"Rick","non-dropping-particle":"","parse-names":false,"suffix":""},{"dropping-particle":"","family":"Jörger","given":"Katharina M.","non-dropping-particle":"","parse-names":false,"suffix":""},{"dropping-particle":"","family":"Jondelius","given":"Ulf","non-dropping-particle":"","parse-names":false,"suffix":""},{"dropping-particle":"","family":"Todaro","given":"M. Antonio","non-dropping-particle":"","parse-names":false,"suffix":""},{"dropping-particle":"","family":"Wirshing","given":"Herman H.","non-dropping-particle":"","parse-names":false,"suffix":""},{"dropping-particle":"","family":"Norenburg","given":"Jon L.","non-dropping-particle":"","parse-names":false,"suffix":""},{"dropping-particle":"","family":"Thomas","given":"W. Kelley","non-dropping-particle":"","parse-names":false,"suffix":""}],"container-title":"Communications biology","id":"ITEM-1","issue":"1","issued":{"date-parts":[["2018","8","14"]]},"page":"112","publisher":"NLM (Medline)","title":"Biodiversity estimates and ecological interpretations of meiofaunal communities are biased by the taxonomic approach","type":"article-journal","volume":"1"},"uris":["http://www.mendeley.com/documents/?uuid=7fa923ef-2ed0-324a-95aa-6c8a3e340e39"]}],"mendeley":{"formattedCitation":"[30]","plainTextFormattedCitation":"[30]","previouslyFormattedCitation":"[30]"},"properties":{"noteIndex":0},"schema":"https://github.com/citation-style-language/schema/raw/master/csl-citation.json"}</w:instrText>
      </w:r>
      <w:r w:rsidR="00D8382F"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[30]</w:t>
      </w:r>
      <w:r w:rsidR="00D8382F" w:rsidRPr="00CB6F3B">
        <w:rPr>
          <w:rFonts w:ascii="Times New Roman" w:hAnsi="Times New Roman" w:cs="Times New Roman"/>
          <w:sz w:val="24"/>
          <w:szCs w:val="24"/>
        </w:rPr>
        <w:fldChar w:fldCharType="end"/>
      </w:r>
      <w:r w:rsidR="00D8382F" w:rsidRPr="00CB6F3B">
        <w:rPr>
          <w:rFonts w:ascii="Times New Roman" w:hAnsi="Times New Roman" w:cs="Times New Roman"/>
          <w:sz w:val="24"/>
          <w:szCs w:val="24"/>
        </w:rPr>
        <w:t xml:space="preserve">. </w:t>
      </w:r>
    </w:p>
    <w:p w14:paraId="60A1B92A" w14:textId="14C86C75" w:rsidR="001F6ADB" w:rsidRPr="00CB6F3B" w:rsidRDefault="00BB58CE" w:rsidP="00315622">
      <w:pPr>
        <w:spacing w:line="480" w:lineRule="auto"/>
        <w:rPr>
          <w:rFonts w:ascii="Times New Roman" w:hAnsi="Times New Roman" w:cs="Times New Roman"/>
          <w:sz w:val="24"/>
          <w:szCs w:val="24"/>
        </w:rPr>
      </w:pPr>
      <w:r w:rsidRPr="00CB6F3B">
        <w:rPr>
          <w:rFonts w:ascii="Times New Roman" w:hAnsi="Times New Roman" w:cs="Times New Roman"/>
          <w:sz w:val="24"/>
          <w:szCs w:val="24"/>
        </w:rPr>
        <w:t>T</w:t>
      </w:r>
      <w:r w:rsidR="0001281A" w:rsidRPr="00CB6F3B">
        <w:rPr>
          <w:rFonts w:ascii="Times New Roman" w:hAnsi="Times New Roman" w:cs="Times New Roman"/>
          <w:sz w:val="24"/>
          <w:szCs w:val="24"/>
        </w:rPr>
        <w:t xml:space="preserve">he </w:t>
      </w:r>
      <w:r w:rsidR="00315622" w:rsidRPr="00CB6F3B">
        <w:rPr>
          <w:rFonts w:ascii="Times New Roman" w:hAnsi="Times New Roman" w:cs="Times New Roman"/>
          <w:sz w:val="24"/>
          <w:szCs w:val="24"/>
        </w:rPr>
        <w:t xml:space="preserve">operational taxonomic units </w:t>
      </w:r>
      <w:r w:rsidR="004F383C" w:rsidRPr="00CB6F3B">
        <w:rPr>
          <w:rFonts w:ascii="Times New Roman" w:hAnsi="Times New Roman" w:cs="Times New Roman"/>
          <w:sz w:val="24"/>
          <w:szCs w:val="24"/>
        </w:rPr>
        <w:t xml:space="preserve">(OTUs) </w:t>
      </w:r>
      <w:r w:rsidR="00315622" w:rsidRPr="00CB6F3B">
        <w:rPr>
          <w:rFonts w:ascii="Times New Roman" w:hAnsi="Times New Roman" w:cs="Times New Roman"/>
          <w:sz w:val="24"/>
          <w:szCs w:val="24"/>
        </w:rPr>
        <w:t>defined by sequences often do</w:t>
      </w:r>
      <w:r w:rsidRPr="00CB6F3B">
        <w:rPr>
          <w:rFonts w:ascii="Times New Roman" w:hAnsi="Times New Roman" w:cs="Times New Roman"/>
          <w:sz w:val="24"/>
          <w:szCs w:val="24"/>
        </w:rPr>
        <w:t xml:space="preserve"> not </w:t>
      </w:r>
      <w:r w:rsidR="00315622" w:rsidRPr="00CB6F3B">
        <w:rPr>
          <w:rFonts w:ascii="Times New Roman" w:hAnsi="Times New Roman" w:cs="Times New Roman"/>
          <w:sz w:val="24"/>
          <w:szCs w:val="24"/>
        </w:rPr>
        <w:t>match established taxonomic frameworks for eukaryotes (Figure 2d)</w:t>
      </w:r>
      <w:r w:rsidR="002D4146" w:rsidRPr="00CB6F3B">
        <w:rPr>
          <w:rFonts w:ascii="Times New Roman" w:hAnsi="Times New Roman" w:cs="Times New Roman"/>
          <w:sz w:val="24"/>
          <w:szCs w:val="24"/>
        </w:rPr>
        <w:t xml:space="preserve">, and </w:t>
      </w:r>
      <w:r w:rsidR="001F6ADB" w:rsidRPr="00CB6F3B">
        <w:rPr>
          <w:rFonts w:ascii="Times New Roman" w:hAnsi="Times New Roman" w:cs="Times New Roman"/>
          <w:sz w:val="24"/>
          <w:szCs w:val="24"/>
        </w:rPr>
        <w:t>provide a different paradigm for quantifying diversity and composition</w:t>
      </w:r>
      <w:r w:rsidR="00315622" w:rsidRPr="00CB6F3B">
        <w:rPr>
          <w:rFonts w:ascii="Times New Roman" w:hAnsi="Times New Roman" w:cs="Times New Roman"/>
          <w:sz w:val="24"/>
          <w:szCs w:val="24"/>
        </w:rPr>
        <w:t xml:space="preserve"> than morphology-based assessments</w:t>
      </w:r>
      <w:r w:rsidR="00D816E2" w:rsidRPr="00CB6F3B">
        <w:rPr>
          <w:rFonts w:ascii="Times New Roman" w:hAnsi="Times New Roman" w:cs="Times New Roman"/>
          <w:sz w:val="24"/>
          <w:szCs w:val="24"/>
        </w:rPr>
        <w:t xml:space="preserve"> </w:t>
      </w:r>
      <w:r w:rsidR="00D816E2"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{"citationItems":[{"id":"ITEM-1","itemData":{"DOI":"10.1016/j.tree.2018.08.005","ISSN":"01695347","abstract":"Macroecology is the study of the mechanisms underlying general patterns of ecology across scales. Research in microbial ecology and macroecology have long been detached. Here, we argue that it is time to bridge the gap, as they share a common currency of species and individuals, and a common goal of understanding the causes and consequences of changes in biodiversity. Microbial ecology and macroecology will mutually benefit from a unified research agenda and shared datasets that span the entirety of the biodiversity of life and the geographic expanse of the Earth. It Is Time to Unite Every individual, be it a mammoth, mule, marmot, or microbe, occupies a particular space and exists at a particular time. The number of marmots varies from place to place, as does the number of any particular microbial taxon. Identifying and counting individuals, regardless of where they reside in the tree of life, is at the crux of understanding biodiversity (see Glossary) and the natural world [1]. Decades of research have revealed that variation in the number of individuals of different species in space and time can give rise to a number of patterns, such as species abundance distributions and species-area relationships. These variables form the foundations of research in macroecology, biogeography, and community ecology. From the biodiversity patterns that emerge from counting individuals and species, many of the most general rules of ecology and evolution emerge [2-4]. Until recently, the field of macroecology almost exclusively involved the study of large, multicellular organisms (also known as macroorganisms or macrobes), especially plants, vertebrates, and a few charismatic invertebrate groups like butterflies. However, in the early 2000s, the advent of new (and increasingly less-expensive) molecular tools inspired some ecologists to ask the simple question: do microscopic forms of life play by the same rules as plants and animals? Initially, discussion centered around whether microbes exhibited macroecological patterns that were common in macrobes [5]. For example: do microbes exhibit distance-decay relationships [6,7]? Are there elevational gradients in microbial diversity [8,9]? Do places with high macrobial diversity also have high microbial diversity [10,11]? An especially robust debate commenced around the ideas of dispersal limitation and whether microbial taxa where found everywhere [12] and then selected by the environment, which initiated new research on m…","author":[{"dropping-particle":"","family":"Shade","given":"Ashley","non-dropping-particle":"","parse-names":false,"suffix":""},{"dropping-particle":"","family":"Dunn","given":"Robert R.","non-dropping-particle":"","parse-names":false,"suffix":""},{"dropping-particle":"","family":"Blowes","given":"Shane A.","non-dropping-particle":"","parse-names":false,"suffix":""},{"dropping-particle":"","family":"Keil","given":"Petr","non-dropping-particle":"","parse-names":false,"suffix":""},{"dropping-particle":"","family":"Bohannan","given":"Brendan J.M. M","non-dropping-particle":"","parse-names":false,"suffix":""},{"dropping-particle":"","family":"Herrmann","given":"Martina","non-dropping-particle":"","parse-names":false,"suffix":""},{"dropping-particle":"","family":"Küsel","given":"Kirsten","non-dropping-particle":"","parse-names":false,"suffix":""},{"dropping-particle":"","family":"Lennon","given":"Jay T.","non-dropping-particle":"","parse-names":false,"suffix":""},{"dropping-particle":"","family":"Sanders","given":"Nathan J.","non-dropping-particle":"","parse-names":false,"suffix":""},{"dropping-particle":"","family":"Storch","given":"David","non-dropping-particle":"","parse-names":false,"suffix":""},{"dropping-particle":"","family":"Chase","given":"Jonathan","non-dropping-particle":"","parse-names":false,"suffix":""}],"container-title":"Trends in Ecology and Evolution","id":"ITEM-1","issue":"10","issued":{"date-parts":[["2018"]]},"page":"731-744","publisher":"Elsevier Ltd","title":"Macroecology to Unite All Life, Large and Small","type":"article-journal","volume":"33"},"uris":["http://www.mendeley.com/documents/?uuid=36d628d9-e598-4746-9ac6-92a7a9118c72"]}],"mendeley":{"formattedCitation":"[35]","plainTextFormattedCitation":"[35]","previouslyFormattedCitation":"[35]"},"properties":{"noteIndex":0},"schema":"https://github.com/citation-style-language/schema/raw/master/csl-citation.json"}</w:instrText>
      </w:r>
      <w:r w:rsidR="00D816E2"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[35]</w:t>
      </w:r>
      <w:r w:rsidR="00D816E2" w:rsidRPr="00CB6F3B">
        <w:rPr>
          <w:rFonts w:ascii="Times New Roman" w:hAnsi="Times New Roman" w:cs="Times New Roman"/>
          <w:sz w:val="24"/>
          <w:szCs w:val="24"/>
        </w:rPr>
        <w:fldChar w:fldCharType="end"/>
      </w:r>
      <w:r w:rsidR="005663C3" w:rsidRPr="00CB6F3B">
        <w:rPr>
          <w:rFonts w:ascii="Times New Roman" w:hAnsi="Times New Roman" w:cs="Times New Roman"/>
          <w:sz w:val="24"/>
          <w:szCs w:val="24"/>
        </w:rPr>
        <w:t xml:space="preserve">. </w:t>
      </w:r>
      <w:bookmarkStart w:id="11" w:name="_Hlk48657094"/>
      <w:bookmarkStart w:id="12" w:name="_Hlk49262558"/>
      <w:r w:rsidR="000A30E6" w:rsidRPr="00CB6F3B">
        <w:rPr>
          <w:rFonts w:ascii="Times New Roman" w:hAnsi="Times New Roman" w:cs="Times New Roman"/>
          <w:sz w:val="24"/>
          <w:szCs w:val="24"/>
        </w:rPr>
        <w:t xml:space="preserve">A cutoff of </w:t>
      </w:r>
      <w:r w:rsidR="005663C3" w:rsidRPr="00CB6F3B">
        <w:rPr>
          <w:rFonts w:ascii="Times New Roman" w:hAnsi="Times New Roman" w:cs="Times New Roman"/>
          <w:sz w:val="24"/>
          <w:szCs w:val="24"/>
        </w:rPr>
        <w:t xml:space="preserve">97% or 100% similarity in the 16SrRNA gene </w:t>
      </w:r>
      <w:r w:rsidR="000A30E6" w:rsidRPr="00CB6F3B">
        <w:rPr>
          <w:rFonts w:ascii="Times New Roman" w:hAnsi="Times New Roman" w:cs="Times New Roman"/>
          <w:sz w:val="24"/>
          <w:szCs w:val="24"/>
        </w:rPr>
        <w:t>is generally used for prokaryotes</w:t>
      </w:r>
      <w:r w:rsidR="002D4146" w:rsidRPr="00CB6F3B">
        <w:rPr>
          <w:rFonts w:ascii="Times New Roman" w:hAnsi="Times New Roman" w:cs="Times New Roman"/>
          <w:sz w:val="24"/>
          <w:szCs w:val="24"/>
        </w:rPr>
        <w:t xml:space="preserve"> (but see </w:t>
      </w:r>
      <w:r w:rsidR="002D4146"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{"citationItems":[{"id":"ITEM-1","itemData":{"DOI":"10.1093/femsec/fix029","ISSN":"1574-6941","abstract":"The development of high-throughput sequencing technologies has revolutionised the field of microbial ecology via 16S rRNA gene amplicon sequencing approaches. Clustering those amplicon sequencing reads into operational taxonomic units (OTUs) using a fixed cut-offis a commonly used approach to estimate microbial diversity. A 97% threshold was chosen with the intended purpose that resulting OTUs could be interpreted as a proxy for bacterial species. Our results show that the robustness of such a generalised cut-offis questionable when applied to short amplicons only covering one or two variable regions of the 16S rRNA gene. It will lead to biases in diversity metrics and makes it hard to compare results obtained with amplicons derived with different primer sets. The method introduced within this work takes into account the differential evolutional rates of taxonomic lineages in order to define a dynamic and taxonomic-dependent OTU clustering cut-offscore. For a taxonomic family consisting of species showing high evolutionary conservation in the amplified variable regions, the cut-offwill be more stringent than 97%. By taking into consideration the amplified variable regions and the taxonomic family when defining this cut-off, such a threshold will lead to more robust results and closer correspondence between OTUs and species. This approach has been implemented in a publicly available software package called DynamiC.","author":[{"dropping-particle":"","family":"Mysara","given":"Mohamed","non-dropping-particle":"","parse-names":false,"suffix":""},{"dropping-particle":"","family":"Vandamme","given":"Peter","non-dropping-particle":"","parse-names":false,"suffix":""},{"dropping-particle":"","family":"Props","given":"Ruben","non-dropping-particle":"","parse-names":false,"suffix":""},{"dropping-particle":"","family":"Kerckhof","given":"Frederiek-Maarten","non-dropping-particle":"","parse-names":false,"suffix":""},{"dropping-particle":"","family":"Leys","given":"Natalie","non-dropping-particle":"","parse-names":false,"suffix":""},{"dropping-particle":"","family":"Boon","given":"Nico","non-dropping-particle":"","parse-names":false,"suffix":""},{"dropping-particle":"","family":"Raes","given":"Jeroen","non-dropping-particle":"","parse-names":false,"suffix":""},{"dropping-particle":"","family":"Monsieurs","given":"Pieter","non-dropping-particle":"","parse-names":false,"suffix":""}],"container-title":"FEMS Microbiology Ecology","id":"ITEM-1","issue":"4","issued":{"date-parts":[["2017","4","1"]]},"publisher":"Oxford University Press","title":"Reconciliation between operational taxonomic units and species boundaries","type":"article-journal","volume":"93"},"uris":["http://www.mendeley.com/documents/?uuid=5c1d68c2-7870-3f92-a684-674a67d8e290"]}],"mendeley":{"formattedCitation":"[36]","plainTextFormattedCitation":"[36]","previouslyFormattedCitation":"[36]"},"properties":{"noteIndex":0},"schema":"https://github.com/citation-style-language/schema/raw/master/csl-citation.json"}</w:instrText>
      </w:r>
      <w:r w:rsidR="002D4146"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[36]</w:t>
      </w:r>
      <w:r w:rsidR="002D4146" w:rsidRPr="00CB6F3B">
        <w:rPr>
          <w:rFonts w:ascii="Times New Roman" w:hAnsi="Times New Roman" w:cs="Times New Roman"/>
          <w:sz w:val="24"/>
          <w:szCs w:val="24"/>
        </w:rPr>
        <w:fldChar w:fldCharType="end"/>
      </w:r>
      <w:r w:rsidR="002D4146" w:rsidRPr="00CB6F3B">
        <w:rPr>
          <w:rFonts w:ascii="Times New Roman" w:hAnsi="Times New Roman" w:cs="Times New Roman"/>
          <w:sz w:val="24"/>
          <w:szCs w:val="24"/>
        </w:rPr>
        <w:t>)</w:t>
      </w:r>
      <w:r w:rsidR="005663C3" w:rsidRPr="00CB6F3B">
        <w:rPr>
          <w:rFonts w:ascii="Times New Roman" w:hAnsi="Times New Roman" w:cs="Times New Roman"/>
          <w:sz w:val="24"/>
          <w:szCs w:val="24"/>
        </w:rPr>
        <w:t>,</w:t>
      </w:r>
      <w:r w:rsidR="000A30E6" w:rsidRPr="00CB6F3B">
        <w:rPr>
          <w:rFonts w:ascii="Times New Roman" w:hAnsi="Times New Roman" w:cs="Times New Roman"/>
          <w:sz w:val="24"/>
          <w:szCs w:val="24"/>
        </w:rPr>
        <w:t xml:space="preserve"> however</w:t>
      </w:r>
      <w:r w:rsidR="005663C3" w:rsidRPr="00CB6F3B">
        <w:rPr>
          <w:rFonts w:ascii="Times New Roman" w:hAnsi="Times New Roman" w:cs="Times New Roman"/>
          <w:sz w:val="24"/>
          <w:szCs w:val="24"/>
        </w:rPr>
        <w:t xml:space="preserve"> no such consensus exists for eukaryotes. </w:t>
      </w:r>
      <w:bookmarkEnd w:id="11"/>
      <w:r w:rsidR="005663C3" w:rsidRPr="00CB6F3B">
        <w:rPr>
          <w:rFonts w:ascii="Times New Roman" w:hAnsi="Times New Roman" w:cs="Times New Roman"/>
          <w:sz w:val="24"/>
          <w:szCs w:val="24"/>
        </w:rPr>
        <w:t>T</w:t>
      </w:r>
      <w:r w:rsidR="001F6ADB" w:rsidRPr="00CB6F3B">
        <w:rPr>
          <w:rFonts w:ascii="Times New Roman" w:hAnsi="Times New Roman" w:cs="Times New Roman"/>
          <w:sz w:val="24"/>
          <w:szCs w:val="24"/>
        </w:rPr>
        <w:t>he taxonomic level at which the community is analyzed</w:t>
      </w:r>
      <w:r w:rsidR="005663C3" w:rsidRPr="00CB6F3B">
        <w:rPr>
          <w:rFonts w:ascii="Times New Roman" w:hAnsi="Times New Roman" w:cs="Times New Roman"/>
          <w:sz w:val="24"/>
          <w:szCs w:val="24"/>
        </w:rPr>
        <w:t xml:space="preserve"> greatly</w:t>
      </w:r>
      <w:r w:rsidR="001F6ADB" w:rsidRPr="00CB6F3B">
        <w:rPr>
          <w:rFonts w:ascii="Times New Roman" w:hAnsi="Times New Roman" w:cs="Times New Roman"/>
          <w:sz w:val="24"/>
          <w:szCs w:val="24"/>
        </w:rPr>
        <w:t xml:space="preserve"> affect</w:t>
      </w:r>
      <w:r w:rsidR="00087416" w:rsidRPr="00CB6F3B">
        <w:rPr>
          <w:rFonts w:ascii="Times New Roman" w:hAnsi="Times New Roman" w:cs="Times New Roman"/>
          <w:sz w:val="24"/>
          <w:szCs w:val="24"/>
        </w:rPr>
        <w:t>s</w:t>
      </w:r>
      <w:r w:rsidR="001F6ADB" w:rsidRPr="00CB6F3B">
        <w:rPr>
          <w:rFonts w:ascii="Times New Roman" w:hAnsi="Times New Roman" w:cs="Times New Roman"/>
          <w:sz w:val="24"/>
          <w:szCs w:val="24"/>
        </w:rPr>
        <w:t xml:space="preserve"> estimates</w:t>
      </w:r>
      <w:r w:rsidR="00D52001" w:rsidRPr="00CB6F3B">
        <w:rPr>
          <w:rFonts w:ascii="Times New Roman" w:hAnsi="Times New Roman" w:cs="Times New Roman"/>
          <w:sz w:val="24"/>
          <w:szCs w:val="24"/>
        </w:rPr>
        <w:t xml:space="preserve"> of diversity</w:t>
      </w:r>
      <w:r w:rsidR="00C601F0" w:rsidRPr="00CB6F3B">
        <w:rPr>
          <w:rFonts w:ascii="Times New Roman" w:hAnsi="Times New Roman" w:cs="Times New Roman"/>
          <w:sz w:val="24"/>
          <w:szCs w:val="24"/>
        </w:rPr>
        <w:t xml:space="preserve"> (</w:t>
      </w:r>
      <w:r w:rsidR="0077165A" w:rsidRPr="00CB6F3B">
        <w:rPr>
          <w:rFonts w:ascii="Times New Roman" w:hAnsi="Times New Roman" w:cs="Times New Roman"/>
          <w:sz w:val="24"/>
          <w:szCs w:val="24"/>
        </w:rPr>
        <w:t xml:space="preserve">i.e. in nematode communities </w:t>
      </w:r>
      <w:r w:rsidR="0077165A"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{"citationItems":[{"id":"ITEM-1","itemData":{"DOI":"10.1371/journal.pone.0144928","ISSN":"1932-6203","abstract":"Nematodes inhabiting benthic deep-sea ecosystems account for &gt;90% of the total metazoan abundances and they have been hypothesised to be hyper-diverse, but their biodiversity is still largely unknown. Metabarcoding could facilitate the census of biodiversity, especially for those tiny metazoans for which morphological identification is difficult. We compared, for the first time, different DNA extraction procedures based on the use of two commercial kits and a previously published laboratory protocol and tested their suitability for sequencing analyses of 18S rDNA of marine nematodes. We also investigated the reliability of Roche 454 sequencing analyses for assessing the biodiversity of deep-sea nematode assemblages previously morphologically identified. Finally, intra-genomic variation in 18S rRNA gene repeats was investigated by Illumina MiSeq in different deep-sea nematode morphospecies to assess the influence of polymorphisms on nematode biodiversity estimates. Our results indicate that the two commercial kits should be preferred for the molecular analysis of biodiversity of deep-sea nematodes since they consistently provide amplifiable DNA suitable for sequencing. We report that the morphological identification of deep-sea nematodes matches the results obtained by metabarcoding analysis only at the order-family level and that a large portion of Operational Clustered Taxonomic Units (OCTUs) was not assigned. We also show that independently from the cut-off criteria and bioinformatic pipelines used, the number of OCTUs largely exceeds the number of individuals and that 18S rRNA gene of different morpho-species of nematodes displayed intragenomic polymorphisms. Our results indicate that metabarcoding is an important tool to explore the diversity of deep-sea nematodes, but still fails in identifying most of the species due to limited number of sequences deposited in the public databases, and in providing quantitative data on the species encountered. These aspects should be carefully taken into account before using metabarcoding in quantitative ecological research and monitoring programmes of marine biodiversity.","author":[{"dropping-particle":"","family":"Dell’Anno","given":"Antonio","non-dropping-particle":"","parse-names":false,"suffix":""},{"dropping-particle":"","family":"Carugati","given":"Laura","non-dropping-particle":"","parse-names":false,"suffix":""},{"dropping-particle":"","family":"Corinaldesi","given":"Cinzia","non-dropping-particle":"","parse-names":false,"suffix":""},{"dropping-particle":"","family":"Riccioni","given":"Giulia","non-dropping-particle":"","parse-names":false,"suffix":""},{"dropping-particle":"","family":"Danovaro","given":"Roberto","non-dropping-particle":"","parse-names":false,"suffix":""}],"container-title":"PLOS ONE","editor":[{"dropping-particle":"","family":"Bianchi","given":"Carlo Nike","non-dropping-particle":"","parse-names":false,"suffix":""}],"id":"ITEM-1","issue":"12","issued":{"date-parts":[["2015","12","23"]]},"page":"e0144928","publisher":"Public Library of Science","title":"Unveiling the Biodiversity of Deep-Sea Nematodes through Metabarcoding: Are We Ready to Bypass the Classical Taxonomy?","type":"article-journal","volume":"10"},"uris":["http://www.mendeley.com/documents/?uuid=5ec3eba1-b042-35a4-8ba5-f7037bbdbe8d"]}],"mendeley":{"formattedCitation":"[37]","plainTextFormattedCitation":"[37]","previouslyFormattedCitation":"[37]"},"properties":{"noteIndex":0},"schema":"https://github.com/citation-style-language/schema/raw/master/csl-citation.json"}</w:instrText>
      </w:r>
      <w:r w:rsidR="0077165A"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[37]</w:t>
      </w:r>
      <w:r w:rsidR="0077165A" w:rsidRPr="00CB6F3B">
        <w:rPr>
          <w:rFonts w:ascii="Times New Roman" w:hAnsi="Times New Roman" w:cs="Times New Roman"/>
          <w:sz w:val="24"/>
          <w:szCs w:val="24"/>
        </w:rPr>
        <w:fldChar w:fldCharType="end"/>
      </w:r>
      <w:r w:rsidR="0077165A" w:rsidRPr="00CB6F3B">
        <w:rPr>
          <w:rFonts w:ascii="Times New Roman" w:hAnsi="Times New Roman" w:cs="Times New Roman"/>
          <w:sz w:val="24"/>
          <w:szCs w:val="24"/>
        </w:rPr>
        <w:t xml:space="preserve">; </w:t>
      </w:r>
      <w:r w:rsidR="00C601F0" w:rsidRPr="00CB6F3B">
        <w:rPr>
          <w:rFonts w:ascii="Times New Roman" w:hAnsi="Times New Roman" w:cs="Times New Roman"/>
          <w:sz w:val="24"/>
          <w:szCs w:val="24"/>
        </w:rPr>
        <w:t>Figure 2e</w:t>
      </w:r>
      <w:r w:rsidR="0077165A" w:rsidRPr="00CB6F3B">
        <w:rPr>
          <w:rFonts w:ascii="Times New Roman" w:hAnsi="Times New Roman" w:cs="Times New Roman"/>
          <w:sz w:val="24"/>
          <w:szCs w:val="24"/>
        </w:rPr>
        <w:t>)</w:t>
      </w:r>
      <w:r w:rsidR="00F570A5" w:rsidRPr="00CB6F3B">
        <w:rPr>
          <w:rFonts w:ascii="Times New Roman" w:hAnsi="Times New Roman" w:cs="Times New Roman"/>
          <w:sz w:val="24"/>
          <w:szCs w:val="24"/>
        </w:rPr>
        <w:t xml:space="preserve">. Due to the variable rates of evolution </w:t>
      </w:r>
      <w:r w:rsidRPr="00CB6F3B">
        <w:rPr>
          <w:rFonts w:ascii="Times New Roman" w:hAnsi="Times New Roman" w:cs="Times New Roman"/>
          <w:sz w:val="24"/>
          <w:szCs w:val="24"/>
        </w:rPr>
        <w:t>among</w:t>
      </w:r>
      <w:r w:rsidR="00F570A5" w:rsidRPr="00CB6F3B">
        <w:rPr>
          <w:rFonts w:ascii="Times New Roman" w:hAnsi="Times New Roman" w:cs="Times New Roman"/>
          <w:sz w:val="24"/>
          <w:szCs w:val="24"/>
        </w:rPr>
        <w:t xml:space="preserve"> eukaryotic taxa, there is likely no universally applicable species cutoff </w:t>
      </w:r>
      <w:r w:rsidR="00F570A5"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{"citationItems":[{"id":"ITEM-1","itemData":{"DOI":"10.1093/femsec/fix029","ISSN":"1574-6941","abstract":"The development of high-throughput sequencing technologies has revolutionised the field of microbial ecology via 16S rRNA gene amplicon sequencing approaches. Clustering those amplicon sequencing reads into operational taxonomic units (OTUs) using a fixed cut-offis a commonly used approach to estimate microbial diversity. A 97% threshold was chosen with the intended purpose that resulting OTUs could be interpreted as a proxy for bacterial species. Our results show that the robustness of such a generalised cut-offis questionable when applied to short amplicons only covering one or two variable regions of the 16S rRNA gene. It will lead to biases in diversity metrics and makes it hard to compare results obtained with amplicons derived with different primer sets. The method introduced within this work takes into account the differential evolutional rates of taxonomic lineages in order to define a dynamic and taxonomic-dependent OTU clustering cut-offscore. For a taxonomic family consisting of species showing high evolutionary conservation in the amplified variable regions, the cut-offwill be more stringent than 97%. By taking into consideration the amplified variable regions and the taxonomic family when defining this cut-off, such a threshold will lead to more robust results and closer correspondence between OTUs and species. This approach has been implemented in a publicly available software package called DynamiC.","author":[{"dropping-particle":"","family":"Mysara","given":"Mohamed","non-dropping-particle":"","parse-names":false,"suffix":""},{"dropping-particle":"","family":"Vandamme","given":"Peter","non-dropping-particle":"","parse-names":false,"suffix":""},{"dropping-particle":"","family":"Props","given":"Ruben","non-dropping-particle":"","parse-names":false,"suffix":""},{"dropping-particle":"","family":"Kerckhof","given":"Frederiek-Maarten","non-dropping-particle":"","parse-names":false,"suffix":""},{"dropping-particle":"","family":"Leys","given":"Natalie","non-dropping-particle":"","parse-names":false,"suffix":""},{"dropping-particle":"","family":"Boon","given":"Nico","non-dropping-particle":"","parse-names":false,"suffix":""},{"dropping-particle":"","family":"Raes","given":"Jeroen","non-dropping-particle":"","parse-names":false,"suffix":""},{"dropping-particle":"","family":"Monsieurs","given":"Pieter","non-dropping-particle":"","parse-names":false,"suffix":""}],"container-title":"FEMS Microbiology Ecology","id":"ITEM-1","issue":"4","issued":{"date-parts":[["2017","4","1"]]},"publisher":"Oxford University Press","title":"Reconciliation between operational taxonomic units and species boundaries","type":"article-journal","volume":"93"},"uris":["http://www.mendeley.com/documents/?uuid=5c1d68c2-7870-3f92-a684-674a67d8e290"]}],"mendeley":{"formattedCitation":"[36]","plainTextFormattedCitation":"[36]","previouslyFormattedCitation":"[36]"},"properties":{"noteIndex":0},"schema":"https://github.com/citation-style-language/schema/raw/master/csl-citation.json"}</w:instrText>
      </w:r>
      <w:r w:rsidR="00F570A5"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[36]</w:t>
      </w:r>
      <w:r w:rsidR="00F570A5" w:rsidRPr="00CB6F3B">
        <w:rPr>
          <w:rFonts w:ascii="Times New Roman" w:hAnsi="Times New Roman" w:cs="Times New Roman"/>
          <w:sz w:val="24"/>
          <w:szCs w:val="24"/>
        </w:rPr>
        <w:fldChar w:fldCharType="end"/>
      </w:r>
      <w:r w:rsidR="00F570A5" w:rsidRPr="00CB6F3B">
        <w:rPr>
          <w:rFonts w:ascii="Times New Roman" w:hAnsi="Times New Roman" w:cs="Times New Roman"/>
          <w:sz w:val="24"/>
          <w:szCs w:val="24"/>
        </w:rPr>
        <w:t xml:space="preserve">. </w:t>
      </w:r>
      <w:r w:rsidR="0017330D" w:rsidRPr="00CB6F3B">
        <w:rPr>
          <w:rFonts w:ascii="Times New Roman" w:hAnsi="Times New Roman" w:cs="Times New Roman"/>
          <w:sz w:val="24"/>
          <w:szCs w:val="24"/>
        </w:rPr>
        <w:t xml:space="preserve">For the purpose of comparability, defining taxonomic units at the level of single nucleotide variations—the strictest possible definition </w:t>
      </w:r>
      <w:r w:rsidR="0017330D" w:rsidRPr="00CB6F3B">
        <w:rPr>
          <w:rFonts w:ascii="Times New Roman" w:hAnsi="Times New Roman" w:cs="Times New Roman"/>
          <w:sz w:val="24"/>
          <w:szCs w:val="24"/>
        </w:rPr>
        <w:lastRenderedPageBreak/>
        <w:t>for the sequenced amplicons—may present a viable</w:t>
      </w:r>
      <w:r w:rsidR="00F65D2A" w:rsidRPr="00CB6F3B">
        <w:rPr>
          <w:rFonts w:ascii="Times New Roman" w:hAnsi="Times New Roman" w:cs="Times New Roman"/>
          <w:sz w:val="24"/>
          <w:szCs w:val="24"/>
        </w:rPr>
        <w:t xml:space="preserve">, and increasingly popular </w:t>
      </w:r>
      <w:r w:rsidR="0017330D" w:rsidRPr="00CB6F3B">
        <w:rPr>
          <w:rFonts w:ascii="Times New Roman" w:hAnsi="Times New Roman" w:cs="Times New Roman"/>
          <w:sz w:val="24"/>
          <w:szCs w:val="24"/>
        </w:rPr>
        <w:t>alternative for defining taxonomic units</w:t>
      </w:r>
      <w:r w:rsidR="005663C3" w:rsidRPr="00CB6F3B">
        <w:rPr>
          <w:rFonts w:ascii="Times New Roman" w:hAnsi="Times New Roman" w:cs="Times New Roman"/>
          <w:sz w:val="24"/>
          <w:szCs w:val="24"/>
        </w:rPr>
        <w:t xml:space="preserve"> </w:t>
      </w:r>
      <w:r w:rsidR="005663C3"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{"citationItems":[{"id":"ITEM-1","itemData":{"ISSN":"1367-4803","author":[{"dropping-particle":"","family":"Edgar","given":"Robert C","non-dropping-particle":"","parse-names":false,"suffix":""}],"container-title":"Bioinformatics","id":"ITEM-1","issue":"14","issued":{"date-parts":[["2018"]]},"page":"2371-2375","publisher":"Oxford University Press","title":"Updating the 97% identity threshold for 16S ribosomal RNA OTUs","type":"article-journal","volume":"34"},"uris":["http://www.mendeley.com/documents/?uuid=278fa6c8-f7fd-4ab0-bff3-be4f7aff4825"]},{"id":"ITEM-2","itemData":{"ISSN":"1751-7370","author":[{"dropping-particle":"","family":"Callahan","given":"Benjamin J","non-dropping-particle":"","parse-names":false,"suffix":""},{"dropping-particle":"","family":"McMurdie","given":"Paul J","non-dropping-particle":"","parse-names":false,"suffix":""},{"dropping-particle":"","family":"Holmes","given":"Susan P","non-dropping-particle":"","parse-names":false,"suffix":""}],"container-title":"The ISME journal","id":"ITEM-2","issue":"12","issued":{"date-parts":[["2017"]]},"page":"2639","publisher":"Nature Publishing Group","title":"Exact sequence variants should replace operational taxonomic units in marker-gene data analysis","type":"article-journal","volume":"11"},"uris":["http://www.mendeley.com/documents/?uuid=bf5cf0cb-beb5-46fb-a278-421cb8d986b3"]}],"mendeley":{"formattedCitation":"[38, 39]","plainTextFormattedCitation":"[38, 39]","previouslyFormattedCitation":"[38, 39]"},"properties":{"noteIndex":0},"schema":"https://github.com/citation-style-language/schema/raw/master/csl-citation.json"}</w:instrText>
      </w:r>
      <w:r w:rsidR="005663C3"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[38, 39]</w:t>
      </w:r>
      <w:r w:rsidR="005663C3" w:rsidRPr="00CB6F3B">
        <w:rPr>
          <w:rFonts w:ascii="Times New Roman" w:hAnsi="Times New Roman" w:cs="Times New Roman"/>
          <w:sz w:val="24"/>
          <w:szCs w:val="24"/>
        </w:rPr>
        <w:fldChar w:fldCharType="end"/>
      </w:r>
      <w:r w:rsidR="0017330D" w:rsidRPr="00CB6F3B">
        <w:rPr>
          <w:rFonts w:ascii="Times New Roman" w:hAnsi="Times New Roman" w:cs="Times New Roman"/>
          <w:sz w:val="24"/>
          <w:szCs w:val="24"/>
        </w:rPr>
        <w:t xml:space="preserve">. </w:t>
      </w:r>
      <w:bookmarkEnd w:id="12"/>
    </w:p>
    <w:p w14:paraId="3B30B38C" w14:textId="116CA5C4" w:rsidR="00A573D8" w:rsidRPr="00CB6F3B" w:rsidRDefault="00EF08AE" w:rsidP="003E420F">
      <w:pPr>
        <w:spacing w:line="480" w:lineRule="auto"/>
        <w:rPr>
          <w:rFonts w:ascii="Times New Roman" w:hAnsi="Times New Roman" w:cs="Times New Roman"/>
          <w:b/>
          <w:sz w:val="24"/>
          <w:szCs w:val="24"/>
        </w:rPr>
      </w:pPr>
      <w:r w:rsidRPr="00CB6F3B">
        <w:rPr>
          <w:rFonts w:ascii="Times New Roman" w:hAnsi="Times New Roman" w:cs="Times New Roman"/>
          <w:b/>
          <w:sz w:val="24"/>
          <w:szCs w:val="24"/>
        </w:rPr>
        <w:t xml:space="preserve">2.3 </w:t>
      </w:r>
      <w:r w:rsidR="00395DEF" w:rsidRPr="00CB6F3B">
        <w:rPr>
          <w:rFonts w:ascii="Times New Roman" w:hAnsi="Times New Roman" w:cs="Times New Roman"/>
          <w:b/>
          <w:sz w:val="24"/>
          <w:szCs w:val="24"/>
        </w:rPr>
        <w:t>Sampling variation</w:t>
      </w:r>
    </w:p>
    <w:p w14:paraId="63CD3C1D" w14:textId="17352549" w:rsidR="00BB58CE" w:rsidRPr="00CB6F3B" w:rsidRDefault="00A573D8" w:rsidP="003E420F">
      <w:pPr>
        <w:spacing w:line="480" w:lineRule="auto"/>
        <w:rPr>
          <w:rFonts w:ascii="Times New Roman" w:hAnsi="Times New Roman" w:cs="Times New Roman"/>
          <w:sz w:val="24"/>
          <w:szCs w:val="24"/>
        </w:rPr>
      </w:pPr>
      <w:r w:rsidRPr="00CB6F3B">
        <w:rPr>
          <w:rFonts w:ascii="Times New Roman" w:hAnsi="Times New Roman" w:cs="Times New Roman"/>
          <w:sz w:val="24"/>
          <w:szCs w:val="24"/>
        </w:rPr>
        <w:t xml:space="preserve">One of the greatest incentives for using amplicon sequencing is the potential to facilitate synthesis and the comparison </w:t>
      </w:r>
      <w:r w:rsidR="00C97584" w:rsidRPr="00CB6F3B">
        <w:rPr>
          <w:rFonts w:ascii="Times New Roman" w:hAnsi="Times New Roman" w:cs="Times New Roman"/>
          <w:sz w:val="24"/>
          <w:szCs w:val="24"/>
        </w:rPr>
        <w:t>among distinct groups of</w:t>
      </w:r>
      <w:r w:rsidRPr="00CB6F3B">
        <w:rPr>
          <w:rFonts w:ascii="Times New Roman" w:hAnsi="Times New Roman" w:cs="Times New Roman"/>
          <w:sz w:val="24"/>
          <w:szCs w:val="24"/>
        </w:rPr>
        <w:t xml:space="preserve"> eukaryotic taxa</w:t>
      </w:r>
      <w:r w:rsidR="00C97584" w:rsidRPr="00CB6F3B">
        <w:rPr>
          <w:rFonts w:ascii="Times New Roman" w:hAnsi="Times New Roman" w:cs="Times New Roman"/>
          <w:sz w:val="24"/>
          <w:szCs w:val="24"/>
        </w:rPr>
        <w:t xml:space="preserve">. </w:t>
      </w:r>
      <w:bookmarkStart w:id="13" w:name="_Hlk48659894"/>
      <w:r w:rsidR="0041205F" w:rsidRPr="00CB6F3B">
        <w:rPr>
          <w:rFonts w:ascii="Times New Roman" w:hAnsi="Times New Roman" w:cs="Times New Roman"/>
          <w:sz w:val="24"/>
          <w:szCs w:val="24"/>
        </w:rPr>
        <w:t>S</w:t>
      </w:r>
      <w:r w:rsidR="00966151" w:rsidRPr="00CB6F3B">
        <w:rPr>
          <w:rFonts w:ascii="Times New Roman" w:hAnsi="Times New Roman" w:cs="Times New Roman"/>
          <w:sz w:val="24"/>
          <w:szCs w:val="24"/>
        </w:rPr>
        <w:t>patial dependency has long been recognized in ecological sampling designs in microbial ecology (e.g., spatially explicit designs</w:t>
      </w:r>
      <w:r w:rsidR="00146CFA" w:rsidRPr="00CB6F3B">
        <w:rPr>
          <w:rFonts w:ascii="Times New Roman" w:hAnsi="Times New Roman" w:cs="Times New Roman"/>
          <w:sz w:val="24"/>
          <w:szCs w:val="24"/>
        </w:rPr>
        <w:t xml:space="preserve"> </w:t>
      </w:r>
      <w:r w:rsidR="008E4FC7"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ISSN":"1574-6941","author":[{"dropping-particle":"","family":"Yergeau","given":"Etienne","non-dropping-particle":"","parse-names":false,"suffix":""},{"dropping-particle":"","family":"Bokhorst","given":"Stef","non-dropping-particle":"","parse-names":false,"suffix":""},{"dropping-particle":"","family":"Huiskes","given":"Ad H L","non-dropping-particle":"","parse-names":false,"suffix":""},{"dropping-particle":"","family":"Boschker","given":"Henricus T S","non-dropping-particle":"","parse-names":false,"suffix":""},{"dropping-particle":"","family":"Aerts","given":"Rien","non-dropping-particle":"","parse-names":false,"suffix":""},{"dropping-particle":"","family":"Kowalchuk","given":"George A","non-dropping-particle":"","parse-names":false,"suffix":""}],"container-title":"FEMS microbiology ecology","id":"ITEM-1","issue":"2","issued":{"date-parts":[["2007"]]},"page":"436-451","publisher":"Blackwell Publishing Ltd Oxford, UK","title":"Size and structure of bacterial, fungal and nematode communities along an Antarctic environmental gradient","type":"article-journal","volume":"59"},"uris":["http://www.mendeley.com/documents/?uuid=7c298608-d975-4e7f-8784-2483e106520f"]}],"mendeley":{"formattedCitation":"[40]","plainTextFormattedCitation":"[40]","previouslyFormattedCitation":"[40]"},"properties":{"noteIndex":0},"schema":"https://github.com/citation-style-language/schema/raw/master/csl-citation.json"}</w:instrText>
      </w:r>
      <w:r w:rsidR="008E4FC7"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[40]</w:t>
      </w:r>
      <w:r w:rsidR="008E4FC7" w:rsidRPr="00CB6F3B">
        <w:rPr>
          <w:rFonts w:ascii="Times New Roman" w:hAnsi="Times New Roman" w:cs="Times New Roman"/>
          <w:sz w:val="24"/>
          <w:szCs w:val="24"/>
        </w:rPr>
        <w:fldChar w:fldCharType="end"/>
      </w:r>
      <w:r w:rsidR="00966151" w:rsidRPr="00CB6F3B">
        <w:rPr>
          <w:rFonts w:ascii="Times New Roman" w:hAnsi="Times New Roman" w:cs="Times New Roman"/>
          <w:sz w:val="24"/>
          <w:szCs w:val="24"/>
        </w:rPr>
        <w:t>),</w:t>
      </w:r>
      <w:r w:rsidR="00375074" w:rsidRPr="00CB6F3B">
        <w:rPr>
          <w:rFonts w:ascii="Times New Roman" w:hAnsi="Times New Roman" w:cs="Times New Roman"/>
          <w:sz w:val="24"/>
          <w:szCs w:val="24"/>
        </w:rPr>
        <w:t xml:space="preserve"> and the study of the global distribution of </w:t>
      </w:r>
      <w:r w:rsidR="0041205F" w:rsidRPr="00CB6F3B">
        <w:rPr>
          <w:rFonts w:ascii="Times New Roman" w:hAnsi="Times New Roman" w:cs="Times New Roman"/>
          <w:sz w:val="24"/>
          <w:szCs w:val="24"/>
        </w:rPr>
        <w:t>microbes</w:t>
      </w:r>
      <w:r w:rsidR="00375074" w:rsidRPr="00CB6F3B">
        <w:rPr>
          <w:rFonts w:ascii="Times New Roman" w:hAnsi="Times New Roman" w:cs="Times New Roman"/>
          <w:sz w:val="24"/>
          <w:szCs w:val="24"/>
        </w:rPr>
        <w:t xml:space="preserve"> in space predates amplicon sequencing </w:t>
      </w:r>
      <w:r w:rsidR="00375074"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{"citationItems":[{"id":"ITEM-1","itemData":{"ISBN":"0027-8424","author":[{"dropping-particle":"","family":"Fierer","given":"","non-dropping-particle":"","parse-names":false,"suffix":""},{"dropping-particle":"","family":"Jackson","given":"R. B.","non-dropping-particle":"","parse-names":false,"suffix":""}],"container-title":"Proceedings of the National Academy of Sciences of the United States of America","id":"ITEM-1","issue":"3","issued":{"date-parts":[["2006"]]},"page":"626-631","title":"The diversity and biogeography of soil bacterial communities","type":"article-journal","volume":"103"},"uris":["http://www.mendeley.com/documents/?uuid=69dd193f-ad87-436f-9bd7-43b3848a94f9"]},{"id":"ITEM-2","itemData":{"DOI":"10.1038/nrmicro1341","ISSN":"1740-1526","PMID":"16415926","abstract":"We review the biogeography of microorganisms in light of the biogeography of macroorganisms. A large body of research supports the idea that free-living microbial taxa exhibit biogeographic patterns. Current evidence confirms that, as proposed by the Baas-Becking hypothesis, 'the environment selects' and is, in part, responsible for spatial variation in microbial diversity. However, recent studies also dispute the idea that 'everything is everywhere'. We also consider how the processes that generate and maintain biogeographic patterns in macroorganisms could operate in the microbial world.","author":[{"dropping-particle":"","family":"Martiny","given":"Jennifer B Hughes","non-dropping-particle":"","parse-names":false,"suffix":""},{"dropping-particle":"","family":"Bohannan","given":"Brendan J M","non-dropping-particle":"","parse-names":false,"suffix":""},{"dropping-particle":"","family":"Brown","given":"James H","non-dropping-particle":"","parse-names":false,"suffix":""},{"dropping-particle":"","family":"Colwell","given":"Robert K","non-dropping-particle":"","parse-names":false,"suffix":""},{"dropping-particle":"","family":"Fuhrman","given":"Jed A","non-dropping-particle":"","parse-names":false,"suffix":""},{"dropping-particle":"","family":"Green","given":"Jessica L","non-dropping-particle":"","parse-names":false,"suffix":""},{"dropping-particle":"","family":"Horner-Devine","given":"M Claire","non-dropping-particle":"","parse-names":false,"suffix":""},{"dropping-particle":"","family":"Kane","given":"Matthew","non-dropping-particle":"","parse-names":false,"suffix":""},{"dropping-particle":"","family":"Krumins","given":"Jennifer Adams","non-dropping-particle":"","parse-names":false,"suffix":""},{"dropping-particle":"","family":"Kuske","given":"Cheryl R","non-dropping-particle":"","parse-names":false,"suffix":""},{"dropping-particle":"","family":"Morin","given":"Peter J","non-dropping-particle":"","parse-names":false,"suffix":""},{"dropping-particle":"","family":"Naeem","given":"Shahid","non-dropping-particle":"","parse-names":false,"suffix":""},{"dropping-particle":"","family":"Ovreås","given":"Lise","non-dropping-particle":"","parse-names":false,"suffix":""},{"dropping-particle":"","family":"Reysenbach","given":"Anna-Louise","non-dropping-particle":"","parse-names":false,"suffix":""},{"dropping-particle":"","family":"Smith","given":"Val H","non-dropping-particle":"","parse-names":false,"suffix":""},{"dropping-particle":"","family":"Staley","given":"James T","non-dropping-particle":"","parse-names":false,"suffix":""}],"container-title":"Nat. Rev. Microbiol.","id":"ITEM-2","issue":"2","issued":{"date-parts":[["2006","2"]]},"page":"102-12","title":"Microbial biogeography: putting microorganisms on the map.","type":"article-journal","volume":"4"},"uris":["http://www.mendeley.com/documents/?uuid=91e72c64-f6d2-42df-a22a-809cf7d0bc0b"]},{"id":"ITEM-3","itemData":{"DOI":"10.1038/nature03034","ISSN":"00280836","PMID":"15592411","abstract":"Patterns in the spatial distribution of organisms provide important information about mechanisms that regulate the diversity of life and the complexity of ecosystems. Although micro-organisms may comprise much of the Earth's biodiversity and have critical roles in biogeochemistry and ecosystem functioning, little is known about their spatial diversification. Here we present quantitative estimates of microbial community turnover at local and regional scales using the largest spatially explicit microbial diversity data set available (&gt;106 sample pairs). Turn-over rates were small across large geographical distances, of similar magnitude when measured within distinct habitats, and did not increase going from one vegetation type to another. The taxa-area relationship of these terrestrial microbial eukaryotes was relatively flat (slope z = 0.074) and consistent with those reported in aquatic habitats. This suggests that despite high local diversity, microorganisms may have only moderate regional diversity. We show how turnover patterns can be used to project taxa-area relationships up to whole continents. Taxa dissimilarities across continents and between them would strengthen these projections. Such data do not yet exist, but would be feasible to collect.","author":[{"dropping-particle":"","family":"Green","given":"Jessica L.","non-dropping-particle":"","parse-names":false,"suffix":""},{"dropping-particle":"","family":"Holmes","given":"Andrew J.","non-dropping-particle":"","parse-names":false,"suffix":""},{"dropping-particle":"","family":"Westoby","given":"Mark","non-dropping-particle":"","parse-names":false,"suffix":""},{"dropping-particle":"","family":"Oliver","given":"Ian","non-dropping-particle":"","parse-names":false,"suffix":""},{"dropping-particle":"","family":"Briscoe","given":"David","non-dropping-particle":"","parse-names":false,"suffix":""},{"dropping-particle":"","family":"Dangerfield","given":"Mark","non-dropping-particle":"","parse-names":false,"suffix":""},{"dropping-particle":"","family":"Gillings","given":"Michael","non-dropping-particle":"","parse-names":false,"suffix":""},{"dropping-particle":"","family":"Beattie","given":"Andrew J.","non-dropping-particle":"","parse-names":false,"suffix":""}],"container-title":"Nature","id":"ITEM-3","issue":"7018","issued":{"date-parts":[["2004"]]},"page":"747-750","title":"Spatial scaling of microbial eukaryote diversity","type":"article-journal","volume":"432"},"uris":["http://www.mendeley.com/documents/?uuid=abd71949-a255-48be-9620-39145063cb33"]}],"mendeley":{"formattedCitation":"[3, 4, 41]","plainTextFormattedCitation":"[3, 4, 41]","previouslyFormattedCitation":"[3, 4, 41]"},"properties":{"noteIndex":0},"schema":"https://github.com/citation-style-language/schema/raw/master/csl-citation.json"}</w:instrText>
      </w:r>
      <w:r w:rsidR="00375074" w:rsidRPr="00CB6F3B">
        <w:rPr>
          <w:rFonts w:ascii="Times New Roman" w:hAnsi="Times New Roman" w:cs="Times New Roman"/>
          <w:sz w:val="24"/>
          <w:szCs w:val="24"/>
        </w:rPr>
        <w:fldChar w:fldCharType="separate"/>
      </w:r>
      <w:r w:rsidR="0041205F" w:rsidRPr="00CB6F3B">
        <w:rPr>
          <w:rFonts w:ascii="Times New Roman" w:hAnsi="Times New Roman" w:cs="Times New Roman"/>
          <w:noProof/>
          <w:sz w:val="24"/>
          <w:szCs w:val="24"/>
        </w:rPr>
        <w:t>[3, 4, 41]</w:t>
      </w:r>
      <w:r w:rsidR="00375074" w:rsidRPr="00CB6F3B">
        <w:rPr>
          <w:rFonts w:ascii="Times New Roman" w:hAnsi="Times New Roman" w:cs="Times New Roman"/>
          <w:sz w:val="24"/>
          <w:szCs w:val="24"/>
        </w:rPr>
        <w:fldChar w:fldCharType="end"/>
      </w:r>
      <w:r w:rsidR="0041205F" w:rsidRPr="00CB6F3B">
        <w:rPr>
          <w:rFonts w:ascii="Times New Roman" w:hAnsi="Times New Roman" w:cs="Times New Roman"/>
          <w:sz w:val="24"/>
          <w:szCs w:val="24"/>
        </w:rPr>
        <w:t xml:space="preserve">. </w:t>
      </w:r>
      <w:r w:rsidR="00966151" w:rsidRPr="00CB6F3B">
        <w:rPr>
          <w:rFonts w:ascii="Times New Roman" w:hAnsi="Times New Roman" w:cs="Times New Roman"/>
          <w:sz w:val="24"/>
          <w:szCs w:val="24"/>
        </w:rPr>
        <w:t xml:space="preserve"> </w:t>
      </w:r>
      <w:r w:rsidR="0041205F" w:rsidRPr="00CB6F3B">
        <w:rPr>
          <w:rFonts w:ascii="Times New Roman" w:hAnsi="Times New Roman" w:cs="Times New Roman"/>
          <w:sz w:val="24"/>
          <w:szCs w:val="24"/>
        </w:rPr>
        <w:t>T</w:t>
      </w:r>
      <w:r w:rsidR="00966151" w:rsidRPr="00CB6F3B">
        <w:rPr>
          <w:rFonts w:ascii="Times New Roman" w:hAnsi="Times New Roman" w:cs="Times New Roman"/>
          <w:sz w:val="24"/>
          <w:szCs w:val="24"/>
        </w:rPr>
        <w:t>he</w:t>
      </w:r>
      <w:r w:rsidRPr="00CB6F3B">
        <w:rPr>
          <w:rFonts w:ascii="Times New Roman" w:hAnsi="Times New Roman" w:cs="Times New Roman"/>
          <w:sz w:val="24"/>
          <w:szCs w:val="24"/>
        </w:rPr>
        <w:t xml:space="preserve"> spatial scale of sampling</w:t>
      </w:r>
      <w:r w:rsidR="00966151" w:rsidRPr="00CB6F3B">
        <w:rPr>
          <w:rFonts w:ascii="Times New Roman" w:hAnsi="Times New Roman" w:cs="Times New Roman"/>
          <w:sz w:val="24"/>
          <w:szCs w:val="24"/>
        </w:rPr>
        <w:t xml:space="preserve"> </w:t>
      </w:r>
      <w:r w:rsidR="00BB58CE" w:rsidRPr="00CB6F3B">
        <w:rPr>
          <w:rFonts w:ascii="Times New Roman" w:hAnsi="Times New Roman" w:cs="Times New Roman"/>
          <w:sz w:val="24"/>
          <w:szCs w:val="24"/>
        </w:rPr>
        <w:t xml:space="preserve">is critical </w:t>
      </w:r>
      <w:r w:rsidR="0041205F" w:rsidRPr="00CB6F3B">
        <w:rPr>
          <w:rFonts w:ascii="Times New Roman" w:hAnsi="Times New Roman" w:cs="Times New Roman"/>
          <w:sz w:val="24"/>
          <w:szCs w:val="24"/>
        </w:rPr>
        <w:t xml:space="preserve">for comparability across studies </w:t>
      </w:r>
      <w:r w:rsidR="00BB58CE"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{"citationItems":[{"id":"ITEM-1","itemData":{"DOI":"10.1111/1755-0998.12907","ISSN":"17550998","abstract":"DNA-based techniques are increasingly used for measuring the biodiversity (species presence, identity, abundance and community composition) of terrestrial and aquatic ecosystems. While there are numerous reviews of molecular methods and bioinformatic steps, there has been little consideration of the methods used to collect samples upon which these later steps are based. This represents a critical knowledge gap, as methodologically sound field sampling is the foundation for subsequent analyses. We reviewed field sampling methods used for metabarcoding studies of both terrestrial and freshwater ecosystem biodiversity over a nearly three-year period (n = 75). We found that 95% (n = 71) of these studies used subjective sampling methods and inappropriate field methods and/or failed to provide critical methodological information. It would be possible for researchers to replicate only 5% of the metabarcoding studies in our sample, a poorer level of reproducibility than for ecological studies in general. Our findings suggest greater attention to field sampling methods, and reporting is necessary in eDNA-based studies of biodiversity to ensure robust outcomes and future reproducibility. Methods must be fully and accurately reported, and protocols developed that minimize subjectivity. Standardization of sampling protocols would be one way to help to improve reproducibility and have additional benefits in allowing compilation and comparison of data from across studies.","author":[{"dropping-particle":"","family":"Dickie","given":"Ian A.","non-dropping-particle":"","parse-names":false,"suffix":""},{"dropping-particle":"","family":"Boyer","given":"Stephane","non-dropping-particle":"","parse-names":false,"suffix":""},{"dropping-particle":"","family":"Buckley","given":"Hannah L.","non-dropping-particle":"","parse-names":false,"suffix":""},{"dropping-particle":"","family":"Duncan","given":"Richard P.","non-dropping-particle":"","parse-names":false,"suffix":""},{"dropping-particle":"","family":"Gardner","given":"Paul P.","non-dropping-particle":"","parse-names":false,"suffix":""},{"dropping-particle":"","family":"Hogg","given":"Ian D.","non-dropping-particle":"","parse-names":false,"suffix":""},{"dropping-particle":"","family":"Holdaway","given":"Robert J.","non-dropping-particle":"","parse-names":false,"suffix":""},{"dropping-particle":"","family":"Lear","given":"Gavin","non-dropping-particle":"","parse-names":false,"suffix":""},{"dropping-particle":"","family":"Makiola","given":"Andreas","non-dropping-particle":"","parse-names":false,"suffix":""},{"dropping-particle":"","family":"Morales","given":"Sergio E.","non-dropping-particle":"","parse-names":false,"suffix":""},{"dropping-particle":"","family":"Powell","given":"Jeff R.","non-dropping-particle":"","parse-names":false,"suffix":""},{"dropping-particle":"","family":"Weaver","given":"Louise","non-dropping-particle":"","parse-names":false,"suffix":""}],"container-title":"Molecular Ecology Resources","id":"ITEM-1","issue":"5","issued":{"date-parts":[["2018","9","1"]]},"page":"940-952","publisher":"Blackwell Publishing Ltd","title":"Towards robust and repeatable sampling methods in eDNA-based studies","type":"article","volume":"18"},"uris":["http://www.mendeley.com/documents/?uuid=4c35939f-b7b8-33d4-b21a-3a3a84731884"]}],"mendeley":{"formattedCitation":"[42]","plainTextFormattedCitation":"[42]","previouslyFormattedCitation":"[42]"},"properties":{"noteIndex":0},"schema":"https://github.com/citation-style-language/schema/raw/master/csl-citation.json"}</w:instrText>
      </w:r>
      <w:r w:rsidR="00BB58CE" w:rsidRPr="00CB6F3B">
        <w:rPr>
          <w:rFonts w:ascii="Times New Roman" w:hAnsi="Times New Roman" w:cs="Times New Roman"/>
          <w:sz w:val="24"/>
          <w:szCs w:val="24"/>
        </w:rPr>
        <w:fldChar w:fldCharType="separate"/>
      </w:r>
      <w:r w:rsidR="0041205F" w:rsidRPr="00CB6F3B">
        <w:rPr>
          <w:rFonts w:ascii="Times New Roman" w:hAnsi="Times New Roman" w:cs="Times New Roman"/>
          <w:noProof/>
          <w:sz w:val="24"/>
          <w:szCs w:val="24"/>
        </w:rPr>
        <w:t>[42]</w:t>
      </w:r>
      <w:r w:rsidR="00BB58CE" w:rsidRPr="00CB6F3B">
        <w:rPr>
          <w:rFonts w:ascii="Times New Roman" w:hAnsi="Times New Roman" w:cs="Times New Roman"/>
          <w:sz w:val="24"/>
          <w:szCs w:val="24"/>
        </w:rPr>
        <w:fldChar w:fldCharType="end"/>
      </w:r>
      <w:r w:rsidR="00BB58CE" w:rsidRPr="00CB6F3B">
        <w:rPr>
          <w:rFonts w:ascii="Times New Roman" w:hAnsi="Times New Roman" w:cs="Times New Roman"/>
          <w:sz w:val="24"/>
          <w:szCs w:val="24"/>
        </w:rPr>
        <w:t xml:space="preserve">, but </w:t>
      </w:r>
      <w:r w:rsidR="00966151" w:rsidRPr="00CB6F3B">
        <w:rPr>
          <w:rFonts w:ascii="Times New Roman" w:hAnsi="Times New Roman" w:cs="Times New Roman"/>
          <w:sz w:val="24"/>
          <w:szCs w:val="24"/>
        </w:rPr>
        <w:t xml:space="preserve">has received </w:t>
      </w:r>
      <w:r w:rsidR="0041205F" w:rsidRPr="00CB6F3B">
        <w:rPr>
          <w:rFonts w:ascii="Times New Roman" w:hAnsi="Times New Roman" w:cs="Times New Roman"/>
          <w:sz w:val="24"/>
          <w:szCs w:val="24"/>
        </w:rPr>
        <w:t>relatively</w:t>
      </w:r>
      <w:r w:rsidR="00966151" w:rsidRPr="00CB6F3B">
        <w:rPr>
          <w:rFonts w:ascii="Times New Roman" w:hAnsi="Times New Roman" w:cs="Times New Roman"/>
          <w:sz w:val="24"/>
          <w:szCs w:val="24"/>
        </w:rPr>
        <w:t xml:space="preserve"> less attention</w:t>
      </w:r>
      <w:r w:rsidRPr="00CB6F3B">
        <w:rPr>
          <w:rFonts w:ascii="Times New Roman" w:hAnsi="Times New Roman" w:cs="Times New Roman"/>
          <w:sz w:val="24"/>
          <w:szCs w:val="24"/>
        </w:rPr>
        <w:t>. The spatial scale of sampling</w:t>
      </w:r>
      <w:r w:rsidR="0031142E" w:rsidRPr="00CB6F3B">
        <w:rPr>
          <w:rFonts w:ascii="Times New Roman" w:hAnsi="Times New Roman" w:cs="Times New Roman"/>
          <w:sz w:val="24"/>
          <w:szCs w:val="24"/>
        </w:rPr>
        <w:t xml:space="preserve"> </w:t>
      </w:r>
      <w:r w:rsidR="00087416"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{"citationItems":[{"id":"ITEM-1","itemData":{"DOI":"10.1034/j.1600-0587.2002.250510.x","ISSN":"09067590","abstract":"Concepts of spatial scale, such as extent, grain, resolution, range, footprint, support and cartographic ratio are not interchangeable. Because of the potential confusion among the definitions of these terms, we suggest that authors avoid the term \"scale\" and instead refer to specific concepts. In particular, we are careful to discriminate between observation scales, scales of ecological phenomena and scales used in spatial statistical analysis. When scales of observation or analysis change, that is, when the unit size, shape, spacing or extent are altered, statistical results are expected to change. The kinds of results that may change include estimates of the population mean and variance, the strength and character of spatial autocorrelation and spatial anisotropy, patch and gap sizes and multivariate relationships. The first three of these results (precision of the mean, variance and spatial autocorrelation) can sometimes be estimated using geostatistical support-effect models. We present four case studies of organism abundance and cover illustrating some of these changes and how conclusions about ecological phenomena (process and structure) may be affected. We identify the influence of observational scale on statistical results as a subset of what geographers call the Modifiable Area Unit Problem (MAUP). The way to avoid the MAUP is by careful construction of sampling design and analysis. We recommend a set of considerations for sampling design to allow useful tests for specific scales of a phenomenon under study. We further recommend that ecological studies completely report all components of observation and analysis scales to increase the possibility of cross-study comparisons.","author":[{"dropping-particle":"","family":"Dungan","given":"J. L.","non-dropping-particle":"","parse-names":false,"suffix":""},{"dropping-particle":"","family":"Perry","given":"J. N.","non-dropping-particle":"","parse-names":false,"suffix":""},{"dropping-particle":"","family":"Dale","given":"M. R.T.","non-dropping-particle":"","parse-names":false,"suffix":""},{"dropping-particle":"","family":"Legendre","given":"P.","non-dropping-particle":"","parse-names":false,"suffix":""},{"dropping-particle":"","family":"Citron-Pousty","given":"S.","non-dropping-particle":"","parse-names":false,"suffix":""},{"dropping-particle":"","family":"Fortin","given":"M. J.","non-dropping-particle":"","parse-names":false,"suffix":""},{"dropping-particle":"","family":"Jakomulska","given":"A.","non-dropping-particle":"","parse-names":false,"suffix":""},{"dropping-particle":"","family":"Miriti","given":"M.","non-dropping-particle":"","parse-names":false,"suffix":""},{"dropping-particle":"","family":"Rosenberg","given":"M. S.","non-dropping-particle":"","parse-names":false,"suffix":""}],"container-title":"Ecography","id":"ITEM-1","issue":"5","issued":{"date-parts":[["2002","10","1"]]},"page":"626-640","publisher":"John Wiley &amp; Sons, Ltd","title":"A balanced view of scale in spatial statistical analysis","type":"article-journal","volume":"25"},"uris":["http://www.mendeley.com/documents/?uuid=414c0195-8a58-3b39-b2c0-92e0397f898c"]}],"mendeley":{"formattedCitation":"[43]","plainTextFormattedCitation":"[43]","previouslyFormattedCitation":"[43]"},"properties":{"noteIndex":0},"schema":"https://github.com/citation-style-language/schema/raw/master/csl-citation.json"}</w:instrText>
      </w:r>
      <w:r w:rsidR="00087416" w:rsidRPr="00CB6F3B">
        <w:rPr>
          <w:rFonts w:ascii="Times New Roman" w:hAnsi="Times New Roman" w:cs="Times New Roman"/>
          <w:sz w:val="24"/>
          <w:szCs w:val="24"/>
        </w:rPr>
        <w:fldChar w:fldCharType="separate"/>
      </w:r>
      <w:r w:rsidR="0041205F" w:rsidRPr="00CB6F3B">
        <w:rPr>
          <w:rFonts w:ascii="Times New Roman" w:hAnsi="Times New Roman" w:cs="Times New Roman"/>
          <w:noProof/>
          <w:sz w:val="24"/>
          <w:szCs w:val="24"/>
        </w:rPr>
        <w:t>[43]</w:t>
      </w:r>
      <w:r w:rsidR="00087416" w:rsidRPr="00CB6F3B">
        <w:rPr>
          <w:rFonts w:ascii="Times New Roman" w:hAnsi="Times New Roman" w:cs="Times New Roman"/>
          <w:sz w:val="24"/>
          <w:szCs w:val="24"/>
        </w:rPr>
        <w:fldChar w:fldCharType="end"/>
      </w:r>
      <w:r w:rsidR="00087416" w:rsidRPr="00CB6F3B">
        <w:rPr>
          <w:rFonts w:ascii="Times New Roman" w:hAnsi="Times New Roman" w:cs="Times New Roman"/>
          <w:sz w:val="24"/>
          <w:szCs w:val="24"/>
        </w:rPr>
        <w:t xml:space="preserve"> </w:t>
      </w:r>
      <w:r w:rsidRPr="00CB6F3B">
        <w:rPr>
          <w:rFonts w:ascii="Times New Roman" w:hAnsi="Times New Roman" w:cs="Times New Roman"/>
          <w:sz w:val="24"/>
          <w:szCs w:val="24"/>
        </w:rPr>
        <w:t>is characterized by volume or area of samples</w:t>
      </w:r>
      <w:r w:rsidR="00C97584" w:rsidRPr="00CB6F3B">
        <w:rPr>
          <w:rFonts w:ascii="Times New Roman" w:hAnsi="Times New Roman" w:cs="Times New Roman"/>
          <w:sz w:val="24"/>
          <w:szCs w:val="24"/>
        </w:rPr>
        <w:t xml:space="preserve"> taken</w:t>
      </w:r>
      <w:r w:rsidRPr="00CB6F3B">
        <w:rPr>
          <w:rFonts w:ascii="Times New Roman" w:hAnsi="Times New Roman" w:cs="Times New Roman"/>
          <w:sz w:val="24"/>
          <w:szCs w:val="24"/>
        </w:rPr>
        <w:t xml:space="preserve"> (their </w:t>
      </w:r>
      <w:r w:rsidRPr="00CB6F3B">
        <w:rPr>
          <w:rFonts w:ascii="Times New Roman" w:hAnsi="Times New Roman" w:cs="Times New Roman"/>
          <w:i/>
          <w:sz w:val="24"/>
          <w:szCs w:val="24"/>
        </w:rPr>
        <w:t>grain</w:t>
      </w:r>
      <w:r w:rsidRPr="00CB6F3B">
        <w:rPr>
          <w:rFonts w:ascii="Times New Roman" w:hAnsi="Times New Roman" w:cs="Times New Roman"/>
          <w:sz w:val="24"/>
          <w:szCs w:val="24"/>
        </w:rPr>
        <w:t>),</w:t>
      </w:r>
      <w:r w:rsidR="00C97584" w:rsidRPr="00CB6F3B">
        <w:rPr>
          <w:rFonts w:ascii="Times New Roman" w:hAnsi="Times New Roman" w:cs="Times New Roman"/>
          <w:sz w:val="24"/>
          <w:szCs w:val="24"/>
        </w:rPr>
        <w:t xml:space="preserve"> </w:t>
      </w:r>
      <w:r w:rsidRPr="00CB6F3B">
        <w:rPr>
          <w:rFonts w:ascii="Times New Roman" w:hAnsi="Times New Roman" w:cs="Times New Roman"/>
          <w:sz w:val="24"/>
          <w:szCs w:val="24"/>
        </w:rPr>
        <w:t xml:space="preserve"> </w:t>
      </w:r>
      <w:r w:rsidR="00593AB0" w:rsidRPr="00CB6F3B">
        <w:rPr>
          <w:rFonts w:ascii="Times New Roman" w:hAnsi="Times New Roman" w:cs="Times New Roman"/>
          <w:sz w:val="24"/>
          <w:szCs w:val="24"/>
        </w:rPr>
        <w:t xml:space="preserve">the spatial </w:t>
      </w:r>
      <w:r w:rsidR="00593AB0" w:rsidRPr="00CB6F3B">
        <w:rPr>
          <w:rFonts w:ascii="Times New Roman" w:hAnsi="Times New Roman" w:cs="Times New Roman"/>
          <w:i/>
          <w:sz w:val="24"/>
          <w:szCs w:val="24"/>
        </w:rPr>
        <w:t xml:space="preserve">extent </w:t>
      </w:r>
      <w:r w:rsidR="00593AB0" w:rsidRPr="00CB6F3B">
        <w:rPr>
          <w:rFonts w:ascii="Times New Roman" w:hAnsi="Times New Roman" w:cs="Times New Roman"/>
          <w:sz w:val="24"/>
          <w:szCs w:val="24"/>
        </w:rPr>
        <w:t xml:space="preserve">of a study, and the </w:t>
      </w:r>
      <w:r w:rsidR="00593AB0" w:rsidRPr="00CB6F3B">
        <w:rPr>
          <w:rFonts w:ascii="Times New Roman" w:hAnsi="Times New Roman" w:cs="Times New Roman"/>
          <w:i/>
          <w:sz w:val="24"/>
          <w:szCs w:val="24"/>
        </w:rPr>
        <w:t>distance</w:t>
      </w:r>
      <w:r w:rsidR="00593AB0" w:rsidRPr="00CB6F3B">
        <w:rPr>
          <w:rFonts w:ascii="Times New Roman" w:hAnsi="Times New Roman" w:cs="Times New Roman"/>
          <w:sz w:val="24"/>
          <w:szCs w:val="24"/>
        </w:rPr>
        <w:t xml:space="preserve"> between samples </w:t>
      </w:r>
      <w:r w:rsidRPr="00CB6F3B">
        <w:rPr>
          <w:rFonts w:ascii="Times New Roman" w:hAnsi="Times New Roman" w:cs="Times New Roman"/>
          <w:sz w:val="24"/>
          <w:szCs w:val="24"/>
        </w:rPr>
        <w:t xml:space="preserve">(Figure </w:t>
      </w:r>
      <w:r w:rsidR="00C601F0" w:rsidRPr="00CB6F3B">
        <w:rPr>
          <w:rFonts w:ascii="Times New Roman" w:hAnsi="Times New Roman" w:cs="Times New Roman"/>
          <w:sz w:val="24"/>
          <w:szCs w:val="24"/>
        </w:rPr>
        <w:t>3</w:t>
      </w:r>
      <w:r w:rsidRPr="00CB6F3B">
        <w:rPr>
          <w:rFonts w:ascii="Times New Roman" w:hAnsi="Times New Roman" w:cs="Times New Roman"/>
          <w:sz w:val="24"/>
          <w:szCs w:val="24"/>
        </w:rPr>
        <w:t>).</w:t>
      </w:r>
      <w:r w:rsidR="00593AB0" w:rsidRPr="00CB6F3B">
        <w:rPr>
          <w:rFonts w:ascii="Times New Roman" w:hAnsi="Times New Roman" w:cs="Times New Roman"/>
          <w:sz w:val="24"/>
          <w:szCs w:val="24"/>
        </w:rPr>
        <w:t xml:space="preserve"> In particular, the distance between samples in a study are seldom documented in microbial ecology, and the homogenization of multiple, randomly selected samples within a plot is common.</w:t>
      </w:r>
    </w:p>
    <w:bookmarkEnd w:id="13"/>
    <w:p w14:paraId="10C4CA0F" w14:textId="28A5A5F0" w:rsidR="001D1B44" w:rsidRPr="00CB6F3B" w:rsidRDefault="00A573D8" w:rsidP="003E420F">
      <w:pPr>
        <w:spacing w:line="480" w:lineRule="auto"/>
        <w:rPr>
          <w:rFonts w:ascii="Times New Roman" w:hAnsi="Times New Roman" w:cs="Times New Roman"/>
          <w:sz w:val="24"/>
          <w:szCs w:val="24"/>
        </w:rPr>
      </w:pPr>
      <w:r w:rsidRPr="00CB6F3B">
        <w:rPr>
          <w:rFonts w:ascii="Times New Roman" w:hAnsi="Times New Roman" w:cs="Times New Roman"/>
          <w:sz w:val="24"/>
          <w:szCs w:val="24"/>
        </w:rPr>
        <w:t xml:space="preserve">Two fundamental </w:t>
      </w:r>
      <w:r w:rsidR="00C97584" w:rsidRPr="00CB6F3B">
        <w:rPr>
          <w:rFonts w:ascii="Times New Roman" w:hAnsi="Times New Roman" w:cs="Times New Roman"/>
          <w:sz w:val="24"/>
          <w:szCs w:val="24"/>
        </w:rPr>
        <w:t xml:space="preserve">spatial </w:t>
      </w:r>
      <w:r w:rsidRPr="00CB6F3B">
        <w:rPr>
          <w:rFonts w:ascii="Times New Roman" w:hAnsi="Times New Roman" w:cs="Times New Roman"/>
          <w:sz w:val="24"/>
          <w:szCs w:val="24"/>
        </w:rPr>
        <w:t xml:space="preserve">relationships </w:t>
      </w:r>
      <w:r w:rsidR="00C97584" w:rsidRPr="00CB6F3B">
        <w:rPr>
          <w:rFonts w:ascii="Times New Roman" w:hAnsi="Times New Roman" w:cs="Times New Roman"/>
          <w:sz w:val="24"/>
          <w:szCs w:val="24"/>
        </w:rPr>
        <w:t xml:space="preserve">in </w:t>
      </w:r>
      <w:r w:rsidRPr="00CB6F3B">
        <w:rPr>
          <w:rFonts w:ascii="Times New Roman" w:hAnsi="Times New Roman" w:cs="Times New Roman"/>
          <w:sz w:val="24"/>
          <w:szCs w:val="24"/>
        </w:rPr>
        <w:t xml:space="preserve">ecological communities </w:t>
      </w:r>
      <w:r w:rsidR="00C97584" w:rsidRPr="00CB6F3B">
        <w:rPr>
          <w:rFonts w:ascii="Times New Roman" w:hAnsi="Times New Roman" w:cs="Times New Roman"/>
          <w:sz w:val="24"/>
          <w:szCs w:val="24"/>
        </w:rPr>
        <w:t>are (</w:t>
      </w:r>
      <w:proofErr w:type="spellStart"/>
      <w:r w:rsidR="00C97584" w:rsidRPr="00CB6F3B">
        <w:rPr>
          <w:rFonts w:ascii="Times New Roman" w:hAnsi="Times New Roman" w:cs="Times New Roman"/>
          <w:sz w:val="24"/>
          <w:szCs w:val="24"/>
        </w:rPr>
        <w:t>i</w:t>
      </w:r>
      <w:proofErr w:type="spellEnd"/>
      <w:r w:rsidR="00C97584" w:rsidRPr="00CB6F3B">
        <w:rPr>
          <w:rFonts w:ascii="Times New Roman" w:hAnsi="Times New Roman" w:cs="Times New Roman"/>
          <w:sz w:val="24"/>
          <w:szCs w:val="24"/>
        </w:rPr>
        <w:t>)</w:t>
      </w:r>
      <w:r w:rsidRPr="00CB6F3B">
        <w:rPr>
          <w:rFonts w:ascii="Times New Roman" w:hAnsi="Times New Roman" w:cs="Times New Roman"/>
          <w:sz w:val="24"/>
          <w:szCs w:val="24"/>
        </w:rPr>
        <w:t xml:space="preserve"> the </w:t>
      </w:r>
      <w:r w:rsidR="004D5AAB" w:rsidRPr="00CB6F3B">
        <w:rPr>
          <w:rFonts w:ascii="Times New Roman" w:hAnsi="Times New Roman" w:cs="Times New Roman"/>
          <w:sz w:val="24"/>
          <w:szCs w:val="24"/>
        </w:rPr>
        <w:t xml:space="preserve">distance </w:t>
      </w:r>
      <w:r w:rsidRPr="00CB6F3B">
        <w:rPr>
          <w:rFonts w:ascii="Times New Roman" w:hAnsi="Times New Roman" w:cs="Times New Roman"/>
          <w:sz w:val="24"/>
          <w:szCs w:val="24"/>
        </w:rPr>
        <w:t>decay of compositional similarity (DDS, Figure</w:t>
      </w:r>
      <w:r w:rsidR="00C601F0" w:rsidRPr="00CB6F3B">
        <w:rPr>
          <w:rFonts w:ascii="Times New Roman" w:hAnsi="Times New Roman" w:cs="Times New Roman"/>
          <w:sz w:val="24"/>
          <w:szCs w:val="24"/>
        </w:rPr>
        <w:t xml:space="preserve"> 3</w:t>
      </w:r>
      <w:r w:rsidRPr="00CB6F3B">
        <w:rPr>
          <w:rFonts w:ascii="Times New Roman" w:hAnsi="Times New Roman" w:cs="Times New Roman"/>
          <w:sz w:val="24"/>
          <w:szCs w:val="24"/>
        </w:rPr>
        <w:t xml:space="preserve">, </w:t>
      </w:r>
      <w:r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{"citationItems":[{"id":"ITEM-1","itemData":{"DOI":"10.1046/j.1365-2699.1999.00305.x","ISSN":"0305-0270","abstract":"Aim. Our aim was to understand how similarity changes with distance in biological communities, to use the distance decay perspective as quantitative technique to describe biogeographic pattern, and to explore whether growth form, dispersal type, rarity, or support affected the rate of distance decay in similarity. Location. North American spruce-fir forests, Appalachian montane spruce-fir forests. Methods. We estimated rates of distance decay through regression of log-transformed compositional similarity against distance for pairwise comparisons of thirty-four white spruce plots and twenty-six black spruce plots distributed from eastern Canada to Alaska, six regional floras along the crest of the Appalachians, and six regional floras along the east-west extent of the boreal forest. Results. Similarity decreased significantly with distance, with the most linear models relating the log of similarity to untransformed distance. The rate of similarity decay was 1.5-1.9 times higher for vascular plants than for bryophytes. The rate of distance decay was highest for berry-fruited and nut-bearing species (1.7 times higher than plumose-seeded species and 1.9 times higher than microseeded/spore species) and 2.1 times higher for herbs than woody plants. There was no distance decay for rare species, while species of intermediate frequency had 2.0 times higher distance decay rates than common species. The rate of distance decay was 2.7 times higher for floras from the fragmented Appalachians than for floras from the contiguous boreal forest. Main conclusions. The distance decay of similarity can be caused by either a decrease in environmental similarity with distance (e.g. climatic gradients) or by limits to dispersal and niche width differences among taxa. Regardless of cause, the distance decay of similarity provides a simple descriptor of how biological diversity is distributed and therefore has consequences for conservation strategy.","author":[{"dropping-particle":"","family":"Nekola","given":"Jeffrey C.","non-dropping-particle":"","parse-names":false,"suffix":""},{"dropping-particle":"","family":"White","given":"Peter S.","non-dropping-particle":"","parse-names":false,"suffix":""}],"container-title":"Journal of Biogeography","id":"ITEM-1","issue":"4","issued":{"date-parts":[["1999","7","1"]]},"page":"867-878","title":"The distance decay of similarity in biogeography and ecology","type":"article-journal","volume":"26"},"uris":["http://www.mendeley.com/documents/?uuid=78e6528d-462c-3dc8-871e-85325e2f7955"]}],"mendeley":{"formattedCitation":"[44]","plainTextFormattedCitation":"[44]","previouslyFormattedCitation":"[44]"},"properties":{"noteIndex":0},"schema":"https://github.com/citation-style-language/schema/raw/master/csl-citation.json"}</w:instrText>
      </w:r>
      <w:r w:rsidRPr="00CB6F3B">
        <w:rPr>
          <w:rFonts w:ascii="Times New Roman" w:hAnsi="Times New Roman" w:cs="Times New Roman"/>
          <w:sz w:val="24"/>
          <w:szCs w:val="24"/>
        </w:rPr>
        <w:fldChar w:fldCharType="separate"/>
      </w:r>
      <w:r w:rsidR="0041205F" w:rsidRPr="00CB6F3B">
        <w:rPr>
          <w:rFonts w:ascii="Times New Roman" w:hAnsi="Times New Roman" w:cs="Times New Roman"/>
          <w:noProof/>
          <w:sz w:val="24"/>
          <w:szCs w:val="24"/>
        </w:rPr>
        <w:t>[44]</w:t>
      </w:r>
      <w:r w:rsidRPr="00CB6F3B">
        <w:rPr>
          <w:rFonts w:ascii="Times New Roman" w:hAnsi="Times New Roman" w:cs="Times New Roman"/>
          <w:sz w:val="24"/>
          <w:szCs w:val="24"/>
        </w:rPr>
        <w:fldChar w:fldCharType="end"/>
      </w:r>
      <w:r w:rsidRPr="00CB6F3B">
        <w:rPr>
          <w:rFonts w:ascii="Times New Roman" w:hAnsi="Times New Roman" w:cs="Times New Roman"/>
          <w:sz w:val="24"/>
          <w:szCs w:val="24"/>
        </w:rPr>
        <w:t>)</w:t>
      </w:r>
      <w:r w:rsidR="00C97584" w:rsidRPr="00CB6F3B">
        <w:rPr>
          <w:rFonts w:ascii="Times New Roman" w:hAnsi="Times New Roman" w:cs="Times New Roman"/>
          <w:sz w:val="24"/>
          <w:szCs w:val="24"/>
        </w:rPr>
        <w:t>,</w:t>
      </w:r>
      <w:r w:rsidRPr="00CB6F3B">
        <w:rPr>
          <w:rFonts w:ascii="Times New Roman" w:hAnsi="Times New Roman" w:cs="Times New Roman"/>
          <w:sz w:val="24"/>
          <w:szCs w:val="24"/>
        </w:rPr>
        <w:t xml:space="preserve"> and </w:t>
      </w:r>
      <w:r w:rsidR="00C97584" w:rsidRPr="00CB6F3B">
        <w:rPr>
          <w:rFonts w:ascii="Times New Roman" w:hAnsi="Times New Roman" w:cs="Times New Roman"/>
          <w:sz w:val="24"/>
          <w:szCs w:val="24"/>
        </w:rPr>
        <w:t xml:space="preserve">(ii) </w:t>
      </w:r>
      <w:r w:rsidRPr="00CB6F3B">
        <w:rPr>
          <w:rFonts w:ascii="Times New Roman" w:hAnsi="Times New Roman" w:cs="Times New Roman"/>
          <w:sz w:val="24"/>
          <w:szCs w:val="24"/>
        </w:rPr>
        <w:t>the taxa-area (or taxa-volume) relationships (TAR</w:t>
      </w:r>
      <w:r w:rsidR="0079332E" w:rsidRPr="00CB6F3B">
        <w:rPr>
          <w:rFonts w:ascii="Times New Roman" w:hAnsi="Times New Roman" w:cs="Times New Roman"/>
          <w:sz w:val="24"/>
          <w:szCs w:val="24"/>
        </w:rPr>
        <w:t xml:space="preserve">, Figure 3, </w:t>
      </w:r>
      <w:r w:rsidR="0079332E" w:rsidRPr="00CB6F3B">
        <w:rPr>
          <w:rFonts w:ascii="Times New Roman" w:hAnsi="Times New Roman" w:cs="Times New Roman"/>
          <w:sz w:val="24"/>
          <w:szCs w:val="24"/>
        </w:rPr>
        <w:fldChar w:fldCharType="begin" w:fldLock="1"/>
      </w:r>
      <w:r w:rsidR="00F9514B" w:rsidRPr="00CB6F3B">
        <w:rPr>
          <w:rFonts w:ascii="Times New Roman" w:hAnsi="Times New Roman" w:cs="Times New Roman"/>
          <w:sz w:val="24"/>
          <w:szCs w:val="24"/>
        </w:rPr>
        <w:instrText xml:space="preserve">ADDIN CSL_CITATION {"citationItems":[{"id":"ITEM-1","itemData":{"DOI":"10.1111/j.1461-0248.2006.00929.x","ISSN":"1461023X","abstract":"The recent observation of a power-law relationship, S </w:instrText>
      </w:r>
      <w:r w:rsidR="00F9514B" w:rsidRPr="00CB6F3B">
        <w:rPr>
          <w:rFonts w:ascii="Cambria Math" w:hAnsi="Cambria Math" w:cs="Cambria Math"/>
          <w:sz w:val="24"/>
          <w:szCs w:val="24"/>
        </w:rPr>
        <w:instrText>∝</w:instrText>
      </w:r>
      <w:r w:rsidR="00F9514B" w:rsidRPr="00CB6F3B">
        <w:rPr>
          <w:rFonts w:ascii="Times New Roman" w:hAnsi="Times New Roman" w:cs="Times New Roman"/>
          <w:sz w:val="24"/>
          <w:szCs w:val="24"/>
        </w:rPr>
        <w:instrText xml:space="preserve"> Az, between number of taxa, S, and area, A, for microbial eukaryotes and bacteria suggests that this is one of the few generic relationships in ecology, applicable to plants, animals and microbes. However, the rate of increase in the number of species with area varies from approximately the fourth (z = 0.26) to as little as the 50th root (z = 0.0019) in microbes. This is an enormous range for which no quantitative explanation has been proffered. We show by sampling from synthetic populations that the disparity between sample and community sizes in microbial community surveys means z can be considerably underestimated and accrual of rare taxa with increasing area will not be detectable. Significant microbial taxa-area relationships will only be observed when changes in community structure within samples correlate with area. Thus, the very low z values observed recently cannot be used as the sole evidence in support of any particular community theory of community assembly. More generally, this suggests that our search for patterns and laws in the microbial world will be profoundly influenced and, potentially distorted by the sample sizes that are typical of microbial community surveys. © 2006 Blackwell Publishing Ltd/CNRS.","author":[{"dropping-particle":"","family":"Woodcock","given":"Stephen","non-dropping-particle":"","parse-names":false,"suffix":""},{"dropping-particle":"","family":"Curtis","given":"Thomas P.","non-dropping-particle":"","parse-names":false,"suffix":""},{"dropping-particle":"","family":"Head","given":"Ian M.","non-dropping-particle":"","parse-names":false,"suffix":""},{"dropping-particle":"","family":"Lunn","given":"Mary","non-dropping-particle":"","parse-names":false,"suffix":""},{"dropping-particle":"","family":"Sloan","given":"William T.","non-dropping-particle":"","parse-names":false,"suffix":""}],"container-title":"Ecology Letters","id":"ITEM-1","issue":"7","issued":{"date-parts":[["2006"]]},"page":"805-812","title":"Taxa-area relationships for microbes: The unsampled and the unseen","type":"article-journal","volume":"9"},"uris":["http://www.mendeley.com/documents/?uuid=7f0ccfeb-807e-4934-b5ab-06c2cdc164fe"]},{"id":"ITEM-2","itemData":{"DOI":"10.1038/nature03034","ISSN":"00280836","PMID":"15592411","abstract":"Patterns in the spatial distribution of organisms provide important information about mechanisms that regulate the diversity of life and the complexity of ecosystems. Although micro-organisms may comprise much of the Earth's biodiversity and have critical roles in biogeochemistry and ecosystem functioning, little is known about their spatial diversification. Here we present quantitative estimates of microbial community turnover at local and regional scales using the largest spatially explicit microbial diversity data set available (&gt;106 sample pairs). Turn-over rates were small across large geographical distances, of similar magnitude when measured within distinct habitats, and did not increase going from one vegetation type to another. The taxa-area relationship of these terrestrial microbial eukaryotes was relatively flat (slope z = 0.074) and consistent with those reported in aquatic habitats. This suggests that despite high local diversity, microorganisms may have only moderate regional diversity. We show how turnover patterns can be used to project taxa-area relationships up to whole continents. Taxa dissimilarities across continents and between them would strengthen these projections. Such data do not yet exist, but would be feasible to collect.","author":[{"dropping-particle":"","family":"Green","given":"Jessica L.","non-dropping-particle":"","parse-names":false,"suffix":""},{"dropping-particle":"","family":"Holmes","given":"Andrew J.","non-dropping-particle":"","parse-names":false,"suffix":""},{"dropping-particle":"","family":"Westoby","given":"Mark","non-dropping-particle":"","parse-names":false,"suffix":""},{"dropping-particle":"","family":"Oliver","given":"Ian","non-dropping-particle":"","parse-names":false,"suffix":""},{"dropping-particle":"","family":"Briscoe","given":"David","non-dropping-particle":"","parse-names":false,"suffix":""},{"dropping-particle":"","family":"Dangerfield","given":"Mark","non-dropping-particle":"","parse-names":false,"suffix":""},{"dropping-particle":"","family":"Gillings","given":"Michael","non-dropping-particle":"","parse-names":false,"suffix":""},{"dropping-particle":"","family":"Beattie","given":"Andrew J.","non-dropping-particle":"","parse-names":false,"suffix":""}],"container-title":"Nature","id":"ITEM-2","issue":"7018","issued":{"date-parts":[["2004"]]},"page":"747-750","title":"Spatial scaling of microbial eukaryote diversity","type":"article-journal","volume":"432"},"uris":["http://www.mendeley.com/documents/?uuid=abd71949-a255-48be-9620-39145063cb33"]}],"mendeley":{"formattedCitation":"[41, 45]","plainTextFormattedCitation":"[41, 45]","previouslyFormattedCitation":"[41, 45]"},"properties":{"noteIndex":0},"schema":"https://github.com/citation-style-language/schema/raw/master/csl-citation.json"}</w:instrText>
      </w:r>
      <w:r w:rsidR="0079332E" w:rsidRPr="00CB6F3B">
        <w:rPr>
          <w:rFonts w:ascii="Times New Roman" w:hAnsi="Times New Roman" w:cs="Times New Roman"/>
          <w:sz w:val="24"/>
          <w:szCs w:val="24"/>
        </w:rPr>
        <w:fldChar w:fldCharType="separate"/>
      </w:r>
      <w:r w:rsidR="0041205F" w:rsidRPr="00CB6F3B">
        <w:rPr>
          <w:rFonts w:ascii="Times New Roman" w:hAnsi="Times New Roman" w:cs="Times New Roman"/>
          <w:noProof/>
          <w:sz w:val="24"/>
          <w:szCs w:val="24"/>
        </w:rPr>
        <w:t>[41, 45]</w:t>
      </w:r>
      <w:r w:rsidR="0079332E" w:rsidRPr="00CB6F3B">
        <w:rPr>
          <w:rFonts w:ascii="Times New Roman" w:hAnsi="Times New Roman" w:cs="Times New Roman"/>
          <w:sz w:val="24"/>
          <w:szCs w:val="24"/>
        </w:rPr>
        <w:fldChar w:fldCharType="end"/>
      </w:r>
      <w:r w:rsidRPr="00CB6F3B">
        <w:rPr>
          <w:rFonts w:ascii="Times New Roman" w:hAnsi="Times New Roman" w:cs="Times New Roman"/>
          <w:sz w:val="24"/>
          <w:szCs w:val="24"/>
        </w:rPr>
        <w:t>)</w:t>
      </w:r>
      <w:r w:rsidR="00C97584" w:rsidRPr="00CB6F3B">
        <w:rPr>
          <w:rFonts w:ascii="Times New Roman" w:hAnsi="Times New Roman" w:cs="Times New Roman"/>
          <w:sz w:val="24"/>
          <w:szCs w:val="24"/>
        </w:rPr>
        <w:t>. These</w:t>
      </w:r>
      <w:r w:rsidRPr="00CB6F3B">
        <w:rPr>
          <w:rFonts w:ascii="Times New Roman" w:hAnsi="Times New Roman" w:cs="Times New Roman"/>
          <w:sz w:val="24"/>
          <w:szCs w:val="24"/>
        </w:rPr>
        <w:t xml:space="preserve"> illustrate </w:t>
      </w:r>
      <w:r w:rsidR="00C97584" w:rsidRPr="00CB6F3B">
        <w:rPr>
          <w:rFonts w:ascii="Times New Roman" w:hAnsi="Times New Roman" w:cs="Times New Roman"/>
          <w:sz w:val="24"/>
          <w:szCs w:val="24"/>
        </w:rPr>
        <w:t xml:space="preserve">why </w:t>
      </w:r>
      <w:r w:rsidRPr="00CB6F3B">
        <w:rPr>
          <w:rFonts w:ascii="Times New Roman" w:hAnsi="Times New Roman" w:cs="Times New Roman"/>
          <w:sz w:val="24"/>
          <w:szCs w:val="24"/>
        </w:rPr>
        <w:t>the</w:t>
      </w:r>
      <w:r w:rsidR="004D5AAB" w:rsidRPr="00CB6F3B">
        <w:rPr>
          <w:rFonts w:ascii="Times New Roman" w:hAnsi="Times New Roman" w:cs="Times New Roman"/>
          <w:sz w:val="24"/>
          <w:szCs w:val="24"/>
        </w:rPr>
        <w:t xml:space="preserve"> sampling</w:t>
      </w:r>
      <w:r w:rsidRPr="00CB6F3B">
        <w:rPr>
          <w:rFonts w:ascii="Times New Roman" w:hAnsi="Times New Roman" w:cs="Times New Roman"/>
          <w:sz w:val="24"/>
          <w:szCs w:val="24"/>
        </w:rPr>
        <w:t xml:space="preserve"> choices made affect the resulting estimates of diversity and community composition. For example, due DDS, samples</w:t>
      </w:r>
      <w:r w:rsidR="0011332F" w:rsidRPr="00CB6F3B">
        <w:rPr>
          <w:rFonts w:ascii="Times New Roman" w:hAnsi="Times New Roman" w:cs="Times New Roman"/>
          <w:sz w:val="24"/>
          <w:szCs w:val="24"/>
        </w:rPr>
        <w:t xml:space="preserve"> that are </w:t>
      </w:r>
      <w:r w:rsidR="004D5AAB" w:rsidRPr="00CB6F3B">
        <w:rPr>
          <w:rFonts w:ascii="Times New Roman" w:hAnsi="Times New Roman" w:cs="Times New Roman"/>
          <w:sz w:val="24"/>
          <w:szCs w:val="24"/>
        </w:rPr>
        <w:t xml:space="preserve">taken </w:t>
      </w:r>
      <w:r w:rsidR="0011332F" w:rsidRPr="00CB6F3B">
        <w:rPr>
          <w:rFonts w:ascii="Times New Roman" w:hAnsi="Times New Roman" w:cs="Times New Roman"/>
          <w:sz w:val="24"/>
          <w:szCs w:val="24"/>
        </w:rPr>
        <w:t>more closely together</w:t>
      </w:r>
      <w:r w:rsidRPr="00CB6F3B">
        <w:rPr>
          <w:rFonts w:ascii="Times New Roman" w:hAnsi="Times New Roman" w:cs="Times New Roman"/>
          <w:sz w:val="24"/>
          <w:szCs w:val="24"/>
        </w:rPr>
        <w:t xml:space="preserve"> will </w:t>
      </w:r>
      <w:r w:rsidR="004D5AAB" w:rsidRPr="00CB6F3B">
        <w:rPr>
          <w:rFonts w:ascii="Times New Roman" w:hAnsi="Times New Roman" w:cs="Times New Roman"/>
          <w:sz w:val="24"/>
          <w:szCs w:val="24"/>
        </w:rPr>
        <w:t>typically</w:t>
      </w:r>
      <w:r w:rsidR="009532C0" w:rsidRPr="00CB6F3B">
        <w:rPr>
          <w:rFonts w:ascii="Times New Roman" w:hAnsi="Times New Roman" w:cs="Times New Roman"/>
          <w:sz w:val="24"/>
          <w:szCs w:val="24"/>
        </w:rPr>
        <w:t xml:space="preserve"> </w:t>
      </w:r>
      <w:r w:rsidRPr="00CB6F3B">
        <w:rPr>
          <w:rFonts w:ascii="Times New Roman" w:hAnsi="Times New Roman" w:cs="Times New Roman"/>
          <w:sz w:val="24"/>
          <w:szCs w:val="24"/>
        </w:rPr>
        <w:t xml:space="preserve">exhibit </w:t>
      </w:r>
      <w:r w:rsidR="004D5AAB" w:rsidRPr="00CB6F3B">
        <w:rPr>
          <w:rFonts w:ascii="Times New Roman" w:hAnsi="Times New Roman" w:cs="Times New Roman"/>
          <w:sz w:val="24"/>
          <w:szCs w:val="24"/>
        </w:rPr>
        <w:t>more similar</w:t>
      </w:r>
      <w:r w:rsidRPr="00CB6F3B">
        <w:rPr>
          <w:rFonts w:ascii="Times New Roman" w:hAnsi="Times New Roman" w:cs="Times New Roman"/>
          <w:sz w:val="24"/>
          <w:szCs w:val="24"/>
        </w:rPr>
        <w:t xml:space="preserve"> </w:t>
      </w:r>
      <w:r w:rsidR="004D5AAB" w:rsidRPr="00CB6F3B">
        <w:rPr>
          <w:rFonts w:ascii="Times New Roman" w:hAnsi="Times New Roman" w:cs="Times New Roman"/>
          <w:sz w:val="24"/>
          <w:szCs w:val="24"/>
        </w:rPr>
        <w:t>composition</w:t>
      </w:r>
      <w:r w:rsidR="00AA6A84" w:rsidRPr="00CB6F3B">
        <w:rPr>
          <w:rFonts w:ascii="Times New Roman" w:hAnsi="Times New Roman" w:cs="Times New Roman"/>
          <w:sz w:val="24"/>
          <w:szCs w:val="24"/>
        </w:rPr>
        <w:t xml:space="preserve">, and thus have lower total diversity, </w:t>
      </w:r>
      <w:r w:rsidRPr="00CB6F3B">
        <w:rPr>
          <w:rFonts w:ascii="Times New Roman" w:hAnsi="Times New Roman" w:cs="Times New Roman"/>
          <w:sz w:val="24"/>
          <w:szCs w:val="24"/>
        </w:rPr>
        <w:t xml:space="preserve">than samples </w:t>
      </w:r>
      <w:r w:rsidR="0011332F" w:rsidRPr="00CB6F3B">
        <w:rPr>
          <w:rFonts w:ascii="Times New Roman" w:hAnsi="Times New Roman" w:cs="Times New Roman"/>
          <w:sz w:val="24"/>
          <w:szCs w:val="24"/>
        </w:rPr>
        <w:t xml:space="preserve">that are taken from </w:t>
      </w:r>
      <w:r w:rsidRPr="00CB6F3B">
        <w:rPr>
          <w:rFonts w:ascii="Times New Roman" w:hAnsi="Times New Roman" w:cs="Times New Roman"/>
          <w:sz w:val="24"/>
          <w:szCs w:val="24"/>
        </w:rPr>
        <w:t>further apart. It is therefore essential to take the grain, distance, and extent of the samples into consideration when comparing across samples which were collected in disparate ways. However this information is seldom considered</w:t>
      </w:r>
      <w:r w:rsidR="009B295B" w:rsidRPr="00CB6F3B">
        <w:rPr>
          <w:rFonts w:ascii="Times New Roman" w:hAnsi="Times New Roman" w:cs="Times New Roman"/>
          <w:sz w:val="24"/>
          <w:szCs w:val="24"/>
        </w:rPr>
        <w:t xml:space="preserve"> </w:t>
      </w:r>
      <w:r w:rsidR="009B295B"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{"citationItems":[{"id":"ITEM-1","itemData":{"DOI":"10.1111/1755-0998.12907","ISSN":"17550998","abstract":"DNA-based techniques are increasingly used for measuring the biodiversity (species presence, identity, abundance and community composition) of terrestrial and aquatic ecosystems. While there are numerous reviews of molecular methods and bioinformatic steps, there has been little consideration of the methods used to collect samples upon which these later steps are based. This represents a critical knowledge gap, as methodologically sound field sampling is the foundation for subsequent analyses. We reviewed field sampling methods used for metabarcoding studies of both terrestrial and freshwater ecosystem biodiversity over a nearly three-year period (n = 75). We found that 95% (n = 71) of these studies used subjective sampling methods and inappropriate field methods and/or failed to provide critical methodological information. It would be possible for researchers to replicate only 5% of the metabarcoding studies in our sample, a poorer level of reproducibility than for ecological studies in general. Our findings suggest greater attention to field sampling methods, and reporting is necessary in eDNA-based studies of biodiversity to ensure robust outcomes and future reproducibility. Methods must be fully and accurately reported, and protocols developed that minimize subjectivity. Standardization of sampling protocols would be one way to help to improve reproducibility and have additional benefits in allowing compilation and comparison of data from across studies.","author":[{"dropping-particle":"","family":"Dickie","given":"Ian A.","non-dropping-particle":"","parse-names":false,"suffix":""},{"dropping-particle":"","family":"Boyer","given":"Stephane","non-dropping-particle":"","parse-names":false,"suffix":""},{"dropping-particle":"","family":"Buckley","given":"Hannah L.","non-dropping-particle":"","parse-names":false,"suffix":""},{"dropping-particle":"","family":"Duncan","given":"Richard P.","non-dropping-particle":"","parse-names":false,"suffix":""},{"dropping-particle":"","family":"Gardner","given":"Paul P.","non-dropping-particle":"","parse-names":false,"suffix":""},{"dropping-particle":"","family":"Hogg","given":"Ian D.","non-dropping-particle":"","parse-names":false,"suffix":""},{"dropping-particle":"","family":"Holdaway","given":"Robert J.","non-dropping-particle":"","parse-names":false,"suffix":""},{"dropping-particle":"","family":"Lear","given":"Gavin","non-dropping-particle":"","parse-names":false,"suffix":""},{"dropping-particle":"","family":"Makiola","given":"Andreas","non-dropping-particle":"","parse-names":false,"suffix":""},{"dropping-particle":"","family":"Morales","given":"Sergio E.","non-dropping-particle":"","parse-names":false,"suffix":""},{"dropping-particle":"","family":"Powell","given":"Jeff R.","non-dropping-particle":"","parse-names":false,"suffix":""},{"dropping-particle":"","family":"Weaver","given":"Louise","non-dropping-particle":"","parse-names":false,"suffix":""}],"container-title":"Molecular Ecology Resources","id":"ITEM-1","issue":"5","issued":{"date-parts":[["2018","9","1"]]},"page":"940-952","publisher":"Blackwell Publishing Ltd","title":"Towards robust and repeatable sampling methods in eDNA-based studies","type":"article","volume":"18"},"uris":["http://www.mendeley.com/documents/?uuid=4c35939f-b7b8-33d4-b21a-3a3a84731884"]}],"mendeley":{"formattedCitation":"[42]","plainTextFormattedCitation":"[42]","previouslyFormattedCitation":"[42]"},"properties":{"noteIndex":0},"schema":"https://github.com/citation-style-language/schema/raw/master/csl-citation.json"}</w:instrText>
      </w:r>
      <w:r w:rsidR="009B295B" w:rsidRPr="00CB6F3B">
        <w:rPr>
          <w:rFonts w:ascii="Times New Roman" w:hAnsi="Times New Roman" w:cs="Times New Roman"/>
          <w:sz w:val="24"/>
          <w:szCs w:val="24"/>
        </w:rPr>
        <w:fldChar w:fldCharType="separate"/>
      </w:r>
      <w:r w:rsidR="0041205F" w:rsidRPr="00CB6F3B">
        <w:rPr>
          <w:rFonts w:ascii="Times New Roman" w:hAnsi="Times New Roman" w:cs="Times New Roman"/>
          <w:noProof/>
          <w:sz w:val="24"/>
          <w:szCs w:val="24"/>
        </w:rPr>
        <w:t>[42]</w:t>
      </w:r>
      <w:r w:rsidR="009B295B" w:rsidRPr="00CB6F3B">
        <w:rPr>
          <w:rFonts w:ascii="Times New Roman" w:hAnsi="Times New Roman" w:cs="Times New Roman"/>
          <w:sz w:val="24"/>
          <w:szCs w:val="24"/>
        </w:rPr>
        <w:fldChar w:fldCharType="end"/>
      </w:r>
      <w:r w:rsidRPr="00CB6F3B">
        <w:rPr>
          <w:rFonts w:ascii="Times New Roman" w:hAnsi="Times New Roman" w:cs="Times New Roman"/>
          <w:sz w:val="24"/>
          <w:szCs w:val="24"/>
        </w:rPr>
        <w:t xml:space="preserve">.  </w:t>
      </w:r>
    </w:p>
    <w:p w14:paraId="6452074D" w14:textId="4F3C15A2" w:rsidR="00435522" w:rsidRPr="00CB6F3B" w:rsidRDefault="00DA58D0" w:rsidP="003E420F">
      <w:pPr>
        <w:spacing w:line="480" w:lineRule="auto"/>
        <w:rPr>
          <w:rFonts w:ascii="Times New Roman" w:hAnsi="Times New Roman" w:cs="Times New Roman"/>
          <w:sz w:val="24"/>
          <w:szCs w:val="24"/>
        </w:rPr>
      </w:pPr>
      <w:r w:rsidRPr="00CB6F3B">
        <w:rPr>
          <w:rFonts w:ascii="Times New Roman" w:hAnsi="Times New Roman" w:cs="Times New Roman"/>
          <w:sz w:val="24"/>
          <w:szCs w:val="24"/>
        </w:rPr>
        <w:t xml:space="preserve">The laboratory methodologies used prior to sequencing </w:t>
      </w:r>
      <w:r w:rsidR="001D1B44" w:rsidRPr="00CB6F3B">
        <w:rPr>
          <w:rFonts w:ascii="Times New Roman" w:hAnsi="Times New Roman" w:cs="Times New Roman"/>
          <w:sz w:val="24"/>
          <w:szCs w:val="24"/>
        </w:rPr>
        <w:t xml:space="preserve">may </w:t>
      </w:r>
      <w:r w:rsidR="006E7805" w:rsidRPr="00CB6F3B">
        <w:rPr>
          <w:rFonts w:ascii="Times New Roman" w:hAnsi="Times New Roman" w:cs="Times New Roman"/>
          <w:sz w:val="24"/>
          <w:szCs w:val="24"/>
        </w:rPr>
        <w:t xml:space="preserve">also </w:t>
      </w:r>
      <w:r w:rsidR="001D1B44" w:rsidRPr="00CB6F3B">
        <w:rPr>
          <w:rFonts w:ascii="Times New Roman" w:hAnsi="Times New Roman" w:cs="Times New Roman"/>
          <w:sz w:val="24"/>
          <w:szCs w:val="24"/>
        </w:rPr>
        <w:t xml:space="preserve">bias soil diversity assessments. </w:t>
      </w:r>
      <w:r w:rsidR="00B170D1" w:rsidRPr="00CB6F3B">
        <w:rPr>
          <w:rFonts w:ascii="Times New Roman" w:hAnsi="Times New Roman" w:cs="Times New Roman"/>
          <w:sz w:val="24"/>
          <w:szCs w:val="24"/>
        </w:rPr>
        <w:t>C</w:t>
      </w:r>
      <w:r w:rsidR="001D1B44" w:rsidRPr="00CB6F3B">
        <w:rPr>
          <w:rFonts w:ascii="Times New Roman" w:hAnsi="Times New Roman" w:cs="Times New Roman"/>
          <w:sz w:val="24"/>
          <w:szCs w:val="24"/>
        </w:rPr>
        <w:t xml:space="preserve">urrent protocols for eukaryotic sequencing are nearly identical to those for </w:t>
      </w:r>
      <w:r w:rsidR="001D1B44" w:rsidRPr="00CB6F3B">
        <w:rPr>
          <w:rFonts w:ascii="Times New Roman" w:hAnsi="Times New Roman" w:cs="Times New Roman"/>
          <w:sz w:val="24"/>
          <w:szCs w:val="24"/>
        </w:rPr>
        <w:lastRenderedPageBreak/>
        <w:t>prokaryotic sequencing</w:t>
      </w:r>
      <w:r w:rsidR="005F0BD4" w:rsidRPr="00CB6F3B">
        <w:rPr>
          <w:rFonts w:ascii="Times New Roman" w:hAnsi="Times New Roman" w:cs="Times New Roman"/>
          <w:sz w:val="24"/>
          <w:szCs w:val="24"/>
        </w:rPr>
        <w:t xml:space="preserve"> (e.g., the Earth Microbiome Project’s protocols </w:t>
      </w:r>
      <w:r w:rsidR="005F0BD4" w:rsidRPr="00CB6F3B">
        <w:rPr>
          <w:rFonts w:ascii="Times New Roman" w:hAnsi="Times New Roman" w:cs="Times New Roman"/>
          <w:sz w:val="24"/>
          <w:szCs w:val="24"/>
        </w:rPr>
        <w:fldChar w:fldCharType="begin" w:fldLock="1"/>
      </w:r>
      <w:r w:rsidR="008923CD" w:rsidRPr="00CB6F3B">
        <w:rPr>
          <w:rFonts w:ascii="Times New Roman" w:hAnsi="Times New Roman" w:cs="Times New Roman"/>
          <w:sz w:val="24"/>
          <w:szCs w:val="24"/>
        </w:rPr>
        <w:instrText>ADDIN CSL_CITATION {"citationItems":[{"id":"ITEM-1","itemData":{"author":[{"dropping-particle":"","family":"Thompson","given":"Luke R","non-dropping-particle":"","parse-names":false,"suffix":""},{"dropping-particle":"","family":"Sanders","given":"Jon G","non-dropping-particle":"","parse-names":false,"suffix":""},{"dropping-particle":"","family":"McDonald","given":"Daniel","non-dropping-particle":"","parse-names":false,"suffix":""},{"dropping-particle":"","family":"Amir","given":"Amnon","non-dropping-particle":"","parse-names":false,"suffix":""},{"dropping-particle":"","family":"Ladau","given":"Joshua","non-dropping-particle":"","parse-names":false,"suffix":""},{"dropping-particle":"","family":"Locey","given":"Kenneth J","non-dropping-particle":"","parse-names":false,"suffix":""},{"dropping-particle":"","family":"Prill","given":"Robert J","non-dropping-particle":"","parse-names":false,"suffix":""},{"dropping-particle":"","family":"Tripathi","given":"Anupriya","non-dropping-particle":"","parse-names":false,"suffix":""},{"dropping-particle":"","family":"Gibbons","given":"Sean M","non-dropping-particle":"","parse-names":false,"suffix":""},{"dropping-particle":"","family":"Ackermann","given":"Gail","non-dropping-particle":"","parse-names":false,"suffix":""},{"dropping-particle":"","family":"Navas-Molina","given":"Jose A","non-dropping-particle":"","parse-names":false,"suffix":""},{"dropping-particle":"","family":"Janssen","given":"Stefan","non-dropping-particle":"","parse-names":false,"suffix":""},{"dropping-particle":"","family":"Kopylova","given":"Evguenia","non-dropping-particle":"","parse-names":false,"suffix":""},{"dropping-particle":"","family":"Vázquez-Baeza","given":"Yoshiki","non-dropping-particle":"","parse-names":false,"suffix":""},{"dropping-particle":"","family":"González","given":"Antonio","non-dropping-particle":"","parse-names":false,"suffix":""},{"dropping-particle":"","family":"Morton","given":"James T","non-dropping-particle":"","parse-names":false,"suffix":""},{"dropping-particle":"","family":"Mirarab","given":"Siavash","non-dropping-particle":"","parse-names":false,"suffix":""},{"dropping-particle":"","family":"Zech Xu","given":"Zhenjiang","non-dropping-particle":"","parse-names":false,"suffix":""},{"dropping-particle":"","family":"Jiang","given":"Lingjing","non-dropping-particle":"","parse-names":false,"suffix":""},{"dropping-particle":"","family":"Haroon","given":"Mohamed F","non-dropping-particle":"","parse-names":false,"suffix":""},{"dropping-particle":"","family":"Kanbar","given":"Jad","non-dropping-particle":"","parse-names":false,"suffix":""},{"dropping-particle":"","family":"Zhu","given":"Qiyun","non-dropping-particle":"","parse-names":false,"suffix":""},{"dropping-particle":"","family":"Jin Song","given":"Se","non-dropping-particle":"","parse-names":false,"suffix":""},{"dropping-particle":"","family":"Kosciolek","given":"Tomasz","non-dropping-particle":"","parse-names":false,"suffix":""},{"dropping-particle":"","family":"Bokulich","given":"Nicholas A","non-dropping-particle":"","parse-names":false,"suffix":""},{"dropping-particle":"","family":"Lefler","given":"Joshua","non-dropping-particle":"","parse-names":false,"suffix":""},{"dropping-particle":"","family":"Brislawn","given":"Colin J","non-dropping-particle":"","parse-names":false,"suffix":""},{"dropping-particle":"","family":"Humphrey","given":"Gregory","non-dropping-particle":"","parse-names":false,"suffix":""},{"dropping-particle":"","family":"Owens","given":"Sarah M","non-dropping-particle":"","parse-names":false,"suffix":""},{"dropping-particle":"","family":"Hampton-Marcell","given":"Jarrad","non-dropping-particle":"","parse-names":false,"suffix":""},{"dropping-particle":"","family":"Berg-Lyons","given":"Donna","non-dropping-particle":"","parse-names":false,"suffix":""},{"dropping-particle":"","family":"McKenzie","given":"Valerie","non-dropping-particle":"","parse-names":false,"suffix":""},{"dropping-particle":"","family":"Fierer","given":"Noah","non-dropping-particle":"","parse-names":false,"suffix":""},{"dropping-particle":"","family":"Fuhrman","given":"Jed A","non-dropping-particle":"","parse-names":false,"suffix":""},{"dropping-particle":"","family":"Clauset","given":"Aaron","non-dropping-particle":"","parse-names":false,"suffix":""},{"dropping-particle":"","family":"Stevens","given":"Rick L","non-dropping-particle":"","parse-names":false,"suffix":""},{"dropping-particle":"","family":"Shade","given":"Ashley","non-dropping-particle":"","parse-names":false,"suffix":""},{"dropping-particle":"","family":"Pollard","given":"Katherine S","non-dropping-particle":"","parse-names":false,"suffix":""},{"dropping-particle":"","family":"Goodwin","given":"Kelly D","non-dropping-particle":"","parse-names":false,"suffix":""},{"dropping-particle":"","family":"Jansson","given":"Janet K","non-dropping-particle":"","parse-names":false,"suffix":""},{"dropping-particle":"","family":"Gilbert","given":"Jack A","non-dropping-particle":"","parse-names":false,"suffix":""},{"dropping-particle":"","family":"Knight","given":"Rob","non-dropping-particle":"","parse-names":false,"suffix":""},{"dropping-particle":"","family":"Consortium","given":"The Earth Microbiome Project","non-dropping-particle":"","parse-names":false,"suffix":""}],"container-title":"Nature","id":"ITEM-1","issued":{"date-parts":[["2017","11","1"]]},"publisher":"The Author(s)","title":"A communal catalogue reveals Earth’s multiscale microbial diversity","type":"article-journal"},"uris":["http://www.mendeley.com/documents/?uuid=476f49f9-b2a0-4c28-8512-0f9e05373614"]}],"mendeley":{"formattedCitation":"[1]","plainTextFormattedCitation":"[1]","previouslyFormattedCitation":"[1]"},"properties":{"noteIndex":0},"schema":"https://github.com/citation-style-language/schema/raw/master/csl-citation.json"}</w:instrText>
      </w:r>
      <w:r w:rsidR="005F0BD4" w:rsidRPr="00CB6F3B">
        <w:rPr>
          <w:rFonts w:ascii="Times New Roman" w:hAnsi="Times New Roman" w:cs="Times New Roman"/>
          <w:sz w:val="24"/>
          <w:szCs w:val="24"/>
        </w:rPr>
        <w:fldChar w:fldCharType="separate"/>
      </w:r>
      <w:r w:rsidR="005446D7" w:rsidRPr="00CB6F3B">
        <w:rPr>
          <w:rFonts w:ascii="Times New Roman" w:hAnsi="Times New Roman" w:cs="Times New Roman"/>
          <w:noProof/>
          <w:sz w:val="24"/>
          <w:szCs w:val="24"/>
        </w:rPr>
        <w:t>[1]</w:t>
      </w:r>
      <w:r w:rsidR="005F0BD4" w:rsidRPr="00CB6F3B">
        <w:rPr>
          <w:rFonts w:ascii="Times New Roman" w:hAnsi="Times New Roman" w:cs="Times New Roman"/>
          <w:sz w:val="24"/>
          <w:szCs w:val="24"/>
        </w:rPr>
        <w:fldChar w:fldCharType="end"/>
      </w:r>
      <w:r w:rsidR="0011332F" w:rsidRPr="00CB6F3B">
        <w:rPr>
          <w:rFonts w:ascii="Times New Roman" w:hAnsi="Times New Roman" w:cs="Times New Roman"/>
          <w:sz w:val="24"/>
          <w:szCs w:val="24"/>
        </w:rPr>
        <w:t>)</w:t>
      </w:r>
      <w:r w:rsidR="001D1B44" w:rsidRPr="00CB6F3B">
        <w:rPr>
          <w:rFonts w:ascii="Times New Roman" w:hAnsi="Times New Roman" w:cs="Times New Roman"/>
          <w:sz w:val="24"/>
          <w:szCs w:val="24"/>
        </w:rPr>
        <w:t xml:space="preserve">, despite the much wider range of body sizes </w:t>
      </w:r>
      <w:r w:rsidR="004F383C" w:rsidRPr="00CB6F3B">
        <w:rPr>
          <w:rFonts w:ascii="Times New Roman" w:hAnsi="Times New Roman" w:cs="Times New Roman"/>
          <w:sz w:val="24"/>
          <w:szCs w:val="24"/>
        </w:rPr>
        <w:t>in</w:t>
      </w:r>
      <w:r w:rsidR="001D1B44" w:rsidRPr="00CB6F3B">
        <w:rPr>
          <w:rFonts w:ascii="Times New Roman" w:hAnsi="Times New Roman" w:cs="Times New Roman"/>
          <w:sz w:val="24"/>
          <w:szCs w:val="24"/>
        </w:rPr>
        <w:t xml:space="preserve"> soil eukaryotes (Figure 1). Sieving </w:t>
      </w:r>
      <w:r w:rsidR="00AA6A84" w:rsidRPr="00CB6F3B">
        <w:rPr>
          <w:rFonts w:ascii="Times New Roman" w:hAnsi="Times New Roman" w:cs="Times New Roman"/>
          <w:sz w:val="24"/>
          <w:szCs w:val="24"/>
        </w:rPr>
        <w:t xml:space="preserve">(e.g., </w:t>
      </w:r>
      <w:r w:rsidR="001D1B44" w:rsidRPr="00CB6F3B">
        <w:rPr>
          <w:rFonts w:ascii="Times New Roman" w:hAnsi="Times New Roman" w:cs="Times New Roman"/>
          <w:sz w:val="24"/>
          <w:szCs w:val="24"/>
        </w:rPr>
        <w:t>2-</w:t>
      </w:r>
      <w:r w:rsidR="00AA6A84" w:rsidRPr="00CB6F3B">
        <w:rPr>
          <w:rFonts w:ascii="Times New Roman" w:hAnsi="Times New Roman" w:cs="Times New Roman"/>
          <w:sz w:val="24"/>
          <w:szCs w:val="24"/>
        </w:rPr>
        <w:t>4</w:t>
      </w:r>
      <w:r w:rsidR="001D1B44" w:rsidRPr="00CB6F3B">
        <w:rPr>
          <w:rFonts w:ascii="Times New Roman" w:hAnsi="Times New Roman" w:cs="Times New Roman"/>
          <w:sz w:val="24"/>
          <w:szCs w:val="24"/>
        </w:rPr>
        <w:t>mm</w:t>
      </w:r>
      <w:r w:rsidR="002D7793" w:rsidRPr="00CB6F3B">
        <w:rPr>
          <w:rFonts w:ascii="Times New Roman" w:hAnsi="Times New Roman" w:cs="Times New Roman"/>
          <w:sz w:val="24"/>
          <w:szCs w:val="24"/>
        </w:rPr>
        <w:t xml:space="preserve"> mesh</w:t>
      </w:r>
      <w:r w:rsidR="00AA6A84" w:rsidRPr="00CB6F3B">
        <w:rPr>
          <w:rFonts w:ascii="Times New Roman" w:hAnsi="Times New Roman" w:cs="Times New Roman"/>
          <w:sz w:val="24"/>
          <w:szCs w:val="24"/>
        </w:rPr>
        <w:t>)</w:t>
      </w:r>
      <w:r w:rsidR="001D1B44" w:rsidRPr="00CB6F3B">
        <w:rPr>
          <w:rFonts w:ascii="Times New Roman" w:hAnsi="Times New Roman" w:cs="Times New Roman"/>
          <w:sz w:val="24"/>
          <w:szCs w:val="24"/>
        </w:rPr>
        <w:t xml:space="preserve"> is often suggested to homogenize multiple soil cores</w:t>
      </w:r>
      <w:r w:rsidR="00B23F4D" w:rsidRPr="00CB6F3B">
        <w:rPr>
          <w:rFonts w:ascii="Times New Roman" w:hAnsi="Times New Roman" w:cs="Times New Roman"/>
          <w:sz w:val="24"/>
          <w:szCs w:val="24"/>
        </w:rPr>
        <w:t>,</w:t>
      </w:r>
      <w:r w:rsidR="001D1B44" w:rsidRPr="00CB6F3B">
        <w:rPr>
          <w:rFonts w:ascii="Times New Roman" w:hAnsi="Times New Roman" w:cs="Times New Roman"/>
          <w:sz w:val="24"/>
          <w:szCs w:val="24"/>
        </w:rPr>
        <w:t xml:space="preserve"> however </w:t>
      </w:r>
      <w:r w:rsidR="00AA6A84" w:rsidRPr="00CB6F3B">
        <w:rPr>
          <w:rFonts w:ascii="Times New Roman" w:hAnsi="Times New Roman" w:cs="Times New Roman"/>
          <w:sz w:val="24"/>
          <w:szCs w:val="24"/>
        </w:rPr>
        <w:t xml:space="preserve">eukaryotes </w:t>
      </w:r>
      <w:r w:rsidR="001D1B44" w:rsidRPr="00CB6F3B">
        <w:rPr>
          <w:rFonts w:ascii="Times New Roman" w:hAnsi="Times New Roman" w:cs="Times New Roman"/>
          <w:sz w:val="24"/>
          <w:szCs w:val="24"/>
        </w:rPr>
        <w:t xml:space="preserve">are often larger than the sieve size, artificially reducing estimates of soil eukaryote diversity. The </w:t>
      </w:r>
      <w:r w:rsidR="005F0BD4" w:rsidRPr="00CB6F3B">
        <w:rPr>
          <w:rFonts w:ascii="Times New Roman" w:hAnsi="Times New Roman" w:cs="Times New Roman"/>
          <w:sz w:val="24"/>
          <w:szCs w:val="24"/>
        </w:rPr>
        <w:t>suggested</w:t>
      </w:r>
      <w:r w:rsidR="001D1B44" w:rsidRPr="00CB6F3B">
        <w:rPr>
          <w:rFonts w:ascii="Times New Roman" w:hAnsi="Times New Roman" w:cs="Times New Roman"/>
          <w:sz w:val="24"/>
          <w:szCs w:val="24"/>
        </w:rPr>
        <w:t xml:space="preserve"> mass of the </w:t>
      </w:r>
      <w:r w:rsidR="005F0BD4" w:rsidRPr="00CB6F3B">
        <w:rPr>
          <w:rFonts w:ascii="Times New Roman" w:hAnsi="Times New Roman" w:cs="Times New Roman"/>
          <w:sz w:val="24"/>
          <w:szCs w:val="24"/>
        </w:rPr>
        <w:t xml:space="preserve">soil </w:t>
      </w:r>
      <w:r w:rsidR="001D1B44" w:rsidRPr="00CB6F3B">
        <w:rPr>
          <w:rFonts w:ascii="Times New Roman" w:hAnsi="Times New Roman" w:cs="Times New Roman"/>
          <w:sz w:val="24"/>
          <w:szCs w:val="24"/>
        </w:rPr>
        <w:t>sample</w:t>
      </w:r>
      <w:r w:rsidR="005F0BD4" w:rsidRPr="00CB6F3B">
        <w:rPr>
          <w:rFonts w:ascii="Times New Roman" w:hAnsi="Times New Roman" w:cs="Times New Roman"/>
          <w:sz w:val="24"/>
          <w:szCs w:val="24"/>
        </w:rPr>
        <w:t xml:space="preserve"> </w:t>
      </w:r>
      <w:r w:rsidR="001D1B44" w:rsidRPr="00CB6F3B">
        <w:rPr>
          <w:rFonts w:ascii="Times New Roman" w:hAnsi="Times New Roman" w:cs="Times New Roman"/>
          <w:sz w:val="24"/>
          <w:szCs w:val="24"/>
        </w:rPr>
        <w:t>(</w:t>
      </w:r>
      <w:r w:rsidR="005F0BD4" w:rsidRPr="00CB6F3B">
        <w:rPr>
          <w:rFonts w:ascii="Times New Roman" w:hAnsi="Times New Roman" w:cs="Times New Roman"/>
          <w:sz w:val="24"/>
          <w:szCs w:val="24"/>
        </w:rPr>
        <w:t xml:space="preserve">less than 1 </w:t>
      </w:r>
      <w:r w:rsidR="001D1B44" w:rsidRPr="00CB6F3B">
        <w:rPr>
          <w:rFonts w:ascii="Times New Roman" w:hAnsi="Times New Roman" w:cs="Times New Roman"/>
          <w:sz w:val="24"/>
          <w:szCs w:val="24"/>
        </w:rPr>
        <w:t xml:space="preserve">g in most commercial DNA extraction kits) is also much smaller than that traditionally </w:t>
      </w:r>
      <w:r w:rsidR="00290520" w:rsidRPr="00CB6F3B">
        <w:rPr>
          <w:rFonts w:ascii="Times New Roman" w:hAnsi="Times New Roman" w:cs="Times New Roman"/>
          <w:sz w:val="24"/>
          <w:szCs w:val="24"/>
        </w:rPr>
        <w:t>used in taxonomic assessments</w:t>
      </w:r>
      <w:r w:rsidR="001D1B44" w:rsidRPr="00CB6F3B">
        <w:rPr>
          <w:rFonts w:ascii="Times New Roman" w:hAnsi="Times New Roman" w:cs="Times New Roman"/>
          <w:sz w:val="24"/>
          <w:szCs w:val="24"/>
        </w:rPr>
        <w:t xml:space="preserve"> of soil fauna</w:t>
      </w:r>
      <w:r w:rsidR="00290520" w:rsidRPr="00CB6F3B">
        <w:rPr>
          <w:rFonts w:ascii="Times New Roman" w:hAnsi="Times New Roman" w:cs="Times New Roman"/>
          <w:sz w:val="24"/>
          <w:szCs w:val="24"/>
        </w:rPr>
        <w:t xml:space="preserve">, </w:t>
      </w:r>
      <w:r w:rsidR="001D1B44" w:rsidRPr="00CB6F3B">
        <w:rPr>
          <w:rFonts w:ascii="Times New Roman" w:hAnsi="Times New Roman" w:cs="Times New Roman"/>
          <w:sz w:val="24"/>
          <w:szCs w:val="24"/>
        </w:rPr>
        <w:t>and this</w:t>
      </w:r>
      <w:r w:rsidR="00290520" w:rsidRPr="00CB6F3B">
        <w:rPr>
          <w:rFonts w:ascii="Times New Roman" w:hAnsi="Times New Roman" w:cs="Times New Roman"/>
          <w:sz w:val="24"/>
          <w:szCs w:val="24"/>
        </w:rPr>
        <w:t xml:space="preserve"> may result in </w:t>
      </w:r>
      <w:r w:rsidR="0011332F" w:rsidRPr="00CB6F3B">
        <w:rPr>
          <w:rFonts w:ascii="Times New Roman" w:hAnsi="Times New Roman" w:cs="Times New Roman"/>
          <w:sz w:val="24"/>
          <w:szCs w:val="24"/>
        </w:rPr>
        <w:t xml:space="preserve">estimates of diversity that are lower and have higher </w:t>
      </w:r>
      <w:r w:rsidR="001D1B44" w:rsidRPr="00CB6F3B">
        <w:rPr>
          <w:rFonts w:ascii="Times New Roman" w:hAnsi="Times New Roman" w:cs="Times New Roman"/>
          <w:sz w:val="24"/>
          <w:szCs w:val="24"/>
        </w:rPr>
        <w:t>between-replicate variability</w:t>
      </w:r>
      <w:r w:rsidR="0011332F" w:rsidRPr="00CB6F3B">
        <w:rPr>
          <w:rFonts w:ascii="Times New Roman" w:hAnsi="Times New Roman" w:cs="Times New Roman"/>
          <w:sz w:val="24"/>
          <w:szCs w:val="24"/>
        </w:rPr>
        <w:t xml:space="preserve"> (e.g.,</w:t>
      </w:r>
      <w:r w:rsidR="001D1B44" w:rsidRPr="00CB6F3B">
        <w:rPr>
          <w:rFonts w:ascii="Times New Roman" w:hAnsi="Times New Roman" w:cs="Times New Roman"/>
          <w:sz w:val="24"/>
          <w:szCs w:val="24"/>
        </w:rPr>
        <w:t xml:space="preserve"> </w:t>
      </w:r>
      <w:r w:rsidR="004F383C" w:rsidRPr="00CB6F3B">
        <w:rPr>
          <w:rFonts w:ascii="Times New Roman" w:hAnsi="Times New Roman" w:cs="Times New Roman"/>
          <w:sz w:val="24"/>
          <w:szCs w:val="24"/>
        </w:rPr>
        <w:t>in</w:t>
      </w:r>
      <w:r w:rsidR="001D1B44" w:rsidRPr="00CB6F3B">
        <w:rPr>
          <w:rFonts w:ascii="Times New Roman" w:hAnsi="Times New Roman" w:cs="Times New Roman"/>
          <w:sz w:val="24"/>
          <w:szCs w:val="24"/>
        </w:rPr>
        <w:t xml:space="preserve"> nematodes </w:t>
      </w:r>
      <w:r w:rsidR="001D1B44"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10.1016/j.soilbio.2014.09.026","ISSN":"0038-0717","author":[{"dropping-particle":"","family":"Wiesel","given":"Lea","non-dropping-particle":"","parse-names":false,"suffix":""},{"dropping-particle":"","family":"Daniell","given":"Tim J","non-dropping-particle":"","parse-names":false,"suffix":""},{"dropping-particle":"","family":"King","given":"Dale","non-dropping-particle":"","parse-names":false,"suffix":""},{"dropping-particle":"","family":"Neilson","given":"Roy","non-dropping-particle":"","parse-names":false,"suffix":""}],"container-title":"Soil Biology and Biochemistry","id":"ITEM-1","issue":"October","issued":{"date-parts":[["2014"]]},"page":"9-11","publisher":"Elsevier Ltd","title":"Determination of the optimal soil sample size to accurately characterise nematode communities in soil","type":"article-journal"},"uris":["http://www.mendeley.com/documents/?uuid=da3b3596-6de7-49fb-8efb-0b9a64caa2b0"]}],"mendeley":{"formattedCitation":"[46]","plainTextFormattedCitation":"[46]","previouslyFormattedCitation":"[46]"},"properties":{"noteIndex":0},"schema":"https://github.com/citation-style-language/schema/raw/master/csl-citation.json"}</w:instrText>
      </w:r>
      <w:r w:rsidR="001D1B44" w:rsidRPr="00CB6F3B">
        <w:rPr>
          <w:rFonts w:ascii="Times New Roman" w:hAnsi="Times New Roman" w:cs="Times New Roman"/>
          <w:sz w:val="24"/>
          <w:szCs w:val="24"/>
        </w:rPr>
        <w:fldChar w:fldCharType="separate"/>
      </w:r>
      <w:r w:rsidR="0041205F" w:rsidRPr="00CB6F3B">
        <w:rPr>
          <w:rFonts w:ascii="Times New Roman" w:hAnsi="Times New Roman" w:cs="Times New Roman"/>
          <w:noProof/>
          <w:sz w:val="24"/>
          <w:szCs w:val="24"/>
        </w:rPr>
        <w:t>[46]</w:t>
      </w:r>
      <w:r w:rsidR="001D1B44" w:rsidRPr="00CB6F3B">
        <w:rPr>
          <w:rFonts w:ascii="Times New Roman" w:hAnsi="Times New Roman" w:cs="Times New Roman"/>
          <w:sz w:val="24"/>
          <w:szCs w:val="24"/>
        </w:rPr>
        <w:fldChar w:fldCharType="end"/>
      </w:r>
      <w:r w:rsidR="0011332F" w:rsidRPr="00CB6F3B">
        <w:rPr>
          <w:rFonts w:ascii="Times New Roman" w:hAnsi="Times New Roman" w:cs="Times New Roman"/>
          <w:sz w:val="24"/>
          <w:szCs w:val="24"/>
        </w:rPr>
        <w:t>)</w:t>
      </w:r>
      <w:r w:rsidR="00290520" w:rsidRPr="00CB6F3B">
        <w:rPr>
          <w:rFonts w:ascii="Times New Roman" w:hAnsi="Times New Roman" w:cs="Times New Roman"/>
          <w:sz w:val="24"/>
          <w:szCs w:val="24"/>
        </w:rPr>
        <w:t xml:space="preserve">. </w:t>
      </w:r>
      <w:r w:rsidR="00B170D1" w:rsidRPr="00CB6F3B">
        <w:rPr>
          <w:rFonts w:ascii="Times New Roman" w:hAnsi="Times New Roman" w:cs="Times New Roman"/>
          <w:sz w:val="24"/>
          <w:szCs w:val="24"/>
        </w:rPr>
        <w:t xml:space="preserve">Additionally, estimates of diversity are also </w:t>
      </w:r>
      <w:r w:rsidR="00AB1332" w:rsidRPr="00CB6F3B">
        <w:rPr>
          <w:rFonts w:ascii="Times New Roman" w:hAnsi="Times New Roman" w:cs="Times New Roman"/>
          <w:sz w:val="24"/>
          <w:szCs w:val="24"/>
        </w:rPr>
        <w:t xml:space="preserve">influenced by </w:t>
      </w:r>
      <w:r w:rsidR="00F65D2A" w:rsidRPr="00CB6F3B">
        <w:rPr>
          <w:rFonts w:ascii="Times New Roman" w:hAnsi="Times New Roman" w:cs="Times New Roman"/>
          <w:sz w:val="24"/>
          <w:szCs w:val="24"/>
        </w:rPr>
        <w:t>the use of commercial DNA extraction kits or established protocols for manual extraction</w:t>
      </w:r>
      <w:r w:rsidR="00435522" w:rsidRPr="00CB6F3B">
        <w:rPr>
          <w:rFonts w:ascii="Times New Roman" w:hAnsi="Times New Roman" w:cs="Times New Roman"/>
          <w:sz w:val="24"/>
          <w:szCs w:val="24"/>
        </w:rPr>
        <w:t xml:space="preserve"> </w:t>
      </w:r>
      <w:r w:rsidR="00435522" w:rsidRPr="00CB6F3B">
        <w:rPr>
          <w:rFonts w:ascii="Times New Roman" w:eastAsia="Times New Roman" w:hAnsi="Times New Roman" w:cs="Times New Roman"/>
          <w:sz w:val="24"/>
          <w:szCs w:val="24"/>
        </w:rPr>
        <w:fldChar w:fldCharType="begin" w:fldLock="1"/>
      </w:r>
      <w:r w:rsidR="0041205F" w:rsidRPr="00CB6F3B">
        <w:rPr>
          <w:rFonts w:ascii="Times New Roman" w:eastAsia="Times New Roman" w:hAnsi="Times New Roman" w:cs="Times New Roman"/>
          <w:sz w:val="24"/>
          <w:szCs w:val="24"/>
        </w:rPr>
        <w:instrText>ADDIN CSL_CITATION {"citationItems":[{"id":"ITEM-1","itemData":{"DOI":"10.1016/j.protis.2017.03.002","ISSN":"1434-4610","author":[{"dropping-particle":"","family":"Santos","given":"Susana S","non-dropping-particle":"","parse-names":false,"suffix":""},{"dropping-particle":"","family":"Nunes","given":"Inês","non-dropping-particle":"","parse-names":false,"suffix":""},{"dropping-particle":"","family":"Nielsen","given":"Tue K","non-dropping-particle":"","parse-names":false,"suffix":""},{"dropping-particle":"","family":"Jacquiod","given":"Samuel","non-dropping-particle":"","parse-names":false,"suffix":""},{"dropping-particle":"","family":"Hansen","given":"Lars H","non-dropping-particle":"","parse-names":false,"suffix":""},{"dropping-particle":"","family":"Winding","given":"Anne","non-dropping-particle":"","parse-names":false,"suffix":""}],"container-title":"Annals of Anatomy","id":"ITEM-1","issue":"3","issued":{"date-parts":[["2017"]]},"page":"283-293","publisher":"Elsevier GmbH.","title":"Soil DNA Extraction Procedure Influences Protist 18S rRNA Gene Community Profiling Outcome","type":"article-journal","volume":"168"},"uris":["http://www.mendeley.com/documents/?uuid=4cad664f-60c3-42ea-ba9a-d2453d98e265"]}],"mendeley":{"formattedCitation":"[47]","plainTextFormattedCitation":"[47]","previouslyFormattedCitation":"[47]"},"properties":{"noteIndex":0},"schema":"https://github.com/citation-style-language/schema/raw/master/csl-citation.json"}</w:instrText>
      </w:r>
      <w:r w:rsidR="00435522" w:rsidRPr="00CB6F3B">
        <w:rPr>
          <w:rFonts w:ascii="Times New Roman" w:eastAsia="Times New Roman" w:hAnsi="Times New Roman" w:cs="Times New Roman"/>
          <w:sz w:val="24"/>
          <w:szCs w:val="24"/>
        </w:rPr>
        <w:fldChar w:fldCharType="separate"/>
      </w:r>
      <w:r w:rsidR="0041205F" w:rsidRPr="00CB6F3B">
        <w:rPr>
          <w:rFonts w:ascii="Times New Roman" w:eastAsia="Times New Roman" w:hAnsi="Times New Roman" w:cs="Times New Roman"/>
          <w:noProof/>
          <w:sz w:val="24"/>
          <w:szCs w:val="24"/>
        </w:rPr>
        <w:t>[47]</w:t>
      </w:r>
      <w:r w:rsidR="00435522" w:rsidRPr="00CB6F3B">
        <w:rPr>
          <w:rFonts w:ascii="Times New Roman" w:eastAsia="Times New Roman" w:hAnsi="Times New Roman" w:cs="Times New Roman"/>
          <w:sz w:val="24"/>
          <w:szCs w:val="24"/>
        </w:rPr>
        <w:fldChar w:fldCharType="end"/>
      </w:r>
      <w:r w:rsidR="00431531" w:rsidRPr="00CB6F3B">
        <w:rPr>
          <w:rFonts w:ascii="Times New Roman" w:eastAsia="Times New Roman" w:hAnsi="Times New Roman" w:cs="Times New Roman"/>
          <w:sz w:val="24"/>
          <w:szCs w:val="24"/>
        </w:rPr>
        <w:t>.</w:t>
      </w:r>
    </w:p>
    <w:p w14:paraId="0E777ECC" w14:textId="0C6F3681" w:rsidR="009B295B" w:rsidRPr="00CB6F3B" w:rsidRDefault="009C1236" w:rsidP="00EF08AE">
      <w:pPr>
        <w:pStyle w:val="ListParagraph"/>
        <w:numPr>
          <w:ilvl w:val="0"/>
          <w:numId w:val="19"/>
        </w:numPr>
        <w:spacing w:line="480" w:lineRule="auto"/>
        <w:rPr>
          <w:rFonts w:ascii="Times New Roman" w:hAnsi="Times New Roman" w:cs="Times New Roman"/>
          <w:b/>
          <w:sz w:val="24"/>
          <w:szCs w:val="24"/>
        </w:rPr>
      </w:pPr>
      <w:r w:rsidRPr="00CB6F3B">
        <w:rPr>
          <w:rFonts w:ascii="Times New Roman" w:hAnsi="Times New Roman" w:cs="Times New Roman"/>
          <w:b/>
          <w:sz w:val="24"/>
          <w:szCs w:val="24"/>
        </w:rPr>
        <w:t>SOLUTIONS</w:t>
      </w:r>
    </w:p>
    <w:p w14:paraId="10E6DF5B" w14:textId="2001B692" w:rsidR="00192DBA" w:rsidRPr="00CB6F3B" w:rsidRDefault="51C3348D" w:rsidP="003E420F">
      <w:pPr>
        <w:spacing w:line="480" w:lineRule="auto"/>
        <w:rPr>
          <w:rFonts w:ascii="Times New Roman" w:hAnsi="Times New Roman" w:cs="Times New Roman"/>
          <w:sz w:val="24"/>
          <w:szCs w:val="24"/>
        </w:rPr>
      </w:pPr>
      <w:r w:rsidRPr="00CB6F3B">
        <w:rPr>
          <w:rFonts w:ascii="Times New Roman" w:hAnsi="Times New Roman" w:cs="Times New Roman"/>
          <w:sz w:val="24"/>
          <w:szCs w:val="24"/>
        </w:rPr>
        <w:t xml:space="preserve">Despite the long list of biases </w:t>
      </w:r>
      <w:r w:rsidR="00AB1332" w:rsidRPr="00CB6F3B">
        <w:rPr>
          <w:rFonts w:ascii="Times New Roman" w:hAnsi="Times New Roman" w:cs="Times New Roman"/>
          <w:sz w:val="24"/>
          <w:szCs w:val="24"/>
        </w:rPr>
        <w:t xml:space="preserve">inherent to </w:t>
      </w:r>
      <w:r w:rsidRPr="00CB6F3B">
        <w:rPr>
          <w:rFonts w:ascii="Times New Roman" w:hAnsi="Times New Roman" w:cs="Times New Roman"/>
          <w:sz w:val="24"/>
          <w:szCs w:val="24"/>
        </w:rPr>
        <w:t xml:space="preserve">eukaryotic amplicon sequencing, certain precautions </w:t>
      </w:r>
      <w:r w:rsidR="0088706C" w:rsidRPr="00CB6F3B">
        <w:rPr>
          <w:rFonts w:ascii="Times New Roman" w:hAnsi="Times New Roman" w:cs="Times New Roman"/>
          <w:sz w:val="24"/>
          <w:szCs w:val="24"/>
        </w:rPr>
        <w:t xml:space="preserve">can be </w:t>
      </w:r>
      <w:r w:rsidRPr="00CB6F3B">
        <w:rPr>
          <w:rFonts w:ascii="Times New Roman" w:hAnsi="Times New Roman" w:cs="Times New Roman"/>
          <w:sz w:val="24"/>
          <w:szCs w:val="24"/>
        </w:rPr>
        <w:t>taken</w:t>
      </w:r>
      <w:r w:rsidR="006E7805" w:rsidRPr="00CB6F3B">
        <w:rPr>
          <w:rFonts w:ascii="Times New Roman" w:hAnsi="Times New Roman" w:cs="Times New Roman"/>
          <w:sz w:val="24"/>
          <w:szCs w:val="24"/>
        </w:rPr>
        <w:t xml:space="preserve"> to mitigate the impacts of these biases in ecological studies</w:t>
      </w:r>
      <w:r w:rsidRPr="00CB6F3B">
        <w:rPr>
          <w:rFonts w:ascii="Times New Roman" w:hAnsi="Times New Roman" w:cs="Times New Roman"/>
          <w:sz w:val="24"/>
          <w:szCs w:val="24"/>
        </w:rPr>
        <w:t xml:space="preserve">. </w:t>
      </w:r>
      <w:r w:rsidR="004F383C" w:rsidRPr="00CB6F3B">
        <w:rPr>
          <w:rFonts w:ascii="Times New Roman" w:hAnsi="Times New Roman" w:cs="Times New Roman"/>
          <w:sz w:val="24"/>
          <w:szCs w:val="24"/>
        </w:rPr>
        <w:t>W</w:t>
      </w:r>
      <w:r w:rsidRPr="00CB6F3B">
        <w:rPr>
          <w:rFonts w:ascii="Times New Roman" w:hAnsi="Times New Roman" w:cs="Times New Roman"/>
          <w:sz w:val="24"/>
          <w:szCs w:val="24"/>
        </w:rPr>
        <w:t>e propose a three-step approach to using eukaryotic amplicon sequencing data to study soil communitie</w:t>
      </w:r>
      <w:r w:rsidR="002F0B04" w:rsidRPr="00CB6F3B">
        <w:rPr>
          <w:rFonts w:ascii="Times New Roman" w:hAnsi="Times New Roman" w:cs="Times New Roman"/>
          <w:sz w:val="24"/>
          <w:szCs w:val="24"/>
        </w:rPr>
        <w:t>s</w:t>
      </w:r>
      <w:r w:rsidRPr="00CB6F3B">
        <w:rPr>
          <w:rFonts w:ascii="Times New Roman" w:hAnsi="Times New Roman" w:cs="Times New Roman"/>
          <w:sz w:val="24"/>
          <w:szCs w:val="24"/>
        </w:rPr>
        <w:t xml:space="preserve">: </w:t>
      </w:r>
    </w:p>
    <w:p w14:paraId="7B8E6AEC" w14:textId="24F9BFBA" w:rsidR="00F20BE0" w:rsidRPr="00CB6F3B" w:rsidRDefault="00EF08AE" w:rsidP="003E420F">
      <w:pPr>
        <w:spacing w:line="480" w:lineRule="auto"/>
        <w:rPr>
          <w:rFonts w:ascii="Times New Roman" w:hAnsi="Times New Roman" w:cs="Times New Roman"/>
          <w:b/>
          <w:bCs/>
          <w:sz w:val="24"/>
          <w:szCs w:val="24"/>
        </w:rPr>
      </w:pPr>
      <w:r w:rsidRPr="00CB6F3B">
        <w:rPr>
          <w:rFonts w:ascii="Times New Roman" w:hAnsi="Times New Roman" w:cs="Times New Roman"/>
          <w:b/>
          <w:bCs/>
          <w:sz w:val="24"/>
          <w:szCs w:val="24"/>
        </w:rPr>
        <w:t>3.1</w:t>
      </w:r>
      <w:r w:rsidR="00192DBA" w:rsidRPr="00CB6F3B">
        <w:rPr>
          <w:rFonts w:ascii="Times New Roman" w:hAnsi="Times New Roman" w:cs="Times New Roman"/>
          <w:b/>
          <w:bCs/>
          <w:sz w:val="24"/>
          <w:szCs w:val="24"/>
        </w:rPr>
        <w:t xml:space="preserve"> Stratify analyses per </w:t>
      </w:r>
      <w:r w:rsidR="00F20BE0" w:rsidRPr="00CB6F3B">
        <w:rPr>
          <w:rFonts w:ascii="Times New Roman" w:hAnsi="Times New Roman" w:cs="Times New Roman"/>
          <w:b/>
          <w:bCs/>
          <w:sz w:val="24"/>
          <w:szCs w:val="24"/>
        </w:rPr>
        <w:t>phylum</w:t>
      </w:r>
    </w:p>
    <w:p w14:paraId="48B748CB" w14:textId="167AC2F3" w:rsidR="00A962C4" w:rsidRPr="00CB6F3B" w:rsidRDefault="000343C5" w:rsidP="003E420F">
      <w:pPr>
        <w:spacing w:line="480" w:lineRule="auto"/>
        <w:rPr>
          <w:rFonts w:ascii="Times New Roman" w:hAnsi="Times New Roman" w:cs="Times New Roman"/>
          <w:bCs/>
          <w:sz w:val="24"/>
          <w:szCs w:val="24"/>
        </w:rPr>
      </w:pPr>
      <w:bookmarkStart w:id="14" w:name="_Hlk49264681"/>
      <w:bookmarkStart w:id="15" w:name="_Hlk48725776"/>
      <w:r w:rsidRPr="00CB6F3B">
        <w:rPr>
          <w:rFonts w:ascii="Times New Roman" w:hAnsi="Times New Roman" w:cs="Times New Roman"/>
          <w:bCs/>
          <w:sz w:val="24"/>
          <w:szCs w:val="24"/>
        </w:rPr>
        <w:t xml:space="preserve">We advocate for the </w:t>
      </w:r>
      <w:r w:rsidR="007742AA" w:rsidRPr="00CB6F3B">
        <w:rPr>
          <w:rFonts w:ascii="Times New Roman" w:hAnsi="Times New Roman" w:cs="Times New Roman"/>
          <w:bCs/>
          <w:sz w:val="24"/>
          <w:szCs w:val="24"/>
        </w:rPr>
        <w:t xml:space="preserve">separation </w:t>
      </w:r>
      <w:r w:rsidRPr="00CB6F3B">
        <w:rPr>
          <w:rFonts w:ascii="Times New Roman" w:hAnsi="Times New Roman" w:cs="Times New Roman"/>
          <w:bCs/>
          <w:sz w:val="24"/>
          <w:szCs w:val="24"/>
        </w:rPr>
        <w:t xml:space="preserve">of eukaryotic amplicon sequencing data by phylum </w:t>
      </w:r>
      <w:r w:rsidR="007742AA" w:rsidRPr="00CB6F3B">
        <w:rPr>
          <w:rFonts w:ascii="Times New Roman" w:hAnsi="Times New Roman" w:cs="Times New Roman"/>
          <w:bCs/>
          <w:sz w:val="24"/>
          <w:szCs w:val="24"/>
        </w:rPr>
        <w:t xml:space="preserve">(heretofore stratification) </w:t>
      </w:r>
      <w:r w:rsidRPr="00CB6F3B">
        <w:rPr>
          <w:rFonts w:ascii="Times New Roman" w:hAnsi="Times New Roman" w:cs="Times New Roman"/>
          <w:bCs/>
          <w:sz w:val="24"/>
          <w:szCs w:val="24"/>
        </w:rPr>
        <w:t>as a way to deal with the vas</w:t>
      </w:r>
      <w:r w:rsidR="008D4B2A" w:rsidRPr="00CB6F3B">
        <w:rPr>
          <w:rFonts w:ascii="Times New Roman" w:hAnsi="Times New Roman" w:cs="Times New Roman"/>
          <w:bCs/>
          <w:sz w:val="24"/>
          <w:szCs w:val="24"/>
        </w:rPr>
        <w:t>t</w:t>
      </w:r>
      <w:r w:rsidRPr="00CB6F3B">
        <w:rPr>
          <w:rFonts w:ascii="Times New Roman" w:hAnsi="Times New Roman" w:cs="Times New Roman"/>
          <w:bCs/>
          <w:sz w:val="24"/>
          <w:szCs w:val="24"/>
        </w:rPr>
        <w:t xml:space="preserve"> diversity</w:t>
      </w:r>
      <w:r w:rsidR="00C601F0" w:rsidRPr="00CB6F3B">
        <w:rPr>
          <w:rFonts w:ascii="Times New Roman" w:hAnsi="Times New Roman" w:cs="Times New Roman"/>
          <w:bCs/>
          <w:sz w:val="24"/>
          <w:szCs w:val="24"/>
        </w:rPr>
        <w:t xml:space="preserve"> in soil fauna</w:t>
      </w:r>
      <w:r w:rsidR="002F0B04" w:rsidRPr="00CB6F3B">
        <w:rPr>
          <w:rFonts w:ascii="Times New Roman" w:hAnsi="Times New Roman" w:cs="Times New Roman"/>
          <w:bCs/>
          <w:sz w:val="24"/>
          <w:szCs w:val="24"/>
        </w:rPr>
        <w:t xml:space="preserve"> </w:t>
      </w:r>
      <w:r w:rsidR="002F0B04"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{"citationItems":[{"id":"ITEM-1","itemData":{"ISSN":"1466-822X","author":[{"dropping-particle":"","family":"Graham","given":"Catherine H","non-dropping-particle":"","parse-names":false,"suffix":""},{"dropping-particle":"","family":"Storch","given":"David","non-dropping-particle":"","parse-names":false,"suffix":""},{"dropping-particle":"","family":"Machac","given":"Antonin","non-dropping-particle":"","parse-names":false,"suffix":""}],"container-title":"Global Ecology and Biogeography","id":"ITEM-1","issue":"2","issued":{"date-parts":[["2018"]]},"page":"175-187","publisher":"Wiley Online Library","title":"Phylogenetic scale in ecology and evolution","type":"article-journal","volume":"27"},"uris":["http://www.mendeley.com/documents/?uuid=67cffc4d-ccae-4c86-8bc1-f0fe6cba7970"]}],"mendeley":{"formattedCitation":"[48]","plainTextFormattedCitation":"[48]","previouslyFormattedCitation":"[48]"},"properties":{"noteIndex":0},"schema":"https://github.com/citation-style-language/schema/raw/master/csl-citation.json"}</w:instrText>
      </w:r>
      <w:r w:rsidR="002F0B04" w:rsidRPr="00CB6F3B">
        <w:rPr>
          <w:rFonts w:ascii="Times New Roman" w:hAnsi="Times New Roman" w:cs="Times New Roman"/>
          <w:sz w:val="24"/>
          <w:szCs w:val="24"/>
        </w:rPr>
        <w:fldChar w:fldCharType="separate"/>
      </w:r>
      <w:r w:rsidR="0041205F" w:rsidRPr="00CB6F3B">
        <w:rPr>
          <w:rFonts w:ascii="Times New Roman" w:hAnsi="Times New Roman" w:cs="Times New Roman"/>
          <w:noProof/>
          <w:sz w:val="24"/>
          <w:szCs w:val="24"/>
        </w:rPr>
        <w:t>[48]</w:t>
      </w:r>
      <w:r w:rsidR="002F0B04" w:rsidRPr="00CB6F3B">
        <w:rPr>
          <w:rFonts w:ascii="Times New Roman" w:hAnsi="Times New Roman" w:cs="Times New Roman"/>
          <w:sz w:val="24"/>
          <w:szCs w:val="24"/>
        </w:rPr>
        <w:fldChar w:fldCharType="end"/>
      </w:r>
      <w:r w:rsidR="00AB4D96" w:rsidRPr="00CB6F3B">
        <w:rPr>
          <w:rFonts w:ascii="Times New Roman" w:hAnsi="Times New Roman" w:cs="Times New Roman"/>
          <w:sz w:val="24"/>
          <w:szCs w:val="24"/>
        </w:rPr>
        <w:t>, as traits conventionally used to stratify analyses may be unknown for sequenced taxa</w:t>
      </w:r>
      <w:r w:rsidRPr="00CB6F3B">
        <w:rPr>
          <w:rFonts w:ascii="Times New Roman" w:hAnsi="Times New Roman" w:cs="Times New Roman"/>
          <w:bCs/>
          <w:sz w:val="24"/>
          <w:szCs w:val="24"/>
        </w:rPr>
        <w:t>.</w:t>
      </w:r>
      <w:r w:rsidR="00972F32" w:rsidRPr="00CB6F3B">
        <w:rPr>
          <w:rFonts w:ascii="Times New Roman" w:hAnsi="Times New Roman" w:cs="Times New Roman"/>
          <w:bCs/>
          <w:sz w:val="24"/>
          <w:szCs w:val="24"/>
        </w:rPr>
        <w:t xml:space="preserve"> P</w:t>
      </w:r>
      <w:r w:rsidR="008D4B2A" w:rsidRPr="00CB6F3B">
        <w:rPr>
          <w:rFonts w:ascii="Times New Roman" w:hAnsi="Times New Roman" w:cs="Times New Roman"/>
          <w:bCs/>
          <w:sz w:val="24"/>
          <w:szCs w:val="24"/>
        </w:rPr>
        <w:t>hysiological traits</w:t>
      </w:r>
      <w:r w:rsidR="00D84AEB" w:rsidRPr="00CB6F3B">
        <w:rPr>
          <w:rFonts w:ascii="Times New Roman" w:hAnsi="Times New Roman" w:cs="Times New Roman"/>
          <w:bCs/>
          <w:sz w:val="24"/>
          <w:szCs w:val="24"/>
        </w:rPr>
        <w:t xml:space="preserve"> and the spatial scale at which different ecological processes affect the community (i.e., community assembly </w:t>
      </w:r>
      <w:r w:rsidR="00D84AEB" w:rsidRPr="00CB6F3B">
        <w:rPr>
          <w:rFonts w:ascii="Times New Roman" w:hAnsi="Times New Roman" w:cs="Times New Roman"/>
          <w:bCs/>
          <w:sz w:val="24"/>
          <w:szCs w:val="24"/>
        </w:rPr>
        <w:fldChar w:fldCharType="begin" w:fldLock="1"/>
      </w:r>
      <w:r w:rsidR="0041205F" w:rsidRPr="00CB6F3B">
        <w:rPr>
          <w:rFonts w:ascii="Times New Roman" w:hAnsi="Times New Roman" w:cs="Times New Roman"/>
          <w:bCs/>
          <w:sz w:val="24"/>
          <w:szCs w:val="24"/>
        </w:rPr>
        <w:instrText>ADDIN CSL_CITATION {"citationItems":[{"id":"ITEM-1","itemData":{"DOI":"10.1111/mec.14919","ISSN":"1365294X","abstract":"Tropical forests shelter an unparalleled biological diversity. The relative influence of environmental selection (i.e., abiotic conditions, biotic interactions) and stochastic–distance-dependent neutral processes (i.e., demography, dispersal) in shaping communities has been extensively studied for various organisms, but has rarely been explored across a large range of body sizes, in particular in soil environments. We built a detailed census of the whole soil biota in a 12-ha tropical forest plot using soil DNA metabarcoding. We show that the distribution of 19 taxonomic groups (ranging from microbes to mesofauna) is primarily stochastic, suggesting that neutral processes are prominent drivers of the assembly of these communities at this scale. We also identify aluminium, topography and plant species identity as weak, yet significant drivers of soil richness and community composition of bacteria, protists and to a lesser extent fungi. Finally, we show that body size, which determines the scale at which an organism perceives its environment, predicted the community assembly across taxonomic groups, with soil mesofauna assemblages being more stochastic than microbial ones. These results suggest that the relative contribution of neutral processes and environmental selection to community assembly directly depends on body size. Body size is hence an important determinant of community assembly rules at the scale of the ecological community in tropical soils and should be accounted for in spatial models of tropical soil food webs.","author":[{"dropping-particle":"","family":"Zinger","given":"Lucie","non-dropping-particle":"","parse-names":false,"suffix":""},{"dropping-particle":"","family":"Taberlet","given":"Pierre","non-dropping-particle":"","parse-names":false,"suffix":""},{"dropping-particle":"","family":"Schimann","given":"Heidy","non-dropping-particle":"","parse-names":false,"suffix":""},{"dropping-particle":"","family":"Bonin","given":"Aurélie","non-dropping-particle":"","parse-names":false,"suffix":""},{"dropping-particle":"","family":"Boyer","given":"Frédéric","non-dropping-particle":"","parse-names":false,"suffix":""},{"dropping-particle":"","family":"Barba","given":"Marta","non-dropping-particle":"De","parse-names":false,"suffix":""},{"dropping-particle":"","family":"Gaucher","given":"Philippe","non-dropping-particle":"","parse-names":false,"suffix":""},{"dropping-particle":"","family":"Gielly","given":"Ludovic","non-dropping-particle":"","parse-names":false,"suffix":""},{"dropping-particle":"","family":"Giguet-Covex","given":"Charline","non-dropping-particle":"","parse-names":false,"suffix":""},{"dropping-particle":"","family":"Iribar","given":"Amaia","non-dropping-particle":"","parse-names":false,"suffix":""},{"dropping-particle":"","family":"Réjou-Méchain","given":"Maxime","non-dropping-particle":"","parse-names":false,"suffix":""},{"dropping-particle":"","family":"Rayé","given":"Gilles","non-dropping-particle":"","parse-names":false,"suffix":""},{"dropping-particle":"","family":"Rioux","given":"Delphine","non-dropping-particle":"","parse-names":false,"suffix":""},{"dropping-particle":"","family":"Schilling","given":"Vincent","non-dropping-particle":"","parse-names":false,"suffix":""},{"dropping-particle":"","family":"Tymen","given":"Blaise","non-dropping-particle":"","parse-names":false,"suffix":""},{"dropping-particle":"","family":"Viers","given":"Jérôme","non-dropping-particle":"","parse-names":false,"suffix":""},{"dropping-particle":"","family":"Zouiten","given":"Cyril","non-dropping-particle":"","parse-names":false,"suffix":""},{"dropping-particle":"","family":"Thuiller","given":"Wilfried","non-dropping-particle":"","parse-names":false,"suffix":""},{"dropping-particle":"","family":"Coissac","given":"Eric","non-dropping-particle":"","parse-names":false,"suffix":""},{"dropping-particle":"","family":"Chave","given":"Jérôme","non-dropping-particle":"","parse-names":false,"suffix":""}],"container-title":"Molecular Ecology","id":"ITEM-1","issue":"3","issued":{"date-parts":[["2019","2","1"]]},"page":"528-543","publisher":"Blackwell Publishing Ltd","title":"Body size determines soil community assembly in a tropical forest","type":"article-journal","volume":"28"},"uris":["http://www.mendeley.com/documents/?uuid=c5b6d364-6f1f-350d-a820-ae16ff945f71"]}],"mendeley":{"formattedCitation":"[49]","plainTextFormattedCitation":"[49]","previouslyFormattedCitation":"[49]"},"properties":{"noteIndex":0},"schema":"https://github.com/citation-style-language/schema/raw/master/csl-citation.json"}</w:instrText>
      </w:r>
      <w:r w:rsidR="00D84AEB" w:rsidRPr="00CB6F3B">
        <w:rPr>
          <w:rFonts w:ascii="Times New Roman" w:hAnsi="Times New Roman" w:cs="Times New Roman"/>
          <w:bCs/>
          <w:sz w:val="24"/>
          <w:szCs w:val="24"/>
        </w:rPr>
        <w:fldChar w:fldCharType="separate"/>
      </w:r>
      <w:r w:rsidR="0041205F" w:rsidRPr="00CB6F3B">
        <w:rPr>
          <w:rFonts w:ascii="Times New Roman" w:hAnsi="Times New Roman" w:cs="Times New Roman"/>
          <w:bCs/>
          <w:noProof/>
          <w:sz w:val="24"/>
          <w:szCs w:val="24"/>
        </w:rPr>
        <w:t>[49]</w:t>
      </w:r>
      <w:r w:rsidR="00D84AEB" w:rsidRPr="00CB6F3B">
        <w:rPr>
          <w:rFonts w:ascii="Times New Roman" w:hAnsi="Times New Roman" w:cs="Times New Roman"/>
          <w:bCs/>
          <w:sz w:val="24"/>
          <w:szCs w:val="24"/>
        </w:rPr>
        <w:fldChar w:fldCharType="end"/>
      </w:r>
      <w:r w:rsidR="00D84AEB" w:rsidRPr="00CB6F3B">
        <w:rPr>
          <w:rFonts w:ascii="Times New Roman" w:hAnsi="Times New Roman" w:cs="Times New Roman"/>
          <w:bCs/>
          <w:sz w:val="24"/>
          <w:szCs w:val="24"/>
        </w:rPr>
        <w:t>)</w:t>
      </w:r>
      <w:r w:rsidR="008D4B2A" w:rsidRPr="00CB6F3B">
        <w:rPr>
          <w:rFonts w:ascii="Times New Roman" w:hAnsi="Times New Roman" w:cs="Times New Roman"/>
          <w:bCs/>
          <w:sz w:val="24"/>
          <w:szCs w:val="24"/>
        </w:rPr>
        <w:t xml:space="preserve"> are often conserved at the phylum level </w:t>
      </w:r>
      <w:r w:rsidR="008D4B2A" w:rsidRPr="00CB6F3B">
        <w:rPr>
          <w:rFonts w:ascii="Times New Roman" w:eastAsia="Times New Roman" w:hAnsi="Times New Roman" w:cs="Times New Roman"/>
          <w:sz w:val="24"/>
          <w:szCs w:val="24"/>
        </w:rPr>
        <w:fldChar w:fldCharType="begin" w:fldLock="1"/>
      </w:r>
      <w:r w:rsidR="0041205F" w:rsidRPr="00CB6F3B">
        <w:rPr>
          <w:rFonts w:ascii="Times New Roman" w:eastAsia="Times New Roman" w:hAnsi="Times New Roman" w:cs="Times New Roman"/>
          <w:sz w:val="24"/>
          <w:szCs w:val="24"/>
        </w:rPr>
        <w:instrText>ADDIN CSL_CITATION {"citationItems":[{"id":"ITEM-1","itemData":{"DOI":"10.3389/fenvs.2014.00007","ISSN":"2296665X","abstract":"Terrestrial ecologists and soil modelers have traditionally portrayed the inhabitants of soil as a black box labeled as \"soil fauna\" or \"decomposers or detritivores\" assuming that they just merely recycle the deposited dead plant material. Soil is one of the most diverse habitats on Earth and contains one of the most diverse assemblages of living organisms; however, the opacity of this world has severely limited our understanding of their functional contributions to soil processes and to ecosystem resilience. Traditional taxonomy, based on morphological and anatomical aspects, is becoming replaced by rapid processing molecular techniques (e.g., with marker gene-based approaches). However, this may be impracticable in many ecological studies and consequently, the majority of the current knowledge, still contributes little to our understanding of their role in ecosystem functioning. Over the years, different workers have produced several \"functional classifications\" based on the body width, feeding regime, certain behavioral and reproductive aspects and ecological niches of soil organisms. Unfortunately, the information available is severely restricted to \"major\" groups. A better physiological and metabolic understanding of when and how a complex community of soil organisms access nutrients, alter their environment and in turn, affect soil processes, will allow a more realistic quantitative evaluation of their ecological roles in the biogeochemical cycles. Here, I review the applicability of the available approaches, highlight future research challenges and propose a dynamic conceptual framework that could improve our ability to solve this functional puzzle.","author":[{"dropping-particle":"","family":"Briones","given":"María Jesús I.","non-dropping-particle":"","parse-names":false,"suffix":""}],"container-title":"Frontiers in Environmental Science","id":"ITEM-1","issue":"APR","issued":{"date-parts":[["2014","4","22"]]},"publisher":"Frontiers Media S.A.","title":"Soil fauna and soil functions: A jigsaw puzzle","type":"article","volume":"2"},"uris":["http://www.mendeley.com/documents/?uuid=68bbc5e3-d2ae-3b44-b6e3-98f1dd6425f8"]},{"id":"ITEM-2","itemData":{"DOI":"10.1126/science.aac9323","ISSN":"10959203","abstract":"A focus on the phenotypic characteristics of microorganisms-their traits-offers a path for interpreting the growing amount of microbiome data.We review key aspects of microbial traits, as well as approaches used to assay their phylogenetic distribution. Recent studies reveal that microbial traits are differentially conserved across the tree of life and appear to be conserved in a hierarchical fashion, possibly linked to their biochemical complexity. These results suggest a predictive framework whereby the genetic (or taxonomic) resolution of microbiome variation among samples provides information about the traits under selection. The organizational parallels seen among human and free-living microbiomes seem to support this idea. Developments in this framework may offer predictions not only for how microbial composition responds to changing environmental conditions, but also for how these changes may alter the health or functioning in human, engineered, and environmental systems.","author":[{"dropping-particle":"","family":"Martiny","given":"Jennifer B.H.","non-dropping-particle":"","parse-names":false,"suffix":""},{"dropping-particle":"","family":"Jones","given":"Stuart E.","non-dropping-particle":"","parse-names":false,"suffix":""},{"dropping-particle":"","family":"Lennon","given":"Jay T.","non-dropping-particle":"","parse-names":false,"suffix":""},{"dropping-particle":"","family":"Martiny","given":"Adam C.","non-dropping-particle":"","parse-names":false,"suffix":""}],"container-title":"Science","id":"ITEM-2","issue":"6261","issued":{"date-parts":[["2015"]]},"title":"Microbiomes in light of traits: A phylogenetic perspective","type":"article-journal","volume":"350"},"uris":["http://www.mendeley.com/documents/?uuid=cf194ac7-6842-4b0b-b473-cd8a58c5c61d"]}],"mendeley":{"formattedCitation":"[50, 51]","plainTextFormattedCitation":"[50, 51]","previouslyFormattedCitation":"[50, 51]"},"properties":{"noteIndex":0},"schema":"https://github.com/citation-style-language/schema/raw/master/csl-citation.json"}</w:instrText>
      </w:r>
      <w:r w:rsidR="008D4B2A" w:rsidRPr="00CB6F3B">
        <w:rPr>
          <w:rFonts w:ascii="Times New Roman" w:eastAsia="Times New Roman" w:hAnsi="Times New Roman" w:cs="Times New Roman"/>
          <w:sz w:val="24"/>
          <w:szCs w:val="24"/>
        </w:rPr>
        <w:fldChar w:fldCharType="separate"/>
      </w:r>
      <w:r w:rsidR="0041205F" w:rsidRPr="00CB6F3B">
        <w:rPr>
          <w:rFonts w:ascii="Times New Roman" w:eastAsia="Times New Roman" w:hAnsi="Times New Roman" w:cs="Times New Roman"/>
          <w:noProof/>
          <w:sz w:val="24"/>
          <w:szCs w:val="24"/>
        </w:rPr>
        <w:t>[50, 51]</w:t>
      </w:r>
      <w:r w:rsidR="008D4B2A" w:rsidRPr="00CB6F3B">
        <w:rPr>
          <w:rFonts w:ascii="Times New Roman" w:eastAsia="Times New Roman" w:hAnsi="Times New Roman" w:cs="Times New Roman"/>
          <w:sz w:val="24"/>
          <w:szCs w:val="24"/>
        </w:rPr>
        <w:fldChar w:fldCharType="end"/>
      </w:r>
      <w:r w:rsidR="000277E0" w:rsidRPr="00CB6F3B">
        <w:rPr>
          <w:rFonts w:ascii="Times New Roman" w:eastAsia="Times New Roman" w:hAnsi="Times New Roman" w:cs="Times New Roman"/>
          <w:sz w:val="24"/>
          <w:szCs w:val="24"/>
        </w:rPr>
        <w:t xml:space="preserve">, </w:t>
      </w:r>
      <w:bookmarkStart w:id="16" w:name="_Hlk55206574"/>
      <w:r w:rsidR="000277E0" w:rsidRPr="00CB6F3B">
        <w:rPr>
          <w:rFonts w:ascii="Times New Roman" w:eastAsia="Times New Roman" w:hAnsi="Times New Roman" w:cs="Times New Roman"/>
          <w:sz w:val="24"/>
          <w:szCs w:val="24"/>
        </w:rPr>
        <w:t xml:space="preserve">although further </w:t>
      </w:r>
      <w:r w:rsidR="00AC1C73" w:rsidRPr="00CB6F3B">
        <w:rPr>
          <w:rFonts w:ascii="Times New Roman" w:eastAsia="Times New Roman" w:hAnsi="Times New Roman" w:cs="Times New Roman"/>
          <w:sz w:val="24"/>
          <w:szCs w:val="24"/>
        </w:rPr>
        <w:t>studies are</w:t>
      </w:r>
      <w:r w:rsidR="000277E0" w:rsidRPr="00CB6F3B">
        <w:rPr>
          <w:rFonts w:ascii="Times New Roman" w:eastAsia="Times New Roman" w:hAnsi="Times New Roman" w:cs="Times New Roman"/>
          <w:sz w:val="24"/>
          <w:szCs w:val="24"/>
        </w:rPr>
        <w:t xml:space="preserve"> necessary to determine the optimal phylogenetic cutoff</w:t>
      </w:r>
      <w:r w:rsidR="000277E0" w:rsidRPr="00CB6F3B">
        <w:rPr>
          <w:rFonts w:ascii="Times New Roman" w:eastAsia="Times New Roman" w:hAnsi="Times New Roman" w:cs="Times New Roman"/>
          <w:sz w:val="24"/>
          <w:szCs w:val="24"/>
        </w:rPr>
        <w:t xml:space="preserve"> for stratification</w:t>
      </w:r>
      <w:r w:rsidR="008D4B2A" w:rsidRPr="00CB6F3B">
        <w:rPr>
          <w:rFonts w:ascii="Times New Roman" w:hAnsi="Times New Roman" w:cs="Times New Roman"/>
          <w:bCs/>
          <w:sz w:val="24"/>
          <w:szCs w:val="24"/>
        </w:rPr>
        <w:t xml:space="preserve">. </w:t>
      </w:r>
      <w:bookmarkEnd w:id="16"/>
      <w:r w:rsidR="00A962C4" w:rsidRPr="00CB6F3B">
        <w:rPr>
          <w:rFonts w:ascii="Times New Roman" w:hAnsi="Times New Roman" w:cs="Times New Roman"/>
          <w:bCs/>
          <w:sz w:val="24"/>
          <w:szCs w:val="24"/>
        </w:rPr>
        <w:t>T</w:t>
      </w:r>
      <w:r w:rsidR="00BB0301" w:rsidRPr="00CB6F3B">
        <w:rPr>
          <w:rFonts w:ascii="Times New Roman" w:hAnsi="Times New Roman" w:cs="Times New Roman"/>
          <w:bCs/>
          <w:sz w:val="24"/>
          <w:szCs w:val="24"/>
        </w:rPr>
        <w:t>he biases associated with using a universal primer are likely</w:t>
      </w:r>
      <w:r w:rsidR="005E6802" w:rsidRPr="00CB6F3B">
        <w:rPr>
          <w:rFonts w:ascii="Times New Roman" w:hAnsi="Times New Roman" w:cs="Times New Roman"/>
          <w:bCs/>
          <w:sz w:val="24"/>
          <w:szCs w:val="24"/>
        </w:rPr>
        <w:t xml:space="preserve"> to be more</w:t>
      </w:r>
      <w:r w:rsidR="00BB0301" w:rsidRPr="00CB6F3B">
        <w:rPr>
          <w:rFonts w:ascii="Times New Roman" w:hAnsi="Times New Roman" w:cs="Times New Roman"/>
          <w:bCs/>
          <w:sz w:val="24"/>
          <w:szCs w:val="24"/>
        </w:rPr>
        <w:t xml:space="preserve"> consistent within phyla and affect some phyla more severely than others</w:t>
      </w:r>
      <w:r w:rsidR="00D84AEB" w:rsidRPr="00CB6F3B">
        <w:rPr>
          <w:rFonts w:ascii="Times New Roman" w:hAnsi="Times New Roman" w:cs="Times New Roman"/>
          <w:bCs/>
          <w:sz w:val="24"/>
          <w:szCs w:val="24"/>
        </w:rPr>
        <w:t xml:space="preserve"> </w:t>
      </w:r>
      <w:r w:rsidR="00D84AEB" w:rsidRPr="00CB6F3B">
        <w:rPr>
          <w:rFonts w:ascii="Times New Roman" w:hAnsi="Times New Roman" w:cs="Times New Roman"/>
          <w:bCs/>
          <w:sz w:val="24"/>
          <w:szCs w:val="24"/>
        </w:rPr>
        <w:fldChar w:fldCharType="begin" w:fldLock="1"/>
      </w:r>
      <w:r w:rsidR="0041205F" w:rsidRPr="00CB6F3B">
        <w:rPr>
          <w:rFonts w:ascii="Times New Roman" w:hAnsi="Times New Roman" w:cs="Times New Roman"/>
          <w:bCs/>
          <w:sz w:val="24"/>
          <w:szCs w:val="24"/>
        </w:rPr>
        <w:instrText>ADDIN CSL_CITATION {"citationItems":[{"id":"ITEM-1","itemData":{"DOI":"10.1038/s42003-018-0119-2","ISSN":"23993642","abstract":"Accurate assessments of biodiversity are crucial to advising ecosystem-monitoring programs and understanding ecosystem function. Nevertheless, a standard operating procedure to assess biodiversity accurately and consistently has not been established. This is especially true for meiofauna, a diverse community (&gt;20 phyla) of small benthic invertebrates that have fundamental ecological roles. Recent studies show that metabarcoding is a cost-effective and time-effective method to estimate meiofauna biodiversity, in contrast to morphological-based taxonomy. Here, we compare biodiversity assessments of a diverse meiofaunal community derived by applying multiple taxonomic methods based on comparative morphology, molecular phylogenetic analysis, DNA barcoding of individual specimens, and metabarcoding of environmental DNA. We show that biodiversity estimates are strongly biased across taxonomic methods and phyla. Such biases affect understanding of community structures and ecological interpretations. This study supports the urgency of improving aspects of environmental high-throughput sequencing and the value of taxonomists in correctly understanding biodiversity estimates.","author":[{"dropping-particle":"","family":"Leasi","given":"Francesca","non-dropping-particle":"","parse-names":false,"suffix":""},{"dropping-particle":"","family":"Sevigny","given":"Joseph L.","non-dropping-particle":"","parse-names":false,"suffix":""},{"dropping-particle":"","family":"Laflamme","given":"Eric M.","non-dropping-particle":"","parse-names":false,"suffix":""},{"dropping-particle":"","family":"Artois","given":"Tom","non-dropping-particle":"","parse-names":false,"suffix":""},{"dropping-particle":"","family":"Curini-Galletti","given":"Marco","non-dropping-particle":"","parse-names":false,"suffix":""},{"dropping-particle":"","family":"Jesus Navarrete","given":"Alberto","non-dropping-particle":"de","parse-names":false,"suffix":""},{"dropping-particle":"","family":"Domenico","given":"Maikon","non-dropping-particle":"Di","parse-names":false,"suffix":""},{"dropping-particle":"","family":"Goetz","given":"Freya","non-dropping-particle":"","parse-names":false,"suffix":""},{"dropping-particle":"","family":"Hall","given":"Jeffrey A.","non-dropping-particle":"","parse-names":false,"suffix":""},{"dropping-particle":"","family":"Hochberg","given":"Rick","non-dropping-particle":"","parse-names":false,"suffix":""},{"dropping-particle":"","family":"Jörger","given":"Katharina M.","non-dropping-particle":"","parse-names":false,"suffix":""},{"dropping-particle":"","family":"Jondelius","given":"Ulf","non-dropping-particle":"","parse-names":false,"suffix":""},{"dropping-particle":"","family":"Todaro","given":"M. Antonio","non-dropping-particle":"","parse-names":false,"suffix":""},{"dropping-particle":"","family":"Wirshing","given":"Herman H.","non-dropping-particle":"","parse-names":false,"suffix":""},{"dropping-particle":"","family":"Norenburg","given":"Jon L.","non-dropping-particle":"","parse-names":false,"suffix":""},{"dropping-particle":"","family":"Thomas","given":"W. Kelley","non-dropping-particle":"","parse-names":false,"suffix":""}],"container-title":"Communications biology","id":"ITEM-1","issue":"1","issued":{"date-parts":[["2018","8","14"]]},"page":"112","publisher":"NLM (Medline)","title":"Biodiversity estimates and ecological interpretations of meiofaunal communities are biased by the taxonomic approach","type":"article-journal","volume":"1"},"uris":["http://www.mendeley.com/documents/?uuid=7fa923ef-2ed0-324a-95aa-6c8a3e340e39"]},{"id":"ITEM-2","itemData":{"DOI":"10.1038/ismej.2015.116","ISSN":"17517370","abstract":"Plant species richness and the presence of certain influential species (sampling effect) drive the stability and functionality of ecosystems as well as primary production and biomass of consumers. However, little is known about these floristic effects on richness and community composition of soil biota in forest habitats owing to methodological constraints. We developed a DNA metabarcoding approach to identify the major eukaryote groups directly from soil with roughly species-level resolution. Using this method, we examined the effects of tree diversity and individual tree species on soil microbial biomass and taxonomic richness of soil biota in two experimental study systems in Finland and Estonia and accounted for edaphic variables and spatial autocorrelation. Our analyses revealed that the effects of tree diversity and individual species on soil biota are largely context dependent. Multiple regression and structural equation modelling suggested that biomass, soil pH, nutrients and tree species directly affect richness of different taxonomic groups. The community composition of most soil organisms was strongly correlated due to similar response to environmental predictors rather than causal relationships. On a local scale, soil resources and tree species have stronger effect on diversity of soil biota than tree species richness per se.","author":[{"dropping-particle":"","family":"Tedersoo","given":"Leho","non-dropping-particle":"","parse-names":false,"suffix":""},{"dropping-particle":"","family":"Bahram","given":"Mohammad","non-dropping-particle":"","parse-names":false,"suffix":""},{"dropping-particle":"","family":"Cajthaml","given":"Tomáš","non-dropping-particle":"","parse-names":false,"suffix":""},{"dropping-particle":"","family":"Põlme","given":"Sergei","non-dropping-particle":"","parse-names":false,"suffix":""},{"dropping-particle":"","family":"Hiiesalu","given":"Indrek","non-dropping-particle":"","parse-names":false,"suffix":""},{"dropping-particle":"","family":"Anslan","given":"Sten","non-dropping-particle":"","parse-names":false,"suffix":""},{"dropping-particle":"","family":"Harend","given":"Helery","non-dropping-particle":"","parse-names":false,"suffix":""},{"dropping-particle":"","family":"Buegger","given":"Franz","non-dropping-particle":"","parse-names":false,"suffix":""},{"dropping-particle":"","family":"Pritsch","given":"Karin","non-dropping-particle":"","parse-names":false,"suffix":""},{"dropping-particle":"","family":"Koricheva","given":"Julia","non-dropping-particle":"","parse-names":false,"suffix":""},{"dropping-particle":"","family":"Abarenkov","given":"Kessy","non-dropping-particle":"","parse-names":false,"suffix":""}],"container-title":"ISME Journal","id":"ITEM-2","issue":"2","issued":{"date-parts":[["2016","2","1"]]},"page":"346-362","publisher":"Nature Publishing Group","title":"Tree diversity and species identity effects on soil fungi, protists and animals are context dependent","type":"article-journal","volume":"10"},"uris":["http://www.mendeley.com/documents/?uuid=9315f833-8164-3f70-9c93-83dea010178c"]}],"mendeley":{"formattedCitation":"[30, 31]","plainTextFormattedCitation":"[30, 31]","previouslyFormattedCitation":"[30, 31]"},"properties":{"noteIndex":0},"schema":"https://github.com/citation-style-language/schema/raw/master/csl-citation.json"}</w:instrText>
      </w:r>
      <w:r w:rsidR="00D84AEB" w:rsidRPr="00CB6F3B">
        <w:rPr>
          <w:rFonts w:ascii="Times New Roman" w:hAnsi="Times New Roman" w:cs="Times New Roman"/>
          <w:bCs/>
          <w:sz w:val="24"/>
          <w:szCs w:val="24"/>
        </w:rPr>
        <w:fldChar w:fldCharType="separate"/>
      </w:r>
      <w:r w:rsidR="00B50C57" w:rsidRPr="00CB6F3B">
        <w:rPr>
          <w:rFonts w:ascii="Times New Roman" w:hAnsi="Times New Roman" w:cs="Times New Roman"/>
          <w:bCs/>
          <w:noProof/>
          <w:sz w:val="24"/>
          <w:szCs w:val="24"/>
        </w:rPr>
        <w:t>[30, 31]</w:t>
      </w:r>
      <w:r w:rsidR="00D84AEB" w:rsidRPr="00CB6F3B">
        <w:rPr>
          <w:rFonts w:ascii="Times New Roman" w:hAnsi="Times New Roman" w:cs="Times New Roman"/>
          <w:bCs/>
          <w:sz w:val="24"/>
          <w:szCs w:val="24"/>
        </w:rPr>
        <w:fldChar w:fldCharType="end"/>
      </w:r>
      <w:r w:rsidR="00BB0301" w:rsidRPr="00CB6F3B">
        <w:rPr>
          <w:rFonts w:ascii="Times New Roman" w:hAnsi="Times New Roman" w:cs="Times New Roman"/>
          <w:bCs/>
          <w:sz w:val="24"/>
          <w:szCs w:val="24"/>
        </w:rPr>
        <w:t xml:space="preserve">. </w:t>
      </w:r>
      <w:r w:rsidR="00AB4D96" w:rsidRPr="00CB6F3B">
        <w:rPr>
          <w:rFonts w:ascii="Times New Roman" w:hAnsi="Times New Roman" w:cs="Times New Roman"/>
          <w:bCs/>
          <w:sz w:val="24"/>
          <w:szCs w:val="24"/>
        </w:rPr>
        <w:t xml:space="preserve">Stratification ensures that detection biases within a phylum do not propagate to the rest of the community (i.e., </w:t>
      </w:r>
      <w:r w:rsidR="00AB4D96" w:rsidRPr="00CB6F3B">
        <w:rPr>
          <w:rFonts w:ascii="Times New Roman" w:hAnsi="Times New Roman" w:cs="Times New Roman"/>
          <w:bCs/>
          <w:sz w:val="24"/>
          <w:szCs w:val="24"/>
        </w:rPr>
        <w:fldChar w:fldCharType="begin" w:fldLock="1"/>
      </w:r>
      <w:r w:rsidR="0041205F" w:rsidRPr="00CB6F3B">
        <w:rPr>
          <w:rFonts w:ascii="Times New Roman" w:hAnsi="Times New Roman" w:cs="Times New Roman"/>
          <w:bCs/>
          <w:sz w:val="24"/>
          <w:szCs w:val="24"/>
        </w:rPr>
        <w:instrText>ADDIN CSL_CITATION {"citationItems":[{"id":"ITEM-1","itemData":{"DOI":"10.1111/mec.14919","ISSN":"1365294X","abstract":"Tropical forests shelter an unparalleled biological diversity. The relative influence of environmental selection (i.e., abiotic conditions, biotic interactions) and stochastic–distance-dependent neutral processes (i.e., demography, dispersal) in shaping communities has been extensively studied for various organisms, but has rarely been explored across a large range of body sizes, in particular in soil environments. We built a detailed census of the whole soil biota in a 12-ha tropical forest plot using soil DNA metabarcoding. We show that the distribution of 19 taxonomic groups (ranging from microbes to mesofauna) is primarily stochastic, suggesting that neutral processes are prominent drivers of the assembly of these communities at this scale. We also identify aluminium, topography and plant species identity as weak, yet significant drivers of soil richness and community composition of bacteria, protists and to a lesser extent fungi. Finally, we show that body size, which determines the scale at which an organism perceives its environment, predicted the community assembly across taxonomic groups, with soil mesofauna assemblages being more stochastic than microbial ones. These results suggest that the relative contribution of neutral processes and environmental selection to community assembly directly depends on body size. Body size is hence an important determinant of community assembly rules at the scale of the ecological community in tropical soils and should be accounted for in spatial models of tropical soil food webs.","author":[{"dropping-particle":"","family":"Zinger","given":"Lucie","non-dropping-particle":"","parse-names":false,"suffix":""},{"dropping-particle":"","family":"Taberlet","given":"Pierre","non-dropping-particle":"","parse-names":false,"suffix":""},{"dropping-particle":"","family":"Schimann","given":"Heidy","non-dropping-particle":"","parse-names":false,"suffix":""},{"dropping-particle":"","family":"Bonin","given":"Aurélie","non-dropping-particle":"","parse-names":false,"suffix":""},{"dropping-particle":"","family":"Boyer","given":"Frédéric","non-dropping-particle":"","parse-names":false,"suffix":""},{"dropping-particle":"","family":"Barba","given":"Marta","non-dropping-particle":"De","parse-names":false,"suffix":""},{"dropping-particle":"","family":"Gaucher","given":"Philippe","non-dropping-particle":"","parse-names":false,"suffix":""},{"dropping-particle":"","family":"Gielly","given":"Ludovic","non-dropping-particle":"","parse-names":false,"suffix":""},{"dropping-particle":"","family":"Giguet-Covex","given":"Charline","non-dropping-particle":"","parse-names":false,"suffix":""},{"dropping-particle":"","family":"Iribar","given":"Amaia","non-dropping-particle":"","parse-names":false,"suffix":""},{"dropping-particle":"","family":"Réjou-Méchain","given":"Maxime","non-dropping-particle":"","parse-names":false,"suffix":""},{"dropping-particle":"","family":"Rayé","given":"Gilles","non-dropping-particle":"","parse-names":false,"suffix":""},{"dropping-particle":"","family":"Rioux","given":"Delphine","non-dropping-particle":"","parse-names":false,"suffix":""},{"dropping-particle":"","family":"Schilling","given":"Vincent","non-dropping-particle":"","parse-names":false,"suffix":""},{"dropping-particle":"","family":"Tymen","given":"Blaise","non-dropping-particle":"","parse-names":false,"suffix":""},{"dropping-particle":"","family":"Viers","given":"Jérôme","non-dropping-particle":"","parse-names":false,"suffix":""},{"dropping-particle":"","family":"Zouiten","given":"Cyril","non-dropping-particle":"","parse-names":false,"suffix":""},{"dropping-particle":"","family":"Thuiller","given":"Wilfried","non-dropping-particle":"","parse-names":false,"suffix":""},{"dropping-particle":"","family":"Coissac","given":"Eric","non-dropping-particle":"","parse-names":false,"suffix":""},{"dropping-particle":"","family":"Chave","given":"Jérôme","non-dropping-particle":"","parse-names":false,"suffix":""}],"container-title":"Molecular Ecology","id":"ITEM-1","issue":"3","issued":{"date-parts":[["2019","2","1"]]},"page":"528-543","publisher":"Blackwell Publishing Ltd","title":"Body size determines soil community assembly in a tropical forest","type":"article-journal","volume":"28"},"uris":["http://www.mendeley.com/documents/?uuid=c5b6d364-6f1f-350d-a820-ae16ff945f71"]}],"mendeley":{"formattedCitation":"[49]","plainTextFormattedCitation":"[49]","previouslyFormattedCitation":"[49]"},"properties":{"noteIndex":0},"schema":"https://github.com/citation-style-language/schema/raw/master/csl-citation.json"}</w:instrText>
      </w:r>
      <w:r w:rsidR="00AB4D96" w:rsidRPr="00CB6F3B">
        <w:rPr>
          <w:rFonts w:ascii="Times New Roman" w:hAnsi="Times New Roman" w:cs="Times New Roman"/>
          <w:bCs/>
          <w:sz w:val="24"/>
          <w:szCs w:val="24"/>
        </w:rPr>
        <w:fldChar w:fldCharType="separate"/>
      </w:r>
      <w:r w:rsidR="0041205F" w:rsidRPr="00CB6F3B">
        <w:rPr>
          <w:rFonts w:ascii="Times New Roman" w:hAnsi="Times New Roman" w:cs="Times New Roman"/>
          <w:bCs/>
          <w:noProof/>
          <w:sz w:val="24"/>
          <w:szCs w:val="24"/>
        </w:rPr>
        <w:t>[49]</w:t>
      </w:r>
      <w:r w:rsidR="00AB4D96" w:rsidRPr="00CB6F3B">
        <w:rPr>
          <w:rFonts w:ascii="Times New Roman" w:hAnsi="Times New Roman" w:cs="Times New Roman"/>
          <w:bCs/>
          <w:sz w:val="24"/>
          <w:szCs w:val="24"/>
        </w:rPr>
        <w:fldChar w:fldCharType="end"/>
      </w:r>
      <w:r w:rsidR="00AB4D96" w:rsidRPr="00CB6F3B">
        <w:rPr>
          <w:rFonts w:ascii="Times New Roman" w:hAnsi="Times New Roman" w:cs="Times New Roman"/>
          <w:bCs/>
          <w:sz w:val="24"/>
          <w:szCs w:val="24"/>
        </w:rPr>
        <w:t xml:space="preserve">) and remain </w:t>
      </w:r>
      <w:r w:rsidR="00AB4D96" w:rsidRPr="00CB6F3B">
        <w:rPr>
          <w:rFonts w:ascii="Times New Roman" w:hAnsi="Times New Roman" w:cs="Times New Roman"/>
          <w:bCs/>
          <w:sz w:val="24"/>
          <w:szCs w:val="24"/>
        </w:rPr>
        <w:lastRenderedPageBreak/>
        <w:t>comparable within phyla.</w:t>
      </w:r>
      <w:r w:rsidR="0039415B" w:rsidRPr="00CB6F3B">
        <w:rPr>
          <w:rFonts w:ascii="Times New Roman" w:hAnsi="Times New Roman" w:cs="Times New Roman"/>
          <w:bCs/>
          <w:sz w:val="24"/>
          <w:szCs w:val="24"/>
        </w:rPr>
        <w:t xml:space="preserve"> </w:t>
      </w:r>
      <w:r w:rsidR="008D4B2A" w:rsidRPr="00CB6F3B">
        <w:rPr>
          <w:rFonts w:ascii="Times New Roman" w:hAnsi="Times New Roman" w:cs="Times New Roman"/>
          <w:bCs/>
          <w:sz w:val="24"/>
          <w:szCs w:val="24"/>
        </w:rPr>
        <w:t>For example, intra-genomic polymorphisms of 18S</w:t>
      </w:r>
      <w:r w:rsidR="00365584" w:rsidRPr="00CB6F3B">
        <w:rPr>
          <w:rFonts w:ascii="Times New Roman" w:hAnsi="Times New Roman" w:cs="Times New Roman"/>
          <w:bCs/>
          <w:sz w:val="24"/>
          <w:szCs w:val="24"/>
        </w:rPr>
        <w:t xml:space="preserve"> </w:t>
      </w:r>
      <w:r w:rsidR="00A962C4" w:rsidRPr="00CB6F3B">
        <w:rPr>
          <w:rFonts w:ascii="Times New Roman" w:hAnsi="Times New Roman" w:cs="Times New Roman"/>
          <w:bCs/>
          <w:sz w:val="24"/>
          <w:szCs w:val="24"/>
        </w:rPr>
        <w:t>in nematodes</w:t>
      </w:r>
      <w:r w:rsidR="00AB1332" w:rsidRPr="00CB6F3B">
        <w:rPr>
          <w:rFonts w:ascii="Times New Roman" w:hAnsi="Times New Roman" w:cs="Times New Roman"/>
          <w:bCs/>
          <w:sz w:val="24"/>
          <w:szCs w:val="24"/>
        </w:rPr>
        <w:t xml:space="preserve"> can</w:t>
      </w:r>
      <w:r w:rsidR="008D4B2A" w:rsidRPr="00CB6F3B">
        <w:rPr>
          <w:rFonts w:ascii="Times New Roman" w:hAnsi="Times New Roman" w:cs="Times New Roman"/>
          <w:bCs/>
          <w:sz w:val="24"/>
          <w:szCs w:val="24"/>
        </w:rPr>
        <w:t xml:space="preserve"> </w:t>
      </w:r>
      <w:r w:rsidR="0039415B" w:rsidRPr="00CB6F3B">
        <w:rPr>
          <w:rFonts w:ascii="Times New Roman" w:hAnsi="Times New Roman" w:cs="Times New Roman"/>
          <w:bCs/>
          <w:sz w:val="24"/>
          <w:szCs w:val="24"/>
        </w:rPr>
        <w:t xml:space="preserve">inflate </w:t>
      </w:r>
      <w:r w:rsidR="008D4B2A" w:rsidRPr="00CB6F3B">
        <w:rPr>
          <w:rFonts w:ascii="Times New Roman" w:hAnsi="Times New Roman" w:cs="Times New Roman"/>
          <w:bCs/>
          <w:sz w:val="24"/>
          <w:szCs w:val="24"/>
        </w:rPr>
        <w:t>nematode diversity</w:t>
      </w:r>
      <w:r w:rsidR="0039415B" w:rsidRPr="00CB6F3B">
        <w:rPr>
          <w:rFonts w:ascii="Times New Roman" w:hAnsi="Times New Roman" w:cs="Times New Roman"/>
          <w:bCs/>
          <w:sz w:val="24"/>
          <w:szCs w:val="24"/>
        </w:rPr>
        <w:t xml:space="preserve"> estimates </w:t>
      </w:r>
      <w:r w:rsidR="0039415B" w:rsidRPr="00CB6F3B">
        <w:rPr>
          <w:rFonts w:ascii="Times New Roman" w:hAnsi="Times New Roman" w:cs="Times New Roman"/>
          <w:bCs/>
          <w:sz w:val="24"/>
          <w:szCs w:val="24"/>
        </w:rPr>
        <w:fldChar w:fldCharType="begin" w:fldLock="1"/>
      </w:r>
      <w:r w:rsidR="0041205F" w:rsidRPr="00CB6F3B">
        <w:rPr>
          <w:rFonts w:ascii="Times New Roman" w:hAnsi="Times New Roman" w:cs="Times New Roman"/>
          <w:bCs/>
          <w:sz w:val="24"/>
          <w:szCs w:val="24"/>
        </w:rPr>
        <w:instrText>ADDIN CSL_CITATION {"citationItems":[{"id":"ITEM-1","itemData":{"DOI":"10.1371/journal.pone.0144928","ISSN":"1932-6203","abstract":"Nematodes inhabiting benthic deep-sea ecosystems account for &gt;90% of the total metazoan abundances and they have been hypothesised to be hyper-diverse, but their biodiversity is still largely unknown. Metabarcoding could facilitate the census of biodiversity, especially for those tiny metazoans for which morphological identification is difficult. We compared, for the first time, different DNA extraction procedures based on the use of two commercial kits and a previously published laboratory protocol and tested their suitability for sequencing analyses of 18S rDNA of marine nematodes. We also investigated the reliability of Roche 454 sequencing analyses for assessing the biodiversity of deep-sea nematode assemblages previously morphologically identified. Finally, intra-genomic variation in 18S rRNA gene repeats was investigated by Illumina MiSeq in different deep-sea nematode morphospecies to assess the influence of polymorphisms on nematode biodiversity estimates. Our results indicate that the two commercial kits should be preferred for the molecular analysis of biodiversity of deep-sea nematodes since they consistently provide amplifiable DNA suitable for sequencing. We report that the morphological identification of deep-sea nematodes matches the results obtained by metabarcoding analysis only at the order-family level and that a large portion of Operational Clustered Taxonomic Units (OCTUs) was not assigned. We also show that independently from the cut-off criteria and bioinformatic pipelines used, the number of OCTUs largely exceeds the number of individuals and that 18S rRNA gene of different morpho-species of nematodes displayed intragenomic polymorphisms. Our results indicate that metabarcoding is an important tool to explore the diversity of deep-sea nematodes, but still fails in identifying most of the species due to limited number of sequences deposited in the public databases, and in providing quantitative data on the species encountered. These aspects should be carefully taken into account before using metabarcoding in quantitative ecological research and monitoring programmes of marine biodiversity.","author":[{"dropping-particle":"","family":"Dell’Anno","given":"Antonio","non-dropping-particle":"","parse-names":false,"suffix":""},{"dropping-particle":"","family":"Carugati","given":"Laura","non-dropping-particle":"","parse-names":false,"suffix":""},{"dropping-particle":"","family":"Corinaldesi","given":"Cinzia","non-dropping-particle":"","parse-names":false,"suffix":""},{"dropping-particle":"","family":"Riccioni","given":"Giulia","non-dropping-particle":"","parse-names":false,"suffix":""},{"dropping-particle":"","family":"Danovaro","given":"Roberto","non-dropping-particle":"","parse-names":false,"suffix":""}],"container-title":"PLOS ONE","editor":[{"dropping-particle":"","family":"Bianchi","given":"Carlo Nike","non-dropping-particle":"","parse-names":false,"suffix":""}],"id":"ITEM-1","issue":"12","issued":{"date-parts":[["2015","12","23"]]},"page":"e0144928","publisher":"Public Library of Science","title":"Unveiling the Biodiversity of Deep-Sea Nematodes through Metabarcoding: Are We Ready to Bypass the Classical Taxonomy?","type":"article-journal","volume":"10"},"uris":["http://www.mendeley.com/documents/?uuid=5ec3eba1-b042-35a4-8ba5-f7037bbdbe8d"]}],"mendeley":{"formattedCitation":"[37]","plainTextFormattedCitation":"[37]","previouslyFormattedCitation":"[37]"},"properties":{"noteIndex":0},"schema":"https://github.com/citation-style-language/schema/raw/master/csl-citation.json"}</w:instrText>
      </w:r>
      <w:r w:rsidR="0039415B" w:rsidRPr="00CB6F3B">
        <w:rPr>
          <w:rFonts w:ascii="Times New Roman" w:hAnsi="Times New Roman" w:cs="Times New Roman"/>
          <w:bCs/>
          <w:sz w:val="24"/>
          <w:szCs w:val="24"/>
        </w:rPr>
        <w:fldChar w:fldCharType="separate"/>
      </w:r>
      <w:r w:rsidR="00B50C57" w:rsidRPr="00CB6F3B">
        <w:rPr>
          <w:rFonts w:ascii="Times New Roman" w:hAnsi="Times New Roman" w:cs="Times New Roman"/>
          <w:bCs/>
          <w:noProof/>
          <w:sz w:val="24"/>
          <w:szCs w:val="24"/>
        </w:rPr>
        <w:t>[37]</w:t>
      </w:r>
      <w:r w:rsidR="0039415B" w:rsidRPr="00CB6F3B">
        <w:rPr>
          <w:rFonts w:ascii="Times New Roman" w:hAnsi="Times New Roman" w:cs="Times New Roman"/>
          <w:bCs/>
          <w:sz w:val="24"/>
          <w:szCs w:val="24"/>
        </w:rPr>
        <w:fldChar w:fldCharType="end"/>
      </w:r>
      <w:r w:rsidR="00D84AEB" w:rsidRPr="00CB6F3B">
        <w:rPr>
          <w:rFonts w:ascii="Times New Roman" w:hAnsi="Times New Roman" w:cs="Times New Roman"/>
          <w:bCs/>
          <w:sz w:val="24"/>
          <w:szCs w:val="24"/>
        </w:rPr>
        <w:t>.</w:t>
      </w:r>
      <w:r w:rsidR="00A962C4" w:rsidRPr="00CB6F3B">
        <w:rPr>
          <w:rFonts w:ascii="Times New Roman" w:hAnsi="Times New Roman" w:cs="Times New Roman"/>
          <w:bCs/>
          <w:sz w:val="24"/>
          <w:szCs w:val="24"/>
        </w:rPr>
        <w:t xml:space="preserve"> </w:t>
      </w:r>
      <w:r w:rsidR="0039415B" w:rsidRPr="00CB6F3B">
        <w:rPr>
          <w:rFonts w:ascii="Times New Roman" w:hAnsi="Times New Roman" w:cs="Times New Roman"/>
          <w:bCs/>
          <w:sz w:val="24"/>
          <w:szCs w:val="24"/>
        </w:rPr>
        <w:t>Here</w:t>
      </w:r>
      <w:r w:rsidR="00B170D1" w:rsidRPr="00CB6F3B">
        <w:rPr>
          <w:rFonts w:ascii="Times New Roman" w:hAnsi="Times New Roman" w:cs="Times New Roman"/>
          <w:bCs/>
          <w:sz w:val="24"/>
          <w:szCs w:val="24"/>
        </w:rPr>
        <w:t>, s</w:t>
      </w:r>
      <w:r w:rsidR="00C601F0" w:rsidRPr="00CB6F3B">
        <w:rPr>
          <w:rFonts w:ascii="Times New Roman" w:hAnsi="Times New Roman" w:cs="Times New Roman"/>
          <w:bCs/>
          <w:sz w:val="24"/>
          <w:szCs w:val="24"/>
        </w:rPr>
        <w:t xml:space="preserve">tratifying the data per phylum would ensure that the resulting bias does not affect </w:t>
      </w:r>
      <w:r w:rsidR="00B170D1" w:rsidRPr="00CB6F3B">
        <w:rPr>
          <w:rFonts w:ascii="Times New Roman" w:hAnsi="Times New Roman" w:cs="Times New Roman"/>
          <w:bCs/>
          <w:sz w:val="24"/>
          <w:szCs w:val="24"/>
        </w:rPr>
        <w:t>other soil eukaryotes</w:t>
      </w:r>
      <w:r w:rsidR="00177862" w:rsidRPr="00CB6F3B">
        <w:rPr>
          <w:rFonts w:ascii="Times New Roman" w:hAnsi="Times New Roman" w:cs="Times New Roman"/>
          <w:bCs/>
          <w:sz w:val="24"/>
          <w:szCs w:val="24"/>
        </w:rPr>
        <w:t>.</w:t>
      </w:r>
      <w:r w:rsidR="004D32AF" w:rsidRPr="00CB6F3B">
        <w:rPr>
          <w:rFonts w:ascii="Times New Roman" w:hAnsi="Times New Roman" w:cs="Times New Roman"/>
          <w:bCs/>
          <w:sz w:val="24"/>
          <w:szCs w:val="24"/>
        </w:rPr>
        <w:t xml:space="preserve"> </w:t>
      </w:r>
      <w:r w:rsidR="00AB1332" w:rsidRPr="00CB6F3B">
        <w:rPr>
          <w:rFonts w:ascii="Times New Roman" w:hAnsi="Times New Roman" w:cs="Times New Roman"/>
          <w:bCs/>
          <w:sz w:val="24"/>
          <w:szCs w:val="24"/>
        </w:rPr>
        <w:t xml:space="preserve">However, </w:t>
      </w:r>
      <w:r w:rsidR="0039415B" w:rsidRPr="00CB6F3B">
        <w:rPr>
          <w:rFonts w:ascii="Times New Roman" w:hAnsi="Times New Roman" w:cs="Times New Roman"/>
          <w:bCs/>
          <w:sz w:val="24"/>
          <w:szCs w:val="24"/>
        </w:rPr>
        <w:t xml:space="preserve"> whether stratification is necessary may depend on the research question, as analyzing organisms with diverse body sizes with amplicon sequencing </w:t>
      </w:r>
      <w:r w:rsidR="00714743" w:rsidRPr="00CB6F3B">
        <w:rPr>
          <w:rFonts w:ascii="Times New Roman" w:hAnsi="Times New Roman" w:cs="Times New Roman"/>
          <w:bCs/>
          <w:sz w:val="24"/>
          <w:szCs w:val="24"/>
        </w:rPr>
        <w:t>may be akin</w:t>
      </w:r>
      <w:r w:rsidR="0039415B" w:rsidRPr="00CB6F3B">
        <w:rPr>
          <w:rFonts w:ascii="Times New Roman" w:hAnsi="Times New Roman" w:cs="Times New Roman"/>
          <w:bCs/>
          <w:sz w:val="24"/>
          <w:szCs w:val="24"/>
        </w:rPr>
        <w:t xml:space="preserve"> to assessing the community through biomass estimates, rather than individual abundances</w:t>
      </w:r>
      <w:r w:rsidR="00FB3E76" w:rsidRPr="00CB6F3B">
        <w:rPr>
          <w:rFonts w:ascii="Times New Roman" w:hAnsi="Times New Roman" w:cs="Times New Roman"/>
          <w:bCs/>
          <w:sz w:val="24"/>
          <w:szCs w:val="24"/>
        </w:rPr>
        <w:t xml:space="preserve"> </w:t>
      </w:r>
      <w:r w:rsidR="00FB3E76" w:rsidRPr="00CB6F3B">
        <w:rPr>
          <w:rFonts w:ascii="Times New Roman" w:hAnsi="Times New Roman" w:cs="Times New Roman"/>
          <w:bCs/>
          <w:sz w:val="24"/>
          <w:szCs w:val="24"/>
        </w:rPr>
        <w:fldChar w:fldCharType="begin" w:fldLock="1"/>
      </w:r>
      <w:r w:rsidR="0041205F" w:rsidRPr="00CB6F3B">
        <w:rPr>
          <w:rFonts w:ascii="Times New Roman" w:hAnsi="Times New Roman" w:cs="Times New Roman"/>
          <w:bCs/>
          <w:sz w:val="24"/>
          <w:szCs w:val="24"/>
        </w:rPr>
        <w:instrText>ADDIN CSL_CITATION {"citationItems":[{"id":"ITEM-1","itemData":{"DOI":"10.3897/mbmg.3.46704","abstract":"Microscopic organisms are the dominant and most diverse organisms on Earth. Nematodes, as part of this microscopic diversity, are by far the most abundant animals and their diversity is equally high. Molecular metabarcoding is often applied to study the diversity of microorganisms, but has yet to become the standard to determine nematode communities. As such, the information metabarcoding provides, such as in terms of species coverage, taxonomic resolution and especially if sequence reads can be linked to the abundance or biomass of nematodes in a sample, has yet to be determined. Here, we applied metabarcoding using three primer sets located within ribosomal rRNA gene regions to target assembled mock-communities consisting of 18 different nematode species that we established in 9 different compositions. We determined abundances and biomass of all species added to examine if relative sequence abundance or biomass can be linked to relative sequence reads. We found that nematode communities are not equally represented by the three different primer sets and we found that relative read abundances almost perfectly correlated positively with relative species biomass for two of the primer sets. This strong biomass-read number correlation suggests that metabarcoding reads can reveal biomass information even amongst more complex nematode communities as present in the environment and possibly can be transferred to better study other groups of organisms. This biomass-read link is of particular importance for more reliably assessing nutrient flow through food-webs, as well as adjusting biogeochemical models through user-friendly and easily obtainable metabarcoding data.","author":[{"dropping-particle":"","family":"Schenk","given":"Janina","non-dropping-particle":"","parse-names":false,"suffix":""},{"dropping-particle":"","family":"Geisen","given":"Stefan","non-dropping-particle":"","parse-names":false,"suffix":""},{"dropping-particle":"","family":"Kleinboelting","given":"Nils","non-dropping-particle":"","parse-names":false,"suffix":""},{"dropping-particle":"","family":"Traunspurger","given":"Walter","non-dropping-particle":"","parse-names":false,"suffix":""}],"container-title":"Metabarcoding and Metagenomics","id":"ITEM-1","issued":{"date-parts":[["2019"]]},"page":"117-126","title":"Metabarcoding data allow for reliable biomass estimates in the most abundant animals on earth","type":"article-journal","volume":"3"},"uris":["http://www.mendeley.com/documents/?uuid=5f14623a-8ca6-4477-b215-2fabfce021a2"]},{"id":"ITEM-2","itemData":{"author":[{"dropping-particle":"","family":"Elbrecht","given":"Vasco","non-dropping-particle":"","parse-names":false,"suffix":""},{"dropping-particle":"","family":"Leese","given":"Florian","non-dropping-particle":"","parse-names":false,"suffix":""}],"container-title":"PeerJ","id":"ITEM-2","issue":"May","issued":{"date-parts":[["2015"]]},"title":"Can DNA-based ecosystem assessments quantify species abundance ? Testing primer bias and biomass - sequence relationships with an innovative metabarcoding protocol","type":"article-journal"},"uris":["http://www.mendeley.com/documents/?uuid=c0291cdc-b689-479b-9539-8dd18668416f"]}],"mendeley":{"formattedCitation":"[21, 52]","plainTextFormattedCitation":"[21, 52]","previouslyFormattedCitation":"[21, 52]"},"properties":{"noteIndex":0},"schema":"https://github.com/citation-style-language/schema/raw/master/csl-citation.json"}</w:instrText>
      </w:r>
      <w:r w:rsidR="00FB3E76" w:rsidRPr="00CB6F3B">
        <w:rPr>
          <w:rFonts w:ascii="Times New Roman" w:hAnsi="Times New Roman" w:cs="Times New Roman"/>
          <w:bCs/>
          <w:sz w:val="24"/>
          <w:szCs w:val="24"/>
        </w:rPr>
        <w:fldChar w:fldCharType="separate"/>
      </w:r>
      <w:r w:rsidR="0041205F" w:rsidRPr="00CB6F3B">
        <w:rPr>
          <w:rFonts w:ascii="Times New Roman" w:hAnsi="Times New Roman" w:cs="Times New Roman"/>
          <w:bCs/>
          <w:noProof/>
          <w:sz w:val="24"/>
          <w:szCs w:val="24"/>
        </w:rPr>
        <w:t>[21, 52]</w:t>
      </w:r>
      <w:r w:rsidR="00FB3E76" w:rsidRPr="00CB6F3B">
        <w:rPr>
          <w:rFonts w:ascii="Times New Roman" w:hAnsi="Times New Roman" w:cs="Times New Roman"/>
          <w:bCs/>
          <w:sz w:val="24"/>
          <w:szCs w:val="24"/>
        </w:rPr>
        <w:fldChar w:fldCharType="end"/>
      </w:r>
      <w:r w:rsidR="00714743" w:rsidRPr="00CB6F3B">
        <w:rPr>
          <w:rFonts w:ascii="Times New Roman" w:hAnsi="Times New Roman" w:cs="Times New Roman"/>
          <w:bCs/>
          <w:sz w:val="24"/>
          <w:szCs w:val="24"/>
        </w:rPr>
        <w:t xml:space="preserve">, once the difference in </w:t>
      </w:r>
      <w:r w:rsidR="00714743" w:rsidRPr="00CB6F3B">
        <w:rPr>
          <w:rFonts w:ascii="Times New Roman" w:hAnsi="Times New Roman" w:cs="Times New Roman"/>
          <w:bCs/>
          <w:sz w:val="24"/>
          <w:szCs w:val="24"/>
        </w:rPr>
        <w:t>marker gene copies per cell is considered</w:t>
      </w:r>
      <w:r w:rsidR="0039415B" w:rsidRPr="00CB6F3B">
        <w:rPr>
          <w:rFonts w:ascii="Times New Roman" w:hAnsi="Times New Roman" w:cs="Times New Roman"/>
          <w:bCs/>
          <w:sz w:val="24"/>
          <w:szCs w:val="24"/>
        </w:rPr>
        <w:t xml:space="preserve">. </w:t>
      </w:r>
      <w:bookmarkEnd w:id="14"/>
    </w:p>
    <w:bookmarkEnd w:id="15"/>
    <w:p w14:paraId="3113E851" w14:textId="1472D78B" w:rsidR="00192DBA" w:rsidRPr="00CB6F3B" w:rsidRDefault="00D84AEB" w:rsidP="003E420F">
      <w:pPr>
        <w:spacing w:line="480" w:lineRule="auto"/>
        <w:rPr>
          <w:rFonts w:ascii="Times New Roman" w:hAnsi="Times New Roman" w:cs="Times New Roman"/>
          <w:b/>
          <w:bCs/>
          <w:sz w:val="24"/>
          <w:szCs w:val="24"/>
        </w:rPr>
      </w:pPr>
      <w:r w:rsidRPr="00CB6F3B">
        <w:rPr>
          <w:rFonts w:ascii="Times New Roman" w:hAnsi="Times New Roman" w:cs="Times New Roman"/>
          <w:bCs/>
          <w:sz w:val="24"/>
          <w:szCs w:val="24"/>
        </w:rPr>
        <w:t xml:space="preserve"> </w:t>
      </w:r>
      <w:r w:rsidR="00EF08AE" w:rsidRPr="00CB6F3B">
        <w:rPr>
          <w:rFonts w:ascii="Times New Roman" w:hAnsi="Times New Roman" w:cs="Times New Roman"/>
          <w:b/>
          <w:bCs/>
          <w:sz w:val="24"/>
          <w:szCs w:val="24"/>
        </w:rPr>
        <w:t>3.2</w:t>
      </w:r>
      <w:r w:rsidR="00192DBA" w:rsidRPr="00CB6F3B">
        <w:rPr>
          <w:rFonts w:ascii="Times New Roman" w:hAnsi="Times New Roman" w:cs="Times New Roman"/>
          <w:b/>
          <w:bCs/>
          <w:sz w:val="24"/>
          <w:szCs w:val="24"/>
        </w:rPr>
        <w:t xml:space="preserve"> Rarefy separately</w:t>
      </w:r>
    </w:p>
    <w:p w14:paraId="69AECB4E" w14:textId="73148E12" w:rsidR="002D7793" w:rsidRPr="00CB6F3B" w:rsidRDefault="001A55B5" w:rsidP="009B0998">
      <w:pPr>
        <w:spacing w:line="480" w:lineRule="auto"/>
        <w:rPr>
          <w:rFonts w:ascii="Times New Roman" w:hAnsi="Times New Roman" w:cs="Times New Roman"/>
          <w:bCs/>
          <w:sz w:val="24"/>
          <w:szCs w:val="24"/>
        </w:rPr>
      </w:pPr>
      <w:bookmarkStart w:id="17" w:name="_Hlk48659995"/>
      <w:bookmarkStart w:id="18" w:name="_Hlk55127094"/>
      <w:r w:rsidRPr="00CB6F3B">
        <w:rPr>
          <w:rFonts w:ascii="Times New Roman" w:hAnsi="Times New Roman" w:cs="Times New Roman"/>
          <w:bCs/>
          <w:sz w:val="24"/>
          <w:szCs w:val="24"/>
        </w:rPr>
        <w:t>In addition to the</w:t>
      </w:r>
      <w:r w:rsidR="00451A53" w:rsidRPr="00CB6F3B">
        <w:rPr>
          <w:rFonts w:ascii="Times New Roman" w:hAnsi="Times New Roman" w:cs="Times New Roman"/>
          <w:bCs/>
          <w:sz w:val="24"/>
          <w:szCs w:val="24"/>
        </w:rPr>
        <w:t xml:space="preserve"> standard issues associated with the ecological analysis of observational data, sequencing data is further distorted by </w:t>
      </w:r>
      <w:r w:rsidR="00451A53" w:rsidRPr="00CB6F3B">
        <w:rPr>
          <w:rFonts w:ascii="Times New Roman" w:hAnsi="Times New Roman" w:cs="Times New Roman"/>
          <w:bCs/>
          <w:sz w:val="24"/>
          <w:szCs w:val="24"/>
        </w:rPr>
        <w:t>t</w:t>
      </w:r>
      <w:r w:rsidR="000C4A0B" w:rsidRPr="00CB6F3B">
        <w:rPr>
          <w:rFonts w:ascii="Times New Roman" w:hAnsi="Times New Roman" w:cs="Times New Roman"/>
          <w:bCs/>
          <w:sz w:val="24"/>
          <w:szCs w:val="24"/>
        </w:rPr>
        <w:t xml:space="preserve">he amplification and sequencing </w:t>
      </w:r>
      <w:r w:rsidR="00A66DE8" w:rsidRPr="00CB6F3B">
        <w:rPr>
          <w:rFonts w:ascii="Times New Roman" w:hAnsi="Times New Roman" w:cs="Times New Roman"/>
          <w:bCs/>
          <w:sz w:val="24"/>
          <w:szCs w:val="24"/>
        </w:rPr>
        <w:t>processes</w:t>
      </w:r>
      <w:r w:rsidR="00F45814" w:rsidRPr="00CB6F3B">
        <w:rPr>
          <w:rFonts w:ascii="Times New Roman" w:hAnsi="Times New Roman" w:cs="Times New Roman"/>
          <w:bCs/>
          <w:sz w:val="24"/>
          <w:szCs w:val="24"/>
        </w:rPr>
        <w:t>.</w:t>
      </w:r>
      <w:r w:rsidR="00451A53" w:rsidRPr="00CB6F3B">
        <w:rPr>
          <w:rFonts w:ascii="Times New Roman" w:hAnsi="Times New Roman" w:cs="Times New Roman"/>
          <w:bCs/>
          <w:sz w:val="24"/>
          <w:szCs w:val="24"/>
        </w:rPr>
        <w:t xml:space="preserve"> </w:t>
      </w:r>
      <w:r w:rsidR="00A66DE8" w:rsidRPr="00CB6F3B">
        <w:rPr>
          <w:rFonts w:ascii="Times New Roman" w:hAnsi="Times New Roman" w:cs="Times New Roman"/>
          <w:bCs/>
          <w:sz w:val="24"/>
          <w:szCs w:val="24"/>
        </w:rPr>
        <w:t xml:space="preserve">Amplification artificially increases the number of reads in the original sample, and the sequencer used imposes its own limits on the number of reads. Amplicon sequencing data is therefore compositional, and must be </w:t>
      </w:r>
      <w:r w:rsidR="00D92FB0" w:rsidRPr="00CB6F3B">
        <w:rPr>
          <w:rFonts w:ascii="Times New Roman" w:hAnsi="Times New Roman" w:cs="Times New Roman"/>
          <w:bCs/>
          <w:sz w:val="24"/>
          <w:szCs w:val="24"/>
        </w:rPr>
        <w:t>standardized</w:t>
      </w:r>
      <w:r w:rsidR="00DC1744" w:rsidRPr="00CB6F3B">
        <w:rPr>
          <w:rFonts w:ascii="Times New Roman" w:hAnsi="Times New Roman" w:cs="Times New Roman"/>
          <w:bCs/>
          <w:sz w:val="24"/>
          <w:szCs w:val="24"/>
        </w:rPr>
        <w:t xml:space="preserve"> </w:t>
      </w:r>
      <w:r w:rsidR="00A66DE8" w:rsidRPr="00CB6F3B">
        <w:rPr>
          <w:rFonts w:ascii="Times New Roman" w:hAnsi="Times New Roman" w:cs="Times New Roman"/>
          <w:bCs/>
          <w:sz w:val="24"/>
          <w:szCs w:val="24"/>
        </w:rPr>
        <w:t>prior to statistical analyses</w:t>
      </w:r>
      <w:r w:rsidR="00F45814" w:rsidRPr="00CB6F3B">
        <w:rPr>
          <w:rFonts w:ascii="Times New Roman" w:hAnsi="Times New Roman" w:cs="Times New Roman"/>
          <w:bCs/>
          <w:sz w:val="24"/>
          <w:szCs w:val="24"/>
        </w:rPr>
        <w:t xml:space="preserve"> </w:t>
      </w:r>
      <w:r w:rsidR="00F45814" w:rsidRPr="00CB6F3B">
        <w:rPr>
          <w:rFonts w:ascii="Times New Roman" w:hAnsi="Times New Roman" w:cs="Times New Roman"/>
          <w:bCs/>
          <w:sz w:val="24"/>
          <w:szCs w:val="24"/>
        </w:rPr>
        <w:fldChar w:fldCharType="begin" w:fldLock="1"/>
      </w:r>
      <w:r w:rsidR="00F45814" w:rsidRPr="00CB6F3B">
        <w:rPr>
          <w:rFonts w:ascii="Times New Roman" w:hAnsi="Times New Roman" w:cs="Times New Roman"/>
          <w:bCs/>
          <w:sz w:val="24"/>
          <w:szCs w:val="24"/>
        </w:rPr>
        <w:instrText>ADDIN CSL_CITATION {"citationItems":[{"id":"ITEM-1","itemData":{"DOI":"10.1093/gigascience/giz107","ISBN":"0000000302","ISSN":"2047217X","PMID":"31544212","abstract":"Background: Next-generation sequencing (NGS) has made it possible to determine the sequence and relative abundance of all nucleotides in a biological or environmental sample. A cornerstone of NGS is the quantification of RNA or DNA presence as counts. However, these counts are not counts per se: their magnitude is determined arbitrarily by the sequencing depth, not by the input material. Consequently, counts must undergo normalization prior to use. Conventional normalization methods require a set of assumptions: they assume that the majority of features are unchanged and that all environments under study have the same carrying capacity for nucleotide synthesis. These assumptions are often untestable and may not hold when heterogeneous samples are compared. Results: Methods developed within the field of compositional data analysis offer a general solution that is assumption-free and valid for all data. Herein, we synthesize the extant literature to provide a concise guide on how to apply compositional data analysis to NGS count data. Conclusions: In highlighting the limitations of total library size, effective library size, and spike-in normalizations, we propose the log-ratio transformation as a general solution to answer the question, \"Relative to some important activity of the cell, what is changing?\"","author":[{"dropping-particle":"","family":"Quinn","given":"Thomas P.","non-dropping-particle":"","parse-names":false,"suffix":""},{"dropping-particle":"","family":"Erb","given":"Ionas","non-dropping-particle":"","parse-names":false,"suffix":""},{"dropping-particle":"","family":"Gloor","given":"Greg","non-dropping-particle":"","parse-names":false,"suffix":""},{"dropping-particle":"","family":"Notredame","given":"Cedric","non-dropping-particle":"","parse-names":false,"suffix":""},{"dropping-particle":"","family":"Richardson","given":"Mark F.","non-dropping-particle":"","parse-names":false,"suffix":""},{"dropping-particle":"","family":"Crowley","given":"Tamsyn M.","non-dropping-particle":"","parse-names":false,"suffix":""}],"container-title":"GigaScience","id":"ITEM-1","issue":"9","issued":{"date-parts":[["2019"]]},"page":"1-14","publisher":"Oxford University Press","title":"A field guide for the compositional analysis of any-omics data","type":"article-journal","volume":"8"},"uris":["http://www.mendeley.com/documents/?uuid=ca9c86e0-dae0-40f2-9c19-53bae951123a"]}],"mendeley":{"formattedCitation":"[53]","plainTextFormattedCitation":"[53]","previouslyFormattedCitation":"[53]"},"properties":{"noteIndex":0},"schema":"https://github.com/citation-style-language/schema/raw/master/csl-citation.json"}</w:instrText>
      </w:r>
      <w:r w:rsidR="00F45814" w:rsidRPr="00CB6F3B">
        <w:rPr>
          <w:rFonts w:ascii="Times New Roman" w:hAnsi="Times New Roman" w:cs="Times New Roman"/>
          <w:bCs/>
          <w:sz w:val="24"/>
          <w:szCs w:val="24"/>
        </w:rPr>
        <w:fldChar w:fldCharType="separate"/>
      </w:r>
      <w:r w:rsidR="00F45814" w:rsidRPr="00CB6F3B">
        <w:rPr>
          <w:rFonts w:ascii="Times New Roman" w:hAnsi="Times New Roman" w:cs="Times New Roman"/>
          <w:bCs/>
          <w:noProof/>
          <w:sz w:val="24"/>
          <w:szCs w:val="24"/>
        </w:rPr>
        <w:t>[53]</w:t>
      </w:r>
      <w:r w:rsidR="00F45814" w:rsidRPr="00CB6F3B">
        <w:rPr>
          <w:rFonts w:ascii="Times New Roman" w:hAnsi="Times New Roman" w:cs="Times New Roman"/>
          <w:bCs/>
          <w:sz w:val="24"/>
          <w:szCs w:val="24"/>
        </w:rPr>
        <w:fldChar w:fldCharType="end"/>
      </w:r>
      <w:r w:rsidR="00A66DE8" w:rsidRPr="00CB6F3B">
        <w:rPr>
          <w:rFonts w:ascii="Times New Roman" w:hAnsi="Times New Roman" w:cs="Times New Roman"/>
          <w:bCs/>
          <w:sz w:val="24"/>
          <w:szCs w:val="24"/>
        </w:rPr>
        <w:t xml:space="preserve">. </w:t>
      </w:r>
      <w:r w:rsidR="00D92FB0" w:rsidRPr="00CB6F3B">
        <w:rPr>
          <w:rFonts w:ascii="Times New Roman" w:hAnsi="Times New Roman" w:cs="Times New Roman"/>
          <w:bCs/>
          <w:sz w:val="24"/>
          <w:szCs w:val="24"/>
        </w:rPr>
        <w:t>However, n</w:t>
      </w:r>
      <w:r w:rsidR="00F45814" w:rsidRPr="00CB6F3B">
        <w:rPr>
          <w:rFonts w:ascii="Times New Roman" w:hAnsi="Times New Roman" w:cs="Times New Roman"/>
          <w:bCs/>
          <w:sz w:val="24"/>
          <w:szCs w:val="24"/>
        </w:rPr>
        <w:t>o</w:t>
      </w:r>
      <w:r w:rsidR="00F45814" w:rsidRPr="00CB6F3B">
        <w:rPr>
          <w:rFonts w:ascii="Times New Roman" w:hAnsi="Times New Roman" w:cs="Times New Roman"/>
          <w:bCs/>
          <w:sz w:val="24"/>
          <w:szCs w:val="24"/>
        </w:rPr>
        <w:t xml:space="preserve"> consensus on the best methodology for </w:t>
      </w:r>
      <w:r w:rsidR="00D92FB0" w:rsidRPr="00CB6F3B">
        <w:rPr>
          <w:rFonts w:ascii="Times New Roman" w:hAnsi="Times New Roman" w:cs="Times New Roman"/>
          <w:bCs/>
          <w:sz w:val="24"/>
          <w:szCs w:val="24"/>
        </w:rPr>
        <w:t>standardizing</w:t>
      </w:r>
      <w:r w:rsidR="00F45814" w:rsidRPr="00CB6F3B">
        <w:rPr>
          <w:rFonts w:ascii="Times New Roman" w:hAnsi="Times New Roman" w:cs="Times New Roman"/>
          <w:bCs/>
          <w:sz w:val="24"/>
          <w:szCs w:val="24"/>
        </w:rPr>
        <w:t xml:space="preserve"> amplicon sequencing data </w:t>
      </w:r>
      <w:r w:rsidR="00F45814" w:rsidRPr="00CB6F3B">
        <w:rPr>
          <w:rFonts w:ascii="Times New Roman" w:hAnsi="Times New Roman" w:cs="Times New Roman"/>
          <w:bCs/>
          <w:sz w:val="24"/>
          <w:szCs w:val="24"/>
        </w:rPr>
        <w:t xml:space="preserve">exists, </w:t>
      </w:r>
      <w:r w:rsidR="00F45814" w:rsidRPr="00CB6F3B">
        <w:rPr>
          <w:rFonts w:ascii="Times New Roman" w:hAnsi="Times New Roman" w:cs="Times New Roman"/>
          <w:bCs/>
          <w:sz w:val="24"/>
          <w:szCs w:val="24"/>
        </w:rPr>
        <w:t>and</w:t>
      </w:r>
      <w:r w:rsidR="00F45814" w:rsidRPr="00CB6F3B">
        <w:rPr>
          <w:rFonts w:ascii="Times New Roman" w:hAnsi="Times New Roman" w:cs="Times New Roman"/>
          <w:bCs/>
          <w:sz w:val="24"/>
          <w:szCs w:val="24"/>
        </w:rPr>
        <w:t xml:space="preserve"> the optimal method depends on the ecological questions of interest </w:t>
      </w:r>
      <w:r w:rsidR="009B0998" w:rsidRPr="00CB6F3B">
        <w:rPr>
          <w:rFonts w:ascii="Times New Roman" w:hAnsi="Times New Roman" w:cs="Times New Roman"/>
          <w:bCs/>
          <w:sz w:val="24"/>
          <w:szCs w:val="24"/>
        </w:rPr>
        <w:t xml:space="preserve"> </w:t>
      </w:r>
      <w:r w:rsidR="009B0998" w:rsidRPr="00CB6F3B">
        <w:rPr>
          <w:rFonts w:ascii="Times New Roman" w:hAnsi="Times New Roman" w:cs="Times New Roman"/>
          <w:bCs/>
          <w:sz w:val="24"/>
          <w:szCs w:val="24"/>
        </w:rPr>
        <w:fldChar w:fldCharType="begin" w:fldLock="1"/>
      </w:r>
      <w:r w:rsidR="0041205F" w:rsidRPr="00CB6F3B">
        <w:rPr>
          <w:rFonts w:ascii="Times New Roman" w:hAnsi="Times New Roman" w:cs="Times New Roman"/>
          <w:bCs/>
          <w:sz w:val="24"/>
          <w:szCs w:val="24"/>
        </w:rPr>
        <w:instrText>ADDIN CSL_CITATION {"citationItems":[{"id":"ITEM-1","itemData":{"DOI":"10.1111/2041-210X.13115","ISSN":"2041210X","abstract":"Microbiome sequencing data often need to be normalized due to differences in read depths, and recommendations for microbiome analyses generally warn against using proportions or rarefying to normalize data and instead advocate alternatives, such as upper quartile, CSS, edgeR-TMM, or DESeq-VS. Those recommendations are, however, based on studies that focused on differential abundance testing and variance standardization, rather than community-level comparisons (i.e., beta diversity). Also, standardizing the within-sample variance across samples may suppress differences in species evenness, potentially distorting community-level patterns. Furthermore, the recommended methods use log transformations, which we expect to exaggerate the importance of differences among rare OTUs, while suppressing the importance of differences among common OTUs. We tested these theoretical predictions via simulations and a real-world dataset. Proportions and rarefying produced more accurate comparisons among communities and were the only methods that fully normalized read depths across samples. Additionally, upper quartile, CSS, edgeR-TMM, and DESeq-VS often masked differences among communities when common OTUs differed, and they produced false positives when rare OTUs differed. Based on our simulations, normalizing via proportions may be superior to other commonly used methods for comparing ecological communities.","author":[{"dropping-particle":"","family":"McKnight","given":"Donald T.","non-dropping-particle":"","parse-names":false,"suffix":""},{"dropping-particle":"","family":"Huerlimann","given":"Roger","non-dropping-particle":"","parse-names":false,"suffix":""},{"dropping-particle":"","family":"Bower","given":"Deborah S.","non-dropping-particle":"","parse-names":false,"suffix":""},{"dropping-particle":"","family":"Schwarzkopf","given":"Lin","non-dropping-particle":"","parse-names":false,"suffix":""},{"dropping-particle":"","family":"Alford","given":"Ross A.","non-dropping-particle":"","parse-names":false,"suffix":""},{"dropping-particle":"","family":"Zenger","given":"Kyall R.","non-dropping-particle":"","parse-names":false,"suffix":""}],"container-title":"Methods in Ecology and Evolution","id":"ITEM-1","issue":"3","issued":{"date-parts":[["2019"]]},"page":"389-400","title":"Methods for normalizing microbiome data: An ecological perspective","type":"article-journal","volume":"10"},"uris":["http://www.mendeley.com/documents/?uuid=9faef3e5-a2c6-4342-959b-b64228156ac4"]}],"mendeley":{"formattedCitation":"[54]","plainTextFormattedCitation":"[54]","previouslyFormattedCitation":"[54]"},"properties":{"noteIndex":0},"schema":"https://github.com/citation-style-language/schema/raw/master/csl-citation.json"}</w:instrText>
      </w:r>
      <w:r w:rsidR="009B0998" w:rsidRPr="00CB6F3B">
        <w:rPr>
          <w:rFonts w:ascii="Times New Roman" w:hAnsi="Times New Roman" w:cs="Times New Roman"/>
          <w:bCs/>
          <w:sz w:val="24"/>
          <w:szCs w:val="24"/>
        </w:rPr>
        <w:fldChar w:fldCharType="separate"/>
      </w:r>
      <w:r w:rsidR="0041205F" w:rsidRPr="00CB6F3B">
        <w:rPr>
          <w:rFonts w:ascii="Times New Roman" w:hAnsi="Times New Roman" w:cs="Times New Roman"/>
          <w:bCs/>
          <w:noProof/>
          <w:sz w:val="24"/>
          <w:szCs w:val="24"/>
        </w:rPr>
        <w:t>[54]</w:t>
      </w:r>
      <w:r w:rsidR="009B0998" w:rsidRPr="00CB6F3B">
        <w:rPr>
          <w:rFonts w:ascii="Times New Roman" w:hAnsi="Times New Roman" w:cs="Times New Roman"/>
          <w:bCs/>
          <w:sz w:val="24"/>
          <w:szCs w:val="24"/>
        </w:rPr>
        <w:fldChar w:fldCharType="end"/>
      </w:r>
      <w:r w:rsidR="00F45814" w:rsidRPr="00CB6F3B">
        <w:rPr>
          <w:rFonts w:ascii="Times New Roman" w:hAnsi="Times New Roman" w:cs="Times New Roman"/>
          <w:bCs/>
          <w:sz w:val="24"/>
          <w:szCs w:val="24"/>
        </w:rPr>
        <w:t xml:space="preserve"> and the data’s characteristics </w:t>
      </w:r>
      <w:r w:rsidR="009B0998" w:rsidRPr="00CB6F3B">
        <w:rPr>
          <w:rFonts w:ascii="Times New Roman" w:hAnsi="Times New Roman" w:cs="Times New Roman"/>
          <w:bCs/>
          <w:sz w:val="24"/>
          <w:szCs w:val="24"/>
        </w:rPr>
        <w:fldChar w:fldCharType="begin" w:fldLock="1"/>
      </w:r>
      <w:r w:rsidR="00F45814" w:rsidRPr="00CB6F3B">
        <w:rPr>
          <w:rFonts w:ascii="Times New Roman" w:hAnsi="Times New Roman" w:cs="Times New Roman"/>
          <w:bCs/>
          <w:sz w:val="24"/>
          <w:szCs w:val="24"/>
        </w:rPr>
        <w:instrText>ADDIN CSL_CITATION {"citationItems":[{"id":"ITEM-1","itemData":{"DOI":"10.1186/s40168-017-0237-y","ISSN":"2049-2618","abstract":"Data from 16S ribosomal RNA (rRNA) amplicon sequencing present challenges to ecological and statistical interpretation. In particular, library sizes often vary over several ranges of magnitude, and the data contains many zeros. Although we are typically interested in comparing relative abundance of taxa in the ecosystem of two or more groups, we can only measure the taxon relative abundance in specimens obtained from the ecosystems. Because the comparison of taxon relative abundance in the specimen is not equivalent to the comparison of taxon relative abundance in the ecosystems, this presents a special challenge. Second, because the relative abundance of taxa in the specimen (as well as in the ecosystem) sum to 1, these are compositional data. Because the compositional data are constrained by the simplex (sum to 1) and are not unconstrained in the Euclidean space, many standard methods of analysis are not applicable. Here, we evaluate how these challenges impact the performance of existing normalization methods and differential abundance analyses.","author":[{"dropping-particle":"","family":"Weiss","given":"Sophie","non-dropping-particle":"","parse-names":false,"suffix":""},{"dropping-particle":"","family":"Xu","given":"Zhenjiang Zech","non-dropping-particle":"","parse-names":false,"suffix":""},{"dropping-particle":"","family":"Peddada","given":"Shyamal","non-dropping-particle":"","parse-names":false,"suffix":""},{"dropping-particle":"","family":"Amir","given":"Amnon","non-dropping-particle":"","parse-names":false,"suffix":""},{"dropping-particle":"","family":"Bittinger","given":"Kyle","non-dropping-particle":"","parse-names":false,"suffix":""},{"dropping-particle":"","family":"Gonzalez","given":"Antonio","non-dropping-particle":"","parse-names":false,"suffix":""},{"dropping-particle":"","family":"Lozupone","given":"Catherine","non-dropping-particle":"","parse-names":false,"suffix":""},{"dropping-particle":"","family":"Zaneveld","given":"Jesse R","non-dropping-particle":"","parse-names":false,"suffix":""},{"dropping-particle":"","family":"Vázquez-Baeza","given":"Yoshiki","non-dropping-particle":"","parse-names":false,"suffix":""},{"dropping-particle":"","family":"Birmingham","given":"Amanda","non-dropping-particle":"","parse-names":false,"suffix":""},{"dropping-particle":"","family":"Hyde","given":"Embriette R","non-dropping-particle":"","parse-names":false,"suffix":""},{"dropping-particle":"","family":"Knight","given":"Rob","non-dropping-particle":"","parse-names":false,"suffix":""}],"container-title":"Microbiome","id":"ITEM-1","issue":"1","issued":{"date-parts":[["2017"]]},"page":"27","title":"Normalization and microbial differential abundance strategies depend upon data characteristics","type":"article-journal","volume":"5"},"uris":["http://www.mendeley.com/documents/?uuid=fa21dd89-daf3-409c-bed8-c64a3d3581a5"]}],"mendeley":{"formattedCitation":"[55]","plainTextFormattedCitation":"[55]","previouslyFormattedCitation":"[55]"},"properties":{"noteIndex":0},"schema":"https://github.com/citation-style-language/schema/raw/master/csl-citation.json"}</w:instrText>
      </w:r>
      <w:r w:rsidR="009B0998" w:rsidRPr="00CB6F3B">
        <w:rPr>
          <w:rFonts w:ascii="Times New Roman" w:hAnsi="Times New Roman" w:cs="Times New Roman"/>
          <w:bCs/>
          <w:sz w:val="24"/>
          <w:szCs w:val="24"/>
        </w:rPr>
        <w:fldChar w:fldCharType="separate"/>
      </w:r>
      <w:r w:rsidR="0041205F" w:rsidRPr="00CB6F3B">
        <w:rPr>
          <w:rFonts w:ascii="Times New Roman" w:hAnsi="Times New Roman" w:cs="Times New Roman"/>
          <w:bCs/>
          <w:noProof/>
          <w:sz w:val="24"/>
          <w:szCs w:val="24"/>
        </w:rPr>
        <w:t>[55]</w:t>
      </w:r>
      <w:r w:rsidR="009B0998" w:rsidRPr="00CB6F3B">
        <w:rPr>
          <w:rFonts w:ascii="Times New Roman" w:hAnsi="Times New Roman" w:cs="Times New Roman"/>
          <w:bCs/>
          <w:sz w:val="24"/>
          <w:szCs w:val="24"/>
        </w:rPr>
        <w:fldChar w:fldCharType="end"/>
      </w:r>
      <w:r w:rsidR="009B0998" w:rsidRPr="00CB6F3B">
        <w:rPr>
          <w:rFonts w:ascii="Times New Roman" w:hAnsi="Times New Roman" w:cs="Times New Roman"/>
          <w:bCs/>
          <w:sz w:val="24"/>
          <w:szCs w:val="24"/>
        </w:rPr>
        <w:t>. We advocate for r</w:t>
      </w:r>
      <w:r w:rsidR="002A3F0D" w:rsidRPr="00CB6F3B">
        <w:rPr>
          <w:rFonts w:ascii="Times New Roman" w:hAnsi="Times New Roman" w:cs="Times New Roman"/>
          <w:bCs/>
          <w:sz w:val="24"/>
          <w:szCs w:val="24"/>
        </w:rPr>
        <w:t>arefaction</w:t>
      </w:r>
      <w:r w:rsidR="009B0998" w:rsidRPr="00CB6F3B">
        <w:rPr>
          <w:rFonts w:ascii="Times New Roman" w:hAnsi="Times New Roman" w:cs="Times New Roman"/>
          <w:bCs/>
          <w:sz w:val="24"/>
          <w:szCs w:val="24"/>
        </w:rPr>
        <w:t xml:space="preserve">, which </w:t>
      </w:r>
      <w:r w:rsidR="00A070F8" w:rsidRPr="00CB6F3B">
        <w:rPr>
          <w:rFonts w:ascii="Times New Roman" w:hAnsi="Times New Roman" w:cs="Times New Roman"/>
          <w:bCs/>
          <w:sz w:val="24"/>
          <w:szCs w:val="24"/>
        </w:rPr>
        <w:t>randomly resampl</w:t>
      </w:r>
      <w:r w:rsidR="009B0998" w:rsidRPr="00CB6F3B">
        <w:rPr>
          <w:rFonts w:ascii="Times New Roman" w:hAnsi="Times New Roman" w:cs="Times New Roman"/>
          <w:bCs/>
          <w:sz w:val="24"/>
          <w:szCs w:val="24"/>
        </w:rPr>
        <w:t xml:space="preserve">es </w:t>
      </w:r>
      <w:r w:rsidR="00A070F8" w:rsidRPr="00CB6F3B">
        <w:rPr>
          <w:rFonts w:ascii="Times New Roman" w:hAnsi="Times New Roman" w:cs="Times New Roman"/>
          <w:bCs/>
          <w:sz w:val="24"/>
          <w:szCs w:val="24"/>
        </w:rPr>
        <w:t>observations to the same depth</w:t>
      </w:r>
      <w:r w:rsidR="00F45814" w:rsidRPr="00CB6F3B">
        <w:rPr>
          <w:rFonts w:ascii="Times New Roman" w:hAnsi="Times New Roman" w:cs="Times New Roman"/>
          <w:bCs/>
          <w:sz w:val="24"/>
          <w:szCs w:val="24"/>
        </w:rPr>
        <w:t xml:space="preserve"> as a </w:t>
      </w:r>
      <w:r w:rsidR="00F45814" w:rsidRPr="00CB6F3B">
        <w:rPr>
          <w:rFonts w:ascii="Times New Roman" w:hAnsi="Times New Roman" w:cs="Times New Roman"/>
          <w:bCs/>
          <w:sz w:val="24"/>
          <w:szCs w:val="24"/>
        </w:rPr>
        <w:t>sensible</w:t>
      </w:r>
      <w:r w:rsidR="00F45814" w:rsidRPr="00CB6F3B">
        <w:rPr>
          <w:rFonts w:ascii="Times New Roman" w:hAnsi="Times New Roman" w:cs="Times New Roman"/>
          <w:bCs/>
          <w:sz w:val="24"/>
          <w:szCs w:val="24"/>
        </w:rPr>
        <w:t xml:space="preserve"> compromise</w:t>
      </w:r>
      <w:r w:rsidR="009B0998" w:rsidRPr="00CB6F3B">
        <w:rPr>
          <w:rFonts w:ascii="Times New Roman" w:hAnsi="Times New Roman" w:cs="Times New Roman"/>
          <w:bCs/>
          <w:sz w:val="24"/>
          <w:szCs w:val="24"/>
        </w:rPr>
        <w:t xml:space="preserve">. Rarefaction outperforms most bioinformatics methods in compositional analyses </w:t>
      </w:r>
      <w:r w:rsidR="004E192E" w:rsidRPr="00CB6F3B">
        <w:rPr>
          <w:rFonts w:ascii="Times New Roman" w:hAnsi="Times New Roman" w:cs="Times New Roman"/>
          <w:bCs/>
          <w:sz w:val="24"/>
          <w:szCs w:val="24"/>
        </w:rPr>
        <w:fldChar w:fldCharType="begin" w:fldLock="1"/>
      </w:r>
      <w:r w:rsidR="0041205F" w:rsidRPr="00CB6F3B">
        <w:rPr>
          <w:rFonts w:ascii="Times New Roman" w:hAnsi="Times New Roman" w:cs="Times New Roman"/>
          <w:bCs/>
          <w:sz w:val="24"/>
          <w:szCs w:val="24"/>
        </w:rPr>
        <w:instrText>ADDIN CSL_CITATION {"citationItems":[{"id":"ITEM-1","itemData":{"DOI":"10.1111/2041-210X.13115","ISSN":"2041210X","abstract":"Microbiome sequencing data often need to be normalized due to differences in read depths, and recommendations for microbiome analyses generally warn against using proportions or rarefying to normalize data and instead advocate alternatives, such as upper quartile, CSS, edgeR-TMM, or DESeq-VS. Those recommendations are, however, based on studies that focused on differential abundance testing and variance standardization, rather than community-level comparisons (i.e., beta diversity). Also, standardizing the within-sample variance across samples may suppress differences in species evenness, potentially distorting community-level patterns. Furthermore, the recommended methods use log transformations, which we expect to exaggerate the importance of differences among rare OTUs, while suppressing the importance of differences among common OTUs. We tested these theoretical predictions via simulations and a real-world dataset. Proportions and rarefying produced more accurate comparisons among communities and were the only methods that fully normalized read depths across samples. Additionally, upper quartile, CSS, edgeR-TMM, and DESeq-VS often masked differences among communities when common OTUs differed, and they produced false positives when rare OTUs differed. Based on our simulations, normalizing via proportions may be superior to other commonly used methods for comparing ecological communities.","author":[{"dropping-particle":"","family":"McKnight","given":"Donald T.","non-dropping-particle":"","parse-names":false,"suffix":""},{"dropping-particle":"","family":"Huerlimann","given":"Roger","non-dropping-particle":"","parse-names":false,"suffix":""},{"dropping-particle":"","family":"Bower","given":"Deborah S.","non-dropping-particle":"","parse-names":false,"suffix":""},{"dropping-particle":"","family":"Schwarzkopf","given":"Lin","non-dropping-particle":"","parse-names":false,"suffix":""},{"dropping-particle":"","family":"Alford","given":"Ross A.","non-dropping-particle":"","parse-names":false,"suffix":""},{"dropping-particle":"","family":"Zenger","given":"Kyall R.","non-dropping-particle":"","parse-names":false,"suffix":""}],"container-title":"Methods in Ecology and Evolution","id":"ITEM-1","issue":"3","issued":{"date-parts":[["2019"]]},"page":"389-400","title":"Methods for normalizing microbiome data: An ecological perspective","type":"article-journal","volume":"10"},"uris":["http://www.mendeley.com/documents/?uuid=9faef3e5-a2c6-4342-959b-b64228156ac4"]}],"mendeley":{"formattedCitation":"[54]","plainTextFormattedCitation":"[54]","previouslyFormattedCitation":"[54]"},"properties":{"noteIndex":0},"schema":"https://github.com/citation-style-language/schema/raw/master/csl-citation.json"}</w:instrText>
      </w:r>
      <w:r w:rsidR="004E192E" w:rsidRPr="00CB6F3B">
        <w:rPr>
          <w:rFonts w:ascii="Times New Roman" w:hAnsi="Times New Roman" w:cs="Times New Roman"/>
          <w:bCs/>
          <w:sz w:val="24"/>
          <w:szCs w:val="24"/>
        </w:rPr>
        <w:fldChar w:fldCharType="separate"/>
      </w:r>
      <w:r w:rsidR="0041205F" w:rsidRPr="00CB6F3B">
        <w:rPr>
          <w:rFonts w:ascii="Times New Roman" w:hAnsi="Times New Roman" w:cs="Times New Roman"/>
          <w:bCs/>
          <w:noProof/>
          <w:sz w:val="24"/>
          <w:szCs w:val="24"/>
        </w:rPr>
        <w:t>[54]</w:t>
      </w:r>
      <w:r w:rsidR="004E192E" w:rsidRPr="00CB6F3B">
        <w:rPr>
          <w:rFonts w:ascii="Times New Roman" w:hAnsi="Times New Roman" w:cs="Times New Roman"/>
          <w:bCs/>
          <w:sz w:val="24"/>
          <w:szCs w:val="24"/>
        </w:rPr>
        <w:fldChar w:fldCharType="end"/>
      </w:r>
      <w:r w:rsidR="009B0998" w:rsidRPr="00CB6F3B">
        <w:rPr>
          <w:rFonts w:ascii="Times New Roman" w:hAnsi="Times New Roman" w:cs="Times New Roman"/>
          <w:bCs/>
          <w:sz w:val="24"/>
          <w:szCs w:val="24"/>
        </w:rPr>
        <w:t xml:space="preserve">, and deals well with </w:t>
      </w:r>
      <w:r w:rsidR="0063030D" w:rsidRPr="00CB6F3B">
        <w:rPr>
          <w:rFonts w:ascii="Times New Roman" w:hAnsi="Times New Roman" w:cs="Times New Roman"/>
          <w:bCs/>
          <w:sz w:val="24"/>
          <w:szCs w:val="24"/>
        </w:rPr>
        <w:t xml:space="preserve">small sample sizes and variable read depths </w:t>
      </w:r>
      <w:r w:rsidR="0063030D" w:rsidRPr="00CB6F3B">
        <w:rPr>
          <w:rFonts w:ascii="Times New Roman" w:hAnsi="Times New Roman" w:cs="Times New Roman"/>
          <w:bCs/>
          <w:sz w:val="24"/>
          <w:szCs w:val="24"/>
        </w:rPr>
        <w:fldChar w:fldCharType="begin" w:fldLock="1"/>
      </w:r>
      <w:r w:rsidR="0041205F" w:rsidRPr="00CB6F3B">
        <w:rPr>
          <w:rFonts w:ascii="Times New Roman" w:hAnsi="Times New Roman" w:cs="Times New Roman"/>
          <w:bCs/>
          <w:sz w:val="24"/>
          <w:szCs w:val="24"/>
        </w:rPr>
        <w:instrText>ADDIN CSL_CITATION {"citationItems":[{"id":"ITEM-1","itemData":{"DOI":"10.1186/s40168-017-0237-y","ISSN":"2049-2618","abstract":"Data from 16S ribosomal RNA (rRNA) amplicon sequencing present challenges to ecological and statistical interpretation. In particular, library sizes often vary over several ranges of magnitude, and the data contains many zeros. Although we are typically interested in comparing relative abundance of taxa in the ecosystem of two or more groups, we can only measure the taxon relative abundance in specimens obtained from the ecosystems. Because the comparison of taxon relative abundance in the specimen is not equivalent to the comparison of taxon relative abundance in the ecosystems, this presents a special challenge. Second, because the relative abundance of taxa in the specimen (as well as in the ecosystem) sum to 1, these are compositional data. Because the compositional data are constrained by the simplex (sum to 1) and are not unconstrained in the Euclidean space, many standard methods of analysis are not applicable. Here, we evaluate how these challenges impact the performance of existing normalization methods and differential abundance analyses.","author":[{"dropping-particle":"","family":"Weiss","given":"Sophie","non-dropping-particle":"","parse-names":false,"suffix":""},{"dropping-particle":"","family":"Xu","given":"Zhenjiang Zech","non-dropping-particle":"","parse-names":false,"suffix":""},{"dropping-particle":"","family":"Peddada","given":"Shyamal","non-dropping-particle":"","parse-names":false,"suffix":""},{"dropping-particle":"","family":"Amir","given":"Amnon","non-dropping-particle":"","parse-names":false,"suffix":""},{"dropping-particle":"","family":"Bittinger","given":"Kyle","non-dropping-particle":"","parse-names":false,"suffix":""},{"dropping-particle":"","family":"Gonzalez","given":"Antonio","non-dropping-particle":"","parse-names":false,"suffix":""},{"dropping-particle":"","family":"Lozupone","given":"Catherine","non-dropping-particle":"","parse-names":false,"suffix":""},{"dropping-particle":"","family":"Zaneveld","given":"Jesse R","non-dropping-particle":"","parse-names":false,"suffix":""},{"dropping-particle":"","family":"Vázquez-Baeza","given":"Yoshiki","non-dropping-particle":"","parse-names":false,"suffix":""},{"dropping-particle":"","family":"Birmingham","given":"Amanda","non-dropping-particle":"","parse-names":false,"suffix":""},{"dropping-particle":"","family":"Hyde","given":"Embriette R","non-dropping-particle":"","parse-names":false,"suffix":""},{"dropping-particle":"","family":"Knight","given":"Rob","non-dropping-particle":"","parse-names":false,"suffix":""}],"container-title":"Microbiome","id":"ITEM-1","issue":"1","issued":{"date-parts":[["2017"]]},"page":"27","title":"Normalization and microbial differential abundance strategies depend upon data characteristics","type":"article-journal","volume":"5"},"uris":["http://www.mendeley.com/documents/?uuid=fa21dd89-daf3-409c-bed8-c64a3d3581a5"]}],"mendeley":{"formattedCitation":"[55]","plainTextFormattedCitation":"[55]","previouslyFormattedCitation":"[55]"},"properties":{"noteIndex":0},"schema":"https://github.com/citation-style-language/schema/raw/master/csl-citation.json"}</w:instrText>
      </w:r>
      <w:r w:rsidR="0063030D" w:rsidRPr="00CB6F3B">
        <w:rPr>
          <w:rFonts w:ascii="Times New Roman" w:hAnsi="Times New Roman" w:cs="Times New Roman"/>
          <w:bCs/>
          <w:sz w:val="24"/>
          <w:szCs w:val="24"/>
        </w:rPr>
        <w:fldChar w:fldCharType="separate"/>
      </w:r>
      <w:r w:rsidR="0041205F" w:rsidRPr="00CB6F3B">
        <w:rPr>
          <w:rFonts w:ascii="Times New Roman" w:hAnsi="Times New Roman" w:cs="Times New Roman"/>
          <w:bCs/>
          <w:noProof/>
          <w:sz w:val="24"/>
          <w:szCs w:val="24"/>
        </w:rPr>
        <w:t>[55]</w:t>
      </w:r>
      <w:r w:rsidR="0063030D" w:rsidRPr="00CB6F3B">
        <w:rPr>
          <w:rFonts w:ascii="Times New Roman" w:hAnsi="Times New Roman" w:cs="Times New Roman"/>
          <w:bCs/>
          <w:sz w:val="24"/>
          <w:szCs w:val="24"/>
        </w:rPr>
        <w:fldChar w:fldCharType="end"/>
      </w:r>
      <w:r w:rsidR="00983214" w:rsidRPr="00CB6F3B">
        <w:rPr>
          <w:rFonts w:ascii="Times New Roman" w:hAnsi="Times New Roman" w:cs="Times New Roman"/>
          <w:bCs/>
          <w:sz w:val="24"/>
          <w:szCs w:val="24"/>
        </w:rPr>
        <w:t xml:space="preserve">. </w:t>
      </w:r>
      <w:bookmarkEnd w:id="17"/>
    </w:p>
    <w:p w14:paraId="43494454" w14:textId="0FB86FB4" w:rsidR="00177862" w:rsidRPr="00CB6F3B" w:rsidRDefault="008B7175" w:rsidP="002D2AE8">
      <w:pPr>
        <w:spacing w:line="480" w:lineRule="auto"/>
        <w:rPr>
          <w:rFonts w:ascii="Times New Roman" w:hAnsi="Times New Roman" w:cs="Times New Roman"/>
          <w:bCs/>
          <w:sz w:val="24"/>
          <w:szCs w:val="24"/>
        </w:rPr>
      </w:pPr>
      <w:bookmarkStart w:id="19" w:name="_Hlk55206689"/>
      <w:bookmarkEnd w:id="18"/>
      <w:r w:rsidRPr="00CB6F3B">
        <w:rPr>
          <w:rFonts w:ascii="Times New Roman" w:hAnsi="Times New Roman" w:cs="Times New Roman"/>
          <w:bCs/>
          <w:sz w:val="24"/>
          <w:szCs w:val="24"/>
        </w:rPr>
        <w:t>W</w:t>
      </w:r>
      <w:r w:rsidR="00342569" w:rsidRPr="00CB6F3B">
        <w:rPr>
          <w:rFonts w:ascii="Times New Roman" w:hAnsi="Times New Roman" w:cs="Times New Roman"/>
          <w:bCs/>
          <w:sz w:val="24"/>
          <w:szCs w:val="24"/>
        </w:rPr>
        <w:t xml:space="preserve">hen </w:t>
      </w:r>
      <w:r w:rsidR="00983214" w:rsidRPr="00CB6F3B">
        <w:rPr>
          <w:rFonts w:ascii="Times New Roman" w:hAnsi="Times New Roman" w:cs="Times New Roman"/>
          <w:bCs/>
          <w:sz w:val="24"/>
          <w:szCs w:val="24"/>
        </w:rPr>
        <w:t>c</w:t>
      </w:r>
      <w:r w:rsidR="00134FCC" w:rsidRPr="00CB6F3B">
        <w:rPr>
          <w:rFonts w:ascii="Times New Roman" w:hAnsi="Times New Roman" w:cs="Times New Roman"/>
          <w:bCs/>
          <w:sz w:val="24"/>
          <w:szCs w:val="24"/>
        </w:rPr>
        <w:t xml:space="preserve">ataloguing </w:t>
      </w:r>
      <w:r w:rsidR="00796711" w:rsidRPr="00CB6F3B">
        <w:rPr>
          <w:rFonts w:ascii="Times New Roman" w:hAnsi="Times New Roman" w:cs="Times New Roman"/>
          <w:bCs/>
          <w:sz w:val="24"/>
          <w:szCs w:val="24"/>
        </w:rPr>
        <w:t>all eukaryot</w:t>
      </w:r>
      <w:r w:rsidR="007E7E3E" w:rsidRPr="00CB6F3B">
        <w:rPr>
          <w:rFonts w:ascii="Times New Roman" w:hAnsi="Times New Roman" w:cs="Times New Roman"/>
          <w:bCs/>
          <w:sz w:val="24"/>
          <w:szCs w:val="24"/>
        </w:rPr>
        <w:t>es</w:t>
      </w:r>
      <w:r w:rsidR="00983214" w:rsidRPr="00CB6F3B">
        <w:rPr>
          <w:rFonts w:ascii="Times New Roman" w:hAnsi="Times New Roman" w:cs="Times New Roman"/>
          <w:bCs/>
          <w:sz w:val="24"/>
          <w:szCs w:val="24"/>
        </w:rPr>
        <w:t xml:space="preserve"> </w:t>
      </w:r>
      <w:r w:rsidR="00134FCC" w:rsidRPr="00CB6F3B">
        <w:rPr>
          <w:rFonts w:ascii="Times New Roman" w:hAnsi="Times New Roman" w:cs="Times New Roman"/>
          <w:bCs/>
          <w:sz w:val="24"/>
          <w:szCs w:val="24"/>
        </w:rPr>
        <w:t>simultaneously</w:t>
      </w:r>
      <w:r w:rsidR="0081556B" w:rsidRPr="00CB6F3B">
        <w:rPr>
          <w:rFonts w:ascii="Times New Roman" w:hAnsi="Times New Roman" w:cs="Times New Roman"/>
          <w:bCs/>
          <w:sz w:val="24"/>
          <w:szCs w:val="24"/>
        </w:rPr>
        <w:t xml:space="preserve">, biases </w:t>
      </w:r>
      <w:r w:rsidR="00761B33" w:rsidRPr="00CB6F3B">
        <w:rPr>
          <w:rFonts w:ascii="Times New Roman" w:hAnsi="Times New Roman" w:cs="Times New Roman"/>
          <w:bCs/>
          <w:sz w:val="24"/>
          <w:szCs w:val="24"/>
        </w:rPr>
        <w:t xml:space="preserve">arising </w:t>
      </w:r>
      <w:r w:rsidR="0081556B" w:rsidRPr="00CB6F3B">
        <w:rPr>
          <w:rFonts w:ascii="Times New Roman" w:hAnsi="Times New Roman" w:cs="Times New Roman"/>
          <w:bCs/>
          <w:sz w:val="24"/>
          <w:szCs w:val="24"/>
        </w:rPr>
        <w:t>from</w:t>
      </w:r>
      <w:r w:rsidR="0081556B" w:rsidRPr="00CB6F3B">
        <w:rPr>
          <w:rFonts w:ascii="Times New Roman" w:hAnsi="Times New Roman" w:cs="Times New Roman"/>
          <w:bCs/>
          <w:sz w:val="24"/>
          <w:szCs w:val="24"/>
        </w:rPr>
        <w:t xml:space="preserve"> morphological</w:t>
      </w:r>
      <w:r w:rsidR="0081556B" w:rsidRPr="00CB6F3B">
        <w:rPr>
          <w:rFonts w:ascii="Times New Roman" w:hAnsi="Times New Roman" w:cs="Times New Roman"/>
          <w:bCs/>
          <w:sz w:val="24"/>
          <w:szCs w:val="24"/>
        </w:rPr>
        <w:t xml:space="preserve"> and phylogenetic variation may interact</w:t>
      </w:r>
      <w:r w:rsidR="0081556B" w:rsidRPr="00CB6F3B">
        <w:rPr>
          <w:rFonts w:ascii="Times New Roman" w:hAnsi="Times New Roman" w:cs="Times New Roman"/>
          <w:bCs/>
          <w:sz w:val="24"/>
          <w:szCs w:val="24"/>
        </w:rPr>
        <w:t xml:space="preserve"> to further distort </w:t>
      </w:r>
      <w:r w:rsidR="007E7E3E" w:rsidRPr="00CB6F3B">
        <w:rPr>
          <w:rFonts w:ascii="Times New Roman" w:hAnsi="Times New Roman" w:cs="Times New Roman"/>
          <w:bCs/>
          <w:sz w:val="24"/>
          <w:szCs w:val="24"/>
        </w:rPr>
        <w:t xml:space="preserve">diversity estimates. </w:t>
      </w:r>
      <w:r w:rsidR="0081556B" w:rsidRPr="00CB6F3B">
        <w:rPr>
          <w:rFonts w:ascii="Times New Roman" w:hAnsi="Times New Roman" w:cs="Times New Roman"/>
          <w:bCs/>
          <w:sz w:val="24"/>
          <w:szCs w:val="24"/>
        </w:rPr>
        <w:t xml:space="preserve">We suggest </w:t>
      </w:r>
      <w:r w:rsidR="00AC1C73" w:rsidRPr="00CB6F3B">
        <w:rPr>
          <w:rFonts w:ascii="Times New Roman" w:hAnsi="Times New Roman" w:cs="Times New Roman"/>
          <w:bCs/>
          <w:sz w:val="24"/>
          <w:szCs w:val="24"/>
        </w:rPr>
        <w:t>rarefying</w:t>
      </w:r>
      <w:r w:rsidR="0081556B" w:rsidRPr="00CB6F3B">
        <w:rPr>
          <w:rFonts w:ascii="Times New Roman" w:hAnsi="Times New Roman" w:cs="Times New Roman"/>
          <w:bCs/>
          <w:sz w:val="24"/>
          <w:szCs w:val="24"/>
        </w:rPr>
        <w:t xml:space="preserve"> phylogenetic groups </w:t>
      </w:r>
      <w:r w:rsidR="00AC1C73" w:rsidRPr="00CB6F3B">
        <w:rPr>
          <w:rFonts w:ascii="Times New Roman" w:hAnsi="Times New Roman" w:cs="Times New Roman"/>
          <w:bCs/>
          <w:sz w:val="24"/>
          <w:szCs w:val="24"/>
        </w:rPr>
        <w:t>separately</w:t>
      </w:r>
      <w:r w:rsidR="0081556B" w:rsidRPr="00CB6F3B">
        <w:rPr>
          <w:rFonts w:ascii="Times New Roman" w:hAnsi="Times New Roman" w:cs="Times New Roman"/>
          <w:bCs/>
          <w:sz w:val="24"/>
          <w:szCs w:val="24"/>
        </w:rPr>
        <w:t>, as most biases (i.e., marker gene copies per cel</w:t>
      </w:r>
      <w:r w:rsidR="0081556B" w:rsidRPr="00CB6F3B">
        <w:rPr>
          <w:rFonts w:ascii="Times New Roman" w:hAnsi="Times New Roman" w:cs="Times New Roman"/>
          <w:bCs/>
          <w:sz w:val="24"/>
          <w:szCs w:val="24"/>
        </w:rPr>
        <w:t xml:space="preserve">l, organism size, and taxonomic resolution of the marker gene of choice) </w:t>
      </w:r>
      <w:r w:rsidR="0081556B" w:rsidRPr="00CB6F3B">
        <w:rPr>
          <w:rFonts w:ascii="Times New Roman" w:hAnsi="Times New Roman" w:cs="Times New Roman"/>
          <w:bCs/>
          <w:sz w:val="24"/>
          <w:szCs w:val="24"/>
        </w:rPr>
        <w:t>are phylogenetically conserve</w:t>
      </w:r>
      <w:r w:rsidR="000277E0" w:rsidRPr="00CB6F3B">
        <w:rPr>
          <w:rFonts w:ascii="Times New Roman" w:hAnsi="Times New Roman" w:cs="Times New Roman"/>
          <w:bCs/>
          <w:sz w:val="24"/>
          <w:szCs w:val="24"/>
        </w:rPr>
        <w:t xml:space="preserve">d </w:t>
      </w:r>
      <w:r w:rsidR="000277E0" w:rsidRPr="00CB6F3B">
        <w:rPr>
          <w:rFonts w:ascii="Times New Roman" w:eastAsia="Times New Roman" w:hAnsi="Times New Roman" w:cs="Times New Roman"/>
          <w:sz w:val="24"/>
          <w:szCs w:val="24"/>
        </w:rPr>
        <w:fldChar w:fldCharType="begin" w:fldLock="1"/>
      </w:r>
      <w:r w:rsidR="000277E0" w:rsidRPr="00CB6F3B">
        <w:rPr>
          <w:rFonts w:ascii="Times New Roman" w:eastAsia="Times New Roman" w:hAnsi="Times New Roman" w:cs="Times New Roman"/>
          <w:sz w:val="24"/>
          <w:szCs w:val="24"/>
        </w:rPr>
        <w:instrText>ADDIN CSL_CITATION {"citationItems":[{"id":"ITEM-1","itemData":{"DOI":"10.3389/fenvs.2014.00007","ISSN":"2296665X","abstract":"Terrestrial ecologists and soil modelers have traditionally portrayed the inhabitants of soil as a black box labeled as \"soil fauna\" or \"decomposers or detritivores\" assuming that they just merely recycle the deposited dead plant material. Soil is one of the most diverse habitats on Earth and contains one of the most diverse assemblages of living organisms; however, the opacity of this world has severely limited our understanding of their functional contributions to soil processes and to ecosystem resilience. Traditional taxonomy, based on morphological and anatomical aspects, is becoming replaced by rapid processing molecular techniques (e.g., with marker gene-based approaches). However, this may be impracticable in many ecological studies and consequently, the majority of the current knowledge, still contributes little to our understanding of their role in ecosystem functioning. Over the years, different workers have produced several \"functional classifications\" based on the body width, feeding regime, certain behavioral and reproductive aspects and ecological niches of soil organisms. Unfortunately, the information available is severely restricted to \"major\" groups. A better physiological and metabolic understanding of when and how a complex community of soil organisms access nutrients, alter their environment and in turn, affect soil processes, will allow a more realistic quantitative evaluation of their ecological roles in the biogeochemical cycles. Here, I review the applicability of the available approaches, highlight future research challenges and propose a dynamic conceptual framework that could improve our ability to solve this functional puzzle.","author":[{"dropping-particle":"","family":"Briones","given":"María Jesús I.","non-dropping-particle":"","parse-names":false,"suffix":""}],"container-title":"Frontiers in Environmental Science","id":"ITEM-1","issue":"APR","issued":{"date-parts":[["2014","4","22"]]},"publisher":"Frontiers Media S.A.","title":"Soil fauna and soil functions: A jigsaw puzzle","type":"article","volume":"2"},"uris":["http://www.mendeley.com/documents/?uuid=68bbc5e3-d2ae-3b44-b6e3-98f1dd6425f8"]},{"id":"ITEM-2","itemData":{"DOI":"10.1126/science.aac9323","ISSN":"10959203","abstract":"A focus on the phenotypic characteristics of microorganisms-their traits-offers a path for interpreting the growing amount of microbiome data.We review key aspects of microbial traits, as well as approaches used to assay their phylogenetic distribution. Recent studies reveal that microbial traits are differentially conserved across the tree of life and appear to be conserved in a hierarchical fashion, possibly linked to their biochemical complexity. These results suggest a predictive framework whereby the genetic (or taxonomic) resolution of microbiome variation among samples provides information about the traits under selection. The organizational parallels seen among human and free-living microbiomes seem to support this idea. Developments in this framework may offer predictions not only for how microbial composition responds to changing environmental conditions, but also for how these changes may alter the health or functioning in human, engineered, and environmental systems.","author":[{"dropping-particle":"","family":"Martiny","given":"Jennifer B.H.","non-dropping-particle":"","parse-names":false,"suffix":""},{"dropping-particle":"","family":"Jones","given":"Stuart E.","non-dropping-particle":"","parse-names":false,"suffix":""},{"dropping-particle":"","family":"Lennon","given":"Jay T.","non-dropping-particle":"","parse-names":false,"suffix":""},{"dropping-particle":"","family":"Martiny","given":"Adam C.","non-dropping-particle":"","parse-names":false,"suffix":""}],"container-title":"Science","id":"ITEM-2","issue":"6261","issued":{"date-parts":[["2015"]]},"title":"Microbiomes in light of traits: A phylogenetic perspective","type":"article-journal","volume":"350"},"uris":["http://www.mendeley.com/documents/?uuid=cf194ac7-6842-4b0b-b473-cd8a58c5c61d"]}],"mendeley":{"formattedCitation":"[50, 51]","plainTextFormattedCitation":"[50, 51]","previouslyFormattedCitation":"[50, 51]"},"properties":{"noteIndex":0},"schema":"https://github.com/citation-style-language/schema/raw/master/csl-citation.json"}</w:instrText>
      </w:r>
      <w:r w:rsidR="000277E0" w:rsidRPr="00CB6F3B">
        <w:rPr>
          <w:rFonts w:ascii="Times New Roman" w:eastAsia="Times New Roman" w:hAnsi="Times New Roman" w:cs="Times New Roman"/>
          <w:sz w:val="24"/>
          <w:szCs w:val="24"/>
        </w:rPr>
        <w:fldChar w:fldCharType="separate"/>
      </w:r>
      <w:r w:rsidR="000277E0" w:rsidRPr="00CB6F3B">
        <w:rPr>
          <w:rFonts w:ascii="Times New Roman" w:eastAsia="Times New Roman" w:hAnsi="Times New Roman" w:cs="Times New Roman"/>
          <w:noProof/>
          <w:sz w:val="24"/>
          <w:szCs w:val="24"/>
        </w:rPr>
        <w:t>[50, 51]</w:t>
      </w:r>
      <w:r w:rsidR="000277E0" w:rsidRPr="00CB6F3B">
        <w:rPr>
          <w:rFonts w:ascii="Times New Roman" w:eastAsia="Times New Roman" w:hAnsi="Times New Roman" w:cs="Times New Roman"/>
          <w:sz w:val="24"/>
          <w:szCs w:val="24"/>
        </w:rPr>
        <w:fldChar w:fldCharType="end"/>
      </w:r>
      <w:r w:rsidR="0081556B" w:rsidRPr="00CB6F3B">
        <w:rPr>
          <w:rFonts w:ascii="Times New Roman" w:hAnsi="Times New Roman" w:cs="Times New Roman"/>
          <w:bCs/>
          <w:sz w:val="24"/>
          <w:szCs w:val="24"/>
        </w:rPr>
        <w:t>.</w:t>
      </w:r>
      <w:r w:rsidR="00494318" w:rsidRPr="00CB6F3B">
        <w:rPr>
          <w:rFonts w:ascii="Times New Roman" w:hAnsi="Times New Roman" w:cs="Times New Roman"/>
          <w:bCs/>
          <w:sz w:val="24"/>
          <w:szCs w:val="24"/>
        </w:rPr>
        <w:t xml:space="preserve"> Consider, for example, a comparison between the diversity in two </w:t>
      </w:r>
      <w:r w:rsidR="00494318" w:rsidRPr="00CB6F3B">
        <w:rPr>
          <w:rFonts w:ascii="Times New Roman" w:hAnsi="Times New Roman" w:cs="Times New Roman"/>
          <w:bCs/>
          <w:sz w:val="24"/>
          <w:szCs w:val="24"/>
        </w:rPr>
        <w:lastRenderedPageBreak/>
        <w:t xml:space="preserve">adjacent soil samples, </w:t>
      </w:r>
      <w:r w:rsidR="007E7E3E" w:rsidRPr="00CB6F3B">
        <w:rPr>
          <w:rFonts w:ascii="Times New Roman" w:hAnsi="Times New Roman" w:cs="Times New Roman"/>
          <w:bCs/>
          <w:sz w:val="24"/>
          <w:szCs w:val="24"/>
        </w:rPr>
        <w:t xml:space="preserve">one which captured a segment of earthworm tissue, and </w:t>
      </w:r>
      <w:r w:rsidR="00494318" w:rsidRPr="00CB6F3B">
        <w:rPr>
          <w:rFonts w:ascii="Times New Roman" w:hAnsi="Times New Roman" w:cs="Times New Roman"/>
          <w:bCs/>
          <w:sz w:val="24"/>
          <w:szCs w:val="24"/>
        </w:rPr>
        <w:t xml:space="preserve">a second </w:t>
      </w:r>
      <w:r w:rsidR="007E7E3E" w:rsidRPr="00CB6F3B">
        <w:rPr>
          <w:rFonts w:ascii="Times New Roman" w:hAnsi="Times New Roman" w:cs="Times New Roman"/>
          <w:bCs/>
          <w:sz w:val="24"/>
          <w:szCs w:val="24"/>
        </w:rPr>
        <w:t>one which did not. In rarefying both samples to the same observation depth, a high proportion of the reads in the first sample will belong to the earthworm, which has more cells and likely more marker copies per cell than smaller eukaryotes</w:t>
      </w:r>
      <w:r w:rsidR="00494318" w:rsidRPr="00CB6F3B">
        <w:rPr>
          <w:rFonts w:ascii="Times New Roman" w:hAnsi="Times New Roman" w:cs="Times New Roman"/>
          <w:bCs/>
          <w:sz w:val="24"/>
          <w:szCs w:val="24"/>
        </w:rPr>
        <w:t xml:space="preserve">. Consequently, </w:t>
      </w:r>
      <w:r w:rsidR="007E7E3E" w:rsidRPr="00CB6F3B">
        <w:rPr>
          <w:rFonts w:ascii="Times New Roman" w:hAnsi="Times New Roman" w:cs="Times New Roman"/>
          <w:bCs/>
          <w:sz w:val="24"/>
          <w:szCs w:val="24"/>
        </w:rPr>
        <w:t xml:space="preserve">smaller taxa will be underrepresented </w:t>
      </w:r>
      <w:r w:rsidR="00494318" w:rsidRPr="00CB6F3B">
        <w:rPr>
          <w:rFonts w:ascii="Times New Roman" w:hAnsi="Times New Roman" w:cs="Times New Roman"/>
          <w:bCs/>
          <w:sz w:val="24"/>
          <w:szCs w:val="24"/>
        </w:rPr>
        <w:t xml:space="preserve">and diversity will be underestimated </w:t>
      </w:r>
      <w:r w:rsidR="007E7E3E" w:rsidRPr="00CB6F3B">
        <w:rPr>
          <w:rFonts w:ascii="Times New Roman" w:hAnsi="Times New Roman" w:cs="Times New Roman"/>
          <w:bCs/>
          <w:sz w:val="24"/>
          <w:szCs w:val="24"/>
        </w:rPr>
        <w:t>in th</w:t>
      </w:r>
      <w:r w:rsidR="00494318" w:rsidRPr="00CB6F3B">
        <w:rPr>
          <w:rFonts w:ascii="Times New Roman" w:hAnsi="Times New Roman" w:cs="Times New Roman"/>
          <w:bCs/>
          <w:sz w:val="24"/>
          <w:szCs w:val="24"/>
        </w:rPr>
        <w:t>e first</w:t>
      </w:r>
      <w:r w:rsidR="007E7E3E" w:rsidRPr="00CB6F3B">
        <w:rPr>
          <w:rFonts w:ascii="Times New Roman" w:hAnsi="Times New Roman" w:cs="Times New Roman"/>
          <w:bCs/>
          <w:sz w:val="24"/>
          <w:szCs w:val="24"/>
        </w:rPr>
        <w:t xml:space="preserve"> sample</w:t>
      </w:r>
      <w:r w:rsidR="00494318" w:rsidRPr="00CB6F3B">
        <w:rPr>
          <w:rFonts w:ascii="Times New Roman" w:hAnsi="Times New Roman" w:cs="Times New Roman"/>
          <w:bCs/>
          <w:sz w:val="24"/>
          <w:szCs w:val="24"/>
        </w:rPr>
        <w:t xml:space="preserve"> relative to the second</w:t>
      </w:r>
      <w:r w:rsidR="00494318" w:rsidRPr="00CB6F3B">
        <w:rPr>
          <w:rFonts w:ascii="Times New Roman" w:hAnsi="Times New Roman" w:cs="Times New Roman"/>
          <w:bCs/>
          <w:sz w:val="24"/>
          <w:szCs w:val="24"/>
        </w:rPr>
        <w:t xml:space="preserve">. </w:t>
      </w:r>
      <w:r w:rsidR="00972F32" w:rsidRPr="00CB6F3B">
        <w:rPr>
          <w:rFonts w:ascii="Times New Roman" w:hAnsi="Times New Roman" w:cs="Times New Roman"/>
          <w:bCs/>
          <w:sz w:val="24"/>
          <w:szCs w:val="24"/>
        </w:rPr>
        <w:t xml:space="preserve">Stratifying data at the phylum level may be a good starting point, as </w:t>
      </w:r>
      <w:r w:rsidR="00494318" w:rsidRPr="00CB6F3B">
        <w:rPr>
          <w:rFonts w:ascii="Times New Roman" w:hAnsi="Times New Roman" w:cs="Times New Roman"/>
          <w:bCs/>
          <w:sz w:val="24"/>
          <w:szCs w:val="24"/>
        </w:rPr>
        <w:t>physiological traits</w:t>
      </w:r>
      <w:r w:rsidR="00972F32" w:rsidRPr="00CB6F3B">
        <w:rPr>
          <w:rFonts w:ascii="Times New Roman" w:hAnsi="Times New Roman" w:cs="Times New Roman"/>
          <w:bCs/>
          <w:sz w:val="24"/>
          <w:szCs w:val="24"/>
        </w:rPr>
        <w:t xml:space="preserve"> </w:t>
      </w:r>
      <w:r w:rsidR="00494318" w:rsidRPr="00CB6F3B">
        <w:rPr>
          <w:rFonts w:ascii="Times New Roman" w:hAnsi="Times New Roman" w:cs="Times New Roman"/>
          <w:bCs/>
          <w:sz w:val="24"/>
          <w:szCs w:val="24"/>
        </w:rPr>
        <w:t xml:space="preserve">are often conserved at the phylum level </w:t>
      </w:r>
      <w:r w:rsidR="00494318" w:rsidRPr="00CB6F3B">
        <w:rPr>
          <w:rFonts w:ascii="Times New Roman" w:eastAsia="Times New Roman" w:hAnsi="Times New Roman" w:cs="Times New Roman"/>
          <w:sz w:val="24"/>
          <w:szCs w:val="24"/>
        </w:rPr>
        <w:fldChar w:fldCharType="begin" w:fldLock="1"/>
      </w:r>
      <w:r w:rsidR="00494318" w:rsidRPr="00CB6F3B">
        <w:rPr>
          <w:rFonts w:ascii="Times New Roman" w:eastAsia="Times New Roman" w:hAnsi="Times New Roman" w:cs="Times New Roman"/>
          <w:sz w:val="24"/>
          <w:szCs w:val="24"/>
        </w:rPr>
        <w:instrText>ADDIN CSL_CITATION {"citationItems":[{"id":"ITEM-1","itemData":{"DOI":"10.3389/fenvs.2014.00007","ISSN":"2296665X","abstract":"Terrestrial ecologists and soil modelers have traditionally portrayed the inhabitants of soil as a black box labeled as \"soil fauna\" or \"decomposers or detritivores\" assuming that they just merely recycle the deposited dead plant material. Soil is one of the most diverse habitats on Earth and contains one of the most diverse assemblages of living organisms; however, the opacity of this world has severely limited our understanding of their functional contributions to soil processes and to ecosystem resilience. Traditional taxonomy, based on morphological and anatomical aspects, is becoming replaced by rapid processing molecular techniques (e.g., with marker gene-based approaches). However, this may be impracticable in many ecological studies and consequently, the majority of the current knowledge, still contributes little to our understanding of their role in ecosystem functioning. Over the years, different workers have produced several \"functional classifications\" based on the body width, feeding regime, certain behavioral and reproductive aspects and ecological niches of soil organisms. Unfortunately, the information available is severely restricted to \"major\" groups. A better physiological and metabolic understanding of when and how a complex community of soil organisms access nutrients, alter their environment and in turn, affect soil processes, will allow a more realistic quantitative evaluation of their ecological roles in the biogeochemical cycles. Here, I review the applicability of the available approaches, highlight future research challenges and propose a dynamic conceptual framework that could improve our ability to solve this functional puzzle.","author":[{"dropping-particle":"","family":"Briones","given":"María Jesús I.","non-dropping-particle":"","parse-names":false,"suffix":""}],"container-title":"Frontiers in Environmental Science","id":"ITEM-1","issue":"APR","issued":{"date-parts":[["2014","4","22"]]},"publisher":"Frontiers Media S.A.","title":"Soil fauna and soil functions: A jigsaw puzzle","type":"article","volume":"2"},"uris":["http://www.mendeley.com/documents/?uuid=68bbc5e3-d2ae-3b44-b6e3-98f1dd6425f8"]},{"id":"ITEM-2","itemData":{"DOI":"10.1126/science.aac9323","ISSN":"10959203","abstract":"A focus on the phenotypic characteristics of microorganisms-their traits-offers a path for interpreting the growing amount of microbiome data.We review key aspects of microbial traits, as well as approaches used to assay their phylogenetic distribution. Recent studies reveal that microbial traits are differentially conserved across the tree of life and appear to be conserved in a hierarchical fashion, possibly linked to their biochemical complexity. These results suggest a predictive framework whereby the genetic (or taxonomic) resolution of microbiome variation among samples provides information about the traits under selection. The organizational parallels seen among human and free-living microbiomes seem to support this idea. Developments in this framework may offer predictions not only for how microbial composition responds to changing environmental conditions, but also for how these changes may alter the health or functioning in human, engineered, and environmental systems.","author":[{"dropping-particle":"","family":"Martiny","given":"Jennifer B.H.","non-dropping-particle":"","parse-names":false,"suffix":""},{"dropping-particle":"","family":"Jones","given":"Stuart E.","non-dropping-particle":"","parse-names":false,"suffix":""},{"dropping-particle":"","family":"Lennon","given":"Jay T.","non-dropping-particle":"","parse-names":false,"suffix":""},{"dropping-particle":"","family":"Martiny","given":"Adam C.","non-dropping-particle":"","parse-names":false,"suffix":""}],"container-title":"Science","id":"ITEM-2","issue":"6261","issued":{"date-parts":[["2015"]]},"title":"Microbiomes in light of traits: A phylogenetic perspective","type":"article-journal","volume":"350"},"uris":["http://www.mendeley.com/documents/?uuid=cf194ac7-6842-4b0b-b473-cd8a58c5c61d"]}],"mendeley":{"formattedCitation":"[50, 51]","plainTextFormattedCitation":"[50, 51]","previouslyFormattedCitation":"[50, 51]"},"properties":{"noteIndex":0},"schema":"https://github.com/citation-style-language/schema/raw/master/csl-citation.json"}</w:instrText>
      </w:r>
      <w:r w:rsidR="00494318" w:rsidRPr="00CB6F3B">
        <w:rPr>
          <w:rFonts w:ascii="Times New Roman" w:eastAsia="Times New Roman" w:hAnsi="Times New Roman" w:cs="Times New Roman"/>
          <w:sz w:val="24"/>
          <w:szCs w:val="24"/>
        </w:rPr>
        <w:fldChar w:fldCharType="separate"/>
      </w:r>
      <w:r w:rsidR="00494318" w:rsidRPr="00CB6F3B">
        <w:rPr>
          <w:rFonts w:ascii="Times New Roman" w:eastAsia="Times New Roman" w:hAnsi="Times New Roman" w:cs="Times New Roman"/>
          <w:noProof/>
          <w:sz w:val="24"/>
          <w:szCs w:val="24"/>
        </w:rPr>
        <w:t>[50, 51]</w:t>
      </w:r>
      <w:r w:rsidR="00494318" w:rsidRPr="00CB6F3B">
        <w:rPr>
          <w:rFonts w:ascii="Times New Roman" w:eastAsia="Times New Roman" w:hAnsi="Times New Roman" w:cs="Times New Roman"/>
          <w:sz w:val="24"/>
          <w:szCs w:val="24"/>
        </w:rPr>
        <w:fldChar w:fldCharType="end"/>
      </w:r>
      <w:r w:rsidR="00972F32" w:rsidRPr="00CB6F3B">
        <w:rPr>
          <w:rFonts w:ascii="Times New Roman" w:eastAsia="Times New Roman" w:hAnsi="Times New Roman" w:cs="Times New Roman"/>
          <w:sz w:val="24"/>
          <w:szCs w:val="24"/>
        </w:rPr>
        <w:t>, and</w:t>
      </w:r>
      <w:r w:rsidR="00972F32" w:rsidRPr="00CB6F3B">
        <w:rPr>
          <w:rFonts w:ascii="Times New Roman" w:eastAsia="Times New Roman" w:hAnsi="Times New Roman" w:cs="Times New Roman"/>
          <w:sz w:val="24"/>
          <w:szCs w:val="24"/>
        </w:rPr>
        <w:t xml:space="preserve"> </w:t>
      </w:r>
      <w:r w:rsidR="00972F32" w:rsidRPr="00CB6F3B">
        <w:rPr>
          <w:rFonts w:ascii="Times New Roman" w:hAnsi="Times New Roman" w:cs="Times New Roman"/>
          <w:bCs/>
          <w:sz w:val="24"/>
          <w:szCs w:val="24"/>
        </w:rPr>
        <w:t xml:space="preserve">sequencing biases </w:t>
      </w:r>
      <w:r w:rsidR="00494318" w:rsidRPr="00CB6F3B">
        <w:rPr>
          <w:rFonts w:ascii="Times New Roman" w:hAnsi="Times New Roman" w:cs="Times New Roman"/>
          <w:bCs/>
          <w:sz w:val="24"/>
          <w:szCs w:val="24"/>
        </w:rPr>
        <w:t>are likely to be more consistent within phyla</w:t>
      </w:r>
      <w:r w:rsidR="00972F32" w:rsidRPr="00CB6F3B">
        <w:rPr>
          <w:rFonts w:ascii="Times New Roman" w:hAnsi="Times New Roman" w:cs="Times New Roman"/>
          <w:bCs/>
          <w:sz w:val="24"/>
          <w:szCs w:val="24"/>
        </w:rPr>
        <w:t>, affecting some groups more severely</w:t>
      </w:r>
      <w:r w:rsidR="00494318" w:rsidRPr="00CB6F3B">
        <w:rPr>
          <w:rFonts w:ascii="Times New Roman" w:hAnsi="Times New Roman" w:cs="Times New Roman"/>
          <w:bCs/>
          <w:sz w:val="24"/>
          <w:szCs w:val="24"/>
        </w:rPr>
        <w:t xml:space="preserve"> </w:t>
      </w:r>
      <w:r w:rsidR="00494318" w:rsidRPr="00CB6F3B">
        <w:rPr>
          <w:rFonts w:ascii="Times New Roman" w:hAnsi="Times New Roman" w:cs="Times New Roman"/>
          <w:bCs/>
          <w:sz w:val="24"/>
          <w:szCs w:val="24"/>
        </w:rPr>
        <w:fldChar w:fldCharType="begin" w:fldLock="1"/>
      </w:r>
      <w:r w:rsidR="00494318" w:rsidRPr="00CB6F3B">
        <w:rPr>
          <w:rFonts w:ascii="Times New Roman" w:hAnsi="Times New Roman" w:cs="Times New Roman"/>
          <w:bCs/>
          <w:sz w:val="24"/>
          <w:szCs w:val="24"/>
        </w:rPr>
        <w:instrText>ADDIN CSL_CITATION {"citationItems":[{"id":"ITEM-1","itemData":{"DOI":"10.1038/s42003-018-0119-2","ISSN":"23993642","abstract":"Accurate assessments of biodiversity are crucial to advising ecosystem-monitoring programs and understanding ecosystem function. Nevertheless, a standard operating procedure to assess biodiversity accurately and consistently has not been established. This is especially true for meiofauna, a diverse community (&gt;20 phyla) of small benthic invertebrates that have fundamental ecological roles. Recent studies show that metabarcoding is a cost-effective and time-effective method to estimate meiofauna biodiversity, in contrast to morphological-based taxonomy. Here, we compare biodiversity assessments of a diverse meiofaunal community derived by applying multiple taxonomic methods based on comparative morphology, molecular phylogenetic analysis, DNA barcoding of individual specimens, and metabarcoding of environmental DNA. We show that biodiversity estimates are strongly biased across taxonomic methods and phyla. Such biases affect understanding of community structures and ecological interpretations. This study supports the urgency of improving aspects of environmental high-throughput sequencing and the value of taxonomists in correctly understanding biodiversity estimates.","author":[{"dropping-particle":"","family":"Leasi","given":"Francesca","non-dropping-particle":"","parse-names":false,"suffix":""},{"dropping-particle":"","family":"Sevigny","given":"Joseph L.","non-dropping-particle":"","parse-names":false,"suffix":""},{"dropping-particle":"","family":"Laflamme","given":"Eric M.","non-dropping-particle":"","parse-names":false,"suffix":""},{"dropping-particle":"","family":"Artois","given":"Tom","non-dropping-particle":"","parse-names":false,"suffix":""},{"dropping-particle":"","family":"Curini-Galletti","given":"Marco","non-dropping-particle":"","parse-names":false,"suffix":""},{"dropping-particle":"","family":"Jesus Navarrete","given":"Alberto","non-dropping-particle":"de","parse-names":false,"suffix":""},{"dropping-particle":"","family":"Domenico","given":"Maikon","non-dropping-particle":"Di","parse-names":false,"suffix":""},{"dropping-particle":"","family":"Goetz","given":"Freya","non-dropping-particle":"","parse-names":false,"suffix":""},{"dropping-particle":"","family":"Hall","given":"Jeffrey A.","non-dropping-particle":"","parse-names":false,"suffix":""},{"dropping-particle":"","family":"Hochberg","given":"Rick","non-dropping-particle":"","parse-names":false,"suffix":""},{"dropping-particle":"","family":"Jörger","given":"Katharina M.","non-dropping-particle":"","parse-names":false,"suffix":""},{"dropping-particle":"","family":"Jondelius","given":"Ulf","non-dropping-particle":"","parse-names":false,"suffix":""},{"dropping-particle":"","family":"Todaro","given":"M. Antonio","non-dropping-particle":"","parse-names":false,"suffix":""},{"dropping-particle":"","family":"Wirshing","given":"Herman H.","non-dropping-particle":"","parse-names":false,"suffix":""},{"dropping-particle":"","family":"Norenburg","given":"Jon L.","non-dropping-particle":"","parse-names":false,"suffix":""},{"dropping-particle":"","family":"Thomas","given":"W. Kelley","non-dropping-particle":"","parse-names":false,"suffix":""}],"container-title":"Communications biology","id":"ITEM-1","issue":"1","issued":{"date-parts":[["2018","8","14"]]},"page":"112","publisher":"NLM (Medline)","title":"Biodiversity estimates and ecological interpretations of meiofaunal communities are biased by the taxonomic approach","type":"article-journal","volume":"1"},"uris":["http://www.mendeley.com/documents/?uuid=7fa923ef-2ed0-324a-95aa-6c8a3e340e39"]},{"id":"ITEM-2","itemData":{"DOI":"10.1038/ismej.2015.116","ISSN":"17517370","abstract":"Plant species richness and the presence of certain influential species (sampling effect) drive the stability and functionality of ecosystems as well as primary production and biomass of consumers. However, little is known about these floristic effects on richness and community composition of soil biota in forest habitats owing to methodological constraints. We developed a DNA metabarcoding approach to identify the major eukaryote groups directly from soil with roughly species-level resolution. Using this method, we examined the effects of tree diversity and individual tree species on soil microbial biomass and taxonomic richness of soil biota in two experimental study systems in Finland and Estonia and accounted for edaphic variables and spatial autocorrelation. Our analyses revealed that the effects of tree diversity and individual species on soil biota are largely context dependent. Multiple regression and structural equation modelling suggested that biomass, soil pH, nutrients and tree species directly affect richness of different taxonomic groups. The community composition of most soil organisms was strongly correlated due to similar response to environmental predictors rather than causal relationships. On a local scale, soil resources and tree species have stronger effect on diversity of soil biota than tree species richness per se.","author":[{"dropping-particle":"","family":"Tedersoo","given":"Leho","non-dropping-particle":"","parse-names":false,"suffix":""},{"dropping-particle":"","family":"Bahram","given":"Mohammad","non-dropping-particle":"","parse-names":false,"suffix":""},{"dropping-particle":"","family":"Cajthaml","given":"Tomáš","non-dropping-particle":"","parse-names":false,"suffix":""},{"dropping-particle":"","family":"Põlme","given":"Sergei","non-dropping-particle":"","parse-names":false,"suffix":""},{"dropping-particle":"","family":"Hiiesalu","given":"Indrek","non-dropping-particle":"","parse-names":false,"suffix":""},{"dropping-particle":"","family":"Anslan","given":"Sten","non-dropping-particle":"","parse-names":false,"suffix":""},{"dropping-particle":"","family":"Harend","given":"Helery","non-dropping-particle":"","parse-names":false,"suffix":""},{"dropping-particle":"","family":"Buegger","given":"Franz","non-dropping-particle":"","parse-names":false,"suffix":""},{"dropping-particle":"","family":"Pritsch","given":"Karin","non-dropping-particle":"","parse-names":false,"suffix":""},{"dropping-particle":"","family":"Koricheva","given":"Julia","non-dropping-particle":"","parse-names":false,"suffix":""},{"dropping-particle":"","family":"Abarenkov","given":"Kessy","non-dropping-particle":"","parse-names":false,"suffix":""}],"container-title":"ISME Journal","id":"ITEM-2","issue":"2","issued":{"date-parts":[["2016","2","1"]]},"page":"346-362","publisher":"Nature Publishing Group","title":"Tree diversity and species identity effects on soil fungi, protists and animals are context dependent","type":"article-journal","volume":"10"},"uris":["http://www.mendeley.com/documents/?uuid=9315f833-8164-3f70-9c93-83dea010178c"]}],"mendeley":{"formattedCitation":"[30, 31]","plainTextFormattedCitation":"[30, 31]","previouslyFormattedCitation":"[30, 31]"},"properties":{"noteIndex":0},"schema":"https://github.com/citation-style-language/schema/raw/master/csl-citation.json"}</w:instrText>
      </w:r>
      <w:r w:rsidR="00494318" w:rsidRPr="00CB6F3B">
        <w:rPr>
          <w:rFonts w:ascii="Times New Roman" w:hAnsi="Times New Roman" w:cs="Times New Roman"/>
          <w:bCs/>
          <w:sz w:val="24"/>
          <w:szCs w:val="24"/>
        </w:rPr>
        <w:fldChar w:fldCharType="separate"/>
      </w:r>
      <w:r w:rsidR="00494318" w:rsidRPr="00CB6F3B">
        <w:rPr>
          <w:rFonts w:ascii="Times New Roman" w:hAnsi="Times New Roman" w:cs="Times New Roman"/>
          <w:bCs/>
          <w:noProof/>
          <w:sz w:val="24"/>
          <w:szCs w:val="24"/>
        </w:rPr>
        <w:t>[30, 31]</w:t>
      </w:r>
      <w:r w:rsidR="00494318" w:rsidRPr="00CB6F3B">
        <w:rPr>
          <w:rFonts w:ascii="Times New Roman" w:hAnsi="Times New Roman" w:cs="Times New Roman"/>
          <w:bCs/>
          <w:sz w:val="24"/>
          <w:szCs w:val="24"/>
        </w:rPr>
        <w:fldChar w:fldCharType="end"/>
      </w:r>
      <w:r w:rsidR="00972F32" w:rsidRPr="00CB6F3B">
        <w:rPr>
          <w:rFonts w:ascii="Times New Roman" w:hAnsi="Times New Roman" w:cs="Times New Roman"/>
          <w:bCs/>
          <w:sz w:val="24"/>
          <w:szCs w:val="24"/>
        </w:rPr>
        <w:t>, however further ben</w:t>
      </w:r>
      <w:r w:rsidR="00972F32" w:rsidRPr="00CB6F3B">
        <w:rPr>
          <w:rFonts w:ascii="Times New Roman" w:hAnsi="Times New Roman" w:cs="Times New Roman"/>
          <w:bCs/>
          <w:sz w:val="24"/>
          <w:szCs w:val="24"/>
        </w:rPr>
        <w:t xml:space="preserve">chmarking is necessary to determine the </w:t>
      </w:r>
      <w:r w:rsidR="00494318" w:rsidRPr="00CB6F3B">
        <w:rPr>
          <w:rFonts w:ascii="Times New Roman" w:hAnsi="Times New Roman" w:cs="Times New Roman"/>
          <w:bCs/>
          <w:sz w:val="24"/>
          <w:szCs w:val="24"/>
        </w:rPr>
        <w:t xml:space="preserve">. </w:t>
      </w:r>
      <w:r w:rsidR="0081556B" w:rsidRPr="00CB6F3B">
        <w:rPr>
          <w:rFonts w:ascii="Times New Roman" w:hAnsi="Times New Roman" w:cs="Times New Roman"/>
          <w:bCs/>
          <w:sz w:val="24"/>
          <w:szCs w:val="24"/>
        </w:rPr>
        <w:t>Performing rarefactions separately for each phylum allows the adjustment of the minimum amount observations of individuals for each group, and prevents the propagation of biases</w:t>
      </w:r>
      <w:r w:rsidR="0081556B" w:rsidRPr="00CB6F3B">
        <w:rPr>
          <w:rFonts w:ascii="Times New Roman" w:hAnsi="Times New Roman" w:cs="Times New Roman"/>
          <w:bCs/>
          <w:sz w:val="24"/>
          <w:szCs w:val="24"/>
        </w:rPr>
        <w:t xml:space="preserve"> acro</w:t>
      </w:r>
      <w:r w:rsidR="0081556B" w:rsidRPr="00CB6F3B">
        <w:rPr>
          <w:rFonts w:ascii="Times New Roman" w:hAnsi="Times New Roman" w:cs="Times New Roman"/>
          <w:bCs/>
          <w:sz w:val="24"/>
          <w:szCs w:val="24"/>
        </w:rPr>
        <w:t>ss different phylogenetic groups.</w:t>
      </w:r>
      <w:r w:rsidR="007E7E3E" w:rsidRPr="00CB6F3B">
        <w:rPr>
          <w:rFonts w:ascii="Times New Roman" w:hAnsi="Times New Roman" w:cs="Times New Roman"/>
          <w:bCs/>
          <w:sz w:val="24"/>
          <w:szCs w:val="24"/>
        </w:rPr>
        <w:t xml:space="preserve"> </w:t>
      </w:r>
    </w:p>
    <w:bookmarkEnd w:id="19"/>
    <w:p w14:paraId="5BF34E90" w14:textId="0946E629" w:rsidR="0010601A" w:rsidRPr="00CB6F3B" w:rsidRDefault="00EF08AE" w:rsidP="003E420F">
      <w:pPr>
        <w:spacing w:line="480" w:lineRule="auto"/>
        <w:rPr>
          <w:rFonts w:ascii="Times New Roman" w:hAnsi="Times New Roman" w:cs="Times New Roman"/>
          <w:sz w:val="24"/>
          <w:szCs w:val="24"/>
        </w:rPr>
      </w:pPr>
      <w:r w:rsidRPr="00CB6F3B">
        <w:rPr>
          <w:rFonts w:ascii="Times New Roman" w:hAnsi="Times New Roman" w:cs="Times New Roman"/>
          <w:b/>
          <w:bCs/>
          <w:sz w:val="24"/>
          <w:szCs w:val="24"/>
        </w:rPr>
        <w:t>3.3</w:t>
      </w:r>
      <w:r w:rsidR="51C3348D" w:rsidRPr="00CB6F3B">
        <w:rPr>
          <w:rFonts w:ascii="Times New Roman" w:hAnsi="Times New Roman" w:cs="Times New Roman"/>
          <w:b/>
          <w:bCs/>
          <w:sz w:val="24"/>
          <w:szCs w:val="24"/>
        </w:rPr>
        <w:t xml:space="preserve"> Use presence/absence instead of abundance</w:t>
      </w:r>
    </w:p>
    <w:p w14:paraId="63C42831" w14:textId="7C89A8E0" w:rsidR="00192DBA" w:rsidRPr="00CB6F3B" w:rsidRDefault="00714743" w:rsidP="003E420F">
      <w:pPr>
        <w:spacing w:line="480" w:lineRule="auto"/>
        <w:rPr>
          <w:rFonts w:ascii="Times New Roman" w:hAnsi="Times New Roman" w:cs="Times New Roman"/>
          <w:sz w:val="24"/>
          <w:szCs w:val="24"/>
        </w:rPr>
      </w:pPr>
      <w:bookmarkStart w:id="20" w:name="_Hlk49264609"/>
      <w:bookmarkStart w:id="21" w:name="_Hlk55211518"/>
      <w:r w:rsidRPr="00CB6F3B">
        <w:rPr>
          <w:rFonts w:ascii="Times New Roman" w:hAnsi="Times New Roman" w:cs="Times New Roman"/>
          <w:sz w:val="24"/>
          <w:szCs w:val="24"/>
        </w:rPr>
        <w:t xml:space="preserve">Once the data have been rarefied, </w:t>
      </w:r>
      <w:r w:rsidR="51C3348D" w:rsidRPr="00CB6F3B">
        <w:rPr>
          <w:rFonts w:ascii="Times New Roman" w:hAnsi="Times New Roman" w:cs="Times New Roman"/>
          <w:sz w:val="24"/>
          <w:szCs w:val="24"/>
        </w:rPr>
        <w:t>work</w:t>
      </w:r>
      <w:r w:rsidRPr="00CB6F3B">
        <w:rPr>
          <w:rFonts w:ascii="Times New Roman" w:hAnsi="Times New Roman" w:cs="Times New Roman"/>
          <w:sz w:val="24"/>
          <w:szCs w:val="24"/>
        </w:rPr>
        <w:t>ing</w:t>
      </w:r>
      <w:r w:rsidR="51C3348D" w:rsidRPr="00CB6F3B">
        <w:rPr>
          <w:rFonts w:ascii="Times New Roman" w:hAnsi="Times New Roman" w:cs="Times New Roman"/>
          <w:sz w:val="24"/>
          <w:szCs w:val="24"/>
        </w:rPr>
        <w:t xml:space="preserve"> with binary presence/absence (incidence) data instead of abundances</w:t>
      </w:r>
      <w:r w:rsidRPr="00CB6F3B">
        <w:rPr>
          <w:rFonts w:ascii="Times New Roman" w:hAnsi="Times New Roman" w:cs="Times New Roman"/>
          <w:sz w:val="24"/>
          <w:szCs w:val="24"/>
        </w:rPr>
        <w:t xml:space="preserve"> may address</w:t>
      </w:r>
      <w:r w:rsidR="00DD20D6" w:rsidRPr="00CB6F3B">
        <w:rPr>
          <w:rFonts w:ascii="Times New Roman" w:hAnsi="Times New Roman" w:cs="Times New Roman"/>
          <w:sz w:val="24"/>
          <w:szCs w:val="24"/>
        </w:rPr>
        <w:t>, at least partially,</w:t>
      </w:r>
      <w:r w:rsidRPr="00CB6F3B">
        <w:rPr>
          <w:rFonts w:ascii="Times New Roman" w:hAnsi="Times New Roman" w:cs="Times New Roman"/>
          <w:sz w:val="24"/>
          <w:szCs w:val="24"/>
        </w:rPr>
        <w:t xml:space="preserve"> the mismatch between </w:t>
      </w:r>
      <w:r w:rsidRPr="00CB6F3B">
        <w:rPr>
          <w:rFonts w:ascii="Times New Roman" w:hAnsi="Times New Roman" w:cs="Times New Roman"/>
          <w:sz w:val="24"/>
          <w:szCs w:val="24"/>
        </w:rPr>
        <w:t>reads and</w:t>
      </w:r>
      <w:r w:rsidRPr="00CB6F3B">
        <w:rPr>
          <w:rFonts w:ascii="Times New Roman" w:hAnsi="Times New Roman" w:cs="Times New Roman"/>
          <w:sz w:val="24"/>
          <w:szCs w:val="24"/>
        </w:rPr>
        <w:t xml:space="preserve"> abundance</w:t>
      </w:r>
      <w:r w:rsidRPr="00CB6F3B">
        <w:rPr>
          <w:rFonts w:ascii="Times New Roman" w:hAnsi="Times New Roman" w:cs="Times New Roman"/>
          <w:sz w:val="24"/>
          <w:szCs w:val="24"/>
        </w:rPr>
        <w:t xml:space="preserve">s which arises from variable numbers of marker gene copies per </w:t>
      </w:r>
      <w:r w:rsidRPr="00CB6F3B">
        <w:rPr>
          <w:rFonts w:ascii="Times New Roman" w:hAnsi="Times New Roman" w:cs="Times New Roman"/>
          <w:sz w:val="24"/>
          <w:szCs w:val="24"/>
        </w:rPr>
        <w:t xml:space="preserve">cell and cells per organism (Figure 1). This </w:t>
      </w:r>
      <w:r w:rsidR="00110BC0" w:rsidRPr="00CB6F3B">
        <w:rPr>
          <w:rFonts w:ascii="Times New Roman" w:hAnsi="Times New Roman" w:cs="Times New Roman"/>
          <w:sz w:val="24"/>
          <w:szCs w:val="24"/>
        </w:rPr>
        <w:t>approach ha</w:t>
      </w:r>
      <w:r w:rsidR="001411EE" w:rsidRPr="00CB6F3B">
        <w:rPr>
          <w:rFonts w:ascii="Times New Roman" w:hAnsi="Times New Roman" w:cs="Times New Roman"/>
          <w:sz w:val="24"/>
          <w:szCs w:val="24"/>
        </w:rPr>
        <w:t>s</w:t>
      </w:r>
      <w:r w:rsidR="00110BC0" w:rsidRPr="00CB6F3B">
        <w:rPr>
          <w:rFonts w:ascii="Times New Roman" w:hAnsi="Times New Roman" w:cs="Times New Roman"/>
          <w:sz w:val="24"/>
          <w:szCs w:val="24"/>
        </w:rPr>
        <w:t xml:space="preserve"> </w:t>
      </w:r>
      <w:r w:rsidR="001411EE" w:rsidRPr="00CB6F3B">
        <w:rPr>
          <w:rFonts w:ascii="Times New Roman" w:hAnsi="Times New Roman" w:cs="Times New Roman"/>
          <w:sz w:val="24"/>
          <w:szCs w:val="24"/>
        </w:rPr>
        <w:t xml:space="preserve">been recommended </w:t>
      </w:r>
      <w:r w:rsidR="001411EE" w:rsidRPr="00CB6F3B">
        <w:rPr>
          <w:rFonts w:ascii="Times New Roman" w:hAnsi="Times New Roman" w:cs="Times New Roman"/>
          <w:sz w:val="24"/>
          <w:szCs w:val="24"/>
        </w:rPr>
        <w:fldChar w:fldCharType="begin" w:fldLock="1"/>
      </w:r>
      <w:r w:rsidR="002D2AE8" w:rsidRPr="00CB6F3B">
        <w:rPr>
          <w:rFonts w:ascii="Times New Roman" w:hAnsi="Times New Roman" w:cs="Times New Roman"/>
          <w:sz w:val="24"/>
          <w:szCs w:val="24"/>
        </w:rPr>
        <w:instrText>ADDIN CSL_CITATION {"citationItems":[{"id":"ITEM-1","itemData":{"author":[{"dropping-particle":"","family":"Elbrecht","given":"Vasco","non-dropping-particle":"","parse-names":false,"suffix":""},{"dropping-particle":"","family":"Leese","given":"Florian","non-dropping-particle":"","parse-names":false,"suffix":""}],"container-title":"PeerJ","id":"ITEM-1","issue":"May","issued":{"date-parts":[["2015"]]},"title":"Can DNA-based ecosystem assessments quantify species abundance ? Testing primer bias and biomass - sequence relationships with an innovative metabarcoding protocol","type":"article-journal"},"uris":["http://www.mendeley.com/documents/?uuid=c0291cdc-b689-479b-9539-8dd18668416f"]},{"id":"ITEM-2","itemData":{"ISSN":"1755-098X","author":[{"dropping-particle":"","family":"Ficetola","given":"Gentile F","non-dropping-particle":"","parse-names":false,"suffix":""},{"dropping-particle":"","family":"Pansu","given":"Johan","non-dropping-particle":"","parse-names":false,"suffix":""},{"dropping-particle":"","family":"Bonin","given":"Aurélie","non-dropping-particle":"","parse-names":false,"suffix":""},{"dropping-particle":"","family":"Coissac","given":"Eric","non-dropping-particle":"","parse-names":false,"suffix":""},{"dropping-particle":"","family":"Giguet‐Covex","given":"Charline","non-dropping-particle":"","parse-names":false,"suffix":""},{"dropping-particle":"","family":"Barba","given":"Marta","non-dropping-particle":"De","parse-names":false,"suffix":""},{"dropping-particle":"","family":"Gielly","given":"Ludovic","non-dropping-particle":"","parse-names":false,"suffix":""},{"dropping-particle":"","family":"Lopes","given":"Carla M","non-dropping-particle":"","parse-names":false,"suffix":""},{"dropping-particle":"","family":"Boyer","given":"Frédéric","non-dropping-particle":"","parse-names":false,"suffix":""},{"dropping-particle":"","family":"Pompanon","given":"François","non-dropping-particle":"","parse-names":false,"suffix":""}],"container-title":"Molecular ecology resources","id":"ITEM-2","issue":"3","issued":{"date-parts":[["2015"]]},"page":"543-556","publisher":"Wiley Online Library","title":"Replication levels, false presences and the estimation of the presence/absence from eDNA metabarcoding data","type":"article-journal","volume":"15"},"uris":["http://www.mendeley.com/documents/?uuid=4a793dd8-0e3d-49f8-8888-a3e2aef17162"]}],"mendeley":{"formattedCitation":"[21, 56]","plainTextFormattedCitation":"[21, 56]","previouslyFormattedCitation":"[21, 57]"},"properties":{"noteIndex":0},"schema":"https://github.com/citation-style-language/schema/raw/master/csl-citation.json"}</w:instrText>
      </w:r>
      <w:r w:rsidR="001411EE" w:rsidRPr="00CB6F3B">
        <w:rPr>
          <w:rFonts w:ascii="Times New Roman" w:hAnsi="Times New Roman" w:cs="Times New Roman"/>
          <w:sz w:val="24"/>
          <w:szCs w:val="24"/>
        </w:rPr>
        <w:fldChar w:fldCharType="separate"/>
      </w:r>
      <w:r w:rsidR="002D2AE8" w:rsidRPr="00CB6F3B">
        <w:rPr>
          <w:rFonts w:ascii="Times New Roman" w:hAnsi="Times New Roman" w:cs="Times New Roman"/>
          <w:noProof/>
          <w:sz w:val="24"/>
          <w:szCs w:val="24"/>
        </w:rPr>
        <w:t>[21, 56]</w:t>
      </w:r>
      <w:r w:rsidR="001411EE" w:rsidRPr="00CB6F3B">
        <w:rPr>
          <w:rFonts w:ascii="Times New Roman" w:hAnsi="Times New Roman" w:cs="Times New Roman"/>
          <w:sz w:val="24"/>
          <w:szCs w:val="24"/>
        </w:rPr>
        <w:fldChar w:fldCharType="end"/>
      </w:r>
      <w:r w:rsidR="001411EE" w:rsidRPr="00CB6F3B">
        <w:rPr>
          <w:rFonts w:ascii="Times New Roman" w:hAnsi="Times New Roman" w:cs="Times New Roman"/>
          <w:sz w:val="24"/>
          <w:szCs w:val="24"/>
        </w:rPr>
        <w:t xml:space="preserve"> and </w:t>
      </w:r>
      <w:r w:rsidR="00941765" w:rsidRPr="00CB6F3B">
        <w:rPr>
          <w:rFonts w:ascii="Times New Roman" w:hAnsi="Times New Roman" w:cs="Times New Roman"/>
          <w:sz w:val="24"/>
          <w:szCs w:val="24"/>
        </w:rPr>
        <w:t>occasionally adopted</w:t>
      </w:r>
      <w:r w:rsidR="0034245C" w:rsidRPr="00CB6F3B">
        <w:rPr>
          <w:rFonts w:ascii="Times New Roman" w:hAnsi="Times New Roman" w:cs="Times New Roman"/>
          <w:sz w:val="24"/>
          <w:szCs w:val="24"/>
        </w:rPr>
        <w:t xml:space="preserve"> </w:t>
      </w:r>
      <w:r w:rsidR="007742AA"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10.1038/s41559-019-1084-y","ISSN":"2397-334X","author":[{"dropping-particle":"","family":"Delgado-Baquerizo","given":"Manuel","non-dropping-particle":"","parse-names":false,"suffix":""},{"dropping-particle":"","family":"Reich","given":"Peter B","non-dropping-particle":"","parse-names":false,"suffix":""},{"dropping-particle":"","family":"Trivedi","given":"Chanda","non-dropping-particle":"","parse-names":false,"suffix":""},{"dropping-particle":"","family":"Eldridge","given":"David J","non-dropping-particle":"","parse-names":false,"suffix":""},{"dropping-particle":"","family":"Abades","given":"Sebastián","non-dropping-particle":"","parse-names":false,"suffix":""},{"dropping-particle":"","family":"Alfaro","given":"Fernando D","non-dropping-particle":"","parse-names":false,"suffix":""},{"dropping-particle":"","family":"Bastida","given":"Felipe","non-dropping-particle":"","parse-names":false,"suffix":""},{"dropping-particle":"","family":"Berhe","given":"Asmeret A","non-dropping-particle":"","parse-names":false,"suffix":""},{"dropping-particle":"","family":"Cutler","given":"Nick A","non-dropping-particle":"","parse-names":false,"suffix":""},{"dropping-particle":"","family":"Gallardo","given":"Antonio","non-dropping-particle":"","parse-names":false,"suffix":""},{"dropping-particle":"","family":"García-velázquez","given":"Laura","non-dropping-particle":"","parse-names":false,"suffix":""},{"dropping-particle":"","family":"Hart","given":"Stephen C","non-dropping-particle":"","parse-names":false,"suffix":""},{"dropping-particle":"","family":"Hayes","given":"Patrick E","non-dropping-particle":"","parse-names":false,"suffix":""},{"dropping-particle":"","family":"He","given":"Ji-zheng","non-dropping-particle":"","parse-names":false,"suffix":""},{"dropping-particle":"","family":"Hseu","given":"Zeng-yei","non-dropping-particle":"","parse-names":false,"suffix":""},{"dropping-particle":"","family":"Hu","given":"Hang-wei","non-dropping-particle":"","parse-names":false,"suffix":""},{"dropping-particle":"","family":"Kirchmair","given":"Martin","non-dropping-particle":"","parse-names":false,"suffix":""},{"dropping-particle":"","family":"Neuhauser","given":"Sigrid","non-dropping-particle":"","parse-names":false,"suffix":""}],"container-title":"Nature Ecology &amp; Evolution","id":"ITEM-1","issue":"February","issued":{"date-parts":[["2020"]]},"publisher":"Springer US","title":"Multiple elements of soil biodiversity drive ecosystem functions across biomes","type":"article-journal","volume":"4"},"uris":["http://www.mendeley.com/documents/?uuid=9911165c-9caf-42a6-a6b8-a03c05bc2074"]}],"mendeley":{"formattedCitation":"[19]","plainTextFormattedCitation":"[19]","previouslyFormattedCitation":"[19]"},"properties":{"noteIndex":0},"schema":"https://github.com/citation-style-language/schema/raw/master/csl-citation.json"}</w:instrText>
      </w:r>
      <w:r w:rsidR="007742AA"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[19]</w:t>
      </w:r>
      <w:r w:rsidR="007742AA" w:rsidRPr="00CB6F3B">
        <w:rPr>
          <w:rFonts w:ascii="Times New Roman" w:hAnsi="Times New Roman" w:cs="Times New Roman"/>
          <w:sz w:val="24"/>
          <w:szCs w:val="24"/>
        </w:rPr>
        <w:fldChar w:fldCharType="end"/>
      </w:r>
      <w:r w:rsidR="51C3348D" w:rsidRPr="00CB6F3B">
        <w:rPr>
          <w:rFonts w:ascii="Times New Roman" w:hAnsi="Times New Roman" w:cs="Times New Roman"/>
          <w:sz w:val="24"/>
          <w:szCs w:val="24"/>
        </w:rPr>
        <w:t xml:space="preserve">. </w:t>
      </w:r>
      <w:bookmarkEnd w:id="20"/>
      <w:r w:rsidR="51C3348D" w:rsidRPr="00CB6F3B">
        <w:rPr>
          <w:rFonts w:ascii="Times New Roman" w:hAnsi="Times New Roman" w:cs="Times New Roman"/>
          <w:sz w:val="24"/>
          <w:szCs w:val="24"/>
        </w:rPr>
        <w:t>While this result</w:t>
      </w:r>
      <w:r w:rsidR="00160B93" w:rsidRPr="00CB6F3B">
        <w:rPr>
          <w:rFonts w:ascii="Times New Roman" w:hAnsi="Times New Roman" w:cs="Times New Roman"/>
          <w:sz w:val="24"/>
          <w:szCs w:val="24"/>
        </w:rPr>
        <w:t>s</w:t>
      </w:r>
      <w:r w:rsidR="51C3348D" w:rsidRPr="00CB6F3B">
        <w:rPr>
          <w:rFonts w:ascii="Times New Roman" w:hAnsi="Times New Roman" w:cs="Times New Roman"/>
          <w:sz w:val="24"/>
          <w:szCs w:val="24"/>
        </w:rPr>
        <w:t xml:space="preserve"> in data loss, the abundance information provided by universal eukaryotic amplicon sequencing is riddled with biases, many of which are currently black boxes (i.e., biases exist but we do</w:t>
      </w:r>
      <w:r w:rsidR="00160B93" w:rsidRPr="00CB6F3B">
        <w:rPr>
          <w:rFonts w:ascii="Times New Roman" w:hAnsi="Times New Roman" w:cs="Times New Roman"/>
          <w:sz w:val="24"/>
          <w:szCs w:val="24"/>
        </w:rPr>
        <w:t xml:space="preserve"> not </w:t>
      </w:r>
      <w:r w:rsidR="51C3348D" w:rsidRPr="00CB6F3B">
        <w:rPr>
          <w:rFonts w:ascii="Times New Roman" w:hAnsi="Times New Roman" w:cs="Times New Roman"/>
          <w:sz w:val="24"/>
          <w:szCs w:val="24"/>
        </w:rPr>
        <w:t>know how they affect the resulting data)</w:t>
      </w:r>
      <w:r w:rsidR="00A241D1" w:rsidRPr="00CB6F3B">
        <w:rPr>
          <w:rFonts w:ascii="Times New Roman" w:hAnsi="Times New Roman" w:cs="Times New Roman"/>
          <w:sz w:val="24"/>
          <w:szCs w:val="24"/>
        </w:rPr>
        <w:t>.</w:t>
      </w:r>
      <w:r w:rsidR="00FD1620" w:rsidRPr="00CB6F3B">
        <w:rPr>
          <w:rFonts w:ascii="Times New Roman" w:hAnsi="Times New Roman" w:cs="Times New Roman"/>
          <w:sz w:val="24"/>
          <w:szCs w:val="24"/>
        </w:rPr>
        <w:t xml:space="preserve"> </w:t>
      </w:r>
      <w:r w:rsidR="00DD20D6" w:rsidRPr="00CB6F3B">
        <w:rPr>
          <w:rFonts w:ascii="Times New Roman" w:hAnsi="Times New Roman" w:cs="Times New Roman"/>
          <w:sz w:val="24"/>
          <w:szCs w:val="24"/>
        </w:rPr>
        <w:t>Furthermore, m</w:t>
      </w:r>
      <w:r w:rsidR="51C3348D" w:rsidRPr="00CB6F3B">
        <w:rPr>
          <w:rFonts w:ascii="Times New Roman" w:hAnsi="Times New Roman" w:cs="Times New Roman"/>
          <w:sz w:val="24"/>
          <w:szCs w:val="24"/>
        </w:rPr>
        <w:t xml:space="preserve">any fundamental ecological variables are derived from incidences, and </w:t>
      </w:r>
      <w:r w:rsidR="0000148B" w:rsidRPr="00CB6F3B">
        <w:rPr>
          <w:rFonts w:ascii="Times New Roman" w:hAnsi="Times New Roman" w:cs="Times New Roman"/>
          <w:sz w:val="24"/>
          <w:szCs w:val="24"/>
        </w:rPr>
        <w:t>are</w:t>
      </w:r>
      <w:r w:rsidR="51C3348D" w:rsidRPr="00CB6F3B">
        <w:rPr>
          <w:rFonts w:ascii="Times New Roman" w:hAnsi="Times New Roman" w:cs="Times New Roman"/>
          <w:sz w:val="24"/>
          <w:szCs w:val="24"/>
        </w:rPr>
        <w:t xml:space="preserve"> robust</w:t>
      </w:r>
      <w:r w:rsidR="0000148B" w:rsidRPr="00CB6F3B">
        <w:rPr>
          <w:rFonts w:ascii="Times New Roman" w:hAnsi="Times New Roman" w:cs="Times New Roman"/>
          <w:sz w:val="24"/>
          <w:szCs w:val="24"/>
        </w:rPr>
        <w:t xml:space="preserve"> and</w:t>
      </w:r>
      <w:r w:rsidR="51C3348D" w:rsidRPr="00CB6F3B">
        <w:rPr>
          <w:rFonts w:ascii="Times New Roman" w:hAnsi="Times New Roman" w:cs="Times New Roman"/>
          <w:sz w:val="24"/>
          <w:szCs w:val="24"/>
        </w:rPr>
        <w:t xml:space="preserve"> practically useful</w:t>
      </w:r>
      <w:r w:rsidR="0079332E" w:rsidRPr="00CB6F3B">
        <w:rPr>
          <w:rFonts w:ascii="Times New Roman" w:hAnsi="Times New Roman" w:cs="Times New Roman"/>
          <w:sz w:val="24"/>
          <w:szCs w:val="24"/>
        </w:rPr>
        <w:t xml:space="preserve"> (i.e., </w:t>
      </w:r>
      <w:r w:rsidR="00923140" w:rsidRPr="00CB6F3B">
        <w:rPr>
          <w:rFonts w:ascii="Times New Roman" w:hAnsi="Times New Roman" w:cs="Times New Roman"/>
          <w:sz w:val="24"/>
          <w:szCs w:val="24"/>
        </w:rPr>
        <w:t>s</w:t>
      </w:r>
      <w:r w:rsidR="51C3348D" w:rsidRPr="00CB6F3B">
        <w:rPr>
          <w:rFonts w:ascii="Times New Roman" w:hAnsi="Times New Roman" w:cs="Times New Roman"/>
          <w:sz w:val="24"/>
          <w:szCs w:val="24"/>
        </w:rPr>
        <w:t xml:space="preserve">pecies richness, </w:t>
      </w:r>
      <w:r w:rsidR="004F617C" w:rsidRPr="00CB6F3B">
        <w:rPr>
          <w:rFonts w:ascii="Times New Roman" w:hAnsi="Times New Roman" w:cs="Times New Roman"/>
          <w:sz w:val="24"/>
          <w:szCs w:val="24"/>
        </w:rPr>
        <w:t xml:space="preserve">incidence-based </w:t>
      </w:r>
      <w:r w:rsidR="51C3348D" w:rsidRPr="00CB6F3B">
        <w:rPr>
          <w:rFonts w:ascii="Times New Roman" w:hAnsi="Times New Roman" w:cs="Times New Roman"/>
          <w:sz w:val="24"/>
          <w:szCs w:val="24"/>
        </w:rPr>
        <w:t xml:space="preserve">beta diversity, </w:t>
      </w:r>
      <w:r w:rsidR="0079332E" w:rsidRPr="00CB6F3B">
        <w:rPr>
          <w:rFonts w:ascii="Times New Roman" w:hAnsi="Times New Roman" w:cs="Times New Roman"/>
          <w:sz w:val="24"/>
          <w:szCs w:val="24"/>
        </w:rPr>
        <w:t>and</w:t>
      </w:r>
      <w:r w:rsidR="51C3348D" w:rsidRPr="00CB6F3B">
        <w:rPr>
          <w:rFonts w:ascii="Times New Roman" w:hAnsi="Times New Roman" w:cs="Times New Roman"/>
          <w:sz w:val="24"/>
          <w:szCs w:val="24"/>
        </w:rPr>
        <w:t xml:space="preserve"> their scaling relationships</w:t>
      </w:r>
      <w:r w:rsidR="0079332E" w:rsidRPr="00CB6F3B">
        <w:rPr>
          <w:rFonts w:ascii="Times New Roman" w:hAnsi="Times New Roman" w:cs="Times New Roman"/>
          <w:sz w:val="24"/>
          <w:szCs w:val="24"/>
        </w:rPr>
        <w:t>)</w:t>
      </w:r>
      <w:r w:rsidR="51C3348D" w:rsidRPr="00CB6F3B">
        <w:rPr>
          <w:rFonts w:ascii="Times New Roman" w:hAnsi="Times New Roman" w:cs="Times New Roman"/>
          <w:sz w:val="24"/>
          <w:szCs w:val="24"/>
        </w:rPr>
        <w:t>.</w:t>
      </w:r>
      <w:r w:rsidR="00FD1620" w:rsidRPr="00CB6F3B">
        <w:rPr>
          <w:rFonts w:ascii="Times New Roman" w:hAnsi="Times New Roman" w:cs="Times New Roman"/>
          <w:sz w:val="24"/>
          <w:szCs w:val="24"/>
        </w:rPr>
        <w:t xml:space="preserve"> </w:t>
      </w:r>
      <w:r w:rsidR="51C3348D" w:rsidRPr="00CB6F3B">
        <w:rPr>
          <w:rFonts w:ascii="Times New Roman" w:hAnsi="Times New Roman" w:cs="Times New Roman"/>
          <w:sz w:val="24"/>
          <w:szCs w:val="24"/>
        </w:rPr>
        <w:t xml:space="preserve"> </w:t>
      </w:r>
    </w:p>
    <w:bookmarkEnd w:id="21"/>
    <w:p w14:paraId="7CCD53E9" w14:textId="7C4232F6" w:rsidR="0010601A" w:rsidRPr="00CB6F3B" w:rsidRDefault="0010601A" w:rsidP="0010601A">
      <w:pPr>
        <w:spacing w:line="480" w:lineRule="auto"/>
        <w:rPr>
          <w:rFonts w:ascii="Times New Roman" w:hAnsi="Times New Roman" w:cs="Times New Roman"/>
          <w:b/>
          <w:sz w:val="24"/>
          <w:szCs w:val="24"/>
        </w:rPr>
      </w:pPr>
      <w:r w:rsidRPr="00CB6F3B">
        <w:rPr>
          <w:rFonts w:ascii="Times New Roman" w:hAnsi="Times New Roman" w:cs="Times New Roman"/>
          <w:b/>
          <w:sz w:val="24"/>
          <w:szCs w:val="24"/>
        </w:rPr>
        <w:t xml:space="preserve">3.4 Standardize </w:t>
      </w:r>
      <w:r w:rsidR="000F0A66" w:rsidRPr="00CB6F3B">
        <w:rPr>
          <w:rFonts w:ascii="Times New Roman" w:hAnsi="Times New Roman" w:cs="Times New Roman"/>
          <w:b/>
          <w:sz w:val="24"/>
          <w:szCs w:val="24"/>
        </w:rPr>
        <w:t xml:space="preserve">sampling </w:t>
      </w:r>
    </w:p>
    <w:p w14:paraId="591DD232" w14:textId="25E01099" w:rsidR="008B6A68" w:rsidRPr="00CB6F3B" w:rsidRDefault="0010601A" w:rsidP="0010601A">
      <w:pPr>
        <w:spacing w:line="480" w:lineRule="auto"/>
        <w:rPr>
          <w:rFonts w:ascii="Times New Roman" w:hAnsi="Times New Roman" w:cs="Times New Roman"/>
          <w:bCs/>
          <w:sz w:val="24"/>
          <w:szCs w:val="24"/>
        </w:rPr>
      </w:pPr>
      <w:r w:rsidRPr="00CB6F3B">
        <w:rPr>
          <w:rFonts w:ascii="Times New Roman" w:hAnsi="Times New Roman" w:cs="Times New Roman"/>
          <w:sz w:val="24"/>
          <w:szCs w:val="24"/>
        </w:rPr>
        <w:lastRenderedPageBreak/>
        <w:t xml:space="preserve">One particularly underappreciated source </w:t>
      </w:r>
      <w:bookmarkStart w:id="22" w:name="_GoBack"/>
      <w:bookmarkEnd w:id="22"/>
      <w:r w:rsidRPr="00CB6F3B">
        <w:rPr>
          <w:rFonts w:ascii="Times New Roman" w:hAnsi="Times New Roman" w:cs="Times New Roman"/>
          <w:sz w:val="24"/>
          <w:szCs w:val="24"/>
        </w:rPr>
        <w:t>of methodological variation is how soil samples are arranged in space, since biodiversity and community composition vary with area</w:t>
      </w:r>
      <w:r w:rsidR="0014268C" w:rsidRPr="00CB6F3B">
        <w:rPr>
          <w:rFonts w:ascii="Times New Roman" w:hAnsi="Times New Roman" w:cs="Times New Roman"/>
          <w:sz w:val="24"/>
          <w:szCs w:val="24"/>
        </w:rPr>
        <w:t>, volume,</w:t>
      </w:r>
      <w:r w:rsidRPr="00CB6F3B">
        <w:rPr>
          <w:rFonts w:ascii="Times New Roman" w:hAnsi="Times New Roman" w:cs="Times New Roman"/>
          <w:sz w:val="24"/>
          <w:szCs w:val="24"/>
        </w:rPr>
        <w:t xml:space="preserve"> and distance (Figure 3). </w:t>
      </w:r>
      <w:r w:rsidR="000F0A66" w:rsidRPr="00CB6F3B">
        <w:rPr>
          <w:rFonts w:ascii="Times New Roman" w:hAnsi="Times New Roman" w:cs="Times New Roman"/>
          <w:bCs/>
          <w:sz w:val="24"/>
          <w:szCs w:val="24"/>
        </w:rPr>
        <w:t xml:space="preserve">A </w:t>
      </w:r>
      <w:r w:rsidR="000F0A66" w:rsidRPr="00CB6F3B">
        <w:rPr>
          <w:rFonts w:ascii="Times New Roman" w:hAnsi="Times New Roman" w:cs="Times New Roman"/>
          <w:sz w:val="24"/>
          <w:szCs w:val="24"/>
        </w:rPr>
        <w:t xml:space="preserve">community can be defined for any extent, and all </w:t>
      </w:r>
      <w:r w:rsidR="004F617C" w:rsidRPr="00CB6F3B">
        <w:rPr>
          <w:rFonts w:ascii="Times New Roman" w:hAnsi="Times New Roman" w:cs="Times New Roman"/>
          <w:sz w:val="24"/>
          <w:szCs w:val="24"/>
        </w:rPr>
        <w:t xml:space="preserve">extents </w:t>
      </w:r>
      <w:r w:rsidR="000F0A66" w:rsidRPr="00CB6F3B">
        <w:rPr>
          <w:rFonts w:ascii="Times New Roman" w:hAnsi="Times New Roman" w:cs="Times New Roman"/>
          <w:sz w:val="24"/>
          <w:szCs w:val="24"/>
        </w:rPr>
        <w:t xml:space="preserve">may be ecologically meaningful </w:t>
      </w:r>
      <w:r w:rsidR="00160B93" w:rsidRPr="00CB6F3B">
        <w:rPr>
          <w:rFonts w:ascii="Times New Roman" w:eastAsia="Times New Roman" w:hAnsi="Times New Roman" w:cs="Times New Roman"/>
          <w:sz w:val="24"/>
          <w:szCs w:val="24"/>
        </w:rPr>
        <w:fldChar w:fldCharType="begin" w:fldLock="1"/>
      </w:r>
      <w:r w:rsidR="002D2AE8" w:rsidRPr="00CB6F3B">
        <w:rPr>
          <w:rFonts w:ascii="Times New Roman" w:eastAsia="Times New Roman" w:hAnsi="Times New Roman" w:cs="Times New Roman"/>
          <w:sz w:val="24"/>
          <w:szCs w:val="24"/>
        </w:rPr>
        <w:instrText>ADDIN CSL_CITATION {"citationItems":[{"id":"ITEM-1","itemData":{"DOI":"10.1016/j.soilbio.2014.09.026","ISSN":"0038-0717","author":[{"dropping-particle":"","family":"Wiesel","given":"Lea","non-dropping-particle":"","parse-names":false,"suffix":""},{"dropping-particle":"","family":"Daniell","given":"Tim J","non-dropping-particle":"","parse-names":false,"suffix":""},{"dropping-particle":"","family":"King","given":"Dale","non-dropping-particle":"","parse-names":false,"suffix":""},{"dropping-particle":"","family":"Neilson","given":"Roy","non-dropping-particle":"","parse-names":false,"suffix":""}],"container-title":"Soil Biology and Biochemistry","id":"ITEM-1","issue":"October","issued":{"date-parts":[["2014"]]},"page":"9-11","publisher":"Elsevier Ltd","title":"Determination of the optimal soil sample size to accurately characterise nematode communities in soil","type":"article-journal"},"uris":["http://www.mendeley.com/documents/?uuid=da3b3596-6de7-49fb-8efb-0b9a64caa2b0"]},{"id":"ITEM-2","itemData":{"DOI":"10.1111/ele.13151","ISSN":"14610248","abstract":"Because biodiversity is multidimensional and scale-dependent, it is challenging to estimate its change. However, it is unclear (1) how much scale-dependence matters for empirical studies, and (2) if it does matter, how exactly we should quantify biodiversity change. To address the first question, we analysed studies with comparisons among multiple assemblages, and found that rarefaction curves frequently crossed, implying reversals in the ranking of species richness across spatial scales. Moreover, the most frequently measured aspect of diversity – species richness – was poorly correlated with other measures of diversity. Second, we collated studies that included spatial scale in their estimates of biodiversity change in response to ecological drivers and found frequent and strong scale-dependence, including nearly 10% of studies which showed that biodiversity changes switched directions across scales. Having established the complexity of empirical biodiversity comparisons, we describe a synthesis of methods based on rarefaction curves that allow more explicit analyses of spatial and sampling effects on biodiversity comparisons. We use a case study of nutrient additions in experimental ponds to illustrate how this multi-dimensional and multi-scale perspective informs the responses of biodiversity to ecological drivers.","author":[{"dropping-particle":"","family":"Chase","given":"Jonathan M.","non-dropping-particle":"","parse-names":false,"suffix":""},{"dropping-particle":"","family":"McGill","given":"Brian J.","non-dropping-particle":"","parse-names":false,"suffix":""},{"dropping-particle":"","family":"McGlinn","given":"Daniel J.","non-dropping-particle":"","parse-names":false,"suffix":""},{"dropping-particle":"","family":"May","given":"Felix","non-dropping-particle":"","parse-names":false,"suffix":""},{"dropping-particle":"","family":"Blowes","given":"Shane A.","non-dropping-particle":"","parse-names":false,"suffix":""},{"dropping-particle":"","family":"Xiao","given":"Xiao","non-dropping-particle":"","parse-names":false,"suffix":""},{"dropping-particle":"","family":"Knight","given":"Tiffany M.","non-dropping-particle":"","parse-names":false,"suffix":""},{"dropping-particle":"","family":"Purschke","given":"Oliver","non-dropping-particle":"","parse-names":false,"suffix":""},{"dropping-particle":"","family":"Gotelli","given":"Nicholas J.","non-dropping-particle":"","parse-names":false,"suffix":""}],"container-title":"Ecology Letters","editor":[{"dropping-particle":"","family":"Adler","given":"Frederick","non-dropping-particle":"","parse-names":false,"suffix":""}],"id":"ITEM-2","issue":"11","issued":{"date-parts":[["2018","11","1"]]},"page":"1737-1751","publisher":"Blackwell Publishing Ltd","title":"Embracing scale-dependence to achieve a deeper understanding of biodiversity and its change across communities","type":"article-journal","volume":"21"},"uris":["http://www.mendeley.com/documents/?uuid=19de7c0b-d98e-4f07-903a-5d1427ec6095"]}],"mendeley":{"formattedCitation":"[46, 57]","plainTextFormattedCitation":"[46, 57]","previouslyFormattedCitation":"[46, 59]"},"properties":{"noteIndex":0},"schema":"https://github.com/citation-style-language/schema/raw/master/csl-citation.json"}</w:instrText>
      </w:r>
      <w:r w:rsidR="00160B93" w:rsidRPr="00CB6F3B">
        <w:rPr>
          <w:rFonts w:ascii="Times New Roman" w:eastAsia="Times New Roman" w:hAnsi="Times New Roman" w:cs="Times New Roman"/>
          <w:sz w:val="24"/>
          <w:szCs w:val="24"/>
        </w:rPr>
        <w:fldChar w:fldCharType="separate"/>
      </w:r>
      <w:r w:rsidR="002D2AE8" w:rsidRPr="00CB6F3B">
        <w:rPr>
          <w:rFonts w:ascii="Times New Roman" w:eastAsia="Times New Roman" w:hAnsi="Times New Roman" w:cs="Times New Roman"/>
          <w:noProof/>
          <w:sz w:val="24"/>
          <w:szCs w:val="24"/>
        </w:rPr>
        <w:t>[46, 57]</w:t>
      </w:r>
      <w:r w:rsidR="00160B93" w:rsidRPr="00CB6F3B">
        <w:rPr>
          <w:rFonts w:ascii="Times New Roman" w:eastAsia="Times New Roman" w:hAnsi="Times New Roman" w:cs="Times New Roman"/>
          <w:sz w:val="24"/>
          <w:szCs w:val="24"/>
        </w:rPr>
        <w:fldChar w:fldCharType="end"/>
      </w:r>
      <w:r w:rsidR="00160B93" w:rsidRPr="00CB6F3B">
        <w:rPr>
          <w:rFonts w:ascii="Times New Roman" w:eastAsia="Times New Roman" w:hAnsi="Times New Roman" w:cs="Times New Roman"/>
          <w:sz w:val="24"/>
          <w:szCs w:val="24"/>
        </w:rPr>
        <w:t>.  H</w:t>
      </w:r>
      <w:r w:rsidR="000F0A66" w:rsidRPr="00CB6F3B">
        <w:rPr>
          <w:rFonts w:ascii="Times New Roman" w:eastAsia="Times New Roman" w:hAnsi="Times New Roman" w:cs="Times New Roman"/>
          <w:sz w:val="24"/>
          <w:szCs w:val="24"/>
        </w:rPr>
        <w:t xml:space="preserve">owever, communities defined at different spatial scales </w:t>
      </w:r>
      <w:r w:rsidR="00DD20D6" w:rsidRPr="00CB6F3B">
        <w:rPr>
          <w:rFonts w:ascii="Times New Roman" w:eastAsia="Times New Roman" w:hAnsi="Times New Roman" w:cs="Times New Roman"/>
          <w:sz w:val="24"/>
          <w:szCs w:val="24"/>
        </w:rPr>
        <w:t xml:space="preserve">(both at different grain and extent) </w:t>
      </w:r>
      <w:r w:rsidR="000F0A66" w:rsidRPr="00CB6F3B">
        <w:rPr>
          <w:rFonts w:ascii="Times New Roman" w:eastAsia="Times New Roman" w:hAnsi="Times New Roman" w:cs="Times New Roman"/>
          <w:sz w:val="24"/>
          <w:szCs w:val="24"/>
        </w:rPr>
        <w:t>cannot be directly compared</w:t>
      </w:r>
      <w:r w:rsidR="004F617C" w:rsidRPr="00CB6F3B">
        <w:rPr>
          <w:rFonts w:ascii="Times New Roman" w:eastAsia="Times New Roman" w:hAnsi="Times New Roman" w:cs="Times New Roman"/>
          <w:sz w:val="24"/>
          <w:szCs w:val="24"/>
        </w:rPr>
        <w:t xml:space="preserve"> (Fig</w:t>
      </w:r>
      <w:r w:rsidR="007742AA" w:rsidRPr="00CB6F3B">
        <w:rPr>
          <w:rFonts w:ascii="Times New Roman" w:eastAsia="Times New Roman" w:hAnsi="Times New Roman" w:cs="Times New Roman"/>
          <w:sz w:val="24"/>
          <w:szCs w:val="24"/>
        </w:rPr>
        <w:t>ure</w:t>
      </w:r>
      <w:r w:rsidR="0034245C" w:rsidRPr="00CB6F3B">
        <w:rPr>
          <w:rFonts w:ascii="Times New Roman" w:eastAsia="Times New Roman" w:hAnsi="Times New Roman" w:cs="Times New Roman"/>
          <w:sz w:val="24"/>
          <w:szCs w:val="24"/>
        </w:rPr>
        <w:t xml:space="preserve"> </w:t>
      </w:r>
      <w:r w:rsidR="007742AA" w:rsidRPr="00CB6F3B">
        <w:rPr>
          <w:rFonts w:ascii="Times New Roman" w:eastAsia="Times New Roman" w:hAnsi="Times New Roman" w:cs="Times New Roman"/>
          <w:sz w:val="24"/>
          <w:szCs w:val="24"/>
        </w:rPr>
        <w:t>3</w:t>
      </w:r>
      <w:r w:rsidR="004F617C" w:rsidRPr="00CB6F3B">
        <w:rPr>
          <w:rFonts w:ascii="Times New Roman" w:eastAsia="Times New Roman" w:hAnsi="Times New Roman" w:cs="Times New Roman"/>
          <w:sz w:val="24"/>
          <w:szCs w:val="24"/>
        </w:rPr>
        <w:t>)</w:t>
      </w:r>
      <w:r w:rsidR="000F0A66" w:rsidRPr="00CB6F3B">
        <w:rPr>
          <w:rFonts w:ascii="Times New Roman" w:eastAsia="Times New Roman" w:hAnsi="Times New Roman" w:cs="Times New Roman"/>
          <w:sz w:val="24"/>
          <w:szCs w:val="24"/>
        </w:rPr>
        <w:t xml:space="preserve">. </w:t>
      </w:r>
      <w:r w:rsidR="00950D67" w:rsidRPr="00CB6F3B">
        <w:rPr>
          <w:rFonts w:ascii="Times New Roman" w:eastAsia="Times New Roman" w:hAnsi="Times New Roman" w:cs="Times New Roman"/>
          <w:sz w:val="24"/>
          <w:szCs w:val="24"/>
        </w:rPr>
        <w:t xml:space="preserve">The Earth Microbiome Project </w:t>
      </w:r>
      <w:r w:rsidR="00950D67" w:rsidRPr="00CB6F3B">
        <w:rPr>
          <w:rFonts w:ascii="Times New Roman" w:eastAsia="Times New Roman" w:hAnsi="Times New Roman" w:cs="Times New Roman"/>
          <w:sz w:val="24"/>
          <w:szCs w:val="24"/>
        </w:rPr>
        <w:fldChar w:fldCharType="begin" w:fldLock="1"/>
      </w:r>
      <w:r w:rsidR="008923CD" w:rsidRPr="00CB6F3B">
        <w:rPr>
          <w:rFonts w:ascii="Times New Roman" w:eastAsia="Times New Roman" w:hAnsi="Times New Roman" w:cs="Times New Roman"/>
          <w:sz w:val="24"/>
          <w:szCs w:val="24"/>
        </w:rPr>
        <w:instrText>ADDIN CSL_CITATION {"citationItems":[{"id":"ITEM-1","itemData":{"author":[{"dropping-particle":"","family":"Thompson","given":"Luke R","non-dropping-particle":"","parse-names":false,"suffix":""},{"dropping-particle":"","family":"Sanders","given":"Jon G","non-dropping-particle":"","parse-names":false,"suffix":""},{"dropping-particle":"","family":"McDonald","given":"Daniel","non-dropping-particle":"","parse-names":false,"suffix":""},{"dropping-particle":"","family":"Amir","given":"Amnon","non-dropping-particle":"","parse-names":false,"suffix":""},{"dropping-particle":"","family":"Ladau","given":"Joshua","non-dropping-particle":"","parse-names":false,"suffix":""},{"dropping-particle":"","family":"Locey","given":"Kenneth J","non-dropping-particle":"","parse-names":false,"suffix":""},{"dropping-particle":"","family":"Prill","given":"Robert J","non-dropping-particle":"","parse-names":false,"suffix":""},{"dropping-particle":"","family":"Tripathi","given":"Anupriya","non-dropping-particle":"","parse-names":false,"suffix":""},{"dropping-particle":"","family":"Gibbons","given":"Sean M","non-dropping-particle":"","parse-names":false,"suffix":""},{"dropping-particle":"","family":"Ackermann","given":"Gail","non-dropping-particle":"","parse-names":false,"suffix":""},{"dropping-particle":"","family":"Navas-Molina","given":"Jose A","non-dropping-particle":"","parse-names":false,"suffix":""},{"dropping-particle":"","family":"Janssen","given":"Stefan","non-dropping-particle":"","parse-names":false,"suffix":""},{"dropping-particle":"","family":"Kopylova","given":"Evguenia","non-dropping-particle":"","parse-names":false,"suffix":""},{"dropping-particle":"","family":"Vázquez-Baeza","given":"Yoshiki","non-dropping-particle":"","parse-names":false,"suffix":""},{"dropping-particle":"","family":"González","given":"Antonio","non-dropping-particle":"","parse-names":false,"suffix":""},{"dropping-particle":"","family":"Morton","given":"James T","non-dropping-particle":"","parse-names":false,"suffix":""},{"dropping-particle":"","family":"Mirarab","given":"Siavash","non-dropping-particle":"","parse-names":false,"suffix":""},{"dropping-particle":"","family":"Zech Xu","given":"Zhenjiang","non-dropping-particle":"","parse-names":false,"suffix":""},{"dropping-particle":"","family":"Jiang","given":"Lingjing","non-dropping-particle":"","parse-names":false,"suffix":""},{"dropping-particle":"","family":"Haroon","given":"Mohamed F","non-dropping-particle":"","parse-names":false,"suffix":""},{"dropping-particle":"","family":"Kanbar","given":"Jad","non-dropping-particle":"","parse-names":false,"suffix":""},{"dropping-particle":"","family":"Zhu","given":"Qiyun","non-dropping-particle":"","parse-names":false,"suffix":""},{"dropping-particle":"","family":"Jin Song","given":"Se","non-dropping-particle":"","parse-names":false,"suffix":""},{"dropping-particle":"","family":"Kosciolek","given":"Tomasz","non-dropping-particle":"","parse-names":false,"suffix":""},{"dropping-particle":"","family":"Bokulich","given":"Nicholas A","non-dropping-particle":"","parse-names":false,"suffix":""},{"dropping-particle":"","family":"Lefler","given":"Joshua","non-dropping-particle":"","parse-names":false,"suffix":""},{"dropping-particle":"","family":"Brislawn","given":"Colin J","non-dropping-particle":"","parse-names":false,"suffix":""},{"dropping-particle":"","family":"Humphrey","given":"Gregory","non-dropping-particle":"","parse-names":false,"suffix":""},{"dropping-particle":"","family":"Owens","given":"Sarah M","non-dropping-particle":"","parse-names":false,"suffix":""},{"dropping-particle":"","family":"Hampton-Marcell","given":"Jarrad","non-dropping-particle":"","parse-names":false,"suffix":""},{"dropping-particle":"","family":"Berg-Lyons","given":"Donna","non-dropping-particle":"","parse-names":false,"suffix":""},{"dropping-particle":"","family":"McKenzie","given":"Valerie","non-dropping-particle":"","parse-names":false,"suffix":""},{"dropping-particle":"","family":"Fierer","given":"Noah","non-dropping-particle":"","parse-names":false,"suffix":""},{"dropping-particle":"","family":"Fuhrman","given":"Jed A","non-dropping-particle":"","parse-names":false,"suffix":""},{"dropping-particle":"","family":"Clauset","given":"Aaron","non-dropping-particle":"","parse-names":false,"suffix":""},{"dropping-particle":"","family":"Stevens","given":"Rick L","non-dropping-particle":"","parse-names":false,"suffix":""},{"dropping-particle":"","family":"Shade","given":"Ashley","non-dropping-particle":"","parse-names":false,"suffix":""},{"dropping-particle":"","family":"Pollard","given":"Katherine S","non-dropping-particle":"","parse-names":false,"suffix":""},{"dropping-particle":"","family":"Goodwin","given":"Kelly D","non-dropping-particle":"","parse-names":false,"suffix":""},{"dropping-particle":"","family":"Jansson","given":"Janet K","non-dropping-particle":"","parse-names":false,"suffix":""},{"dropping-particle":"","family":"Gilbert","given":"Jack A","non-dropping-particle":"","parse-names":false,"suffix":""},{"dropping-particle":"","family":"Knight","given":"Rob","non-dropping-particle":"","parse-names":false,"suffix":""},{"dropping-particle":"","family":"Consortium","given":"The Earth Microbiome Project","non-dropping-particle":"","parse-names":false,"suffix":""}],"container-title":"Nature","id":"ITEM-1","issued":{"date-parts":[["2017","11","1"]]},"publisher":"The Author(s)","title":"A communal catalogue reveals Earth’s multiscale microbial diversity","type":"article-journal"},"uris":["http://www.mendeley.com/documents/?uuid=476f49f9-b2a0-4c28-8512-0f9e05373614"]}],"mendeley":{"formattedCitation":"[1]","plainTextFormattedCitation":"[1]","previouslyFormattedCitation":"[1]"},"properties":{"noteIndex":0},"schema":"https://github.com/citation-style-language/schema/raw/master/csl-citation.json"}</w:instrText>
      </w:r>
      <w:r w:rsidR="00950D67" w:rsidRPr="00CB6F3B">
        <w:rPr>
          <w:rFonts w:ascii="Times New Roman" w:eastAsia="Times New Roman" w:hAnsi="Times New Roman" w:cs="Times New Roman"/>
          <w:sz w:val="24"/>
          <w:szCs w:val="24"/>
        </w:rPr>
        <w:fldChar w:fldCharType="separate"/>
      </w:r>
      <w:r w:rsidR="005446D7" w:rsidRPr="00CB6F3B">
        <w:rPr>
          <w:rFonts w:ascii="Times New Roman" w:eastAsia="Times New Roman" w:hAnsi="Times New Roman" w:cs="Times New Roman"/>
          <w:noProof/>
          <w:sz w:val="24"/>
          <w:szCs w:val="24"/>
        </w:rPr>
        <w:t>[1]</w:t>
      </w:r>
      <w:r w:rsidR="00950D67" w:rsidRPr="00CB6F3B">
        <w:rPr>
          <w:rFonts w:ascii="Times New Roman" w:eastAsia="Times New Roman" w:hAnsi="Times New Roman" w:cs="Times New Roman"/>
          <w:sz w:val="24"/>
          <w:szCs w:val="24"/>
        </w:rPr>
        <w:fldChar w:fldCharType="end"/>
      </w:r>
      <w:r w:rsidR="00950D67" w:rsidRPr="00CB6F3B">
        <w:rPr>
          <w:rFonts w:ascii="Times New Roman" w:eastAsia="Times New Roman" w:hAnsi="Times New Roman" w:cs="Times New Roman"/>
          <w:sz w:val="24"/>
          <w:szCs w:val="24"/>
        </w:rPr>
        <w:t xml:space="preserve"> has pioneered the large-scale standardization of laboratory protocols and the recording of standard environmental metadata. We argue that </w:t>
      </w:r>
      <w:r w:rsidR="00950D67" w:rsidRPr="00CB6F3B">
        <w:rPr>
          <w:rFonts w:ascii="Times New Roman" w:hAnsi="Times New Roman" w:cs="Times New Roman"/>
          <w:sz w:val="24"/>
          <w:szCs w:val="24"/>
        </w:rPr>
        <w:t xml:space="preserve">additional </w:t>
      </w:r>
      <w:r w:rsidR="0000148B" w:rsidRPr="00CB6F3B">
        <w:rPr>
          <w:rFonts w:ascii="Times New Roman" w:hAnsi="Times New Roman" w:cs="Times New Roman"/>
          <w:sz w:val="24"/>
          <w:szCs w:val="24"/>
        </w:rPr>
        <w:t>metadata of</w:t>
      </w:r>
      <w:r w:rsidR="00950D67" w:rsidRPr="00CB6F3B">
        <w:rPr>
          <w:rFonts w:ascii="Times New Roman" w:hAnsi="Times New Roman" w:cs="Times New Roman"/>
          <w:sz w:val="24"/>
          <w:szCs w:val="24"/>
        </w:rPr>
        <w:t xml:space="preserve"> </w:t>
      </w:r>
      <w:r w:rsidRPr="00CB6F3B">
        <w:rPr>
          <w:rFonts w:ascii="Times New Roman" w:hAnsi="Times New Roman" w:cs="Times New Roman"/>
          <w:sz w:val="24"/>
          <w:szCs w:val="24"/>
        </w:rPr>
        <w:t xml:space="preserve">the spatial component of </w:t>
      </w:r>
      <w:r w:rsidR="00160B93" w:rsidRPr="00CB6F3B">
        <w:rPr>
          <w:rFonts w:ascii="Times New Roman" w:hAnsi="Times New Roman" w:cs="Times New Roman"/>
          <w:sz w:val="24"/>
          <w:szCs w:val="24"/>
        </w:rPr>
        <w:t>sampling</w:t>
      </w:r>
      <w:r w:rsidRPr="00CB6F3B">
        <w:rPr>
          <w:rFonts w:ascii="Times New Roman" w:hAnsi="Times New Roman" w:cs="Times New Roman"/>
          <w:sz w:val="24"/>
          <w:szCs w:val="24"/>
        </w:rPr>
        <w:t xml:space="preserve">, which includes distance among samples, precise reporting of the spatial location, </w:t>
      </w:r>
      <w:r w:rsidRPr="00CB6F3B">
        <w:rPr>
          <w:rFonts w:ascii="Times New Roman" w:hAnsi="Times New Roman" w:cs="Times New Roman"/>
          <w:bCs/>
          <w:sz w:val="24"/>
          <w:szCs w:val="24"/>
        </w:rPr>
        <w:t>volume</w:t>
      </w:r>
      <w:r w:rsidRPr="00CB6F3B">
        <w:rPr>
          <w:rFonts w:ascii="Times New Roman" w:hAnsi="Times New Roman" w:cs="Times New Roman"/>
          <w:sz w:val="24"/>
          <w:szCs w:val="24"/>
        </w:rPr>
        <w:t xml:space="preserve">, </w:t>
      </w:r>
      <w:r w:rsidRPr="00CB6F3B">
        <w:rPr>
          <w:rFonts w:ascii="Times New Roman" w:hAnsi="Times New Roman" w:cs="Times New Roman"/>
          <w:bCs/>
          <w:sz w:val="24"/>
          <w:szCs w:val="24"/>
        </w:rPr>
        <w:t>extent,</w:t>
      </w:r>
      <w:r w:rsidRPr="00CB6F3B">
        <w:rPr>
          <w:rFonts w:ascii="Times New Roman" w:hAnsi="Times New Roman" w:cs="Times New Roman"/>
          <w:sz w:val="24"/>
          <w:szCs w:val="24"/>
        </w:rPr>
        <w:t xml:space="preserve"> and </w:t>
      </w:r>
      <w:r w:rsidRPr="00CB6F3B">
        <w:rPr>
          <w:rFonts w:ascii="Times New Roman" w:hAnsi="Times New Roman" w:cs="Times New Roman"/>
          <w:bCs/>
          <w:sz w:val="24"/>
          <w:szCs w:val="24"/>
        </w:rPr>
        <w:t>grain</w:t>
      </w:r>
      <w:r w:rsidR="0000148B" w:rsidRPr="00CB6F3B">
        <w:rPr>
          <w:rFonts w:ascii="Times New Roman" w:hAnsi="Times New Roman" w:cs="Times New Roman"/>
          <w:bCs/>
          <w:sz w:val="24"/>
          <w:szCs w:val="24"/>
        </w:rPr>
        <w:t xml:space="preserve"> should be reported for</w:t>
      </w:r>
      <w:r w:rsidRPr="00CB6F3B">
        <w:rPr>
          <w:rFonts w:ascii="Times New Roman" w:hAnsi="Times New Roman" w:cs="Times New Roman"/>
          <w:bCs/>
          <w:sz w:val="24"/>
          <w:szCs w:val="24"/>
        </w:rPr>
        <w:t xml:space="preserve"> each sample</w:t>
      </w:r>
      <w:r w:rsidR="000F0A66" w:rsidRPr="00CB6F3B">
        <w:rPr>
          <w:rFonts w:ascii="Times New Roman" w:hAnsi="Times New Roman" w:cs="Times New Roman"/>
          <w:bCs/>
          <w:sz w:val="24"/>
          <w:szCs w:val="24"/>
        </w:rPr>
        <w:t xml:space="preserve">. </w:t>
      </w:r>
    </w:p>
    <w:p w14:paraId="6FCBFD2B" w14:textId="6436D9D8" w:rsidR="000F0A66" w:rsidRPr="00CB6F3B" w:rsidRDefault="008B6A68" w:rsidP="0010601A">
      <w:pPr>
        <w:spacing w:line="480" w:lineRule="auto"/>
        <w:rPr>
          <w:rFonts w:ascii="Times New Roman" w:hAnsi="Times New Roman" w:cs="Times New Roman"/>
          <w:b/>
          <w:bCs/>
          <w:sz w:val="24"/>
          <w:szCs w:val="24"/>
        </w:rPr>
      </w:pPr>
      <w:r w:rsidRPr="00CB6F3B">
        <w:rPr>
          <w:rFonts w:ascii="Times New Roman" w:hAnsi="Times New Roman" w:cs="Times New Roman"/>
          <w:b/>
          <w:bCs/>
          <w:sz w:val="24"/>
          <w:szCs w:val="24"/>
        </w:rPr>
        <w:t xml:space="preserve">3.5 </w:t>
      </w:r>
      <w:r w:rsidR="005A64E6" w:rsidRPr="00CB6F3B">
        <w:rPr>
          <w:rFonts w:ascii="Times New Roman" w:hAnsi="Times New Roman" w:cs="Times New Roman"/>
          <w:b/>
          <w:bCs/>
          <w:sz w:val="24"/>
          <w:szCs w:val="24"/>
        </w:rPr>
        <w:t>A</w:t>
      </w:r>
      <w:r w:rsidR="00567835" w:rsidRPr="00CB6F3B">
        <w:rPr>
          <w:rFonts w:ascii="Times New Roman" w:hAnsi="Times New Roman" w:cs="Times New Roman"/>
          <w:b/>
          <w:bCs/>
          <w:sz w:val="24"/>
          <w:szCs w:val="24"/>
        </w:rPr>
        <w:t>ccount for</w:t>
      </w:r>
      <w:r w:rsidR="009532C0" w:rsidRPr="00CB6F3B">
        <w:rPr>
          <w:rFonts w:ascii="Times New Roman" w:hAnsi="Times New Roman" w:cs="Times New Roman"/>
          <w:b/>
          <w:bCs/>
          <w:sz w:val="24"/>
          <w:szCs w:val="24"/>
        </w:rPr>
        <w:t xml:space="preserve"> imperfect detection</w:t>
      </w:r>
      <w:r w:rsidR="005A64E6" w:rsidRPr="00CB6F3B">
        <w:rPr>
          <w:rFonts w:ascii="Times New Roman" w:hAnsi="Times New Roman" w:cs="Times New Roman"/>
          <w:b/>
          <w:bCs/>
          <w:sz w:val="24"/>
          <w:szCs w:val="24"/>
        </w:rPr>
        <w:t xml:space="preserve"> statistically</w:t>
      </w:r>
    </w:p>
    <w:p w14:paraId="4B0C6015" w14:textId="77777777" w:rsidR="00D95131" w:rsidRPr="00CB6F3B" w:rsidRDefault="00D8661F" w:rsidP="0010601A">
      <w:pPr>
        <w:spacing w:line="480" w:lineRule="auto"/>
        <w:rPr>
          <w:rFonts w:ascii="Times New Roman" w:eastAsia="Times New Roman" w:hAnsi="Times New Roman" w:cs="Times New Roman"/>
          <w:sz w:val="24"/>
          <w:szCs w:val="24"/>
        </w:rPr>
      </w:pPr>
      <w:r w:rsidRPr="00CB6F3B">
        <w:rPr>
          <w:rFonts w:ascii="Times New Roman" w:eastAsia="Times New Roman" w:hAnsi="Times New Roman" w:cs="Times New Roman"/>
          <w:sz w:val="24"/>
          <w:szCs w:val="24"/>
        </w:rPr>
        <w:t xml:space="preserve">Many of the </w:t>
      </w:r>
      <w:r w:rsidR="00245E2F" w:rsidRPr="00CB6F3B">
        <w:rPr>
          <w:rFonts w:ascii="Times New Roman" w:eastAsia="Times New Roman" w:hAnsi="Times New Roman" w:cs="Times New Roman"/>
          <w:sz w:val="24"/>
          <w:szCs w:val="24"/>
        </w:rPr>
        <w:t>issues</w:t>
      </w:r>
      <w:r w:rsidRPr="00CB6F3B">
        <w:rPr>
          <w:rFonts w:ascii="Times New Roman" w:eastAsia="Times New Roman" w:hAnsi="Times New Roman" w:cs="Times New Roman"/>
          <w:sz w:val="24"/>
          <w:szCs w:val="24"/>
        </w:rPr>
        <w:t xml:space="preserve"> described above </w:t>
      </w:r>
      <w:r w:rsidR="00245E2F" w:rsidRPr="00CB6F3B">
        <w:rPr>
          <w:rFonts w:ascii="Times New Roman" w:eastAsia="Times New Roman" w:hAnsi="Times New Roman" w:cs="Times New Roman"/>
          <w:sz w:val="24"/>
          <w:szCs w:val="24"/>
        </w:rPr>
        <w:t xml:space="preserve">concern </w:t>
      </w:r>
      <w:r w:rsidRPr="00CB6F3B">
        <w:rPr>
          <w:rFonts w:ascii="Times New Roman" w:eastAsia="Times New Roman" w:hAnsi="Times New Roman" w:cs="Times New Roman"/>
          <w:sz w:val="24"/>
          <w:szCs w:val="24"/>
        </w:rPr>
        <w:t xml:space="preserve">imperfect detection </w:t>
      </w:r>
      <w:r w:rsidR="009C44EC" w:rsidRPr="00CB6F3B">
        <w:rPr>
          <w:rFonts w:ascii="Times New Roman" w:eastAsia="Times New Roman" w:hAnsi="Times New Roman" w:cs="Times New Roman"/>
          <w:sz w:val="24"/>
          <w:szCs w:val="24"/>
        </w:rPr>
        <w:t>(i.e., Figure 1, Figure 2)</w:t>
      </w:r>
      <w:r w:rsidRPr="00CB6F3B">
        <w:rPr>
          <w:rFonts w:ascii="Times New Roman" w:eastAsia="Times New Roman" w:hAnsi="Times New Roman" w:cs="Times New Roman"/>
          <w:sz w:val="24"/>
          <w:szCs w:val="24"/>
        </w:rPr>
        <w:t>.</w:t>
      </w:r>
    </w:p>
    <w:p w14:paraId="109C8078" w14:textId="00925E81" w:rsidR="009532C0" w:rsidRPr="00CB6F3B" w:rsidRDefault="00D95131" w:rsidP="0010601A">
      <w:pPr>
        <w:spacing w:line="480" w:lineRule="auto"/>
        <w:rPr>
          <w:rFonts w:ascii="Times New Roman" w:hAnsi="Times New Roman" w:cs="Times New Roman"/>
          <w:b/>
          <w:sz w:val="24"/>
          <w:szCs w:val="24"/>
        </w:rPr>
      </w:pPr>
      <w:bookmarkStart w:id="23" w:name="_Hlk48726641"/>
      <w:r w:rsidRPr="00CB6F3B">
        <w:rPr>
          <w:rFonts w:ascii="Times New Roman" w:eastAsia="Times New Roman" w:hAnsi="Times New Roman" w:cs="Times New Roman"/>
          <w:sz w:val="24"/>
          <w:szCs w:val="24"/>
        </w:rPr>
        <w:t xml:space="preserve">Several statistical methods have been developed to deal with the complexities of microbiome data (e.g., </w:t>
      </w:r>
      <w:proofErr w:type="spellStart"/>
      <w:r w:rsidRPr="00CB6F3B">
        <w:rPr>
          <w:rFonts w:ascii="Times New Roman" w:eastAsia="Times New Roman" w:hAnsi="Times New Roman" w:cs="Times New Roman"/>
          <w:sz w:val="24"/>
          <w:szCs w:val="24"/>
        </w:rPr>
        <w:t>SparCC</w:t>
      </w:r>
      <w:proofErr w:type="spellEnd"/>
      <w:r w:rsidRPr="00CB6F3B">
        <w:rPr>
          <w:rFonts w:ascii="Times New Roman" w:eastAsia="Times New Roman" w:hAnsi="Times New Roman" w:cs="Times New Roman"/>
          <w:sz w:val="24"/>
          <w:szCs w:val="24"/>
        </w:rPr>
        <w:t xml:space="preserve">, isometric log ratio transforms, and machine learning algorithms, see </w:t>
      </w:r>
      <w:r w:rsidRPr="00CB6F3B">
        <w:rPr>
          <w:rFonts w:ascii="Times New Roman" w:eastAsia="Times New Roman" w:hAnsi="Times New Roman" w:cs="Times New Roman"/>
          <w:sz w:val="24"/>
          <w:szCs w:val="24"/>
        </w:rPr>
        <w:fldChar w:fldCharType="begin" w:fldLock="1"/>
      </w:r>
      <w:r w:rsidR="002D2AE8" w:rsidRPr="00CB6F3B">
        <w:rPr>
          <w:rFonts w:ascii="Times New Roman" w:eastAsia="Times New Roman" w:hAnsi="Times New Roman" w:cs="Times New Roman"/>
          <w:sz w:val="24"/>
          <w:szCs w:val="24"/>
        </w:rPr>
        <w:instrText>ADDIN CSL_CITATION {"citationItems":[{"id":"ITEM-1","itemData":{"ISSN":"1740-1534","author":[{"dropping-particle":"","family":"Knight","given":"Rob","non-dropping-particle":"","parse-names":false,"suffix":""},{"dropping-particle":"","family":"Vrbanac","given":"Alison","non-dropping-particle":"","parse-names":false,"suffix":""},{"dropping-particle":"","family":"Taylor","given":"Bryn C","non-dropping-particle":"","parse-names":false,"suffix":""},{"dropping-particle":"","family":"Aksenov","given":"Alexander","non-dropping-particle":"","parse-names":false,"suffix":""},{"dropping-particle":"","family":"Callewaert","given":"Chris","non-dropping-particle":"","parse-names":false,"suffix":""},{"dropping-particle":"","family":"Debelius","given":"Justine","non-dropping-particle":"","parse-names":false,"suffix":""},{"dropping-particle":"","family":"Gonzalez","given":"Antonio","non-dropping-particle":"","parse-names":false,"suffix":""},{"dropping-particle":"","family":"Kosciolek","given":"Tomasz","non-dropping-particle":"","parse-names":false,"suffix":""},{"dropping-particle":"","family":"McCall","given":"Laura-Isobel","non-dropping-particle":"","parse-names":false,"suffix":""},{"dropping-particle":"","family":"McDonald","given":"Daniel","non-dropping-particle":"","parse-names":false,"suffix":""}],"container-title":"Nature Reviews Microbiology","id":"ITEM-1","issue":"7","issued":{"date-parts":[["2018"]]},"page":"410-422","publisher":"Nature Publishing Group","title":"Best practices for analysing microbiomes","type":"article-journal","volume":"16"},"uris":["http://www.mendeley.com/documents/?uuid=98924754-7ef1-4c14-891d-47b0dae15273"]}],"mendeley":{"formattedCitation":"[58]","plainTextFormattedCitation":"[58]","previouslyFormattedCitation":"[60]"},"properties":{"noteIndex":0},"schema":"https://github.com/citation-style-language/schema/raw/master/csl-citation.json"}</w:instrText>
      </w:r>
      <w:r w:rsidRPr="00CB6F3B">
        <w:rPr>
          <w:rFonts w:ascii="Times New Roman" w:eastAsia="Times New Roman" w:hAnsi="Times New Roman" w:cs="Times New Roman"/>
          <w:sz w:val="24"/>
          <w:szCs w:val="24"/>
        </w:rPr>
        <w:fldChar w:fldCharType="separate"/>
      </w:r>
      <w:r w:rsidR="002D2AE8" w:rsidRPr="00CB6F3B">
        <w:rPr>
          <w:rFonts w:ascii="Times New Roman" w:eastAsia="Times New Roman" w:hAnsi="Times New Roman" w:cs="Times New Roman"/>
          <w:noProof/>
          <w:sz w:val="24"/>
          <w:szCs w:val="24"/>
        </w:rPr>
        <w:t>[58]</w:t>
      </w:r>
      <w:r w:rsidRPr="00CB6F3B">
        <w:rPr>
          <w:rFonts w:ascii="Times New Roman" w:eastAsia="Times New Roman" w:hAnsi="Times New Roman" w:cs="Times New Roman"/>
          <w:sz w:val="24"/>
          <w:szCs w:val="24"/>
        </w:rPr>
        <w:fldChar w:fldCharType="end"/>
      </w:r>
      <w:r w:rsidRPr="00CB6F3B">
        <w:rPr>
          <w:rFonts w:ascii="Times New Roman" w:eastAsia="Times New Roman" w:hAnsi="Times New Roman" w:cs="Times New Roman"/>
          <w:sz w:val="24"/>
          <w:szCs w:val="24"/>
        </w:rPr>
        <w:t>).</w:t>
      </w:r>
      <w:bookmarkEnd w:id="23"/>
      <w:r w:rsidRPr="00CB6F3B">
        <w:rPr>
          <w:rFonts w:ascii="Times New Roman" w:eastAsia="Times New Roman" w:hAnsi="Times New Roman" w:cs="Times New Roman"/>
          <w:sz w:val="24"/>
          <w:szCs w:val="24"/>
        </w:rPr>
        <w:t xml:space="preserve">  </w:t>
      </w:r>
      <w:r w:rsidR="00160B93" w:rsidRPr="00CB6F3B">
        <w:rPr>
          <w:rFonts w:ascii="Times New Roman" w:eastAsia="Times New Roman" w:hAnsi="Times New Roman" w:cs="Times New Roman"/>
          <w:sz w:val="24"/>
          <w:szCs w:val="24"/>
        </w:rPr>
        <w:t xml:space="preserve">One </w:t>
      </w:r>
      <w:r w:rsidR="0063030D" w:rsidRPr="00CB6F3B">
        <w:rPr>
          <w:rFonts w:ascii="Times New Roman" w:eastAsia="Times New Roman" w:hAnsi="Times New Roman" w:cs="Times New Roman"/>
          <w:sz w:val="24"/>
          <w:szCs w:val="24"/>
        </w:rPr>
        <w:t xml:space="preserve">additional </w:t>
      </w:r>
      <w:r w:rsidR="00160B93" w:rsidRPr="00CB6F3B">
        <w:rPr>
          <w:rFonts w:ascii="Times New Roman" w:eastAsia="Times New Roman" w:hAnsi="Times New Roman" w:cs="Times New Roman"/>
          <w:sz w:val="24"/>
          <w:szCs w:val="24"/>
        </w:rPr>
        <w:t xml:space="preserve">solution is </w:t>
      </w:r>
      <w:r w:rsidR="00D8661F" w:rsidRPr="00CB6F3B">
        <w:rPr>
          <w:rFonts w:ascii="Times New Roman" w:eastAsia="Times New Roman" w:hAnsi="Times New Roman" w:cs="Times New Roman"/>
          <w:i/>
          <w:sz w:val="24"/>
          <w:szCs w:val="24"/>
        </w:rPr>
        <w:t>occupancy model</w:t>
      </w:r>
      <w:r w:rsidR="00160B93" w:rsidRPr="00CB6F3B">
        <w:rPr>
          <w:rFonts w:ascii="Times New Roman" w:eastAsia="Times New Roman" w:hAnsi="Times New Roman" w:cs="Times New Roman"/>
          <w:i/>
          <w:sz w:val="24"/>
          <w:szCs w:val="24"/>
        </w:rPr>
        <w:t>ling</w:t>
      </w:r>
      <w:r w:rsidR="00D8661F" w:rsidRPr="00CB6F3B">
        <w:rPr>
          <w:rFonts w:ascii="Times New Roman" w:eastAsia="Times New Roman" w:hAnsi="Times New Roman" w:cs="Times New Roman"/>
          <w:sz w:val="24"/>
          <w:szCs w:val="24"/>
        </w:rPr>
        <w:t xml:space="preserve"> </w:t>
      </w:r>
      <w:r w:rsidR="009C44EC" w:rsidRPr="00CB6F3B">
        <w:rPr>
          <w:rFonts w:ascii="Times New Roman" w:eastAsia="Times New Roman" w:hAnsi="Times New Roman" w:cs="Times New Roman"/>
          <w:sz w:val="24"/>
          <w:szCs w:val="24"/>
        </w:rPr>
        <w:fldChar w:fldCharType="begin" w:fldLock="1"/>
      </w:r>
      <w:r w:rsidR="002D2AE8" w:rsidRPr="00CB6F3B">
        <w:rPr>
          <w:rFonts w:ascii="Times New Roman" w:eastAsia="Times New Roman" w:hAnsi="Times New Roman" w:cs="Times New Roman"/>
          <w:sz w:val="24"/>
          <w:szCs w:val="24"/>
        </w:rPr>
        <w:instrText>ADDIN CSL_CITATION {"citationItems":[{"id":"ITEM-1","itemData":{"ISSN":"0906-7590","author":[{"dropping-particle":"","family":"Guillera‐Arroita","given":"Gurutzeta","non-dropping-particle":"","parse-names":false,"suffix":""}],"container-title":"Ecography","id":"ITEM-1","issue":"2","issued":{"date-parts":[["2017"]]},"page":"281-295","publisher":"Wiley Online Library","title":"Modelling of species distributions, range dynamics and communities under imperfect detection: advances, challenges and opportunities","type":"article-journal","volume":"40"},"uris":["http://www.mendeley.com/documents/?uuid=0c1ad2bf-dbd8-4dab-a832-8f21020579bb"]}],"mendeley":{"formattedCitation":"[59]","plainTextFormattedCitation":"[59]","previouslyFormattedCitation":"[61]"},"properties":{"noteIndex":0},"schema":"https://github.com/citation-style-language/schema/raw/master/csl-citation.json"}</w:instrText>
      </w:r>
      <w:r w:rsidR="009C44EC" w:rsidRPr="00CB6F3B">
        <w:rPr>
          <w:rFonts w:ascii="Times New Roman" w:eastAsia="Times New Roman" w:hAnsi="Times New Roman" w:cs="Times New Roman"/>
          <w:sz w:val="24"/>
          <w:szCs w:val="24"/>
        </w:rPr>
        <w:fldChar w:fldCharType="separate"/>
      </w:r>
      <w:r w:rsidR="002D2AE8" w:rsidRPr="00CB6F3B">
        <w:rPr>
          <w:rFonts w:ascii="Times New Roman" w:eastAsia="Times New Roman" w:hAnsi="Times New Roman" w:cs="Times New Roman"/>
          <w:noProof/>
          <w:sz w:val="24"/>
          <w:szCs w:val="24"/>
        </w:rPr>
        <w:t>[59]</w:t>
      </w:r>
      <w:r w:rsidR="009C44EC" w:rsidRPr="00CB6F3B">
        <w:rPr>
          <w:rFonts w:ascii="Times New Roman" w:eastAsia="Times New Roman" w:hAnsi="Times New Roman" w:cs="Times New Roman"/>
          <w:sz w:val="24"/>
          <w:szCs w:val="24"/>
        </w:rPr>
        <w:fldChar w:fldCharType="end"/>
      </w:r>
      <w:r w:rsidR="00D8661F" w:rsidRPr="00CB6F3B">
        <w:rPr>
          <w:rFonts w:ascii="Times New Roman" w:eastAsia="Times New Roman" w:hAnsi="Times New Roman" w:cs="Times New Roman"/>
          <w:sz w:val="24"/>
          <w:szCs w:val="24"/>
        </w:rPr>
        <w:t>, a powerful toolset that account</w:t>
      </w:r>
      <w:r w:rsidR="00877B42" w:rsidRPr="00CB6F3B">
        <w:rPr>
          <w:rFonts w:ascii="Times New Roman" w:eastAsia="Times New Roman" w:hAnsi="Times New Roman" w:cs="Times New Roman"/>
          <w:sz w:val="24"/>
          <w:szCs w:val="24"/>
        </w:rPr>
        <w:t>s</w:t>
      </w:r>
      <w:r w:rsidR="00D8661F" w:rsidRPr="00CB6F3B">
        <w:rPr>
          <w:rFonts w:ascii="Times New Roman" w:eastAsia="Times New Roman" w:hAnsi="Times New Roman" w:cs="Times New Roman"/>
          <w:sz w:val="24"/>
          <w:szCs w:val="24"/>
        </w:rPr>
        <w:t xml:space="preserve"> for the biases caused by imperfect detection</w:t>
      </w:r>
      <w:r w:rsidR="002F0B04" w:rsidRPr="00CB6F3B">
        <w:rPr>
          <w:rFonts w:ascii="Times New Roman" w:eastAsia="Times New Roman" w:hAnsi="Times New Roman" w:cs="Times New Roman"/>
          <w:sz w:val="24"/>
          <w:szCs w:val="24"/>
        </w:rPr>
        <w:t xml:space="preserve"> (Figure </w:t>
      </w:r>
      <w:r w:rsidR="008E25AC" w:rsidRPr="00CB6F3B">
        <w:rPr>
          <w:rFonts w:ascii="Times New Roman" w:eastAsia="Times New Roman" w:hAnsi="Times New Roman" w:cs="Times New Roman"/>
          <w:sz w:val="24"/>
          <w:szCs w:val="24"/>
        </w:rPr>
        <w:t>4</w:t>
      </w:r>
      <w:r w:rsidR="002F0B04" w:rsidRPr="00CB6F3B">
        <w:rPr>
          <w:rFonts w:ascii="Times New Roman" w:eastAsia="Times New Roman" w:hAnsi="Times New Roman" w:cs="Times New Roman"/>
          <w:sz w:val="24"/>
          <w:szCs w:val="24"/>
        </w:rPr>
        <w:t>)</w:t>
      </w:r>
      <w:r w:rsidR="00D8661F" w:rsidRPr="00CB6F3B">
        <w:rPr>
          <w:rFonts w:ascii="Times New Roman" w:eastAsia="Times New Roman" w:hAnsi="Times New Roman" w:cs="Times New Roman"/>
          <w:sz w:val="24"/>
          <w:szCs w:val="24"/>
        </w:rPr>
        <w:t>.</w:t>
      </w:r>
      <w:r w:rsidR="00877B42" w:rsidRPr="00CB6F3B">
        <w:rPr>
          <w:rFonts w:ascii="Times New Roman" w:eastAsia="Times New Roman" w:hAnsi="Times New Roman" w:cs="Times New Roman"/>
          <w:sz w:val="24"/>
          <w:szCs w:val="24"/>
        </w:rPr>
        <w:t xml:space="preserve"> </w:t>
      </w:r>
      <w:r w:rsidR="008B5242" w:rsidRPr="00CB6F3B">
        <w:rPr>
          <w:rFonts w:ascii="Times New Roman" w:eastAsia="Times New Roman" w:hAnsi="Times New Roman" w:cs="Times New Roman"/>
          <w:sz w:val="24"/>
          <w:szCs w:val="24"/>
        </w:rPr>
        <w:t xml:space="preserve">Occupancy models are hierarchical </w:t>
      </w:r>
      <w:r w:rsidR="00F55F06" w:rsidRPr="00CB6F3B">
        <w:rPr>
          <w:rFonts w:ascii="Times New Roman" w:eastAsia="Times New Roman" w:hAnsi="Times New Roman" w:cs="Times New Roman"/>
          <w:sz w:val="24"/>
          <w:szCs w:val="24"/>
        </w:rPr>
        <w:t>statistical</w:t>
      </w:r>
      <w:r w:rsidR="008B5242" w:rsidRPr="00CB6F3B">
        <w:rPr>
          <w:rFonts w:ascii="Times New Roman" w:eastAsia="Times New Roman" w:hAnsi="Times New Roman" w:cs="Times New Roman"/>
          <w:sz w:val="24"/>
          <w:szCs w:val="24"/>
        </w:rPr>
        <w:t xml:space="preserve"> models that explicitly separate the observed (biased) detections and the unobserved true presences/absences (i.e. occupancy) or abundances</w:t>
      </w:r>
      <w:r w:rsidR="00D27C51" w:rsidRPr="00CB6F3B">
        <w:rPr>
          <w:rFonts w:ascii="Times New Roman" w:eastAsia="Times New Roman" w:hAnsi="Times New Roman" w:cs="Times New Roman"/>
          <w:sz w:val="24"/>
          <w:szCs w:val="24"/>
        </w:rPr>
        <w:t>. T</w:t>
      </w:r>
      <w:r w:rsidR="008B5242" w:rsidRPr="00CB6F3B">
        <w:rPr>
          <w:rFonts w:ascii="Times New Roman" w:eastAsia="Times New Roman" w:hAnsi="Times New Roman" w:cs="Times New Roman"/>
          <w:sz w:val="24"/>
          <w:szCs w:val="24"/>
        </w:rPr>
        <w:t xml:space="preserve">his is </w:t>
      </w:r>
      <w:r w:rsidR="00F55F06" w:rsidRPr="00CB6F3B">
        <w:rPr>
          <w:rFonts w:ascii="Times New Roman" w:eastAsia="Times New Roman" w:hAnsi="Times New Roman" w:cs="Times New Roman"/>
          <w:sz w:val="24"/>
          <w:szCs w:val="24"/>
        </w:rPr>
        <w:t>possible</w:t>
      </w:r>
      <w:r w:rsidR="008B5242" w:rsidRPr="00CB6F3B">
        <w:rPr>
          <w:rFonts w:ascii="Times New Roman" w:eastAsia="Times New Roman" w:hAnsi="Times New Roman" w:cs="Times New Roman"/>
          <w:sz w:val="24"/>
          <w:szCs w:val="24"/>
        </w:rPr>
        <w:t xml:space="preserve"> by having separate </w:t>
      </w:r>
      <w:proofErr w:type="spellStart"/>
      <w:r w:rsidR="008B5242" w:rsidRPr="00CB6F3B">
        <w:rPr>
          <w:rFonts w:ascii="Times New Roman" w:eastAsia="Times New Roman" w:hAnsi="Times New Roman" w:cs="Times New Roman"/>
          <w:sz w:val="24"/>
          <w:szCs w:val="24"/>
        </w:rPr>
        <w:t>submodel</w:t>
      </w:r>
      <w:r w:rsidR="00D27C51" w:rsidRPr="00CB6F3B">
        <w:rPr>
          <w:rFonts w:ascii="Times New Roman" w:eastAsia="Times New Roman" w:hAnsi="Times New Roman" w:cs="Times New Roman"/>
          <w:sz w:val="24"/>
          <w:szCs w:val="24"/>
        </w:rPr>
        <w:t>s</w:t>
      </w:r>
      <w:proofErr w:type="spellEnd"/>
      <w:r w:rsidR="008B5242" w:rsidRPr="00CB6F3B">
        <w:rPr>
          <w:rFonts w:ascii="Times New Roman" w:eastAsia="Times New Roman" w:hAnsi="Times New Roman" w:cs="Times New Roman"/>
          <w:sz w:val="24"/>
          <w:szCs w:val="24"/>
        </w:rPr>
        <w:t xml:space="preserve"> for the true occupancy and the observation process (Figure 4).</w:t>
      </w:r>
      <w:r w:rsidR="00F55F06" w:rsidRPr="00CB6F3B">
        <w:rPr>
          <w:rFonts w:ascii="Times New Roman" w:eastAsia="Times New Roman" w:hAnsi="Times New Roman" w:cs="Times New Roman"/>
          <w:sz w:val="24"/>
          <w:szCs w:val="24"/>
        </w:rPr>
        <w:t xml:space="preserve"> For the model to work</w:t>
      </w:r>
      <w:r w:rsidR="00160B93" w:rsidRPr="00CB6F3B">
        <w:rPr>
          <w:rFonts w:ascii="Times New Roman" w:eastAsia="Times New Roman" w:hAnsi="Times New Roman" w:cs="Times New Roman"/>
          <w:sz w:val="24"/>
          <w:szCs w:val="24"/>
        </w:rPr>
        <w:t>,</w:t>
      </w:r>
      <w:r w:rsidR="00F55F06" w:rsidRPr="00CB6F3B">
        <w:rPr>
          <w:rFonts w:ascii="Times New Roman" w:eastAsia="Times New Roman" w:hAnsi="Times New Roman" w:cs="Times New Roman"/>
          <w:sz w:val="24"/>
          <w:szCs w:val="24"/>
        </w:rPr>
        <w:t xml:space="preserve"> the data must be informative about the detection process</w:t>
      </w:r>
      <w:r w:rsidR="00160B93" w:rsidRPr="00CB6F3B">
        <w:rPr>
          <w:rFonts w:ascii="Times New Roman" w:eastAsia="Times New Roman" w:hAnsi="Times New Roman" w:cs="Times New Roman"/>
          <w:sz w:val="24"/>
          <w:szCs w:val="24"/>
        </w:rPr>
        <w:t xml:space="preserve">, such as via </w:t>
      </w:r>
      <w:r w:rsidR="00F55F06" w:rsidRPr="00CB6F3B">
        <w:rPr>
          <w:rFonts w:ascii="Times New Roman" w:eastAsia="Times New Roman" w:hAnsi="Times New Roman" w:cs="Times New Roman"/>
          <w:sz w:val="24"/>
          <w:szCs w:val="24"/>
        </w:rPr>
        <w:t xml:space="preserve">repeated sampling in time or spatial sub-samples. Importantly, </w:t>
      </w:r>
      <w:r w:rsidR="009532C0" w:rsidRPr="00CB6F3B">
        <w:rPr>
          <w:rFonts w:ascii="Times New Roman" w:eastAsia="Times New Roman" w:hAnsi="Times New Roman" w:cs="Times New Roman"/>
          <w:sz w:val="24"/>
          <w:szCs w:val="24"/>
        </w:rPr>
        <w:t xml:space="preserve">there are also variants that can estimate abundance, work for multi-species, and can estimate </w:t>
      </w:r>
      <w:r w:rsidR="00160B93" w:rsidRPr="00CB6F3B">
        <w:rPr>
          <w:rFonts w:ascii="Times New Roman" w:eastAsia="Times New Roman" w:hAnsi="Times New Roman" w:cs="Times New Roman"/>
          <w:sz w:val="24"/>
          <w:szCs w:val="24"/>
        </w:rPr>
        <w:t xml:space="preserve">multiple </w:t>
      </w:r>
      <w:r w:rsidR="009532C0" w:rsidRPr="00CB6F3B">
        <w:rPr>
          <w:rFonts w:ascii="Times New Roman" w:eastAsia="Times New Roman" w:hAnsi="Times New Roman" w:cs="Times New Roman"/>
          <w:sz w:val="24"/>
          <w:szCs w:val="24"/>
        </w:rPr>
        <w:t xml:space="preserve">facets of biodiversity </w:t>
      </w:r>
      <w:r w:rsidR="0033011C" w:rsidRPr="00CB6F3B">
        <w:rPr>
          <w:rFonts w:ascii="Times New Roman" w:eastAsia="Times New Roman" w:hAnsi="Times New Roman" w:cs="Times New Roman"/>
          <w:sz w:val="24"/>
          <w:szCs w:val="24"/>
        </w:rPr>
        <w:t xml:space="preserve">(for an overview, see </w:t>
      </w:r>
      <w:r w:rsidR="0033011C" w:rsidRPr="00CB6F3B">
        <w:rPr>
          <w:rFonts w:ascii="Times New Roman" w:eastAsia="Times New Roman" w:hAnsi="Times New Roman" w:cs="Times New Roman"/>
          <w:sz w:val="24"/>
          <w:szCs w:val="24"/>
        </w:rPr>
        <w:fldChar w:fldCharType="begin" w:fldLock="1"/>
      </w:r>
      <w:r w:rsidR="002D2AE8" w:rsidRPr="00CB6F3B">
        <w:rPr>
          <w:rFonts w:ascii="Times New Roman" w:eastAsia="Times New Roman" w:hAnsi="Times New Roman" w:cs="Times New Roman"/>
          <w:sz w:val="24"/>
          <w:szCs w:val="24"/>
        </w:rPr>
        <w:instrText>ADDIN CSL_CITATION {"citationItems":[{"id":"ITEM-1","itemData":{"ISSN":"0906-7590","author":[{"dropping-particle":"","family":"Guillera‐Arroita","given":"Gurutzeta","non-dropping-particle":"","parse-names":false,"suffix":""}],"container-title":"Ecography","id":"ITEM-1","issue":"2","issued":{"date-parts":[["2017"]]},"page":"281-295","publisher":"Wiley Online Library","title":"Modelling of species distributions, range dynamics and communities under imperfect detection: advances, challenges and opportunities","type":"article-journal","volume":"40"},"uris":["http://www.mendeley.com/documents/?uuid=0c1ad2bf-dbd8-4dab-a832-8f21020579bb"]}],"mendeley":{"formattedCitation":"[59]","plainTextFormattedCitation":"[59]","previouslyFormattedCitation":"[61]"},"properties":{"noteIndex":0},"schema":"https://github.com/citation-style-language/schema/raw/master/csl-citation.json"}</w:instrText>
      </w:r>
      <w:r w:rsidR="0033011C" w:rsidRPr="00CB6F3B">
        <w:rPr>
          <w:rFonts w:ascii="Times New Roman" w:eastAsia="Times New Roman" w:hAnsi="Times New Roman" w:cs="Times New Roman"/>
          <w:sz w:val="24"/>
          <w:szCs w:val="24"/>
        </w:rPr>
        <w:fldChar w:fldCharType="separate"/>
      </w:r>
      <w:r w:rsidR="002D2AE8" w:rsidRPr="00CB6F3B">
        <w:rPr>
          <w:rFonts w:ascii="Times New Roman" w:eastAsia="Times New Roman" w:hAnsi="Times New Roman" w:cs="Times New Roman"/>
          <w:noProof/>
          <w:sz w:val="24"/>
          <w:szCs w:val="24"/>
        </w:rPr>
        <w:t>[59]</w:t>
      </w:r>
      <w:r w:rsidR="0033011C" w:rsidRPr="00CB6F3B">
        <w:rPr>
          <w:rFonts w:ascii="Times New Roman" w:eastAsia="Times New Roman" w:hAnsi="Times New Roman" w:cs="Times New Roman"/>
          <w:sz w:val="24"/>
          <w:szCs w:val="24"/>
        </w:rPr>
        <w:fldChar w:fldCharType="end"/>
      </w:r>
      <w:r w:rsidR="0033011C" w:rsidRPr="00CB6F3B">
        <w:rPr>
          <w:rFonts w:ascii="Times New Roman" w:eastAsia="Times New Roman" w:hAnsi="Times New Roman" w:cs="Times New Roman"/>
          <w:sz w:val="24"/>
          <w:szCs w:val="24"/>
        </w:rPr>
        <w:t>)</w:t>
      </w:r>
      <w:r w:rsidR="009532C0" w:rsidRPr="00CB6F3B">
        <w:rPr>
          <w:rFonts w:ascii="Times New Roman" w:eastAsia="Times New Roman" w:hAnsi="Times New Roman" w:cs="Times New Roman"/>
          <w:sz w:val="24"/>
          <w:szCs w:val="24"/>
        </w:rPr>
        <w:t>.</w:t>
      </w:r>
      <w:r w:rsidR="00F55F06" w:rsidRPr="00CB6F3B">
        <w:rPr>
          <w:rFonts w:ascii="Times New Roman" w:eastAsia="Times New Roman" w:hAnsi="Times New Roman" w:cs="Times New Roman"/>
          <w:sz w:val="24"/>
          <w:szCs w:val="24"/>
        </w:rPr>
        <w:t xml:space="preserve"> </w:t>
      </w:r>
      <w:r w:rsidR="002159D7" w:rsidRPr="00CB6F3B">
        <w:rPr>
          <w:rFonts w:ascii="Times New Roman" w:eastAsia="Times New Roman" w:hAnsi="Times New Roman" w:cs="Times New Roman"/>
          <w:sz w:val="24"/>
          <w:szCs w:val="24"/>
        </w:rPr>
        <w:t xml:space="preserve">Indeed, first promising steps have been made towards the application of </w:t>
      </w:r>
      <w:r w:rsidR="00AA36D7" w:rsidRPr="00CB6F3B">
        <w:rPr>
          <w:rFonts w:ascii="Times New Roman" w:eastAsia="Times New Roman" w:hAnsi="Times New Roman" w:cs="Times New Roman"/>
          <w:sz w:val="24"/>
          <w:szCs w:val="24"/>
        </w:rPr>
        <w:t xml:space="preserve">multi-species occupancy models </w:t>
      </w:r>
      <w:r w:rsidR="002159D7" w:rsidRPr="00CB6F3B">
        <w:rPr>
          <w:rFonts w:ascii="Times New Roman" w:eastAsia="Times New Roman" w:hAnsi="Times New Roman" w:cs="Times New Roman"/>
          <w:sz w:val="24"/>
          <w:szCs w:val="24"/>
        </w:rPr>
        <w:t>to</w:t>
      </w:r>
      <w:r w:rsidR="00AA36D7" w:rsidRPr="00CB6F3B">
        <w:rPr>
          <w:rFonts w:ascii="Times New Roman" w:eastAsia="Times New Roman" w:hAnsi="Times New Roman" w:cs="Times New Roman"/>
          <w:sz w:val="24"/>
          <w:szCs w:val="24"/>
        </w:rPr>
        <w:t xml:space="preserve"> </w:t>
      </w:r>
      <w:r w:rsidR="002159D7" w:rsidRPr="00CB6F3B">
        <w:rPr>
          <w:rFonts w:ascii="Times New Roman" w:eastAsia="Times New Roman" w:hAnsi="Times New Roman" w:cs="Times New Roman"/>
          <w:sz w:val="24"/>
          <w:szCs w:val="24"/>
        </w:rPr>
        <w:t xml:space="preserve">various </w:t>
      </w:r>
      <w:r w:rsidR="00AA36D7" w:rsidRPr="00CB6F3B">
        <w:rPr>
          <w:rFonts w:ascii="Times New Roman" w:eastAsia="Times New Roman" w:hAnsi="Times New Roman" w:cs="Times New Roman"/>
          <w:sz w:val="24"/>
          <w:szCs w:val="24"/>
        </w:rPr>
        <w:t xml:space="preserve">metabarcoding data </w:t>
      </w:r>
      <w:r w:rsidR="00365584" w:rsidRPr="00CB6F3B">
        <w:rPr>
          <w:rFonts w:ascii="Times New Roman" w:eastAsia="Times New Roman" w:hAnsi="Times New Roman" w:cs="Times New Roman"/>
          <w:sz w:val="24"/>
          <w:szCs w:val="24"/>
        </w:rPr>
        <w:t xml:space="preserve">(i.e., </w:t>
      </w:r>
      <w:r w:rsidR="009C44EC" w:rsidRPr="00CB6F3B">
        <w:rPr>
          <w:rFonts w:ascii="Times New Roman" w:eastAsia="Times New Roman" w:hAnsi="Times New Roman" w:cs="Times New Roman"/>
          <w:sz w:val="24"/>
          <w:szCs w:val="24"/>
        </w:rPr>
        <w:fldChar w:fldCharType="begin" w:fldLock="1"/>
      </w:r>
      <w:r w:rsidR="002D2AE8" w:rsidRPr="00CB6F3B">
        <w:rPr>
          <w:rFonts w:ascii="Times New Roman" w:eastAsia="Times New Roman" w:hAnsi="Times New Roman" w:cs="Times New Roman"/>
          <w:sz w:val="24"/>
          <w:szCs w:val="24"/>
        </w:rPr>
        <w:instrText>ADDIN CSL_CITATION {"citationItems":[{"id":"ITEM-1","itemData":{"ISSN":"1755-098X","author":[{"dropping-particle":"","family":"Ficetola","given":"Gentile F","non-dropping-particle":"","parse-names":false,"suffix":""},{"dropping-particle":"","family":"Pansu","given":"Johan","non-dropping-particle":"","parse-names":false,"suffix":""},{"dropping-particle":"","family":"Bonin","given":"Aurélie","non-dropping-particle":"","parse-names":false,"suffix":""},{"dropping-particle":"","family":"Coissac","given":"Eric","non-dropping-particle":"","parse-names":false,"suffix":""},{"dropping-particle":"","family":"Giguet‐Covex","given":"Charline","non-dropping-particle":"","parse-names":false,"suffix":""},{"dropping-particle":"","family":"Barba","given":"Marta","non-dropping-particle":"De","parse-names":false,"suffix":""},{"dropping-particle":"","family":"Gielly","given":"Ludovic","non-dropping-particle":"","parse-names":false,"suffix":""},{"dropping-particle":"","family":"Lopes","given":"Carla M","non-dropping-particle":"","parse-names":false,"suffix":""},{"dropping-particle":"","family":"Boyer","given":"Frédéric","non-dropping-particle":"","parse-names":false,"suffix":""},{"dropping-particle":"","family":"Pompanon","given":"François","non-dropping-particle":"","parse-names":false,"suffix":""}],"container-title":"Molecular ecology resources","id":"ITEM-1","issue":"3","issued":{"date-parts":[["2015"]]},"page":"543-556","publisher":"Wiley Online Library","title":"Replication levels, false presences and the estimation of the presence/absence from eDNA metabarcoding data","type":"article-journal","volume":"15"},"uris":["http://www.mendeley.com/documents/?uuid=4a793dd8-0e3d-49f8-8888-a3e2aef17162"]},{"id":"ITEM-2","itemData":{"DOI":"10.1016/j.scitotenv.2019.135882","ISSN":"18791026","abstract":"The emergence, evolution and spread of antibiotic resistance genes (ARGs) in the environment represent a global threat to human health. Our knowledge of antibiotic resistance in human-impacted ecosystems is rapidly growing with antibiotic use, organic fertilization and wastewater irrigation identified as key selection pressures. However, the importance of biological interactions, especially predation and competition, as a potential driver of antibiotic resistance in the natural environment with limited anthropogenic disturbance remains largely overlooked. Stress-affected bacteria develop resistance to maximize competition and survival, and similarly bacteria may develop resistance to fight stress under the predation pressure of protists, an essential component of the soil microbiome. In this article, we summarized the major findings for the prevalence of natural ARGs on our planet and discussed the potential selection pressures driving the evolution and development of antibiotic resistance in natural settings. This is the first article that reviewed the potential links between protists and the antibiotic resistance of bacteria, and highlighted the importance of predation by protists as a crucial selection pressure of antibiotic resistance in the absence of anthropogenic disturbance. We conclude that an improved ecological understanding of the protists-bacteria interactions and other biological relationships would greatly expand our ability to predict and mitigate the environmental antibiotic resistance under the context of global change.","author":[{"dropping-particle":"","family":"Nguyen","given":"Bao Anh Thi","non-dropping-particle":"","parse-names":false,"suffix":""},{"dropping-particle":"","family":"Chen","given":"Qing Lin","non-dropping-particle":"","parse-names":false,"suffix":""},{"dropping-particle":"","family":"He","given":"Ji Zheng","non-dropping-particle":"","parse-names":false,"suffix":""},{"dropping-particle":"","family":"Hu","given":"Hang Wei","non-dropping-particle":"","parse-names":false,"suffix":""}],"container-title":"Science of the Total Environment","id":"ITEM-2","issued":{"date-parts":[["2020"]]},"page":"135882","publisher":"Elsevier B.V","title":"Microbial regulation of natural antibiotic resistance: Understanding the protist-bacteria interactions for evolution of soil resistome","type":"article-journal","volume":"705"},"uris":["http://www.mendeley.com/documents/?uuid=c6f04e4b-1eeb-4dea-8101-8c2990d97af7"]}],"mendeley":{"formattedCitation":"[56, 60]","plainTextFormattedCitation":"[56, 60]","previouslyFormattedCitation":"[57, 62]"},"properties":{"noteIndex":0},"schema":"https://github.com/citation-style-language/schema/raw/master/csl-citation.json"}</w:instrText>
      </w:r>
      <w:r w:rsidR="009C44EC" w:rsidRPr="00CB6F3B">
        <w:rPr>
          <w:rFonts w:ascii="Times New Roman" w:eastAsia="Times New Roman" w:hAnsi="Times New Roman" w:cs="Times New Roman"/>
          <w:sz w:val="24"/>
          <w:szCs w:val="24"/>
        </w:rPr>
        <w:fldChar w:fldCharType="separate"/>
      </w:r>
      <w:r w:rsidR="002D2AE8" w:rsidRPr="00CB6F3B">
        <w:rPr>
          <w:rFonts w:ascii="Times New Roman" w:eastAsia="Times New Roman" w:hAnsi="Times New Roman" w:cs="Times New Roman"/>
          <w:noProof/>
          <w:sz w:val="24"/>
          <w:szCs w:val="24"/>
        </w:rPr>
        <w:t>[56, 60]</w:t>
      </w:r>
      <w:r w:rsidR="009C44EC" w:rsidRPr="00CB6F3B">
        <w:rPr>
          <w:rFonts w:ascii="Times New Roman" w:eastAsia="Times New Roman" w:hAnsi="Times New Roman" w:cs="Times New Roman"/>
          <w:sz w:val="24"/>
          <w:szCs w:val="24"/>
        </w:rPr>
        <w:fldChar w:fldCharType="end"/>
      </w:r>
      <w:r w:rsidR="00365584" w:rsidRPr="00CB6F3B">
        <w:rPr>
          <w:rFonts w:ascii="Times New Roman" w:eastAsia="Times New Roman" w:hAnsi="Times New Roman" w:cs="Times New Roman"/>
          <w:sz w:val="24"/>
          <w:szCs w:val="24"/>
        </w:rPr>
        <w:t>)</w:t>
      </w:r>
      <w:r w:rsidR="002159D7" w:rsidRPr="00CB6F3B">
        <w:rPr>
          <w:rFonts w:ascii="Times New Roman" w:eastAsia="Times New Roman" w:hAnsi="Times New Roman" w:cs="Times New Roman"/>
          <w:sz w:val="24"/>
          <w:szCs w:val="24"/>
        </w:rPr>
        <w:t>, and we see this as an exciting op</w:t>
      </w:r>
      <w:r w:rsidR="00567835" w:rsidRPr="00CB6F3B">
        <w:rPr>
          <w:rFonts w:ascii="Times New Roman" w:eastAsia="Times New Roman" w:hAnsi="Times New Roman" w:cs="Times New Roman"/>
          <w:sz w:val="24"/>
          <w:szCs w:val="24"/>
        </w:rPr>
        <w:t>p</w:t>
      </w:r>
      <w:r w:rsidR="00C46F8E" w:rsidRPr="00CB6F3B">
        <w:rPr>
          <w:rFonts w:ascii="Times New Roman" w:eastAsia="Times New Roman" w:hAnsi="Times New Roman" w:cs="Times New Roman"/>
          <w:sz w:val="24"/>
          <w:szCs w:val="24"/>
        </w:rPr>
        <w:t xml:space="preserve">ortunity for </w:t>
      </w:r>
      <w:r w:rsidR="00700E29" w:rsidRPr="00CB6F3B">
        <w:rPr>
          <w:rFonts w:ascii="Times New Roman" w:eastAsia="Times New Roman" w:hAnsi="Times New Roman" w:cs="Times New Roman"/>
          <w:sz w:val="24"/>
          <w:szCs w:val="24"/>
        </w:rPr>
        <w:t>amplicon sequencing</w:t>
      </w:r>
      <w:r w:rsidR="00C46F8E" w:rsidRPr="00CB6F3B">
        <w:rPr>
          <w:rFonts w:ascii="Times New Roman" w:eastAsia="Times New Roman" w:hAnsi="Times New Roman" w:cs="Times New Roman"/>
          <w:sz w:val="24"/>
          <w:szCs w:val="24"/>
        </w:rPr>
        <w:t xml:space="preserve"> </w:t>
      </w:r>
      <w:r w:rsidR="00700E29" w:rsidRPr="00CB6F3B">
        <w:rPr>
          <w:rFonts w:ascii="Times New Roman" w:eastAsia="Times New Roman" w:hAnsi="Times New Roman" w:cs="Times New Roman"/>
          <w:sz w:val="24"/>
          <w:szCs w:val="24"/>
        </w:rPr>
        <w:t>in soil</w:t>
      </w:r>
      <w:r w:rsidR="0033011C" w:rsidRPr="00CB6F3B">
        <w:rPr>
          <w:rFonts w:ascii="Times New Roman" w:eastAsia="Times New Roman" w:hAnsi="Times New Roman" w:cs="Times New Roman"/>
          <w:sz w:val="24"/>
          <w:szCs w:val="24"/>
        </w:rPr>
        <w:t>.</w:t>
      </w:r>
    </w:p>
    <w:p w14:paraId="25FA7C79" w14:textId="1821AD09" w:rsidR="00493C13" w:rsidRPr="00CB6F3B" w:rsidRDefault="00493C13" w:rsidP="00EF08AE">
      <w:pPr>
        <w:pStyle w:val="ListParagraph"/>
        <w:numPr>
          <w:ilvl w:val="0"/>
          <w:numId w:val="19"/>
        </w:numPr>
        <w:spacing w:line="480" w:lineRule="auto"/>
        <w:rPr>
          <w:rFonts w:ascii="Times New Roman" w:hAnsi="Times New Roman" w:cs="Times New Roman"/>
          <w:b/>
          <w:sz w:val="24"/>
          <w:szCs w:val="24"/>
        </w:rPr>
      </w:pPr>
      <w:r w:rsidRPr="00CB6F3B">
        <w:rPr>
          <w:rFonts w:ascii="Times New Roman" w:hAnsi="Times New Roman" w:cs="Times New Roman"/>
          <w:b/>
          <w:sz w:val="24"/>
          <w:szCs w:val="24"/>
        </w:rPr>
        <w:lastRenderedPageBreak/>
        <w:t>Moving forward: b</w:t>
      </w:r>
      <w:r w:rsidR="003B4246" w:rsidRPr="00CB6F3B">
        <w:rPr>
          <w:rFonts w:ascii="Times New Roman" w:hAnsi="Times New Roman" w:cs="Times New Roman"/>
          <w:b/>
          <w:sz w:val="24"/>
          <w:szCs w:val="24"/>
        </w:rPr>
        <w:t>enchmark</w:t>
      </w:r>
      <w:r w:rsidRPr="00CB6F3B">
        <w:rPr>
          <w:rFonts w:ascii="Times New Roman" w:hAnsi="Times New Roman" w:cs="Times New Roman"/>
          <w:b/>
          <w:sz w:val="24"/>
          <w:szCs w:val="24"/>
        </w:rPr>
        <w:t>ing and standardizing</w:t>
      </w:r>
    </w:p>
    <w:p w14:paraId="41798EA6" w14:textId="3639F3EA" w:rsidR="006118FF" w:rsidRPr="00CB6F3B" w:rsidRDefault="005149C7" w:rsidP="003E420F">
      <w:pPr>
        <w:spacing w:line="480" w:lineRule="auto"/>
        <w:rPr>
          <w:rFonts w:ascii="Times New Roman" w:hAnsi="Times New Roman" w:cs="Times New Roman"/>
          <w:sz w:val="24"/>
          <w:szCs w:val="24"/>
        </w:rPr>
      </w:pPr>
      <w:r w:rsidRPr="00CB6F3B">
        <w:rPr>
          <w:rFonts w:ascii="Times New Roman" w:hAnsi="Times New Roman" w:cs="Times New Roman"/>
          <w:sz w:val="24"/>
          <w:szCs w:val="24"/>
        </w:rPr>
        <w:t xml:space="preserve">While sequencing technologies </w:t>
      </w:r>
      <w:r w:rsidR="00132C73" w:rsidRPr="00CB6F3B">
        <w:rPr>
          <w:rFonts w:ascii="Times New Roman" w:hAnsi="Times New Roman" w:cs="Times New Roman"/>
          <w:sz w:val="24"/>
          <w:szCs w:val="24"/>
        </w:rPr>
        <w:t>for eukaryotes can be adopted from prokaryot</w:t>
      </w:r>
      <w:r w:rsidR="0036582A" w:rsidRPr="00CB6F3B">
        <w:rPr>
          <w:rFonts w:ascii="Times New Roman" w:hAnsi="Times New Roman" w:cs="Times New Roman"/>
          <w:sz w:val="24"/>
          <w:szCs w:val="24"/>
        </w:rPr>
        <w:t>e-based techniques,</w:t>
      </w:r>
      <w:r w:rsidRPr="00CB6F3B">
        <w:rPr>
          <w:rFonts w:ascii="Times New Roman" w:hAnsi="Times New Roman" w:cs="Times New Roman"/>
          <w:sz w:val="24"/>
          <w:szCs w:val="24"/>
        </w:rPr>
        <w:t xml:space="preserve"> benchmarking and </w:t>
      </w:r>
      <w:r w:rsidR="00132C73" w:rsidRPr="00CB6F3B">
        <w:rPr>
          <w:rFonts w:ascii="Times New Roman" w:hAnsi="Times New Roman" w:cs="Times New Roman"/>
          <w:sz w:val="24"/>
          <w:szCs w:val="24"/>
        </w:rPr>
        <w:t>standardization</w:t>
      </w:r>
      <w:r w:rsidRPr="00CB6F3B">
        <w:rPr>
          <w:rFonts w:ascii="Times New Roman" w:hAnsi="Times New Roman" w:cs="Times New Roman"/>
          <w:sz w:val="24"/>
          <w:szCs w:val="24"/>
        </w:rPr>
        <w:t xml:space="preserve"> remain to be done. </w:t>
      </w:r>
      <w:r w:rsidR="00A241D1" w:rsidRPr="00CB6F3B">
        <w:rPr>
          <w:rFonts w:ascii="Times New Roman" w:hAnsi="Times New Roman" w:cs="Times New Roman"/>
          <w:sz w:val="24"/>
          <w:szCs w:val="24"/>
        </w:rPr>
        <w:t xml:space="preserve">Empirical studies have shown how sample size </w:t>
      </w:r>
      <w:r w:rsidR="00A241D1"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10.1016/j.soilbio.2014.09.026","ISSN":"0038-0717","author":[{"dropping-particle":"","family":"Wiesel","given":"Lea","non-dropping-particle":"","parse-names":false,"suffix":""},{"dropping-particle":"","family":"Daniell","given":"Tim J","non-dropping-particle":"","parse-names":false,"suffix":""},{"dropping-particle":"","family":"King","given":"Dale","non-dropping-particle":"","parse-names":false,"suffix":""},{"dropping-particle":"","family":"Neilson","given":"Roy","non-dropping-particle":"","parse-names":false,"suffix":""}],"container-title":"Soil Biology and Biochemistry","id":"ITEM-1","issue":"October","issued":{"date-parts":[["2014"]]},"page":"9-11","publisher":"Elsevier Ltd","title":"Determination of the optimal soil sample size to accurately characterise nematode communities in soil","type":"article-journal"},"uris":["http://www.mendeley.com/documents/?uuid=da3b3596-6de7-49fb-8efb-0b9a64caa2b0"]}],"mendeley":{"formattedCitation":"[46]","plainTextFormattedCitation":"[46]","previouslyFormattedCitation":"[46]"},"properties":{"noteIndex":0},"schema":"https://github.com/citation-style-language/schema/raw/master/csl-citation.json"}</w:instrText>
      </w:r>
      <w:r w:rsidR="00A241D1" w:rsidRPr="00CB6F3B">
        <w:rPr>
          <w:rFonts w:ascii="Times New Roman" w:hAnsi="Times New Roman" w:cs="Times New Roman"/>
          <w:sz w:val="24"/>
          <w:szCs w:val="24"/>
        </w:rPr>
        <w:fldChar w:fldCharType="separate"/>
      </w:r>
      <w:r w:rsidR="0041205F" w:rsidRPr="00CB6F3B">
        <w:rPr>
          <w:rFonts w:ascii="Times New Roman" w:hAnsi="Times New Roman" w:cs="Times New Roman"/>
          <w:noProof/>
          <w:sz w:val="24"/>
          <w:szCs w:val="24"/>
        </w:rPr>
        <w:t>[46]</w:t>
      </w:r>
      <w:r w:rsidR="00A241D1" w:rsidRPr="00CB6F3B">
        <w:rPr>
          <w:rFonts w:ascii="Times New Roman" w:hAnsi="Times New Roman" w:cs="Times New Roman"/>
          <w:sz w:val="24"/>
          <w:szCs w:val="24"/>
        </w:rPr>
        <w:fldChar w:fldCharType="end"/>
      </w:r>
      <w:r w:rsidR="00A241D1" w:rsidRPr="00CB6F3B">
        <w:rPr>
          <w:rFonts w:ascii="Times New Roman" w:hAnsi="Times New Roman" w:cs="Times New Roman"/>
          <w:sz w:val="24"/>
          <w:szCs w:val="24"/>
        </w:rPr>
        <w:t xml:space="preserve">,  extraction method </w:t>
      </w:r>
      <w:r w:rsidR="00A241D1" w:rsidRPr="00CB6F3B">
        <w:rPr>
          <w:rFonts w:ascii="Times New Roman" w:hAnsi="Times New Roman" w:cs="Times New Roman"/>
          <w:sz w:val="24"/>
          <w:szCs w:val="24"/>
        </w:rPr>
        <w:fldChar w:fldCharType="begin" w:fldLock="1"/>
      </w:r>
      <w:r w:rsidR="002D2AE8" w:rsidRPr="00CB6F3B">
        <w:rPr>
          <w:rFonts w:ascii="Times New Roman" w:hAnsi="Times New Roman" w:cs="Times New Roman"/>
          <w:sz w:val="24"/>
          <w:szCs w:val="24"/>
        </w:rPr>
        <w:instrText>ADDIN CSL_CITATION {"citationItems":[{"id":"ITEM-1","itemData":{"DOI":"10.1016/j.ecolind.2017.12.002","ISSN":"1470160X","abstract":"Molecular approaches are offering a supplement to, or even the possibility of replacing morphological identification of soil fauna, because of advantages for throughput, coverage and objectivity. We determined ecological indices of nematode community data from four sets of duplicate soil cores, based on morphological identification of nematodes after elutriation from 200 g soil and high throughput sequencing (HTS) targeting nematodes both after being elutriated from soils and DNA extracted directly from 10 g soil. HTS (at genus and species level) increased the taxonomic resolution compared to morphology (at family level). DNA extracted from elutriated nematodes identified more nematode taxa than when extracted from soil, due to an enrichment in nematode sequences. Each method also gave a different ecological footprint for the nematode community. Standardisation to previously determined indices based on morphological identification is needed in order to provide more meaningful information about soil quality and for ecological monitoring.","author":[{"dropping-particle":"","family":"Griffiths","given":"B. S.","non-dropping-particle":"","parse-names":false,"suffix":""},{"dropping-particle":"","family":"Groot","given":"G. A.","non-dropping-particle":"de","parse-names":false,"suffix":""},{"dropping-particle":"","family":"Laros","given":"I.","non-dropping-particle":"","parse-names":false,"suffix":""},{"dropping-particle":"","family":"Stone","given":"D.","non-dropping-particle":"","parse-names":false,"suffix":""},{"dropping-particle":"","family":"Geisen","given":"S.","non-dropping-particle":"","parse-names":false,"suffix":""}],"container-title":"Ecological Indicators","id":"ITEM-1","issue":"December 2017","issued":{"date-parts":[["2018"]]},"page":"43-46","title":"The need for standardisation: Exemplified by a description of the diversity, community structure and ecological indices of soil nematodes","type":"article-journal","volume":"87"},"uris":["http://www.mendeley.com/documents/?uuid=daedd20b-442e-4e96-845c-2bfa0ecc29ac"]}],"mendeley":{"formattedCitation":"[61]","plainTextFormattedCitation":"[61]","previouslyFormattedCitation":"[63]"},"properties":{"noteIndex":0},"schema":"https://github.com/citation-style-language/schema/raw/master/csl-citation.json"}</w:instrText>
      </w:r>
      <w:r w:rsidR="00A241D1" w:rsidRPr="00CB6F3B">
        <w:rPr>
          <w:rFonts w:ascii="Times New Roman" w:hAnsi="Times New Roman" w:cs="Times New Roman"/>
          <w:sz w:val="24"/>
          <w:szCs w:val="24"/>
        </w:rPr>
        <w:fldChar w:fldCharType="separate"/>
      </w:r>
      <w:r w:rsidR="002D2AE8" w:rsidRPr="00CB6F3B">
        <w:rPr>
          <w:rFonts w:ascii="Times New Roman" w:hAnsi="Times New Roman" w:cs="Times New Roman"/>
          <w:noProof/>
          <w:sz w:val="24"/>
          <w:szCs w:val="24"/>
        </w:rPr>
        <w:t>[61]</w:t>
      </w:r>
      <w:r w:rsidR="00A241D1" w:rsidRPr="00CB6F3B">
        <w:rPr>
          <w:rFonts w:ascii="Times New Roman" w:hAnsi="Times New Roman" w:cs="Times New Roman"/>
          <w:sz w:val="24"/>
          <w:szCs w:val="24"/>
        </w:rPr>
        <w:fldChar w:fldCharType="end"/>
      </w:r>
      <w:r w:rsidR="00A241D1" w:rsidRPr="00CB6F3B">
        <w:rPr>
          <w:rFonts w:ascii="Times New Roman" w:hAnsi="Times New Roman" w:cs="Times New Roman"/>
          <w:sz w:val="24"/>
          <w:szCs w:val="24"/>
        </w:rPr>
        <w:t xml:space="preserve">, and the primers used </w:t>
      </w:r>
      <w:r w:rsidR="00A241D1"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{"citationItems":[{"id":"ITEM-1","itemData":{"DOI":"10.3897/mbmg.3.46704","abstract":"Microscopic organisms are the dominant and most diverse organisms on Earth. Nematodes, as part of this microscopic diversity, are by far the most abundant animals and their diversity is equally high. Molecular metabarcoding is often applied to study the diversity of microorganisms, but has yet to become the standard to determine nematode communities. As such, the information metabarcoding provides, such as in terms of species coverage, taxonomic resolution and especially if sequence reads can be linked to the abundance or biomass of nematodes in a sample, has yet to be determined. Here, we applied metabarcoding using three primer sets located within ribosomal rRNA gene regions to target assembled mock-communities consisting of 18 different nematode species that we established in 9 different compositions. We determined abundances and biomass of all species added to examine if relative sequence abundance or biomass can be linked to relative sequence reads. We found that nematode communities are not equally represented by the three different primer sets and we found that relative read abundances almost perfectly correlated positively with relative species biomass for two of the primer sets. This strong biomass-read number correlation suggests that metabarcoding reads can reveal biomass information even amongst more complex nematode communities as present in the environment and possibly can be transferred to better study other groups of organisms. This biomass-read link is of particular importance for more reliably assessing nutrient flow through food-webs, as well as adjusting biogeochemical models through user-friendly and easily obtainable metabarcoding data.","author":[{"dropping-particle":"","family":"Schenk","given":"Janina","non-dropping-particle":"","parse-names":false,"suffix":""},{"dropping-particle":"","family":"Geisen","given":"Stefan","non-dropping-particle":"","parse-names":false,"suffix":""},{"dropping-particle":"","family":"Kleinboelting","given":"Nils","non-dropping-particle":"","parse-names":false,"suffix":""},{"dropping-particle":"","family":"Traunspurger","given":"Walter","non-dropping-particle":"","parse-names":false,"suffix":""}],"container-title":"Metabarcoding and Metagenomics","id":"ITEM-1","issued":{"date-parts":[["2019"]]},"page":"117-126","title":"Metabarcoding data allow for reliable biomass estimates in the most abundant animals on earth","type":"article-journal","volume":"3"},"uris":["http://www.mendeley.com/documents/?uuid=5f14623a-8ca6-4477-b215-2fabfce021a2"]}],"mendeley":{"formattedCitation":"[52]","plainTextFormattedCitation":"[52]","previouslyFormattedCitation":"[52]"},"properties":{"noteIndex":0},"schema":"https://github.com/citation-style-language/schema/raw/master/csl-citation.json"}</w:instrText>
      </w:r>
      <w:r w:rsidR="00A241D1" w:rsidRPr="00CB6F3B">
        <w:rPr>
          <w:rFonts w:ascii="Times New Roman" w:hAnsi="Times New Roman" w:cs="Times New Roman"/>
          <w:sz w:val="24"/>
          <w:szCs w:val="24"/>
        </w:rPr>
        <w:fldChar w:fldCharType="separate"/>
      </w:r>
      <w:r w:rsidR="0041205F" w:rsidRPr="00CB6F3B">
        <w:rPr>
          <w:rFonts w:ascii="Times New Roman" w:hAnsi="Times New Roman" w:cs="Times New Roman"/>
          <w:noProof/>
          <w:sz w:val="24"/>
          <w:szCs w:val="24"/>
        </w:rPr>
        <w:t>[52]</w:t>
      </w:r>
      <w:r w:rsidR="00A241D1" w:rsidRPr="00CB6F3B">
        <w:rPr>
          <w:rFonts w:ascii="Times New Roman" w:hAnsi="Times New Roman" w:cs="Times New Roman"/>
          <w:sz w:val="24"/>
          <w:szCs w:val="24"/>
        </w:rPr>
        <w:fldChar w:fldCharType="end"/>
      </w:r>
      <w:r w:rsidR="00A241D1" w:rsidRPr="00CB6F3B">
        <w:rPr>
          <w:rFonts w:ascii="Times New Roman" w:hAnsi="Times New Roman" w:cs="Times New Roman"/>
          <w:sz w:val="24"/>
          <w:szCs w:val="24"/>
        </w:rPr>
        <w:t xml:space="preserve"> influence nematode diversity estimates, but less is known about how these procedures affect the diversity estimates of other groups of soil fauna</w:t>
      </w:r>
      <w:r w:rsidR="00390EEB" w:rsidRPr="00CB6F3B">
        <w:rPr>
          <w:rFonts w:ascii="Times New Roman" w:hAnsi="Times New Roman" w:cs="Times New Roman"/>
          <w:sz w:val="24"/>
          <w:szCs w:val="24"/>
        </w:rPr>
        <w:t xml:space="preserve"> (i.e., </w:t>
      </w:r>
      <w:r w:rsidR="00390EEB" w:rsidRPr="00CB6F3B">
        <w:rPr>
          <w:rFonts w:ascii="Times New Roman" w:hAnsi="Times New Roman" w:cs="Times New Roman"/>
          <w:sz w:val="24"/>
          <w:szCs w:val="24"/>
        </w:rPr>
        <w:fldChar w:fldCharType="begin" w:fldLock="1"/>
      </w:r>
      <w:r w:rsidR="002D2AE8" w:rsidRPr="00CB6F3B">
        <w:rPr>
          <w:rFonts w:ascii="Times New Roman" w:hAnsi="Times New Roman" w:cs="Times New Roman"/>
          <w:sz w:val="24"/>
          <w:szCs w:val="24"/>
        </w:rPr>
        <w:instrText>ADDIN CSL_CITATION {"citationItems":[{"id":"ITEM-1","itemData":{"DOI":"10.1111/1755-0998.13071","ISSN":"17550998","abstract":"DNA metabarcoding allows the analysis of insect communities faster and more efficiently than ever before. However, metabarcoding can be conducted through several approaches, and the consistency of results across methods has rarely been studied. We compare the results obtained by DNA metabarcoding of the same communities using two different markers – COI and 16S – and three different sampling methods: (a) homogenized Malaise trap samples (homogenate), (b) preservative ethanol from the same samples, and (c) soil samples. Our results indicate that COI and 16S offer partly complementary information on Malaise trap samples, with each marker detecting a significant number of species not detected by the other. Different sampling methods offer highly divergent estimates of community composition. The community recovered from preservative ethanol of Malaise trap samples is significantly different from that recovered from homogenate. Small and weakly sclerotized insects tend to be overrepresented in ethanol while strong and large taxa are overrepresented in homogenate. For soil samples, highly degenerate COI primers pick up large amounts of nontarget DNA and only 16S provides adequate analyses of insect diversity. However, even with 16S, very little overlap in molecular operational taxonomic unit (MOTU) content was found between the trap and the soil samples. Our results demonstrate that none of the tested sampling approaches is satisfactory on its own. For instance, DNA extraction from preservative ethanol is not a valid replacement for destructive bulk extraction but a complement. In future metabarcoding studies, both should ideally be used together to achieve comprehensive representation of the target community.","author":[{"dropping-particle":"","family":"Marquina","given":"Daniel","non-dropping-particle":"","parse-names":false,"suffix":""},{"dropping-particle":"","family":"Esparza-Salas","given":"Rodrigo","non-dropping-particle":"","parse-names":false,"suffix":""},{"dropping-particle":"","family":"Roslin","given":"Tomas","non-dropping-particle":"","parse-names":false,"suffix":""},{"dropping-particle":"","family":"Ronquist","given":"Fredrik","non-dropping-particle":"","parse-names":false,"suffix":""}],"container-title":"Molecular Ecology Resources","id":"ITEM-1","issue":"6","issued":{"date-parts":[["2019"]]},"page":"1516-1530","title":"Establishing arthropod community composition using metabarcoding: Surprising inconsistencies between soil samples and preservative ethanol and homogenate from Malaise trap catches","type":"article-journal","volume":"19"},"uris":["http://www.mendeley.com/documents/?uuid=045ee9c4-e5aa-46a1-ac98-649285bb5794"]}],"mendeley":{"formattedCitation":"[62]","plainTextFormattedCitation":"[62]","previouslyFormattedCitation":"[64]"},"properties":{"noteIndex":0},"schema":"https://github.com/citation-style-language/schema/raw/master/csl-citation.json"}</w:instrText>
      </w:r>
      <w:r w:rsidR="00390EEB" w:rsidRPr="00CB6F3B">
        <w:rPr>
          <w:rFonts w:ascii="Times New Roman" w:hAnsi="Times New Roman" w:cs="Times New Roman"/>
          <w:sz w:val="24"/>
          <w:szCs w:val="24"/>
        </w:rPr>
        <w:fldChar w:fldCharType="separate"/>
      </w:r>
      <w:r w:rsidR="002D2AE8" w:rsidRPr="00CB6F3B">
        <w:rPr>
          <w:rFonts w:ascii="Times New Roman" w:hAnsi="Times New Roman" w:cs="Times New Roman"/>
          <w:noProof/>
          <w:sz w:val="24"/>
          <w:szCs w:val="24"/>
        </w:rPr>
        <w:t>[62]</w:t>
      </w:r>
      <w:r w:rsidR="00390EEB" w:rsidRPr="00CB6F3B">
        <w:rPr>
          <w:rFonts w:ascii="Times New Roman" w:hAnsi="Times New Roman" w:cs="Times New Roman"/>
          <w:sz w:val="24"/>
          <w:szCs w:val="24"/>
        </w:rPr>
        <w:fldChar w:fldCharType="end"/>
      </w:r>
      <w:r w:rsidR="00390EEB" w:rsidRPr="00CB6F3B">
        <w:rPr>
          <w:rFonts w:ascii="Times New Roman" w:hAnsi="Times New Roman" w:cs="Times New Roman"/>
          <w:sz w:val="24"/>
          <w:szCs w:val="24"/>
        </w:rPr>
        <w:t>)</w:t>
      </w:r>
      <w:r w:rsidR="00A241D1" w:rsidRPr="00CB6F3B">
        <w:rPr>
          <w:rFonts w:ascii="Times New Roman" w:hAnsi="Times New Roman" w:cs="Times New Roman"/>
          <w:sz w:val="24"/>
          <w:szCs w:val="24"/>
        </w:rPr>
        <w:t xml:space="preserve">. </w:t>
      </w:r>
      <w:r w:rsidR="00EF08AE" w:rsidRPr="00CB6F3B">
        <w:rPr>
          <w:rFonts w:ascii="Times New Roman" w:hAnsi="Times New Roman" w:cs="Times New Roman"/>
          <w:sz w:val="24"/>
          <w:szCs w:val="24"/>
        </w:rPr>
        <w:t>Benchmarking</w:t>
      </w:r>
      <w:r w:rsidR="00A241D1" w:rsidRPr="00CB6F3B">
        <w:rPr>
          <w:rFonts w:ascii="Times New Roman" w:hAnsi="Times New Roman" w:cs="Times New Roman"/>
          <w:sz w:val="24"/>
          <w:szCs w:val="24"/>
        </w:rPr>
        <w:t xml:space="preserve"> i</w:t>
      </w:r>
      <w:r w:rsidRPr="00CB6F3B">
        <w:rPr>
          <w:rFonts w:ascii="Times New Roman" w:hAnsi="Times New Roman" w:cs="Times New Roman"/>
          <w:sz w:val="24"/>
          <w:szCs w:val="24"/>
        </w:rPr>
        <w:t xml:space="preserve">s a </w:t>
      </w:r>
      <w:r w:rsidR="00155CA6" w:rsidRPr="00CB6F3B">
        <w:rPr>
          <w:rFonts w:ascii="Times New Roman" w:hAnsi="Times New Roman" w:cs="Times New Roman"/>
          <w:sz w:val="24"/>
          <w:szCs w:val="24"/>
        </w:rPr>
        <w:t>formidable challenge</w:t>
      </w:r>
      <w:r w:rsidRPr="00CB6F3B">
        <w:rPr>
          <w:rFonts w:ascii="Times New Roman" w:hAnsi="Times New Roman" w:cs="Times New Roman"/>
          <w:sz w:val="24"/>
          <w:szCs w:val="24"/>
        </w:rPr>
        <w:t xml:space="preserve">, </w:t>
      </w:r>
      <w:r w:rsidR="00C76DC4" w:rsidRPr="00CB6F3B">
        <w:rPr>
          <w:rFonts w:ascii="Times New Roman" w:hAnsi="Times New Roman" w:cs="Times New Roman"/>
          <w:sz w:val="24"/>
          <w:szCs w:val="24"/>
        </w:rPr>
        <w:t xml:space="preserve">but it is necessary </w:t>
      </w:r>
      <w:r w:rsidR="00C76DC4" w:rsidRPr="00CB6F3B">
        <w:rPr>
          <w:rFonts w:ascii="Times New Roman" w:hAnsi="Times New Roman" w:cs="Times New Roman"/>
          <w:sz w:val="24"/>
          <w:szCs w:val="24"/>
        </w:rPr>
        <w:t>for</w:t>
      </w:r>
      <w:r w:rsidR="006118FF" w:rsidRPr="00CB6F3B">
        <w:rPr>
          <w:rFonts w:ascii="Times New Roman" w:hAnsi="Times New Roman" w:cs="Times New Roman"/>
          <w:sz w:val="24"/>
          <w:szCs w:val="24"/>
        </w:rPr>
        <w:t xml:space="preserve"> soil eukaryotic biodiversity</w:t>
      </w:r>
      <w:r w:rsidR="00C76DC4" w:rsidRPr="00CB6F3B">
        <w:rPr>
          <w:rFonts w:ascii="Times New Roman" w:hAnsi="Times New Roman" w:cs="Times New Roman"/>
          <w:sz w:val="24"/>
          <w:szCs w:val="24"/>
        </w:rPr>
        <w:t xml:space="preserve"> assessments</w:t>
      </w:r>
      <w:r w:rsidR="006118FF" w:rsidRPr="00CB6F3B">
        <w:rPr>
          <w:rFonts w:ascii="Times New Roman" w:hAnsi="Times New Roman" w:cs="Times New Roman"/>
          <w:sz w:val="24"/>
          <w:szCs w:val="24"/>
        </w:rPr>
        <w:t>. The efficacy and accuracy of different universal gene ma</w:t>
      </w:r>
      <w:r w:rsidR="007031E3" w:rsidRPr="00CB6F3B">
        <w:rPr>
          <w:rFonts w:ascii="Times New Roman" w:hAnsi="Times New Roman" w:cs="Times New Roman"/>
          <w:sz w:val="24"/>
          <w:szCs w:val="24"/>
        </w:rPr>
        <w:t>r</w:t>
      </w:r>
      <w:r w:rsidR="006118FF" w:rsidRPr="00CB6F3B">
        <w:rPr>
          <w:rFonts w:ascii="Times New Roman" w:hAnsi="Times New Roman" w:cs="Times New Roman"/>
          <w:sz w:val="24"/>
          <w:szCs w:val="24"/>
        </w:rPr>
        <w:t xml:space="preserve">kers needs to be benchmarked for each </w:t>
      </w:r>
      <w:r w:rsidR="00C76DC4" w:rsidRPr="00CB6F3B">
        <w:rPr>
          <w:rFonts w:ascii="Times New Roman" w:hAnsi="Times New Roman" w:cs="Times New Roman"/>
          <w:sz w:val="24"/>
          <w:szCs w:val="24"/>
        </w:rPr>
        <w:t xml:space="preserve">phylogenetic </w:t>
      </w:r>
      <w:r w:rsidR="006118FF" w:rsidRPr="00CB6F3B">
        <w:rPr>
          <w:rFonts w:ascii="Times New Roman" w:hAnsi="Times New Roman" w:cs="Times New Roman"/>
          <w:sz w:val="24"/>
          <w:szCs w:val="24"/>
        </w:rPr>
        <w:t>subgroup of soil biota, as the affinity of any universal primer pair is likely to have biases, and is</w:t>
      </w:r>
      <w:r w:rsidR="0057408E" w:rsidRPr="00CB6F3B">
        <w:rPr>
          <w:rFonts w:ascii="Times New Roman" w:hAnsi="Times New Roman" w:cs="Times New Roman"/>
          <w:sz w:val="24"/>
          <w:szCs w:val="24"/>
        </w:rPr>
        <w:t xml:space="preserve"> highly</w:t>
      </w:r>
      <w:r w:rsidR="006118FF" w:rsidRPr="00CB6F3B">
        <w:rPr>
          <w:rFonts w:ascii="Times New Roman" w:hAnsi="Times New Roman" w:cs="Times New Roman"/>
          <w:sz w:val="24"/>
          <w:szCs w:val="24"/>
        </w:rPr>
        <w:t xml:space="preserve"> specific. </w:t>
      </w:r>
      <w:r w:rsidR="00F23658" w:rsidRPr="00CB6F3B">
        <w:rPr>
          <w:rFonts w:ascii="Times New Roman" w:hAnsi="Times New Roman" w:cs="Times New Roman"/>
          <w:sz w:val="24"/>
          <w:szCs w:val="24"/>
        </w:rPr>
        <w:t xml:space="preserve">Metagenomic shotgun sequencing may serve to compare diversity assessments performed with different gene segments, and may help uncover novel biota </w:t>
      </w:r>
      <w:r w:rsidR="00F23658" w:rsidRPr="00CB6F3B">
        <w:rPr>
          <w:rFonts w:ascii="Times New Roman" w:hAnsi="Times New Roman" w:cs="Times New Roman"/>
          <w:sz w:val="24"/>
          <w:szCs w:val="24"/>
        </w:rPr>
        <w:fldChar w:fldCharType="begin" w:fldLock="1"/>
      </w:r>
      <w:r w:rsidR="002D2AE8" w:rsidRPr="00CB6F3B">
        <w:rPr>
          <w:rFonts w:ascii="Times New Roman" w:hAnsi="Times New Roman" w:cs="Times New Roman"/>
          <w:sz w:val="24"/>
          <w:szCs w:val="24"/>
        </w:rPr>
        <w:instrText>ADDIN CSL_CITATION {"citationItems":[{"id":"ITEM-1","itemData":{"ISSN":"2058-5276","author":[{"dropping-particle":"","family":"Eloe-Fadrosh","given":"Emiley A","non-dropping-particle":"","parse-names":false,"suffix":""},{"dropping-particle":"","family":"Ivanova","given":"Natalia N","non-dropping-particle":"","parse-names":false,"suffix":""},{"dropping-particle":"","family":"Woyke","given":"Tanja","non-dropping-particle":"","parse-names":false,"suffix":""},{"dropping-particle":"","family":"Kyrpides","given":"Nikos C","non-dropping-particle":"","parse-names":false,"suffix":""}],"container-title":"Nature Microbiology","id":"ITEM-1","issue":"4","issued":{"date-parts":[["2016"]]},"page":"1-4","publisher":"Nature Publishing Group","title":"Metagenomics uncovers gaps in amplicon-based detection of microbial diversity","type":"article-journal","volume":"1"},"uris":["http://www.mendeley.com/documents/?uuid=a90ab72f-e476-4d4d-bcb8-180c3d059df6"]}],"mendeley":{"formattedCitation":"[63]","plainTextFormattedCitation":"[63]","previouslyFormattedCitation":"[65]"},"properties":{"noteIndex":0},"schema":"https://github.com/citation-style-language/schema/raw/master/csl-citation.json"}</w:instrText>
      </w:r>
      <w:r w:rsidR="00F23658" w:rsidRPr="00CB6F3B">
        <w:rPr>
          <w:rFonts w:ascii="Times New Roman" w:hAnsi="Times New Roman" w:cs="Times New Roman"/>
          <w:sz w:val="24"/>
          <w:szCs w:val="24"/>
        </w:rPr>
        <w:fldChar w:fldCharType="separate"/>
      </w:r>
      <w:r w:rsidR="002D2AE8" w:rsidRPr="00CB6F3B">
        <w:rPr>
          <w:rFonts w:ascii="Times New Roman" w:hAnsi="Times New Roman" w:cs="Times New Roman"/>
          <w:noProof/>
          <w:sz w:val="24"/>
          <w:szCs w:val="24"/>
        </w:rPr>
        <w:t>[63]</w:t>
      </w:r>
      <w:r w:rsidR="00F23658" w:rsidRPr="00CB6F3B">
        <w:rPr>
          <w:rFonts w:ascii="Times New Roman" w:hAnsi="Times New Roman" w:cs="Times New Roman"/>
          <w:sz w:val="24"/>
          <w:szCs w:val="24"/>
        </w:rPr>
        <w:fldChar w:fldCharType="end"/>
      </w:r>
      <w:r w:rsidR="00F23658" w:rsidRPr="00CB6F3B">
        <w:rPr>
          <w:rFonts w:ascii="Times New Roman" w:hAnsi="Times New Roman" w:cs="Times New Roman"/>
          <w:sz w:val="24"/>
          <w:szCs w:val="24"/>
        </w:rPr>
        <w:t xml:space="preserve">. </w:t>
      </w:r>
      <w:r w:rsidR="006118FF" w:rsidRPr="00CB6F3B">
        <w:rPr>
          <w:rFonts w:ascii="Times New Roman" w:hAnsi="Times New Roman" w:cs="Times New Roman"/>
          <w:sz w:val="24"/>
          <w:szCs w:val="24"/>
        </w:rPr>
        <w:t xml:space="preserve">Additionally, the sensitivity of the resulting sequence fragments for assigning species identities needs to be determined </w:t>
      </w:r>
      <w:r w:rsidR="007031E3" w:rsidRPr="00CB6F3B">
        <w:rPr>
          <w:rFonts w:ascii="Times New Roman" w:hAnsi="Times New Roman" w:cs="Times New Roman"/>
          <w:sz w:val="24"/>
          <w:szCs w:val="24"/>
        </w:rPr>
        <w:t xml:space="preserve">and reported </w:t>
      </w:r>
      <w:r w:rsidR="006118FF" w:rsidRPr="00CB6F3B">
        <w:rPr>
          <w:rFonts w:ascii="Times New Roman" w:hAnsi="Times New Roman" w:cs="Times New Roman"/>
          <w:sz w:val="24"/>
          <w:szCs w:val="24"/>
        </w:rPr>
        <w:t xml:space="preserve">within each </w:t>
      </w:r>
      <w:r w:rsidR="00C76DC4" w:rsidRPr="00CB6F3B">
        <w:rPr>
          <w:rFonts w:ascii="Times New Roman" w:hAnsi="Times New Roman" w:cs="Times New Roman"/>
          <w:sz w:val="24"/>
          <w:szCs w:val="24"/>
        </w:rPr>
        <w:t xml:space="preserve">phylogenetic </w:t>
      </w:r>
      <w:r w:rsidR="006118FF" w:rsidRPr="00CB6F3B">
        <w:rPr>
          <w:rFonts w:ascii="Times New Roman" w:hAnsi="Times New Roman" w:cs="Times New Roman"/>
          <w:sz w:val="24"/>
          <w:szCs w:val="24"/>
        </w:rPr>
        <w:t xml:space="preserve">group. </w:t>
      </w:r>
      <w:bookmarkStart w:id="24" w:name="_Hlk55208089"/>
      <w:r w:rsidR="006118FF" w:rsidRPr="00CB6F3B">
        <w:rPr>
          <w:rFonts w:ascii="Times New Roman" w:hAnsi="Times New Roman" w:cs="Times New Roman"/>
          <w:sz w:val="24"/>
          <w:szCs w:val="24"/>
        </w:rPr>
        <w:t>Such benchmarking efforts</w:t>
      </w:r>
      <w:r w:rsidR="00155CA6" w:rsidRPr="00CB6F3B">
        <w:rPr>
          <w:rFonts w:ascii="Times New Roman" w:hAnsi="Times New Roman" w:cs="Times New Roman"/>
          <w:sz w:val="24"/>
          <w:szCs w:val="24"/>
        </w:rPr>
        <w:t xml:space="preserve"> are essential to characterizing and quantifying biases</w:t>
      </w:r>
      <w:r w:rsidR="00520C7C" w:rsidRPr="00CB6F3B">
        <w:rPr>
          <w:rFonts w:ascii="Times New Roman" w:hAnsi="Times New Roman" w:cs="Times New Roman"/>
          <w:sz w:val="24"/>
          <w:szCs w:val="24"/>
        </w:rPr>
        <w:t xml:space="preserve">, within taxonomic groups as well as across all eukaryotes targeted </w:t>
      </w:r>
      <w:r w:rsidR="00520C7C" w:rsidRPr="00CB6F3B">
        <w:rPr>
          <w:rFonts w:ascii="Times New Roman" w:hAnsi="Times New Roman" w:cs="Times New Roman"/>
          <w:sz w:val="24"/>
          <w:szCs w:val="24"/>
        </w:rPr>
        <w:fldChar w:fldCharType="begin" w:fldLock="1"/>
      </w:r>
      <w:r w:rsidR="002D2AE8" w:rsidRPr="00CB6F3B">
        <w:rPr>
          <w:rFonts w:ascii="Times New Roman" w:hAnsi="Times New Roman" w:cs="Times New Roman"/>
          <w:sz w:val="24"/>
          <w:szCs w:val="24"/>
        </w:rPr>
        <w:instrText>ADDIN CSL_CITATION {"citationItems":[{"id":"ITEM-1","itemData":{"DOI":"10.1111/1755-0998.12490","author":[{"dropping-particle":"","family":"Thomas","given":"Austen C","non-dropping-particle":"","parse-names":false,"suffix":""},{"dropping-particle":"","family":"Deagle","given":"Bruce E","non-dropping-particle":"","parse-names":false,"suffix":""},{"dropping-particle":"","family":"Eveson","given":"J Paige","non-dropping-particle":"","parse-names":false,"suffix":""},{"dropping-particle":"","family":"Harsch","given":"Corie H","non-dropping-particle":"","parse-names":false,"suffix":""},{"dropping-particle":"","family":"Trites","given":"Andrew W","non-dropping-particle":"","parse-names":false,"suffix":""}],"id":"ITEM-1","issued":{"date-parts":[["2016"]]},"page":"714-726","title":"Quantitative DNA metabarcoding : improved estimates of species proportional biomass using correction factors derived from control material","type":"article-journal"},"uris":["http://www.mendeley.com/documents/?uuid=ff4a2578-9784-4aed-bfb1-45e3391f3e19"]},{"id":"ITEM-2","itemData":{"author":[{"dropping-particle":"","family":"Elbrecht","given":"Vasco","non-dropping-particle":"","parse-names":false,"suffix":""},{"dropping-particle":"","family":"Leese","given":"Florian","non-dropping-particle":"","parse-names":false,"suffix":""}],"container-title":"PeerJ","id":"ITEM-2","issue":"May","issued":{"date-parts":[["2015"]]},"title":"Can DNA-based ecosystem assessments quantify species abundance ? Testing primer bias and biomass - sequence relationships with an innovative metabarcoding protocol","type":"article-journal"},"uris":["http://www.mendeley.com/documents/?uuid=c0291cdc-b689-479b-9539-8dd18668416f"]}],"mendeley":{"formattedCitation":"[21, 64]","plainTextFormattedCitation":"[21, 64]","previouslyFormattedCitation":"[21, 66]"},"properties":{"noteIndex":0},"schema":"https://github.com/citation-style-language/schema/raw/master/csl-citation.json"}</w:instrText>
      </w:r>
      <w:r w:rsidR="00520C7C" w:rsidRPr="00CB6F3B">
        <w:rPr>
          <w:rFonts w:ascii="Times New Roman" w:hAnsi="Times New Roman" w:cs="Times New Roman"/>
          <w:sz w:val="24"/>
          <w:szCs w:val="24"/>
        </w:rPr>
        <w:fldChar w:fldCharType="separate"/>
      </w:r>
      <w:r w:rsidR="002D2AE8" w:rsidRPr="00CB6F3B">
        <w:rPr>
          <w:rFonts w:ascii="Times New Roman" w:hAnsi="Times New Roman" w:cs="Times New Roman"/>
          <w:noProof/>
          <w:sz w:val="24"/>
          <w:szCs w:val="24"/>
        </w:rPr>
        <w:t>[21, 64]</w:t>
      </w:r>
      <w:r w:rsidR="00520C7C" w:rsidRPr="00CB6F3B">
        <w:rPr>
          <w:rFonts w:ascii="Times New Roman" w:hAnsi="Times New Roman" w:cs="Times New Roman"/>
          <w:sz w:val="24"/>
          <w:szCs w:val="24"/>
        </w:rPr>
        <w:fldChar w:fldCharType="end"/>
      </w:r>
      <w:r w:rsidR="00C76DC4" w:rsidRPr="00CB6F3B">
        <w:rPr>
          <w:rFonts w:ascii="Times New Roman" w:hAnsi="Times New Roman" w:cs="Times New Roman"/>
          <w:sz w:val="24"/>
          <w:szCs w:val="24"/>
        </w:rPr>
        <w:t>, and may aid in selecting the appropriate phylogenetic grouping for stratifying the data prior to analyses</w:t>
      </w:r>
      <w:r w:rsidR="00155CA6" w:rsidRPr="00CB6F3B">
        <w:rPr>
          <w:rFonts w:ascii="Times New Roman" w:hAnsi="Times New Roman" w:cs="Times New Roman"/>
          <w:sz w:val="24"/>
          <w:szCs w:val="24"/>
        </w:rPr>
        <w:t xml:space="preserve">. </w:t>
      </w:r>
    </w:p>
    <w:bookmarkEnd w:id="24"/>
    <w:p w14:paraId="4B2BA816" w14:textId="1916718A" w:rsidR="001C7C1A" w:rsidRPr="00CB6F3B" w:rsidRDefault="00A2460D" w:rsidP="003E420F">
      <w:pPr>
        <w:spacing w:line="480" w:lineRule="auto"/>
        <w:rPr>
          <w:rFonts w:ascii="Times New Roman" w:hAnsi="Times New Roman" w:cs="Times New Roman"/>
          <w:sz w:val="24"/>
          <w:szCs w:val="24"/>
        </w:rPr>
      </w:pPr>
      <w:r w:rsidRPr="00CB6F3B">
        <w:rPr>
          <w:rFonts w:ascii="Times New Roman" w:hAnsi="Times New Roman" w:cs="Times New Roman"/>
          <w:sz w:val="24"/>
          <w:szCs w:val="24"/>
        </w:rPr>
        <w:t xml:space="preserve">The standardization of methodologies is inextricably linked to benchmarking. The assessment of soil communities using amplicon sequencing involves countless choices (e.g., sample size, marker gene, primers). Each of these may affect the resulting output, and thus requires benchmarking to ensure comparability. Another, easier way to ensure comparability is with the development of a standard protocol, </w:t>
      </w:r>
      <w:r w:rsidR="00160B93" w:rsidRPr="00CB6F3B">
        <w:rPr>
          <w:rFonts w:ascii="Times New Roman" w:hAnsi="Times New Roman" w:cs="Times New Roman"/>
          <w:sz w:val="24"/>
          <w:szCs w:val="24"/>
        </w:rPr>
        <w:t xml:space="preserve">such </w:t>
      </w:r>
      <w:r w:rsidRPr="00CB6F3B">
        <w:rPr>
          <w:rFonts w:ascii="Times New Roman" w:hAnsi="Times New Roman" w:cs="Times New Roman"/>
          <w:sz w:val="24"/>
          <w:szCs w:val="24"/>
        </w:rPr>
        <w:t>as</w:t>
      </w:r>
      <w:r w:rsidR="00160B93" w:rsidRPr="00CB6F3B">
        <w:rPr>
          <w:rFonts w:ascii="Times New Roman" w:hAnsi="Times New Roman" w:cs="Times New Roman"/>
          <w:sz w:val="24"/>
          <w:szCs w:val="24"/>
        </w:rPr>
        <w:t xml:space="preserve"> that</w:t>
      </w:r>
      <w:r w:rsidRPr="00CB6F3B">
        <w:rPr>
          <w:rFonts w:ascii="Times New Roman" w:hAnsi="Times New Roman" w:cs="Times New Roman"/>
          <w:sz w:val="24"/>
          <w:szCs w:val="24"/>
        </w:rPr>
        <w:t xml:space="preserve"> proposed by the Earth Microbiome Project </w:t>
      </w:r>
      <w:r w:rsidRPr="00CB6F3B">
        <w:rPr>
          <w:rFonts w:ascii="Times New Roman" w:hAnsi="Times New Roman" w:cs="Times New Roman"/>
          <w:sz w:val="24"/>
          <w:szCs w:val="24"/>
        </w:rPr>
        <w:fldChar w:fldCharType="begin" w:fldLock="1"/>
      </w:r>
      <w:r w:rsidR="008923CD" w:rsidRPr="00CB6F3B">
        <w:rPr>
          <w:rFonts w:ascii="Times New Roman" w:hAnsi="Times New Roman" w:cs="Times New Roman"/>
          <w:sz w:val="24"/>
          <w:szCs w:val="24"/>
        </w:rPr>
        <w:instrText>ADDIN CSL_CITATION {"citationItems":[{"id":"ITEM-1","itemData":{"author":[{"dropping-particle":"","family":"Thompson","given":"Luke R","non-dropping-particle":"","parse-names":false,"suffix":""},{"dropping-particle":"","family":"Sanders","given":"Jon G","non-dropping-particle":"","parse-names":false,"suffix":""},{"dropping-particle":"","family":"McDonald","given":"Daniel","non-dropping-particle":"","parse-names":false,"suffix":""},{"dropping-particle":"","family":"Amir","given":"Amnon","non-dropping-particle":"","parse-names":false,"suffix":""},{"dropping-particle":"","family":"Ladau","given":"Joshua","non-dropping-particle":"","parse-names":false,"suffix":""},{"dropping-particle":"","family":"Locey","given":"Kenneth J","non-dropping-particle":"","parse-names":false,"suffix":""},{"dropping-particle":"","family":"Prill","given":"Robert J","non-dropping-particle":"","parse-names":false,"suffix":""},{"dropping-particle":"","family":"Tripathi","given":"Anupriya","non-dropping-particle":"","parse-names":false,"suffix":""},{"dropping-particle":"","family":"Gibbons","given":"Sean M","non-dropping-particle":"","parse-names":false,"suffix":""},{"dropping-particle":"","family":"Ackermann","given":"Gail","non-dropping-particle":"","parse-names":false,"suffix":""},{"dropping-particle":"","family":"Navas-Molina","given":"Jose A","non-dropping-particle":"","parse-names":false,"suffix":""},{"dropping-particle":"","family":"Janssen","given":"Stefan","non-dropping-particle":"","parse-names":false,"suffix":""},{"dropping-particle":"","family":"Kopylova","given":"Evguenia","non-dropping-particle":"","parse-names":false,"suffix":""},{"dropping-particle":"","family":"Vázquez-Baeza","given":"Yoshiki","non-dropping-particle":"","parse-names":false,"suffix":""},{"dropping-particle":"","family":"González","given":"Antonio","non-dropping-particle":"","parse-names":false,"suffix":""},{"dropping-particle":"","family":"Morton","given":"James T","non-dropping-particle":"","parse-names":false,"suffix":""},{"dropping-particle":"","family":"Mirarab","given":"Siavash","non-dropping-particle":"","parse-names":false,"suffix":""},{"dropping-particle":"","family":"Zech Xu","given":"Zhenjiang","non-dropping-particle":"","parse-names":false,"suffix":""},{"dropping-particle":"","family":"Jiang","given":"Lingjing","non-dropping-particle":"","parse-names":false,"suffix":""},{"dropping-particle":"","family":"Haroon","given":"Mohamed F","non-dropping-particle":"","parse-names":false,"suffix":""},{"dropping-particle":"","family":"Kanbar","given":"Jad","non-dropping-particle":"","parse-names":false,"suffix":""},{"dropping-particle":"","family":"Zhu","given":"Qiyun","non-dropping-particle":"","parse-names":false,"suffix":""},{"dropping-particle":"","family":"Jin Song","given":"Se","non-dropping-particle":"","parse-names":false,"suffix":""},{"dropping-particle":"","family":"Kosciolek","given":"Tomasz","non-dropping-particle":"","parse-names":false,"suffix":""},{"dropping-particle":"","family":"Bokulich","given":"Nicholas A","non-dropping-particle":"","parse-names":false,"suffix":""},{"dropping-particle":"","family":"Lefler","given":"Joshua","non-dropping-particle":"","parse-names":false,"suffix":""},{"dropping-particle":"","family":"Brislawn","given":"Colin J","non-dropping-particle":"","parse-names":false,"suffix":""},{"dropping-particle":"","family":"Humphrey","given":"Gregory","non-dropping-particle":"","parse-names":false,"suffix":""},{"dropping-particle":"","family":"Owens","given":"Sarah M","non-dropping-particle":"","parse-names":false,"suffix":""},{"dropping-particle":"","family":"Hampton-Marcell","given":"Jarrad","non-dropping-particle":"","parse-names":false,"suffix":""},{"dropping-particle":"","family":"Berg-Lyons","given":"Donna","non-dropping-particle":"","parse-names":false,"suffix":""},{"dropping-particle":"","family":"McKenzie","given":"Valerie","non-dropping-particle":"","parse-names":false,"suffix":""},{"dropping-particle":"","family":"Fierer","given":"Noah","non-dropping-particle":"","parse-names":false,"suffix":""},{"dropping-particle":"","family":"Fuhrman","given":"Jed A","non-dropping-particle":"","parse-names":false,"suffix":""},{"dropping-particle":"","family":"Clauset","given":"Aaron","non-dropping-particle":"","parse-names":false,"suffix":""},{"dropping-particle":"","family":"Stevens","given":"Rick L","non-dropping-particle":"","parse-names":false,"suffix":""},{"dropping-particle":"","family":"Shade","given":"Ashley","non-dropping-particle":"","parse-names":false,"suffix":""},{"dropping-particle":"","family":"Pollard","given":"Katherine S","non-dropping-particle":"","parse-names":false,"suffix":""},{"dropping-particle":"","family":"Goodwin","given":"Kelly D","non-dropping-particle":"","parse-names":false,"suffix":""},{"dropping-particle":"","family":"Jansson","given":"Janet K","non-dropping-particle":"","parse-names":false,"suffix":""},{"dropping-particle":"","family":"Gilbert","given":"Jack A","non-dropping-particle":"","parse-names":false,"suffix":""},{"dropping-particle":"","family":"Knight","given":"Rob","non-dropping-particle":"","parse-names":false,"suffix":""},{"dropping-particle":"","family":"Consortium","given":"The Earth Microbiome Project","non-dropping-particle":"","parse-names":false,"suffix":""}],"container-title":"Nature","id":"ITEM-1","issued":{"date-parts":[["2017","11","1"]]},"publisher":"The Author(s)","title":"A communal catalogue reveals Earth’s multiscale microbial diversity","type":"article-journal"},"uris":["http://www.mendeley.com/documents/?uuid=476f49f9-b2a0-4c28-8512-0f9e05373614"]}],"mendeley":{"formattedCitation":"[1]","plainTextFormattedCitation":"[1]","previouslyFormattedCitation":"[1]"},"properties":{"noteIndex":0},"schema":"https://github.com/citation-style-language/schema/raw/master/csl-citation.json"}</w:instrText>
      </w:r>
      <w:r w:rsidRPr="00CB6F3B">
        <w:rPr>
          <w:rFonts w:ascii="Times New Roman" w:hAnsi="Times New Roman" w:cs="Times New Roman"/>
          <w:sz w:val="24"/>
          <w:szCs w:val="24"/>
        </w:rPr>
        <w:fldChar w:fldCharType="separate"/>
      </w:r>
      <w:r w:rsidR="005446D7" w:rsidRPr="00CB6F3B">
        <w:rPr>
          <w:rFonts w:ascii="Times New Roman" w:hAnsi="Times New Roman" w:cs="Times New Roman"/>
          <w:noProof/>
          <w:sz w:val="24"/>
          <w:szCs w:val="24"/>
        </w:rPr>
        <w:t>[1]</w:t>
      </w:r>
      <w:r w:rsidRPr="00CB6F3B">
        <w:rPr>
          <w:rFonts w:ascii="Times New Roman" w:hAnsi="Times New Roman" w:cs="Times New Roman"/>
          <w:sz w:val="24"/>
          <w:szCs w:val="24"/>
        </w:rPr>
        <w:fldChar w:fldCharType="end"/>
      </w:r>
      <w:r w:rsidRPr="00CB6F3B">
        <w:rPr>
          <w:rFonts w:ascii="Times New Roman" w:hAnsi="Times New Roman" w:cs="Times New Roman"/>
          <w:sz w:val="24"/>
          <w:szCs w:val="24"/>
        </w:rPr>
        <w:t xml:space="preserve">. </w:t>
      </w:r>
      <w:r w:rsidR="000F0A66" w:rsidRPr="00CB6F3B">
        <w:rPr>
          <w:rFonts w:ascii="Times New Roman" w:hAnsi="Times New Roman" w:cs="Times New Roman"/>
          <w:sz w:val="24"/>
          <w:szCs w:val="24"/>
        </w:rPr>
        <w:t>U</w:t>
      </w:r>
      <w:r w:rsidR="001C7C1A" w:rsidRPr="00CB6F3B">
        <w:rPr>
          <w:rFonts w:ascii="Times New Roman" w:hAnsi="Times New Roman" w:cs="Times New Roman"/>
          <w:sz w:val="24"/>
          <w:szCs w:val="24"/>
        </w:rPr>
        <w:t xml:space="preserve">ltimately, </w:t>
      </w:r>
      <w:r w:rsidR="00E0516A" w:rsidRPr="00CB6F3B">
        <w:rPr>
          <w:rFonts w:ascii="Times New Roman" w:hAnsi="Times New Roman" w:cs="Times New Roman"/>
          <w:sz w:val="24"/>
          <w:szCs w:val="24"/>
        </w:rPr>
        <w:t xml:space="preserve">the </w:t>
      </w:r>
      <w:r w:rsidR="006B7D40" w:rsidRPr="00CB6F3B">
        <w:rPr>
          <w:rFonts w:ascii="Times New Roman" w:hAnsi="Times New Roman" w:cs="Times New Roman"/>
          <w:sz w:val="24"/>
          <w:szCs w:val="24"/>
        </w:rPr>
        <w:t>standardization of methods across studies may never be perfect</w:t>
      </w:r>
      <w:r w:rsidR="00144AD5" w:rsidRPr="00CB6F3B">
        <w:rPr>
          <w:rFonts w:ascii="Times New Roman" w:hAnsi="Times New Roman" w:cs="Times New Roman"/>
          <w:sz w:val="24"/>
          <w:szCs w:val="24"/>
        </w:rPr>
        <w:t xml:space="preserve">, and the continued development of several protocols may maximize the </w:t>
      </w:r>
      <w:r w:rsidR="0036582A" w:rsidRPr="00CB6F3B">
        <w:rPr>
          <w:rFonts w:ascii="Times New Roman" w:hAnsi="Times New Roman" w:cs="Times New Roman"/>
          <w:sz w:val="24"/>
          <w:szCs w:val="24"/>
        </w:rPr>
        <w:t>discovery rate</w:t>
      </w:r>
      <w:r w:rsidR="006B7D40" w:rsidRPr="00CB6F3B">
        <w:rPr>
          <w:rFonts w:ascii="Times New Roman" w:hAnsi="Times New Roman" w:cs="Times New Roman"/>
          <w:sz w:val="24"/>
          <w:szCs w:val="24"/>
        </w:rPr>
        <w:t>. Here</w:t>
      </w:r>
      <w:r w:rsidR="00160B93" w:rsidRPr="00CB6F3B">
        <w:rPr>
          <w:rFonts w:ascii="Times New Roman" w:hAnsi="Times New Roman" w:cs="Times New Roman"/>
          <w:sz w:val="24"/>
          <w:szCs w:val="24"/>
        </w:rPr>
        <w:t>,</w:t>
      </w:r>
      <w:r w:rsidR="006B7D40" w:rsidRPr="00CB6F3B">
        <w:rPr>
          <w:rFonts w:ascii="Times New Roman" w:hAnsi="Times New Roman" w:cs="Times New Roman"/>
          <w:sz w:val="24"/>
          <w:szCs w:val="24"/>
        </w:rPr>
        <w:t xml:space="preserve"> the best solution is to </w:t>
      </w:r>
      <w:r w:rsidR="00F23658" w:rsidRPr="00CB6F3B">
        <w:rPr>
          <w:rFonts w:ascii="Times New Roman" w:hAnsi="Times New Roman" w:cs="Times New Roman"/>
          <w:sz w:val="24"/>
          <w:szCs w:val="24"/>
        </w:rPr>
        <w:t>ensure</w:t>
      </w:r>
      <w:r w:rsidR="006B7D40" w:rsidRPr="00CB6F3B">
        <w:rPr>
          <w:rFonts w:ascii="Times New Roman" w:hAnsi="Times New Roman" w:cs="Times New Roman"/>
          <w:sz w:val="24"/>
          <w:szCs w:val="24"/>
        </w:rPr>
        <w:t xml:space="preserve"> that potential </w:t>
      </w:r>
      <w:r w:rsidR="001C7C1A" w:rsidRPr="00CB6F3B">
        <w:rPr>
          <w:rFonts w:ascii="Times New Roman" w:hAnsi="Times New Roman" w:cs="Times New Roman"/>
          <w:sz w:val="24"/>
          <w:szCs w:val="24"/>
        </w:rPr>
        <w:t>biases</w:t>
      </w:r>
      <w:r w:rsidR="006B7D40" w:rsidRPr="00CB6F3B">
        <w:rPr>
          <w:rFonts w:ascii="Times New Roman" w:hAnsi="Times New Roman" w:cs="Times New Roman"/>
          <w:sz w:val="24"/>
          <w:szCs w:val="24"/>
        </w:rPr>
        <w:t xml:space="preserve"> and deviations from the standard </w:t>
      </w:r>
      <w:r w:rsidR="00BE00A8" w:rsidRPr="00CB6F3B">
        <w:rPr>
          <w:rFonts w:ascii="Times New Roman" w:hAnsi="Times New Roman" w:cs="Times New Roman"/>
          <w:sz w:val="24"/>
          <w:szCs w:val="24"/>
        </w:rPr>
        <w:t>protoco</w:t>
      </w:r>
      <w:r w:rsidR="006B7D40" w:rsidRPr="00CB6F3B">
        <w:rPr>
          <w:rFonts w:ascii="Times New Roman" w:hAnsi="Times New Roman" w:cs="Times New Roman"/>
          <w:sz w:val="24"/>
          <w:szCs w:val="24"/>
        </w:rPr>
        <w:t>l</w:t>
      </w:r>
      <w:r w:rsidR="00BE00A8" w:rsidRPr="00CB6F3B">
        <w:rPr>
          <w:rFonts w:ascii="Times New Roman" w:hAnsi="Times New Roman" w:cs="Times New Roman"/>
          <w:sz w:val="24"/>
          <w:szCs w:val="24"/>
        </w:rPr>
        <w:t xml:space="preserve"> (for example varying sample size or primer sequence)</w:t>
      </w:r>
      <w:r w:rsidR="006B7D40" w:rsidRPr="00CB6F3B">
        <w:rPr>
          <w:rFonts w:ascii="Times New Roman" w:hAnsi="Times New Roman" w:cs="Times New Roman"/>
          <w:sz w:val="24"/>
          <w:szCs w:val="24"/>
        </w:rPr>
        <w:t xml:space="preserve"> are always reported in the metadata.</w:t>
      </w:r>
      <w:r w:rsidR="00BE00A8" w:rsidRPr="00CB6F3B">
        <w:rPr>
          <w:rFonts w:ascii="Times New Roman" w:hAnsi="Times New Roman" w:cs="Times New Roman"/>
          <w:sz w:val="24"/>
          <w:szCs w:val="24"/>
        </w:rPr>
        <w:t xml:space="preserve"> </w:t>
      </w:r>
      <w:r w:rsidR="006B7D40" w:rsidRPr="00CB6F3B">
        <w:rPr>
          <w:rFonts w:ascii="Times New Roman" w:hAnsi="Times New Roman" w:cs="Times New Roman"/>
          <w:sz w:val="24"/>
          <w:szCs w:val="24"/>
        </w:rPr>
        <w:t xml:space="preserve">If </w:t>
      </w:r>
      <w:r w:rsidR="006B7D40" w:rsidRPr="00CB6F3B">
        <w:rPr>
          <w:rFonts w:ascii="Times New Roman" w:hAnsi="Times New Roman" w:cs="Times New Roman"/>
          <w:sz w:val="24"/>
          <w:szCs w:val="24"/>
        </w:rPr>
        <w:lastRenderedPageBreak/>
        <w:t>these are available,</w:t>
      </w:r>
      <w:r w:rsidR="00BE00A8" w:rsidRPr="00CB6F3B">
        <w:rPr>
          <w:rFonts w:ascii="Times New Roman" w:hAnsi="Times New Roman" w:cs="Times New Roman"/>
          <w:sz w:val="24"/>
          <w:szCs w:val="24"/>
        </w:rPr>
        <w:t xml:space="preserve"> then data integration, meta-analyses, and comparison among studies are possible, </w:t>
      </w:r>
      <w:r w:rsidR="000F0A66" w:rsidRPr="00CB6F3B">
        <w:rPr>
          <w:rFonts w:ascii="Times New Roman" w:hAnsi="Times New Roman" w:cs="Times New Roman"/>
          <w:sz w:val="24"/>
          <w:szCs w:val="24"/>
        </w:rPr>
        <w:t>as</w:t>
      </w:r>
      <w:r w:rsidR="00BE00A8" w:rsidRPr="00CB6F3B">
        <w:rPr>
          <w:rFonts w:ascii="Times New Roman" w:hAnsi="Times New Roman" w:cs="Times New Roman"/>
          <w:sz w:val="24"/>
          <w:szCs w:val="24"/>
        </w:rPr>
        <w:t xml:space="preserve"> </w:t>
      </w:r>
      <w:r w:rsidR="00364155" w:rsidRPr="00CB6F3B">
        <w:rPr>
          <w:rFonts w:ascii="Times New Roman" w:hAnsi="Times New Roman" w:cs="Times New Roman"/>
          <w:sz w:val="24"/>
          <w:szCs w:val="24"/>
        </w:rPr>
        <w:t>methodological</w:t>
      </w:r>
      <w:r w:rsidR="00BE00A8" w:rsidRPr="00CB6F3B">
        <w:rPr>
          <w:rFonts w:ascii="Times New Roman" w:hAnsi="Times New Roman" w:cs="Times New Roman"/>
          <w:sz w:val="24"/>
          <w:szCs w:val="24"/>
        </w:rPr>
        <w:t xml:space="preserve"> biases can be modelled and accounted for </w:t>
      </w:r>
      <w:r w:rsidR="000F0A66" w:rsidRPr="00CB6F3B">
        <w:rPr>
          <w:rFonts w:ascii="Times New Roman" w:hAnsi="Times New Roman" w:cs="Times New Roman"/>
          <w:i/>
          <w:sz w:val="24"/>
          <w:szCs w:val="24"/>
        </w:rPr>
        <w:t>a posteriori</w:t>
      </w:r>
      <w:r w:rsidR="00BE00A8" w:rsidRPr="00CB6F3B">
        <w:rPr>
          <w:rFonts w:ascii="Times New Roman" w:hAnsi="Times New Roman" w:cs="Times New Roman"/>
          <w:sz w:val="24"/>
          <w:szCs w:val="24"/>
        </w:rPr>
        <w:t xml:space="preserve"> using </w:t>
      </w:r>
      <w:r w:rsidR="001C7C1A" w:rsidRPr="00CB6F3B">
        <w:rPr>
          <w:rFonts w:ascii="Times New Roman" w:hAnsi="Times New Roman" w:cs="Times New Roman"/>
          <w:sz w:val="24"/>
          <w:szCs w:val="24"/>
        </w:rPr>
        <w:t>statistical model</w:t>
      </w:r>
      <w:r w:rsidR="00BE00A8" w:rsidRPr="00CB6F3B">
        <w:rPr>
          <w:rFonts w:ascii="Times New Roman" w:hAnsi="Times New Roman" w:cs="Times New Roman"/>
          <w:sz w:val="24"/>
          <w:szCs w:val="24"/>
        </w:rPr>
        <w:t>s</w:t>
      </w:r>
      <w:r w:rsidR="00364155" w:rsidRPr="00CB6F3B">
        <w:rPr>
          <w:rFonts w:ascii="Times New Roman" w:hAnsi="Times New Roman" w:cs="Times New Roman"/>
          <w:sz w:val="24"/>
          <w:szCs w:val="24"/>
        </w:rPr>
        <w:t xml:space="preserve"> and meta-analytical machinery </w:t>
      </w:r>
      <w:r w:rsidR="00E0516A" w:rsidRPr="00CB6F3B">
        <w:rPr>
          <w:rFonts w:ascii="Times New Roman" w:hAnsi="Times New Roman" w:cs="Times New Roman"/>
          <w:sz w:val="24"/>
          <w:szCs w:val="24"/>
        </w:rPr>
        <w:fldChar w:fldCharType="begin" w:fldLock="1"/>
      </w:r>
      <w:r w:rsidR="002D2AE8" w:rsidRPr="00CB6F3B">
        <w:rPr>
          <w:rFonts w:ascii="Times New Roman" w:hAnsi="Times New Roman" w:cs="Times New Roman"/>
          <w:sz w:val="24"/>
          <w:szCs w:val="24"/>
        </w:rPr>
        <w:instrText>ADDIN CSL_CITATION {"citationItems":[{"id":"ITEM-1","itemData":{"DOI":"10.1111/2041-210X.12758","ISSN":"2041210X","abstract":"Ecological and evolutionary research increasingly uses quantitative synthesis of primary research studies (meta-analysis) for answering fundamental questions, informing environmental policy and summarizing results for decision makers. Knowing how meta-analysis works is important for researchers so that their research can have broader impact. Meta-analytic thinking encourages scientists to see single primary research studies as substantial contributions to a larger picture. To facilitate inclusion in a meta-analysis, relevant primary research studies must be found and basic information about the methods and results must be thoroughly, clearly and transparently reported. While many published papers provide this information, it is common for essential data to be omitted, leading to study exclusion from meta-analyses. We provide guidelines for correctly reporting basic data needed from primary studies in ecology and evolutionary biology so that they can be included in meta-analyses, together with examples that show how data should be reported to enable calculation and analysis of effect sizes, and how data should be made accessible. These guidelines are important for reporting research results in general, whether or not results are included in subsequent meta-analyses, because they are necessary for the interpretation and assessment of study outcomes. Increased implementation of these guidelines by authors, editors and publishers, and reinforcement by funders, will foster higher quality and more inclusive syntheses, further the goals of transparency and reproducibility in science, and improve the quality and value of primary research studies.","author":[{"dropping-particle":"","family":"Gerstner","given":"Katharina","non-dropping-particle":"","parse-names":false,"suffix":""},{"dropping-particle":"","family":"Moreno-Mateos","given":"David","non-dropping-particle":"","parse-names":false,"suffix":""},{"dropping-particle":"","family":"Gurevitch","given":"Jessica","non-dropping-particle":"","parse-names":false,"suffix":""},{"dropping-particle":"","family":"Beckmann","given":"Michael","non-dropping-particle":"","parse-names":false,"suffix":""},{"dropping-particle":"","family":"Kambach","given":"Stephan","non-dropping-particle":"","parse-names":false,"suffix":""},{"dropping-particle":"","family":"Jones","given":"Holly P.","non-dropping-particle":"","parse-names":false,"suffix":""},{"dropping-particle":"","family":"Seppelt","given":"Ralf","non-dropping-particle":"","parse-names":false,"suffix":""}],"container-title":"Methods in Ecology and Evolution","editor":[{"dropping-particle":"","family":"Warton","given":"David","non-dropping-particle":"","parse-names":false,"suffix":""}],"id":"ITEM-1","issue":"6","issued":{"date-parts":[["2017","6","1"]]},"page":"777-784","publisher":"British Ecological Society","title":"Will your paper be used in a meta-analysis? Make the reach of your research broader and longer lasting","type":"article","volume":"8"},"uris":["http://www.mendeley.com/documents/?uuid=d30ceb9c-cb24-3b1f-927e-1d27d87fa1cd"]}],"mendeley":{"formattedCitation":"[65]","plainTextFormattedCitation":"[65]","previouslyFormattedCitation":"[67]"},"properties":{"noteIndex":0},"schema":"https://github.com/citation-style-language/schema/raw/master/csl-citation.json"}</w:instrText>
      </w:r>
      <w:r w:rsidR="00E0516A" w:rsidRPr="00CB6F3B">
        <w:rPr>
          <w:rFonts w:ascii="Times New Roman" w:hAnsi="Times New Roman" w:cs="Times New Roman"/>
          <w:sz w:val="24"/>
          <w:szCs w:val="24"/>
        </w:rPr>
        <w:fldChar w:fldCharType="separate"/>
      </w:r>
      <w:r w:rsidR="002D2AE8" w:rsidRPr="00CB6F3B">
        <w:rPr>
          <w:rFonts w:ascii="Times New Roman" w:hAnsi="Times New Roman" w:cs="Times New Roman"/>
          <w:noProof/>
          <w:sz w:val="24"/>
          <w:szCs w:val="24"/>
        </w:rPr>
        <w:t>[65]</w:t>
      </w:r>
      <w:r w:rsidR="00E0516A" w:rsidRPr="00CB6F3B">
        <w:rPr>
          <w:rFonts w:ascii="Times New Roman" w:hAnsi="Times New Roman" w:cs="Times New Roman"/>
          <w:sz w:val="24"/>
          <w:szCs w:val="24"/>
        </w:rPr>
        <w:fldChar w:fldCharType="end"/>
      </w:r>
      <w:r w:rsidR="00E0516A" w:rsidRPr="00CB6F3B">
        <w:rPr>
          <w:rStyle w:val="CommentReference"/>
        </w:rPr>
        <w:t xml:space="preserve"> </w:t>
      </w:r>
      <w:r w:rsidR="001C7C1A" w:rsidRPr="00CB6F3B">
        <w:rPr>
          <w:rFonts w:ascii="Times New Roman" w:hAnsi="Times New Roman" w:cs="Times New Roman"/>
          <w:sz w:val="24"/>
          <w:szCs w:val="24"/>
        </w:rPr>
        <w:t xml:space="preserve">. </w:t>
      </w:r>
    </w:p>
    <w:p w14:paraId="30FE6269" w14:textId="026E080C" w:rsidR="003B226C" w:rsidRPr="00CB6F3B" w:rsidRDefault="003B226C" w:rsidP="006F1CF1">
      <w:pPr>
        <w:spacing w:line="480" w:lineRule="auto"/>
        <w:rPr>
          <w:rFonts w:ascii="Times New Roman" w:hAnsi="Times New Roman" w:cs="Times New Roman"/>
          <w:sz w:val="24"/>
          <w:szCs w:val="24"/>
        </w:rPr>
      </w:pPr>
      <w:r w:rsidRPr="00CB6F3B">
        <w:rPr>
          <w:rFonts w:ascii="Times New Roman" w:hAnsi="Times New Roman" w:cs="Times New Roman"/>
          <w:sz w:val="24"/>
          <w:szCs w:val="24"/>
        </w:rPr>
        <w:t xml:space="preserve">As the cost of next generation sequencing continues to plummet and </w:t>
      </w:r>
      <w:r w:rsidR="002F0B04" w:rsidRPr="00CB6F3B">
        <w:rPr>
          <w:rFonts w:ascii="Times New Roman" w:hAnsi="Times New Roman" w:cs="Times New Roman"/>
          <w:sz w:val="24"/>
          <w:szCs w:val="24"/>
        </w:rPr>
        <w:t xml:space="preserve">its </w:t>
      </w:r>
      <w:r w:rsidRPr="00CB6F3B">
        <w:rPr>
          <w:rFonts w:ascii="Times New Roman" w:hAnsi="Times New Roman" w:cs="Times New Roman"/>
          <w:sz w:val="24"/>
          <w:szCs w:val="24"/>
        </w:rPr>
        <w:t xml:space="preserve">throughput continues to rise, amplicon sequencing will </w:t>
      </w:r>
      <w:r w:rsidR="0036582A" w:rsidRPr="00CB6F3B">
        <w:rPr>
          <w:rFonts w:ascii="Times New Roman" w:hAnsi="Times New Roman" w:cs="Times New Roman"/>
          <w:sz w:val="24"/>
          <w:szCs w:val="24"/>
        </w:rPr>
        <w:t xml:space="preserve">likely </w:t>
      </w:r>
      <w:r w:rsidRPr="00CB6F3B">
        <w:rPr>
          <w:rFonts w:ascii="Times New Roman" w:hAnsi="Times New Roman" w:cs="Times New Roman"/>
          <w:sz w:val="24"/>
          <w:szCs w:val="24"/>
        </w:rPr>
        <w:t>become an integral part of soil ecology</w:t>
      </w:r>
      <w:r w:rsidR="006F1CF1" w:rsidRPr="00CB6F3B">
        <w:rPr>
          <w:rFonts w:ascii="Times New Roman" w:hAnsi="Times New Roman" w:cs="Times New Roman"/>
          <w:sz w:val="24"/>
          <w:szCs w:val="24"/>
        </w:rPr>
        <w:t>, filling</w:t>
      </w:r>
      <w:r w:rsidR="007849A9" w:rsidRPr="00CB6F3B">
        <w:rPr>
          <w:rFonts w:ascii="Times New Roman" w:hAnsi="Times New Roman" w:cs="Times New Roman"/>
          <w:sz w:val="24"/>
          <w:szCs w:val="24"/>
        </w:rPr>
        <w:t xml:space="preserve"> long-standing gaps in </w:t>
      </w:r>
      <w:r w:rsidR="002F0B04" w:rsidRPr="00CB6F3B">
        <w:rPr>
          <w:rFonts w:ascii="Times New Roman" w:hAnsi="Times New Roman" w:cs="Times New Roman"/>
          <w:sz w:val="24"/>
          <w:szCs w:val="24"/>
        </w:rPr>
        <w:t>the field</w:t>
      </w:r>
      <w:r w:rsidR="007849A9" w:rsidRPr="00CB6F3B">
        <w:rPr>
          <w:rFonts w:ascii="Times New Roman" w:hAnsi="Times New Roman" w:cs="Times New Roman"/>
          <w:sz w:val="24"/>
          <w:szCs w:val="24"/>
        </w:rPr>
        <w:t xml:space="preserve"> and improv</w:t>
      </w:r>
      <w:r w:rsidR="006F1CF1" w:rsidRPr="00CB6F3B">
        <w:rPr>
          <w:rFonts w:ascii="Times New Roman" w:hAnsi="Times New Roman" w:cs="Times New Roman"/>
          <w:sz w:val="24"/>
          <w:szCs w:val="24"/>
        </w:rPr>
        <w:t xml:space="preserve">ing </w:t>
      </w:r>
      <w:r w:rsidR="007849A9" w:rsidRPr="00CB6F3B">
        <w:rPr>
          <w:rFonts w:ascii="Times New Roman" w:hAnsi="Times New Roman" w:cs="Times New Roman"/>
          <w:sz w:val="24"/>
          <w:szCs w:val="24"/>
        </w:rPr>
        <w:t>our understanding of belowground biota</w:t>
      </w:r>
      <w:r w:rsidR="00390EEB" w:rsidRPr="00CB6F3B">
        <w:rPr>
          <w:rFonts w:ascii="Times New Roman" w:hAnsi="Times New Roman" w:cs="Times New Roman"/>
          <w:sz w:val="24"/>
          <w:szCs w:val="24"/>
        </w:rPr>
        <w:t xml:space="preserve"> </w:t>
      </w:r>
      <w:r w:rsidR="00390EEB" w:rsidRPr="00CB6F3B">
        <w:rPr>
          <w:rFonts w:ascii="Times New Roman" w:hAnsi="Times New Roman" w:cs="Times New Roman"/>
          <w:sz w:val="24"/>
          <w:szCs w:val="24"/>
        </w:rPr>
        <w:fldChar w:fldCharType="begin" w:fldLock="1"/>
      </w:r>
      <w:r w:rsidR="0041205F" w:rsidRPr="00CB6F3B">
        <w:rPr>
          <w:rFonts w:ascii="Times New Roman" w:hAnsi="Times New Roman" w:cs="Times New Roman"/>
          <w:sz w:val="24"/>
          <w:szCs w:val="24"/>
        </w:rPr>
        <w:instrText>ADDIN CSL_CITATION {"citationItems":[{"id":"ITEM-1","itemData":{"DOI":"10.1038/s41559-018-0573-8.Global","ISBN":"4155901805738","author":[{"dropping-particle":"","family":"Cameron","given":"Erin K","non-dropping-particle":"","parse-names":false,"suffix":""},{"dropping-particle":"","family":"Martins","given":"Inês S","non-dropping-particle":"","parse-names":false,"suffix":""},{"dropping-particle":"","family":"Lavelle","given":"Patrick","non-dropping-particle":"","parse-names":false,"suffix":""},{"dropping-particle":"","family":"Mathieu","given":"Jérôme","non-dropping-particle":"","parse-names":false,"suffix":""},{"dropping-particle":"","family":"Gottschall","given":"Felix","non-dropping-particle":"","parse-names":false,"suffix":""},{"dropping-particle":"","family":"Guerra","given":"Carlos A","non-dropping-particle":"","parse-names":false,"suffix":""},{"dropping-particle":"","family":"Hines","given":"Jes","non-dropping-particle":"","parse-names":false,"suffix":""},{"dropping-particle":"","family":"Patoine","given":"Guillaume","non-dropping-particle":"","parse-names":false,"suffix":""}],"container-title":"Nature Ecology &amp; Evolution","id":"ITEM-1","issue":"7","issued":{"date-parts":[["2019"]]},"page":"1042-1043","title":"Global gaps in soil biodiversity data","type":"article-journal","volume":"2018"},"uris":["http://www.mendeley.com/documents/?uuid=b3f7bf42-f8e9-4e53-9f5f-fa27f59233bb"]}],"mendeley":{"formattedCitation":"[7]","plainTextFormattedCitation":"[7]","previouslyFormattedCitation":"[7]"},"properties":{"noteIndex":0},"schema":"https://github.com/citation-style-language/schema/raw/master/csl-citation.json"}</w:instrText>
      </w:r>
      <w:r w:rsidR="00390EEB" w:rsidRPr="00CB6F3B">
        <w:rPr>
          <w:rFonts w:ascii="Times New Roman" w:hAnsi="Times New Roman" w:cs="Times New Roman"/>
          <w:sz w:val="24"/>
          <w:szCs w:val="24"/>
        </w:rPr>
        <w:fldChar w:fldCharType="separate"/>
      </w:r>
      <w:r w:rsidR="00B50C57" w:rsidRPr="00CB6F3B">
        <w:rPr>
          <w:rFonts w:ascii="Times New Roman" w:hAnsi="Times New Roman" w:cs="Times New Roman"/>
          <w:noProof/>
          <w:sz w:val="24"/>
          <w:szCs w:val="24"/>
        </w:rPr>
        <w:t>[7]</w:t>
      </w:r>
      <w:r w:rsidR="00390EEB" w:rsidRPr="00CB6F3B">
        <w:rPr>
          <w:rFonts w:ascii="Times New Roman" w:hAnsi="Times New Roman" w:cs="Times New Roman"/>
          <w:sz w:val="24"/>
          <w:szCs w:val="24"/>
        </w:rPr>
        <w:fldChar w:fldCharType="end"/>
      </w:r>
      <w:r w:rsidR="006F1CF1" w:rsidRPr="00CB6F3B">
        <w:rPr>
          <w:rFonts w:ascii="Times New Roman" w:hAnsi="Times New Roman" w:cs="Times New Roman"/>
          <w:sz w:val="24"/>
          <w:szCs w:val="24"/>
        </w:rPr>
        <w:t xml:space="preserve">. Data created by amplicon sequencing </w:t>
      </w:r>
      <w:r w:rsidR="008E25AC" w:rsidRPr="00CB6F3B">
        <w:rPr>
          <w:rFonts w:ascii="Times New Roman" w:hAnsi="Times New Roman" w:cs="Times New Roman"/>
          <w:sz w:val="24"/>
          <w:szCs w:val="24"/>
        </w:rPr>
        <w:t xml:space="preserve">may be integrated to inform ecological syntheses, and </w:t>
      </w:r>
      <w:r w:rsidR="006F1CF1" w:rsidRPr="00CB6F3B">
        <w:rPr>
          <w:rFonts w:ascii="Times New Roman" w:hAnsi="Times New Roman" w:cs="Times New Roman"/>
          <w:sz w:val="24"/>
          <w:szCs w:val="24"/>
        </w:rPr>
        <w:t>will serve as the record of soil biodiversity for future generations, aiding in the study of the effects of global change on the diversity and dynamics of soil biota. Ensuring that these data remain comparable in the long term is paramount</w:t>
      </w:r>
      <w:r w:rsidR="008E25AC" w:rsidRPr="00CB6F3B">
        <w:rPr>
          <w:rFonts w:ascii="Times New Roman" w:hAnsi="Times New Roman" w:cs="Times New Roman"/>
          <w:sz w:val="24"/>
          <w:szCs w:val="24"/>
        </w:rPr>
        <w:t xml:space="preserve"> for the both the present and the future of soil ecology</w:t>
      </w:r>
      <w:r w:rsidR="006F1CF1" w:rsidRPr="00CB6F3B">
        <w:rPr>
          <w:rFonts w:ascii="Times New Roman" w:hAnsi="Times New Roman" w:cs="Times New Roman"/>
          <w:sz w:val="24"/>
          <w:szCs w:val="24"/>
        </w:rPr>
        <w:t xml:space="preserve">. </w:t>
      </w:r>
    </w:p>
    <w:p w14:paraId="6B33E086" w14:textId="50F62029" w:rsidR="005149C7" w:rsidRPr="00CB6F3B" w:rsidRDefault="00AA6269" w:rsidP="005149C7">
      <w:pPr>
        <w:rPr>
          <w:rFonts w:ascii="Times New Roman" w:hAnsi="Times New Roman" w:cs="Times New Roman"/>
          <w:b/>
          <w:sz w:val="24"/>
          <w:szCs w:val="24"/>
        </w:rPr>
      </w:pPr>
      <w:r w:rsidRPr="00CB6F3B">
        <w:rPr>
          <w:rFonts w:ascii="Times New Roman" w:hAnsi="Times New Roman" w:cs="Times New Roman"/>
          <w:b/>
          <w:sz w:val="24"/>
          <w:szCs w:val="24"/>
        </w:rPr>
        <w:t>Acknowledgements</w:t>
      </w:r>
    </w:p>
    <w:p w14:paraId="392BFD69" w14:textId="21918DFD" w:rsidR="00763B39" w:rsidRPr="00CB6F3B" w:rsidRDefault="00AA6269">
      <w:pPr>
        <w:rPr>
          <w:rFonts w:ascii="Times New Roman" w:hAnsi="Times New Roman" w:cs="Times New Roman"/>
          <w:sz w:val="24"/>
          <w:szCs w:val="24"/>
        </w:rPr>
      </w:pPr>
      <w:r w:rsidRPr="00CB6F3B">
        <w:rPr>
          <w:rFonts w:ascii="Times New Roman" w:hAnsi="Times New Roman" w:cs="Times New Roman"/>
          <w:sz w:val="24"/>
          <w:szCs w:val="24"/>
        </w:rPr>
        <w:t xml:space="preserve">This work was funded by the German Centre for Integrative Biodiversity Research (iDiv) Halle-Jena-Leipzig, funded by the German Research Foundation (DFG FZT 118). We would like to thank S. </w:t>
      </w:r>
      <w:proofErr w:type="spellStart"/>
      <w:r w:rsidRPr="00CB6F3B">
        <w:rPr>
          <w:rFonts w:ascii="Times New Roman" w:hAnsi="Times New Roman" w:cs="Times New Roman"/>
          <w:sz w:val="24"/>
          <w:szCs w:val="24"/>
        </w:rPr>
        <w:t>Tem</w:t>
      </w:r>
      <w:proofErr w:type="spellEnd"/>
      <w:r w:rsidRPr="00CB6F3B">
        <w:rPr>
          <w:rFonts w:ascii="Times New Roman" w:hAnsi="Times New Roman" w:cs="Times New Roman"/>
          <w:sz w:val="24"/>
          <w:szCs w:val="24"/>
        </w:rPr>
        <w:t xml:space="preserve"> for the valuable discussions. The authors declare no conflicts of interest. </w:t>
      </w:r>
    </w:p>
    <w:p w14:paraId="4A776B3E" w14:textId="7BB63C61" w:rsidR="00F73FBD" w:rsidRPr="00CB6F3B" w:rsidRDefault="00F73FBD" w:rsidP="005D7AFC">
      <w:pPr>
        <w:rPr>
          <w:rFonts w:ascii="Times New Roman" w:hAnsi="Times New Roman" w:cs="Times New Roman"/>
          <w:b/>
          <w:sz w:val="24"/>
          <w:szCs w:val="24"/>
        </w:rPr>
      </w:pPr>
      <w:r w:rsidRPr="00CB6F3B">
        <w:rPr>
          <w:rFonts w:ascii="Times New Roman" w:hAnsi="Times New Roman" w:cs="Times New Roman"/>
          <w:b/>
          <w:sz w:val="24"/>
          <w:szCs w:val="24"/>
        </w:rPr>
        <w:t>References</w:t>
      </w:r>
    </w:p>
    <w:p w14:paraId="1A77C2D1" w14:textId="52D10653" w:rsidR="002D2AE8" w:rsidRPr="00CB6F3B" w:rsidRDefault="00F73FBD"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sz w:val="24"/>
          <w:szCs w:val="24"/>
        </w:rPr>
        <w:fldChar w:fldCharType="begin" w:fldLock="1"/>
      </w:r>
      <w:r w:rsidRPr="00CB6F3B">
        <w:rPr>
          <w:rFonts w:ascii="Times New Roman" w:hAnsi="Times New Roman" w:cs="Times New Roman"/>
          <w:sz w:val="24"/>
          <w:szCs w:val="24"/>
        </w:rPr>
        <w:instrText xml:space="preserve">ADDIN Mendeley Bibliography CSL_BIBLIOGRAPHY </w:instrText>
      </w:r>
      <w:r w:rsidRPr="00CB6F3B">
        <w:rPr>
          <w:rFonts w:ascii="Times New Roman" w:hAnsi="Times New Roman" w:cs="Times New Roman"/>
          <w:sz w:val="24"/>
          <w:szCs w:val="24"/>
        </w:rPr>
        <w:fldChar w:fldCharType="separate"/>
      </w:r>
      <w:r w:rsidR="002D2AE8" w:rsidRPr="00CB6F3B">
        <w:rPr>
          <w:rFonts w:ascii="Times New Roman" w:hAnsi="Times New Roman" w:cs="Times New Roman"/>
          <w:noProof/>
          <w:sz w:val="24"/>
          <w:szCs w:val="24"/>
        </w:rPr>
        <w:t xml:space="preserve">1. </w:t>
      </w:r>
      <w:r w:rsidR="002D2AE8" w:rsidRPr="00CB6F3B">
        <w:rPr>
          <w:rFonts w:ascii="Times New Roman" w:hAnsi="Times New Roman" w:cs="Times New Roman"/>
          <w:noProof/>
          <w:sz w:val="24"/>
          <w:szCs w:val="24"/>
        </w:rPr>
        <w:tab/>
        <w:t xml:space="preserve">Thompson LR, Sanders JG, McDonald D, Amir A, Ladau J, Locey KJ, et al. A communal catalogue reveals Earth’s multiscale microbial diversity. </w:t>
      </w:r>
      <w:r w:rsidR="002D2AE8" w:rsidRPr="00CB6F3B">
        <w:rPr>
          <w:rFonts w:ascii="Times New Roman" w:hAnsi="Times New Roman" w:cs="Times New Roman"/>
          <w:i/>
          <w:iCs/>
          <w:noProof/>
          <w:sz w:val="24"/>
          <w:szCs w:val="24"/>
        </w:rPr>
        <w:t>Nature</w:t>
      </w:r>
      <w:r w:rsidR="002D2AE8" w:rsidRPr="00CB6F3B">
        <w:rPr>
          <w:rFonts w:ascii="Times New Roman" w:hAnsi="Times New Roman" w:cs="Times New Roman"/>
          <w:noProof/>
          <w:sz w:val="24"/>
          <w:szCs w:val="24"/>
        </w:rPr>
        <w:t xml:space="preserve"> 2017. </w:t>
      </w:r>
    </w:p>
    <w:p w14:paraId="7F799115"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2. </w:t>
      </w:r>
      <w:r w:rsidRPr="00CB6F3B">
        <w:rPr>
          <w:rFonts w:ascii="Times New Roman" w:hAnsi="Times New Roman" w:cs="Times New Roman"/>
          <w:noProof/>
          <w:sz w:val="24"/>
          <w:szCs w:val="24"/>
        </w:rPr>
        <w:tab/>
        <w:t xml:space="preserve">Bates ST, Berg-Lyons D, Caporaso JG, Walters WA, Knight R, Fierer N. Examining the global distribution of dominant archaeal populations in soil. </w:t>
      </w:r>
      <w:r w:rsidRPr="00CB6F3B">
        <w:rPr>
          <w:rFonts w:ascii="Times New Roman" w:hAnsi="Times New Roman" w:cs="Times New Roman"/>
          <w:i/>
          <w:iCs/>
          <w:noProof/>
          <w:sz w:val="24"/>
          <w:szCs w:val="24"/>
        </w:rPr>
        <w:t>ISME J</w:t>
      </w:r>
      <w:r w:rsidRPr="00CB6F3B">
        <w:rPr>
          <w:rFonts w:ascii="Times New Roman" w:hAnsi="Times New Roman" w:cs="Times New Roman"/>
          <w:noProof/>
          <w:sz w:val="24"/>
          <w:szCs w:val="24"/>
        </w:rPr>
        <w:t xml:space="preserve"> 2011; </w:t>
      </w:r>
      <w:r w:rsidRPr="00CB6F3B">
        <w:rPr>
          <w:rFonts w:ascii="Times New Roman" w:hAnsi="Times New Roman" w:cs="Times New Roman"/>
          <w:b/>
          <w:bCs/>
          <w:noProof/>
          <w:sz w:val="24"/>
          <w:szCs w:val="24"/>
        </w:rPr>
        <w:t>5</w:t>
      </w:r>
      <w:r w:rsidRPr="00CB6F3B">
        <w:rPr>
          <w:rFonts w:ascii="Times New Roman" w:hAnsi="Times New Roman" w:cs="Times New Roman"/>
          <w:noProof/>
          <w:sz w:val="24"/>
          <w:szCs w:val="24"/>
        </w:rPr>
        <w:t xml:space="preserve">: 908–917. </w:t>
      </w:r>
    </w:p>
    <w:p w14:paraId="75BFC591"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3. </w:t>
      </w:r>
      <w:r w:rsidRPr="00CB6F3B">
        <w:rPr>
          <w:rFonts w:ascii="Times New Roman" w:hAnsi="Times New Roman" w:cs="Times New Roman"/>
          <w:noProof/>
          <w:sz w:val="24"/>
          <w:szCs w:val="24"/>
        </w:rPr>
        <w:tab/>
        <w:t xml:space="preserve">Fierer, Jackson RB. The diversity and biogeography of soil bacterial communities. </w:t>
      </w:r>
      <w:r w:rsidRPr="00CB6F3B">
        <w:rPr>
          <w:rFonts w:ascii="Times New Roman" w:hAnsi="Times New Roman" w:cs="Times New Roman"/>
          <w:i/>
          <w:iCs/>
          <w:noProof/>
          <w:sz w:val="24"/>
          <w:szCs w:val="24"/>
        </w:rPr>
        <w:t>Proc Natl Acad Sci U S A</w:t>
      </w:r>
      <w:r w:rsidRPr="00CB6F3B">
        <w:rPr>
          <w:rFonts w:ascii="Times New Roman" w:hAnsi="Times New Roman" w:cs="Times New Roman"/>
          <w:noProof/>
          <w:sz w:val="24"/>
          <w:szCs w:val="24"/>
        </w:rPr>
        <w:t xml:space="preserve"> 2006; </w:t>
      </w:r>
      <w:r w:rsidRPr="00CB6F3B">
        <w:rPr>
          <w:rFonts w:ascii="Times New Roman" w:hAnsi="Times New Roman" w:cs="Times New Roman"/>
          <w:b/>
          <w:bCs/>
          <w:noProof/>
          <w:sz w:val="24"/>
          <w:szCs w:val="24"/>
        </w:rPr>
        <w:t>103</w:t>
      </w:r>
      <w:r w:rsidRPr="00CB6F3B">
        <w:rPr>
          <w:rFonts w:ascii="Times New Roman" w:hAnsi="Times New Roman" w:cs="Times New Roman"/>
          <w:noProof/>
          <w:sz w:val="24"/>
          <w:szCs w:val="24"/>
        </w:rPr>
        <w:t xml:space="preserve">: 626–631. </w:t>
      </w:r>
    </w:p>
    <w:p w14:paraId="590B3E17"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4. </w:t>
      </w:r>
      <w:r w:rsidRPr="00CB6F3B">
        <w:rPr>
          <w:rFonts w:ascii="Times New Roman" w:hAnsi="Times New Roman" w:cs="Times New Roman"/>
          <w:noProof/>
          <w:sz w:val="24"/>
          <w:szCs w:val="24"/>
        </w:rPr>
        <w:tab/>
        <w:t xml:space="preserve">Martiny JBH, Bohannan BJM, Brown JH, Colwell RK, Fuhrman JA, Green JL, et al. Microbial biogeography: putting microorganisms on the map. </w:t>
      </w:r>
      <w:r w:rsidRPr="00CB6F3B">
        <w:rPr>
          <w:rFonts w:ascii="Times New Roman" w:hAnsi="Times New Roman" w:cs="Times New Roman"/>
          <w:i/>
          <w:iCs/>
          <w:noProof/>
          <w:sz w:val="24"/>
          <w:szCs w:val="24"/>
        </w:rPr>
        <w:t>Nat Rev Microbiol</w:t>
      </w:r>
      <w:r w:rsidRPr="00CB6F3B">
        <w:rPr>
          <w:rFonts w:ascii="Times New Roman" w:hAnsi="Times New Roman" w:cs="Times New Roman"/>
          <w:noProof/>
          <w:sz w:val="24"/>
          <w:szCs w:val="24"/>
        </w:rPr>
        <w:t xml:space="preserve"> 2006; </w:t>
      </w:r>
      <w:r w:rsidRPr="00CB6F3B">
        <w:rPr>
          <w:rFonts w:ascii="Times New Roman" w:hAnsi="Times New Roman" w:cs="Times New Roman"/>
          <w:b/>
          <w:bCs/>
          <w:noProof/>
          <w:sz w:val="24"/>
          <w:szCs w:val="24"/>
        </w:rPr>
        <w:t>4</w:t>
      </w:r>
      <w:r w:rsidRPr="00CB6F3B">
        <w:rPr>
          <w:rFonts w:ascii="Times New Roman" w:hAnsi="Times New Roman" w:cs="Times New Roman"/>
          <w:noProof/>
          <w:sz w:val="24"/>
          <w:szCs w:val="24"/>
        </w:rPr>
        <w:t xml:space="preserve">: 102–12. </w:t>
      </w:r>
    </w:p>
    <w:p w14:paraId="1F59E049"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5. </w:t>
      </w:r>
      <w:r w:rsidRPr="00CB6F3B">
        <w:rPr>
          <w:rFonts w:ascii="Times New Roman" w:hAnsi="Times New Roman" w:cs="Times New Roman"/>
          <w:noProof/>
          <w:sz w:val="24"/>
          <w:szCs w:val="24"/>
        </w:rPr>
        <w:tab/>
        <w:t xml:space="preserve">Steen AD, Crits-Christoph A, Carini P, DeAngelis KM, Fierer N, Lloyd KG, et al. High proportions of bacteria and archaea across most biomes remain uncultured. </w:t>
      </w:r>
      <w:r w:rsidRPr="00CB6F3B">
        <w:rPr>
          <w:rFonts w:ascii="Times New Roman" w:hAnsi="Times New Roman" w:cs="Times New Roman"/>
          <w:i/>
          <w:iCs/>
          <w:noProof/>
          <w:sz w:val="24"/>
          <w:szCs w:val="24"/>
        </w:rPr>
        <w:t>ISME J</w:t>
      </w:r>
      <w:r w:rsidRPr="00CB6F3B">
        <w:rPr>
          <w:rFonts w:ascii="Times New Roman" w:hAnsi="Times New Roman" w:cs="Times New Roman"/>
          <w:noProof/>
          <w:sz w:val="24"/>
          <w:szCs w:val="24"/>
        </w:rPr>
        <w:t xml:space="preserve"> 2019. </w:t>
      </w:r>
    </w:p>
    <w:p w14:paraId="55FE0186"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6. </w:t>
      </w:r>
      <w:r w:rsidRPr="00CB6F3B">
        <w:rPr>
          <w:rFonts w:ascii="Times New Roman" w:hAnsi="Times New Roman" w:cs="Times New Roman"/>
          <w:noProof/>
          <w:sz w:val="24"/>
          <w:szCs w:val="24"/>
        </w:rPr>
        <w:tab/>
        <w:t xml:space="preserve">Orgiazzi A, Bardgett RD, Barrios E. Global soil biodiversity atlas. 2016. European Commission. </w:t>
      </w:r>
    </w:p>
    <w:p w14:paraId="0C8D4394"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7. </w:t>
      </w:r>
      <w:r w:rsidRPr="00CB6F3B">
        <w:rPr>
          <w:rFonts w:ascii="Times New Roman" w:hAnsi="Times New Roman" w:cs="Times New Roman"/>
          <w:noProof/>
          <w:sz w:val="24"/>
          <w:szCs w:val="24"/>
        </w:rPr>
        <w:tab/>
        <w:t xml:space="preserve">Cameron EK, Martins IS, Lavelle P, Mathieu J, Gottschall F, Guerra CA, et al. Global </w:t>
      </w:r>
      <w:r w:rsidRPr="00CB6F3B">
        <w:rPr>
          <w:rFonts w:ascii="Times New Roman" w:hAnsi="Times New Roman" w:cs="Times New Roman"/>
          <w:noProof/>
          <w:sz w:val="24"/>
          <w:szCs w:val="24"/>
        </w:rPr>
        <w:lastRenderedPageBreak/>
        <w:t xml:space="preserve">gaps in soil biodiversity data. </w:t>
      </w:r>
      <w:r w:rsidRPr="00CB6F3B">
        <w:rPr>
          <w:rFonts w:ascii="Times New Roman" w:hAnsi="Times New Roman" w:cs="Times New Roman"/>
          <w:i/>
          <w:iCs/>
          <w:noProof/>
          <w:sz w:val="24"/>
          <w:szCs w:val="24"/>
        </w:rPr>
        <w:t>Nat Ecol Evol</w:t>
      </w:r>
      <w:r w:rsidRPr="00CB6F3B">
        <w:rPr>
          <w:rFonts w:ascii="Times New Roman" w:hAnsi="Times New Roman" w:cs="Times New Roman"/>
          <w:noProof/>
          <w:sz w:val="24"/>
          <w:szCs w:val="24"/>
        </w:rPr>
        <w:t xml:space="preserve"> 2019; </w:t>
      </w:r>
      <w:r w:rsidRPr="00CB6F3B">
        <w:rPr>
          <w:rFonts w:ascii="Times New Roman" w:hAnsi="Times New Roman" w:cs="Times New Roman"/>
          <w:b/>
          <w:bCs/>
          <w:noProof/>
          <w:sz w:val="24"/>
          <w:szCs w:val="24"/>
        </w:rPr>
        <w:t>2018</w:t>
      </w:r>
      <w:r w:rsidRPr="00CB6F3B">
        <w:rPr>
          <w:rFonts w:ascii="Times New Roman" w:hAnsi="Times New Roman" w:cs="Times New Roman"/>
          <w:noProof/>
          <w:sz w:val="24"/>
          <w:szCs w:val="24"/>
        </w:rPr>
        <w:t xml:space="preserve">: 1042–1043. </w:t>
      </w:r>
    </w:p>
    <w:p w14:paraId="22664CB3"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8. </w:t>
      </w:r>
      <w:r w:rsidRPr="00CB6F3B">
        <w:rPr>
          <w:rFonts w:ascii="Times New Roman" w:hAnsi="Times New Roman" w:cs="Times New Roman"/>
          <w:noProof/>
          <w:sz w:val="24"/>
          <w:szCs w:val="24"/>
        </w:rPr>
        <w:tab/>
        <w:t xml:space="preserve">Thakur MP, Phillips HRP, Brose U, De Vries FT, Lavelle P, Loreau M, et al. Towards an integrative understanding of soil biodiversity. </w:t>
      </w:r>
      <w:r w:rsidRPr="00CB6F3B">
        <w:rPr>
          <w:rFonts w:ascii="Times New Roman" w:hAnsi="Times New Roman" w:cs="Times New Roman"/>
          <w:i/>
          <w:iCs/>
          <w:noProof/>
          <w:sz w:val="24"/>
          <w:szCs w:val="24"/>
        </w:rPr>
        <w:t>Biol Rev</w:t>
      </w:r>
      <w:r w:rsidRPr="00CB6F3B">
        <w:rPr>
          <w:rFonts w:ascii="Times New Roman" w:hAnsi="Times New Roman" w:cs="Times New Roman"/>
          <w:noProof/>
          <w:sz w:val="24"/>
          <w:szCs w:val="24"/>
        </w:rPr>
        <w:t xml:space="preserve"> 2019; </w:t>
      </w:r>
      <w:r w:rsidRPr="00CB6F3B">
        <w:rPr>
          <w:rFonts w:ascii="Times New Roman" w:hAnsi="Times New Roman" w:cs="Times New Roman"/>
          <w:b/>
          <w:bCs/>
          <w:noProof/>
          <w:sz w:val="24"/>
          <w:szCs w:val="24"/>
        </w:rPr>
        <w:t>31</w:t>
      </w:r>
      <w:r w:rsidRPr="00CB6F3B">
        <w:rPr>
          <w:rFonts w:ascii="Times New Roman" w:hAnsi="Times New Roman" w:cs="Times New Roman"/>
          <w:noProof/>
          <w:sz w:val="24"/>
          <w:szCs w:val="24"/>
        </w:rPr>
        <w:t xml:space="preserve">. </w:t>
      </w:r>
    </w:p>
    <w:p w14:paraId="499930E4"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9. </w:t>
      </w:r>
      <w:r w:rsidRPr="00CB6F3B">
        <w:rPr>
          <w:rFonts w:ascii="Times New Roman" w:hAnsi="Times New Roman" w:cs="Times New Roman"/>
          <w:noProof/>
          <w:sz w:val="24"/>
          <w:szCs w:val="24"/>
        </w:rPr>
        <w:tab/>
        <w:t xml:space="preserve">Deiner K, Bik HM, Mächler E, Seymour M, Lacoursière-Roussel A, Altermatt F, et al. Environmental DNA metabarcoding: Transforming how we survey animal and plant communities. </w:t>
      </w:r>
      <w:r w:rsidRPr="00CB6F3B">
        <w:rPr>
          <w:rFonts w:ascii="Times New Roman" w:hAnsi="Times New Roman" w:cs="Times New Roman"/>
          <w:i/>
          <w:iCs/>
          <w:noProof/>
          <w:sz w:val="24"/>
          <w:szCs w:val="24"/>
        </w:rPr>
        <w:t>Mol Ecol</w:t>
      </w:r>
      <w:r w:rsidRPr="00CB6F3B">
        <w:rPr>
          <w:rFonts w:ascii="Times New Roman" w:hAnsi="Times New Roman" w:cs="Times New Roman"/>
          <w:noProof/>
          <w:sz w:val="24"/>
          <w:szCs w:val="24"/>
        </w:rPr>
        <w:t xml:space="preserve"> 2017; </w:t>
      </w:r>
      <w:r w:rsidRPr="00CB6F3B">
        <w:rPr>
          <w:rFonts w:ascii="Times New Roman" w:hAnsi="Times New Roman" w:cs="Times New Roman"/>
          <w:b/>
          <w:bCs/>
          <w:noProof/>
          <w:sz w:val="24"/>
          <w:szCs w:val="24"/>
        </w:rPr>
        <w:t>26</w:t>
      </w:r>
      <w:r w:rsidRPr="00CB6F3B">
        <w:rPr>
          <w:rFonts w:ascii="Times New Roman" w:hAnsi="Times New Roman" w:cs="Times New Roman"/>
          <w:noProof/>
          <w:sz w:val="24"/>
          <w:szCs w:val="24"/>
        </w:rPr>
        <w:t xml:space="preserve">: 5872–5895. </w:t>
      </w:r>
    </w:p>
    <w:p w14:paraId="14F567B5"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10. </w:t>
      </w:r>
      <w:r w:rsidRPr="00CB6F3B">
        <w:rPr>
          <w:rFonts w:ascii="Times New Roman" w:hAnsi="Times New Roman" w:cs="Times New Roman"/>
          <w:noProof/>
          <w:sz w:val="24"/>
          <w:szCs w:val="24"/>
        </w:rPr>
        <w:tab/>
        <w:t xml:space="preserve">Větrovský T, Kohout P, Kopecký M, Machac A, Man M, Bahnmann BD, et al. A meta-analysis of global fungal distribution reveals climate-driven patterns. </w:t>
      </w:r>
      <w:r w:rsidRPr="00CB6F3B">
        <w:rPr>
          <w:rFonts w:ascii="Times New Roman" w:hAnsi="Times New Roman" w:cs="Times New Roman"/>
          <w:i/>
          <w:iCs/>
          <w:noProof/>
          <w:sz w:val="24"/>
          <w:szCs w:val="24"/>
        </w:rPr>
        <w:t>Nat Commun</w:t>
      </w:r>
      <w:r w:rsidRPr="00CB6F3B">
        <w:rPr>
          <w:rFonts w:ascii="Times New Roman" w:hAnsi="Times New Roman" w:cs="Times New Roman"/>
          <w:noProof/>
          <w:sz w:val="24"/>
          <w:szCs w:val="24"/>
        </w:rPr>
        <w:t xml:space="preserve"> 2019; </w:t>
      </w:r>
      <w:r w:rsidRPr="00CB6F3B">
        <w:rPr>
          <w:rFonts w:ascii="Times New Roman" w:hAnsi="Times New Roman" w:cs="Times New Roman"/>
          <w:b/>
          <w:bCs/>
          <w:noProof/>
          <w:sz w:val="24"/>
          <w:szCs w:val="24"/>
        </w:rPr>
        <w:t>10</w:t>
      </w:r>
      <w:r w:rsidRPr="00CB6F3B">
        <w:rPr>
          <w:rFonts w:ascii="Times New Roman" w:hAnsi="Times New Roman" w:cs="Times New Roman"/>
          <w:noProof/>
          <w:sz w:val="24"/>
          <w:szCs w:val="24"/>
        </w:rPr>
        <w:t xml:space="preserve">: 1–9. </w:t>
      </w:r>
    </w:p>
    <w:p w14:paraId="25984C2B"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11. </w:t>
      </w:r>
      <w:r w:rsidRPr="00CB6F3B">
        <w:rPr>
          <w:rFonts w:ascii="Times New Roman" w:hAnsi="Times New Roman" w:cs="Times New Roman"/>
          <w:noProof/>
          <w:sz w:val="24"/>
          <w:szCs w:val="24"/>
        </w:rPr>
        <w:tab/>
        <w:t xml:space="preserve">Tedersoo L, Bahram M, Põlme S, Kõljalg U, Yorou NS, Wijesundera R, et al. Global diversity and geography of soil fungi. </w:t>
      </w:r>
      <w:r w:rsidRPr="00CB6F3B">
        <w:rPr>
          <w:rFonts w:ascii="Times New Roman" w:hAnsi="Times New Roman" w:cs="Times New Roman"/>
          <w:i/>
          <w:iCs/>
          <w:noProof/>
          <w:sz w:val="24"/>
          <w:szCs w:val="24"/>
        </w:rPr>
        <w:t>Science (80- )</w:t>
      </w:r>
      <w:r w:rsidRPr="00CB6F3B">
        <w:rPr>
          <w:rFonts w:ascii="Times New Roman" w:hAnsi="Times New Roman" w:cs="Times New Roman"/>
          <w:noProof/>
          <w:sz w:val="24"/>
          <w:szCs w:val="24"/>
        </w:rPr>
        <w:t xml:space="preserve"> 2014; </w:t>
      </w:r>
      <w:r w:rsidRPr="00CB6F3B">
        <w:rPr>
          <w:rFonts w:ascii="Times New Roman" w:hAnsi="Times New Roman" w:cs="Times New Roman"/>
          <w:b/>
          <w:bCs/>
          <w:noProof/>
          <w:sz w:val="24"/>
          <w:szCs w:val="24"/>
        </w:rPr>
        <w:t>346</w:t>
      </w:r>
      <w:r w:rsidRPr="00CB6F3B">
        <w:rPr>
          <w:rFonts w:ascii="Times New Roman" w:hAnsi="Times New Roman" w:cs="Times New Roman"/>
          <w:noProof/>
          <w:sz w:val="24"/>
          <w:szCs w:val="24"/>
        </w:rPr>
        <w:t xml:space="preserve">: 1256688. </w:t>
      </w:r>
    </w:p>
    <w:p w14:paraId="5EAED70D"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lang w:val="de-DE"/>
        </w:rPr>
      </w:pPr>
      <w:r w:rsidRPr="00CB6F3B">
        <w:rPr>
          <w:rFonts w:ascii="Times New Roman" w:hAnsi="Times New Roman" w:cs="Times New Roman"/>
          <w:noProof/>
          <w:sz w:val="24"/>
          <w:szCs w:val="24"/>
        </w:rPr>
        <w:t xml:space="preserve">12. </w:t>
      </w:r>
      <w:r w:rsidRPr="00CB6F3B">
        <w:rPr>
          <w:rFonts w:ascii="Times New Roman" w:hAnsi="Times New Roman" w:cs="Times New Roman"/>
          <w:noProof/>
          <w:sz w:val="24"/>
          <w:szCs w:val="24"/>
        </w:rPr>
        <w:tab/>
        <w:t xml:space="preserve">Oliverio AM, Geisen S, Delgado-Baquerizo M, Maestre FT, Turner BL, Fierer N. The global-scale distributions of soil protists and their contributions to belowground systems. </w:t>
      </w:r>
      <w:r w:rsidRPr="00CB6F3B">
        <w:rPr>
          <w:rFonts w:ascii="Times New Roman" w:hAnsi="Times New Roman" w:cs="Times New Roman"/>
          <w:i/>
          <w:iCs/>
          <w:noProof/>
          <w:sz w:val="24"/>
          <w:szCs w:val="24"/>
          <w:lang w:val="de-DE"/>
        </w:rPr>
        <w:t>Sci Adv</w:t>
      </w:r>
      <w:r w:rsidRPr="00CB6F3B">
        <w:rPr>
          <w:rFonts w:ascii="Times New Roman" w:hAnsi="Times New Roman" w:cs="Times New Roman"/>
          <w:noProof/>
          <w:sz w:val="24"/>
          <w:szCs w:val="24"/>
          <w:lang w:val="de-DE"/>
        </w:rPr>
        <w:t xml:space="preserve"> 2020; </w:t>
      </w:r>
      <w:r w:rsidRPr="00CB6F3B">
        <w:rPr>
          <w:rFonts w:ascii="Times New Roman" w:hAnsi="Times New Roman" w:cs="Times New Roman"/>
          <w:b/>
          <w:bCs/>
          <w:noProof/>
          <w:sz w:val="24"/>
          <w:szCs w:val="24"/>
          <w:lang w:val="de-DE"/>
        </w:rPr>
        <w:t>6</w:t>
      </w:r>
      <w:r w:rsidRPr="00CB6F3B">
        <w:rPr>
          <w:rFonts w:ascii="Times New Roman" w:hAnsi="Times New Roman" w:cs="Times New Roman"/>
          <w:noProof/>
          <w:sz w:val="24"/>
          <w:szCs w:val="24"/>
          <w:lang w:val="de-DE"/>
        </w:rPr>
        <w:t xml:space="preserve">: 1–11. </w:t>
      </w:r>
    </w:p>
    <w:p w14:paraId="747CE7DC"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lang w:val="de-DE"/>
        </w:rPr>
        <w:t xml:space="preserve">13. </w:t>
      </w:r>
      <w:r w:rsidRPr="00CB6F3B">
        <w:rPr>
          <w:rFonts w:ascii="Times New Roman" w:hAnsi="Times New Roman" w:cs="Times New Roman"/>
          <w:noProof/>
          <w:sz w:val="24"/>
          <w:szCs w:val="24"/>
          <w:lang w:val="de-DE"/>
        </w:rPr>
        <w:tab/>
        <w:t xml:space="preserve">Wu T, Ayres E, Bardgett RD, Wall DH, Garey JR. </w:t>
      </w:r>
      <w:r w:rsidRPr="00CB6F3B">
        <w:rPr>
          <w:rFonts w:ascii="Times New Roman" w:hAnsi="Times New Roman" w:cs="Times New Roman"/>
          <w:noProof/>
          <w:sz w:val="24"/>
          <w:szCs w:val="24"/>
        </w:rPr>
        <w:t xml:space="preserve">Molecular study of worldwide distribution and diversity of soil animals. </w:t>
      </w:r>
      <w:r w:rsidRPr="00CB6F3B">
        <w:rPr>
          <w:rFonts w:ascii="Times New Roman" w:hAnsi="Times New Roman" w:cs="Times New Roman"/>
          <w:i/>
          <w:iCs/>
          <w:noProof/>
          <w:sz w:val="24"/>
          <w:szCs w:val="24"/>
        </w:rPr>
        <w:t>Proc Natl Acad Sci U S A</w:t>
      </w:r>
      <w:r w:rsidRPr="00CB6F3B">
        <w:rPr>
          <w:rFonts w:ascii="Times New Roman" w:hAnsi="Times New Roman" w:cs="Times New Roman"/>
          <w:noProof/>
          <w:sz w:val="24"/>
          <w:szCs w:val="24"/>
        </w:rPr>
        <w:t xml:space="preserve"> 2011; </w:t>
      </w:r>
      <w:r w:rsidRPr="00CB6F3B">
        <w:rPr>
          <w:rFonts w:ascii="Times New Roman" w:hAnsi="Times New Roman" w:cs="Times New Roman"/>
          <w:b/>
          <w:bCs/>
          <w:noProof/>
          <w:sz w:val="24"/>
          <w:szCs w:val="24"/>
        </w:rPr>
        <w:t>108</w:t>
      </w:r>
      <w:r w:rsidRPr="00CB6F3B">
        <w:rPr>
          <w:rFonts w:ascii="Times New Roman" w:hAnsi="Times New Roman" w:cs="Times New Roman"/>
          <w:noProof/>
          <w:sz w:val="24"/>
          <w:szCs w:val="24"/>
        </w:rPr>
        <w:t xml:space="preserve">: 17720–17725. </w:t>
      </w:r>
    </w:p>
    <w:p w14:paraId="76D7D077"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14. </w:t>
      </w:r>
      <w:r w:rsidRPr="00CB6F3B">
        <w:rPr>
          <w:rFonts w:ascii="Times New Roman" w:hAnsi="Times New Roman" w:cs="Times New Roman"/>
          <w:noProof/>
          <w:sz w:val="24"/>
          <w:szCs w:val="24"/>
        </w:rPr>
        <w:tab/>
        <w:t xml:space="preserve">Beng KC, Corlett RT, Tomlinson KW. Seasonal changes in the diversity and composition of the litter fauna in native forests and rubber plantations. </w:t>
      </w:r>
      <w:r w:rsidRPr="00CB6F3B">
        <w:rPr>
          <w:rFonts w:ascii="Times New Roman" w:hAnsi="Times New Roman" w:cs="Times New Roman"/>
          <w:i/>
          <w:iCs/>
          <w:noProof/>
          <w:sz w:val="24"/>
          <w:szCs w:val="24"/>
        </w:rPr>
        <w:t>Sci Rep</w:t>
      </w:r>
      <w:r w:rsidRPr="00CB6F3B">
        <w:rPr>
          <w:rFonts w:ascii="Times New Roman" w:hAnsi="Times New Roman" w:cs="Times New Roman"/>
          <w:noProof/>
          <w:sz w:val="24"/>
          <w:szCs w:val="24"/>
        </w:rPr>
        <w:t xml:space="preserve"> 2018; </w:t>
      </w:r>
      <w:r w:rsidRPr="00CB6F3B">
        <w:rPr>
          <w:rFonts w:ascii="Times New Roman" w:hAnsi="Times New Roman" w:cs="Times New Roman"/>
          <w:b/>
          <w:bCs/>
          <w:noProof/>
          <w:sz w:val="24"/>
          <w:szCs w:val="24"/>
        </w:rPr>
        <w:t>8</w:t>
      </w:r>
      <w:r w:rsidRPr="00CB6F3B">
        <w:rPr>
          <w:rFonts w:ascii="Times New Roman" w:hAnsi="Times New Roman" w:cs="Times New Roman"/>
          <w:noProof/>
          <w:sz w:val="24"/>
          <w:szCs w:val="24"/>
        </w:rPr>
        <w:t xml:space="preserve">: 1–13. </w:t>
      </w:r>
    </w:p>
    <w:p w14:paraId="506554A6"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15. </w:t>
      </w:r>
      <w:r w:rsidRPr="00CB6F3B">
        <w:rPr>
          <w:rFonts w:ascii="Times New Roman" w:hAnsi="Times New Roman" w:cs="Times New Roman"/>
          <w:noProof/>
          <w:sz w:val="24"/>
          <w:szCs w:val="24"/>
        </w:rPr>
        <w:tab/>
        <w:t xml:space="preserve">Robeson MS, King AJ, Freeman KR, Birky CW, Martin AP, Schmidt SK. Soil rotifer communities are extremely diverse globally but spatially autocorrelated locally. </w:t>
      </w:r>
      <w:r w:rsidRPr="00CB6F3B">
        <w:rPr>
          <w:rFonts w:ascii="Times New Roman" w:hAnsi="Times New Roman" w:cs="Times New Roman"/>
          <w:i/>
          <w:iCs/>
          <w:noProof/>
          <w:sz w:val="24"/>
          <w:szCs w:val="24"/>
        </w:rPr>
        <w:t>Proc Natl Acad Sci</w:t>
      </w:r>
      <w:r w:rsidRPr="00CB6F3B">
        <w:rPr>
          <w:rFonts w:ascii="Times New Roman" w:hAnsi="Times New Roman" w:cs="Times New Roman"/>
          <w:noProof/>
          <w:sz w:val="24"/>
          <w:szCs w:val="24"/>
        </w:rPr>
        <w:t xml:space="preserve"> 2011; </w:t>
      </w:r>
      <w:r w:rsidRPr="00CB6F3B">
        <w:rPr>
          <w:rFonts w:ascii="Times New Roman" w:hAnsi="Times New Roman" w:cs="Times New Roman"/>
          <w:b/>
          <w:bCs/>
          <w:noProof/>
          <w:sz w:val="24"/>
          <w:szCs w:val="24"/>
        </w:rPr>
        <w:t>108</w:t>
      </w:r>
      <w:r w:rsidRPr="00CB6F3B">
        <w:rPr>
          <w:rFonts w:ascii="Times New Roman" w:hAnsi="Times New Roman" w:cs="Times New Roman"/>
          <w:noProof/>
          <w:sz w:val="24"/>
          <w:szCs w:val="24"/>
        </w:rPr>
        <w:t xml:space="preserve">: 4406–4410. </w:t>
      </w:r>
    </w:p>
    <w:p w14:paraId="5A6D420A"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16. </w:t>
      </w:r>
      <w:r w:rsidRPr="00CB6F3B">
        <w:rPr>
          <w:rFonts w:ascii="Times New Roman" w:hAnsi="Times New Roman" w:cs="Times New Roman"/>
          <w:noProof/>
          <w:sz w:val="24"/>
          <w:szCs w:val="24"/>
        </w:rPr>
        <w:tab/>
        <w:t xml:space="preserve">Orgiazzi A, Bonnet M, Panagos P, Arjen G, Groot D, Lemanceau P. Soil biodiversity and DNA barcodes : opportunities and challenges. </w:t>
      </w:r>
      <w:r w:rsidRPr="00CB6F3B">
        <w:rPr>
          <w:rFonts w:ascii="Times New Roman" w:hAnsi="Times New Roman" w:cs="Times New Roman"/>
          <w:i/>
          <w:iCs/>
          <w:noProof/>
          <w:sz w:val="24"/>
          <w:szCs w:val="24"/>
        </w:rPr>
        <w:t>Soil Biol Biochem</w:t>
      </w:r>
      <w:r w:rsidRPr="00CB6F3B">
        <w:rPr>
          <w:rFonts w:ascii="Times New Roman" w:hAnsi="Times New Roman" w:cs="Times New Roman"/>
          <w:noProof/>
          <w:sz w:val="24"/>
          <w:szCs w:val="24"/>
        </w:rPr>
        <w:t xml:space="preserve"> 2015; </w:t>
      </w:r>
      <w:r w:rsidRPr="00CB6F3B">
        <w:rPr>
          <w:rFonts w:ascii="Times New Roman" w:hAnsi="Times New Roman" w:cs="Times New Roman"/>
          <w:b/>
          <w:bCs/>
          <w:noProof/>
          <w:sz w:val="24"/>
          <w:szCs w:val="24"/>
        </w:rPr>
        <w:t>80</w:t>
      </w:r>
      <w:r w:rsidRPr="00CB6F3B">
        <w:rPr>
          <w:rFonts w:ascii="Times New Roman" w:hAnsi="Times New Roman" w:cs="Times New Roman"/>
          <w:noProof/>
          <w:sz w:val="24"/>
          <w:szCs w:val="24"/>
        </w:rPr>
        <w:t xml:space="preserve">: 244–250. </w:t>
      </w:r>
    </w:p>
    <w:p w14:paraId="2C8B5C64"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17. </w:t>
      </w:r>
      <w:r w:rsidRPr="00CB6F3B">
        <w:rPr>
          <w:rFonts w:ascii="Times New Roman" w:hAnsi="Times New Roman" w:cs="Times New Roman"/>
          <w:noProof/>
          <w:sz w:val="24"/>
          <w:szCs w:val="24"/>
        </w:rPr>
        <w:tab/>
        <w:t xml:space="preserve">Bastida F, Eldridge DJ, Abades S, Alfaro FD, Gallardo A, Carlos LG, et al. Climatic vulnerabilities and ecological preferences of soil invertebrates across biomes. 2019; 1–10. </w:t>
      </w:r>
    </w:p>
    <w:p w14:paraId="79642B3C"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18. </w:t>
      </w:r>
      <w:r w:rsidRPr="00CB6F3B">
        <w:rPr>
          <w:rFonts w:ascii="Times New Roman" w:hAnsi="Times New Roman" w:cs="Times New Roman"/>
          <w:noProof/>
          <w:sz w:val="24"/>
          <w:szCs w:val="24"/>
        </w:rPr>
        <w:tab/>
        <w:t xml:space="preserve">Ramirez KS, Leff JW, Barberan A, Bates, Scott Thomas, Betley J, Crowther TW, et al. Biogeographic patterns in below-ground diversity in New York City ’ s Central Park are similar to those observed globally. 2014. </w:t>
      </w:r>
    </w:p>
    <w:p w14:paraId="12DBA4DF"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19. </w:t>
      </w:r>
      <w:r w:rsidRPr="00CB6F3B">
        <w:rPr>
          <w:rFonts w:ascii="Times New Roman" w:hAnsi="Times New Roman" w:cs="Times New Roman"/>
          <w:noProof/>
          <w:sz w:val="24"/>
          <w:szCs w:val="24"/>
        </w:rPr>
        <w:tab/>
        <w:t xml:space="preserve">Delgado-Baquerizo M, Reich PB, Trivedi C, Eldridge DJ, Abades S, Alfaro FD, et al. Multiple elements of soil biodiversity drive ecosystem functions across biomes. </w:t>
      </w:r>
      <w:r w:rsidRPr="00CB6F3B">
        <w:rPr>
          <w:rFonts w:ascii="Times New Roman" w:hAnsi="Times New Roman" w:cs="Times New Roman"/>
          <w:i/>
          <w:iCs/>
          <w:noProof/>
          <w:sz w:val="24"/>
          <w:szCs w:val="24"/>
        </w:rPr>
        <w:t>Nat Ecol Evol</w:t>
      </w:r>
      <w:r w:rsidRPr="00CB6F3B">
        <w:rPr>
          <w:rFonts w:ascii="Times New Roman" w:hAnsi="Times New Roman" w:cs="Times New Roman"/>
          <w:noProof/>
          <w:sz w:val="24"/>
          <w:szCs w:val="24"/>
        </w:rPr>
        <w:t xml:space="preserve"> 2020; </w:t>
      </w:r>
      <w:r w:rsidRPr="00CB6F3B">
        <w:rPr>
          <w:rFonts w:ascii="Times New Roman" w:hAnsi="Times New Roman" w:cs="Times New Roman"/>
          <w:b/>
          <w:bCs/>
          <w:noProof/>
          <w:sz w:val="24"/>
          <w:szCs w:val="24"/>
        </w:rPr>
        <w:t>4</w:t>
      </w:r>
      <w:r w:rsidRPr="00CB6F3B">
        <w:rPr>
          <w:rFonts w:ascii="Times New Roman" w:hAnsi="Times New Roman" w:cs="Times New Roman"/>
          <w:noProof/>
          <w:sz w:val="24"/>
          <w:szCs w:val="24"/>
        </w:rPr>
        <w:t xml:space="preserve">. </w:t>
      </w:r>
    </w:p>
    <w:p w14:paraId="0F50AD19"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20. </w:t>
      </w:r>
      <w:r w:rsidRPr="00CB6F3B">
        <w:rPr>
          <w:rFonts w:ascii="Times New Roman" w:hAnsi="Times New Roman" w:cs="Times New Roman"/>
          <w:noProof/>
          <w:sz w:val="24"/>
          <w:szCs w:val="24"/>
        </w:rPr>
        <w:tab/>
        <w:t xml:space="preserve">Bent SJ, Forney LJ. The tragedy of the uncommon: understanding limitations in the analysis of microbial diversity. </w:t>
      </w:r>
      <w:r w:rsidRPr="00CB6F3B">
        <w:rPr>
          <w:rFonts w:ascii="Times New Roman" w:hAnsi="Times New Roman" w:cs="Times New Roman"/>
          <w:i/>
          <w:iCs/>
          <w:noProof/>
          <w:sz w:val="24"/>
          <w:szCs w:val="24"/>
        </w:rPr>
        <w:t>ISME J</w:t>
      </w:r>
      <w:r w:rsidRPr="00CB6F3B">
        <w:rPr>
          <w:rFonts w:ascii="Times New Roman" w:hAnsi="Times New Roman" w:cs="Times New Roman"/>
          <w:noProof/>
          <w:sz w:val="24"/>
          <w:szCs w:val="24"/>
        </w:rPr>
        <w:t xml:space="preserve"> 2008; </w:t>
      </w:r>
      <w:r w:rsidRPr="00CB6F3B">
        <w:rPr>
          <w:rFonts w:ascii="Times New Roman" w:hAnsi="Times New Roman" w:cs="Times New Roman"/>
          <w:b/>
          <w:bCs/>
          <w:noProof/>
          <w:sz w:val="24"/>
          <w:szCs w:val="24"/>
        </w:rPr>
        <w:t>2</w:t>
      </w:r>
      <w:r w:rsidRPr="00CB6F3B">
        <w:rPr>
          <w:rFonts w:ascii="Times New Roman" w:hAnsi="Times New Roman" w:cs="Times New Roman"/>
          <w:noProof/>
          <w:sz w:val="24"/>
          <w:szCs w:val="24"/>
        </w:rPr>
        <w:t xml:space="preserve">: 689–695. </w:t>
      </w:r>
    </w:p>
    <w:p w14:paraId="250D4065"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21. </w:t>
      </w:r>
      <w:r w:rsidRPr="00CB6F3B">
        <w:rPr>
          <w:rFonts w:ascii="Times New Roman" w:hAnsi="Times New Roman" w:cs="Times New Roman"/>
          <w:noProof/>
          <w:sz w:val="24"/>
          <w:szCs w:val="24"/>
        </w:rPr>
        <w:tab/>
        <w:t xml:space="preserve">Elbrecht V, Leese F. Can DNA-based ecosystem assessments quantify species abundance ? Testing primer bias and biomass - sequence relationships with an innovative metabarcoding protocol. </w:t>
      </w:r>
      <w:r w:rsidRPr="00CB6F3B">
        <w:rPr>
          <w:rFonts w:ascii="Times New Roman" w:hAnsi="Times New Roman" w:cs="Times New Roman"/>
          <w:i/>
          <w:iCs/>
          <w:noProof/>
          <w:sz w:val="24"/>
          <w:szCs w:val="24"/>
        </w:rPr>
        <w:t>PeerJ</w:t>
      </w:r>
      <w:r w:rsidRPr="00CB6F3B">
        <w:rPr>
          <w:rFonts w:ascii="Times New Roman" w:hAnsi="Times New Roman" w:cs="Times New Roman"/>
          <w:noProof/>
          <w:sz w:val="24"/>
          <w:szCs w:val="24"/>
        </w:rPr>
        <w:t xml:space="preserve"> 2015. </w:t>
      </w:r>
    </w:p>
    <w:p w14:paraId="086C31E5"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22. </w:t>
      </w:r>
      <w:r w:rsidRPr="00CB6F3B">
        <w:rPr>
          <w:rFonts w:ascii="Times New Roman" w:hAnsi="Times New Roman" w:cs="Times New Roman"/>
          <w:noProof/>
          <w:sz w:val="24"/>
          <w:szCs w:val="24"/>
        </w:rPr>
        <w:tab/>
        <w:t xml:space="preserve">Kirchman DL. Processes in microbial ecology. 2018. Oxford University Press. </w:t>
      </w:r>
    </w:p>
    <w:p w14:paraId="39C2D171"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lastRenderedPageBreak/>
        <w:t xml:space="preserve">23. </w:t>
      </w:r>
      <w:r w:rsidRPr="00CB6F3B">
        <w:rPr>
          <w:rFonts w:ascii="Times New Roman" w:hAnsi="Times New Roman" w:cs="Times New Roman"/>
          <w:noProof/>
          <w:sz w:val="24"/>
          <w:szCs w:val="24"/>
        </w:rPr>
        <w:tab/>
        <w:t xml:space="preserve">Louca S, Doebeli M, Parfrey LW. Correcting for 16S rRNA gene copy numbers in microbiome surveys remains an unsolved problem. </w:t>
      </w:r>
      <w:r w:rsidRPr="00CB6F3B">
        <w:rPr>
          <w:rFonts w:ascii="Times New Roman" w:hAnsi="Times New Roman" w:cs="Times New Roman"/>
          <w:i/>
          <w:iCs/>
          <w:noProof/>
          <w:sz w:val="24"/>
          <w:szCs w:val="24"/>
        </w:rPr>
        <w:t>Microbiome</w:t>
      </w:r>
      <w:r w:rsidRPr="00CB6F3B">
        <w:rPr>
          <w:rFonts w:ascii="Times New Roman" w:hAnsi="Times New Roman" w:cs="Times New Roman"/>
          <w:noProof/>
          <w:sz w:val="24"/>
          <w:szCs w:val="24"/>
        </w:rPr>
        <w:t xml:space="preserve"> 2018; </w:t>
      </w:r>
      <w:r w:rsidRPr="00CB6F3B">
        <w:rPr>
          <w:rFonts w:ascii="Times New Roman" w:hAnsi="Times New Roman" w:cs="Times New Roman"/>
          <w:b/>
          <w:bCs/>
          <w:noProof/>
          <w:sz w:val="24"/>
          <w:szCs w:val="24"/>
        </w:rPr>
        <w:t>6</w:t>
      </w:r>
      <w:r w:rsidRPr="00CB6F3B">
        <w:rPr>
          <w:rFonts w:ascii="Times New Roman" w:hAnsi="Times New Roman" w:cs="Times New Roman"/>
          <w:noProof/>
          <w:sz w:val="24"/>
          <w:szCs w:val="24"/>
        </w:rPr>
        <w:t xml:space="preserve">: 41. </w:t>
      </w:r>
    </w:p>
    <w:p w14:paraId="01E9BF2F"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24. </w:t>
      </w:r>
      <w:r w:rsidRPr="00CB6F3B">
        <w:rPr>
          <w:rFonts w:ascii="Times New Roman" w:hAnsi="Times New Roman" w:cs="Times New Roman"/>
          <w:noProof/>
          <w:sz w:val="24"/>
          <w:szCs w:val="24"/>
        </w:rPr>
        <w:tab/>
        <w:t xml:space="preserve">Geisen S, Briones MJI, Gan H, Behan-Pelletier VM, Friman VP, de Groot GA, et al. A methodological framework to embrace soil biodiversity. </w:t>
      </w:r>
      <w:r w:rsidRPr="00CB6F3B">
        <w:rPr>
          <w:rFonts w:ascii="Times New Roman" w:hAnsi="Times New Roman" w:cs="Times New Roman"/>
          <w:i/>
          <w:iCs/>
          <w:noProof/>
          <w:sz w:val="24"/>
          <w:szCs w:val="24"/>
        </w:rPr>
        <w:t>Soil Biol Biochem</w:t>
      </w:r>
      <w:r w:rsidRPr="00CB6F3B">
        <w:rPr>
          <w:rFonts w:ascii="Times New Roman" w:hAnsi="Times New Roman" w:cs="Times New Roman"/>
          <w:noProof/>
          <w:sz w:val="24"/>
          <w:szCs w:val="24"/>
        </w:rPr>
        <w:t xml:space="preserve"> . 2019. Elsevier Ltd. , </w:t>
      </w:r>
      <w:r w:rsidRPr="00CB6F3B">
        <w:rPr>
          <w:rFonts w:ascii="Times New Roman" w:hAnsi="Times New Roman" w:cs="Times New Roman"/>
          <w:b/>
          <w:bCs/>
          <w:noProof/>
          <w:sz w:val="24"/>
          <w:szCs w:val="24"/>
        </w:rPr>
        <w:t>136</w:t>
      </w:r>
    </w:p>
    <w:p w14:paraId="7F582D76"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25. </w:t>
      </w:r>
      <w:r w:rsidRPr="00CB6F3B">
        <w:rPr>
          <w:rFonts w:ascii="Times New Roman" w:hAnsi="Times New Roman" w:cs="Times New Roman"/>
          <w:noProof/>
          <w:sz w:val="24"/>
          <w:szCs w:val="24"/>
        </w:rPr>
        <w:tab/>
        <w:t xml:space="preserve">Darby BJ, Todd TC, Herman MA. High‐throughput amplicon sequencing of r RNA genes requires a copy number correction to accurately reflect the effects of management practices on soil nematode community structure. </w:t>
      </w:r>
      <w:r w:rsidRPr="00CB6F3B">
        <w:rPr>
          <w:rFonts w:ascii="Times New Roman" w:hAnsi="Times New Roman" w:cs="Times New Roman"/>
          <w:i/>
          <w:iCs/>
          <w:noProof/>
          <w:sz w:val="24"/>
          <w:szCs w:val="24"/>
        </w:rPr>
        <w:t>Mol Ecol</w:t>
      </w:r>
      <w:r w:rsidRPr="00CB6F3B">
        <w:rPr>
          <w:rFonts w:ascii="Times New Roman" w:hAnsi="Times New Roman" w:cs="Times New Roman"/>
          <w:noProof/>
          <w:sz w:val="24"/>
          <w:szCs w:val="24"/>
        </w:rPr>
        <w:t xml:space="preserve"> 2013; </w:t>
      </w:r>
      <w:r w:rsidRPr="00CB6F3B">
        <w:rPr>
          <w:rFonts w:ascii="Times New Roman" w:hAnsi="Times New Roman" w:cs="Times New Roman"/>
          <w:b/>
          <w:bCs/>
          <w:noProof/>
          <w:sz w:val="24"/>
          <w:szCs w:val="24"/>
        </w:rPr>
        <w:t>22</w:t>
      </w:r>
      <w:r w:rsidRPr="00CB6F3B">
        <w:rPr>
          <w:rFonts w:ascii="Times New Roman" w:hAnsi="Times New Roman" w:cs="Times New Roman"/>
          <w:noProof/>
          <w:sz w:val="24"/>
          <w:szCs w:val="24"/>
        </w:rPr>
        <w:t xml:space="preserve">: 5456–5471. </w:t>
      </w:r>
    </w:p>
    <w:p w14:paraId="74D4FB55"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26. </w:t>
      </w:r>
      <w:r w:rsidRPr="00CB6F3B">
        <w:rPr>
          <w:rFonts w:ascii="Times New Roman" w:hAnsi="Times New Roman" w:cs="Times New Roman"/>
          <w:noProof/>
          <w:sz w:val="24"/>
          <w:szCs w:val="24"/>
        </w:rPr>
        <w:tab/>
        <w:t xml:space="preserve">Gong W, Marchetti A. Estimation of 18S Gene Copy Number in Marine Eukaryotic Plankton Using a Next-Generation Sequencing Approach. </w:t>
      </w:r>
      <w:r w:rsidRPr="00CB6F3B">
        <w:rPr>
          <w:rFonts w:ascii="Times New Roman" w:hAnsi="Times New Roman" w:cs="Times New Roman"/>
          <w:i/>
          <w:iCs/>
          <w:noProof/>
          <w:sz w:val="24"/>
          <w:szCs w:val="24"/>
        </w:rPr>
        <w:t>Front Mar Sci</w:t>
      </w:r>
      <w:r w:rsidRPr="00CB6F3B">
        <w:rPr>
          <w:rFonts w:ascii="Times New Roman" w:hAnsi="Times New Roman" w:cs="Times New Roman"/>
          <w:noProof/>
          <w:sz w:val="24"/>
          <w:szCs w:val="24"/>
        </w:rPr>
        <w:t xml:space="preserve"> 2019; </w:t>
      </w:r>
      <w:r w:rsidRPr="00CB6F3B">
        <w:rPr>
          <w:rFonts w:ascii="Times New Roman" w:hAnsi="Times New Roman" w:cs="Times New Roman"/>
          <w:b/>
          <w:bCs/>
          <w:noProof/>
          <w:sz w:val="24"/>
          <w:szCs w:val="24"/>
        </w:rPr>
        <w:t>6</w:t>
      </w:r>
      <w:r w:rsidRPr="00CB6F3B">
        <w:rPr>
          <w:rFonts w:ascii="Times New Roman" w:hAnsi="Times New Roman" w:cs="Times New Roman"/>
          <w:noProof/>
          <w:sz w:val="24"/>
          <w:szCs w:val="24"/>
        </w:rPr>
        <w:t xml:space="preserve">. </w:t>
      </w:r>
    </w:p>
    <w:p w14:paraId="29BAD933"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27. </w:t>
      </w:r>
      <w:r w:rsidRPr="00CB6F3B">
        <w:rPr>
          <w:rFonts w:ascii="Times New Roman" w:hAnsi="Times New Roman" w:cs="Times New Roman"/>
          <w:noProof/>
          <w:sz w:val="24"/>
          <w:szCs w:val="24"/>
        </w:rPr>
        <w:tab/>
        <w:t xml:space="preserve">Thornhill DJ, Santos SR. Measuring rDNA diversity in eukaryotic microbial systems: how intragenomic variation, pseudogenes, and PCR artifacts confound biodiversity estimates. </w:t>
      </w:r>
      <w:r w:rsidRPr="00CB6F3B">
        <w:rPr>
          <w:rFonts w:ascii="Times New Roman" w:hAnsi="Times New Roman" w:cs="Times New Roman"/>
          <w:i/>
          <w:iCs/>
          <w:noProof/>
          <w:sz w:val="24"/>
          <w:szCs w:val="24"/>
        </w:rPr>
        <w:t>Mol Ecol</w:t>
      </w:r>
      <w:r w:rsidRPr="00CB6F3B">
        <w:rPr>
          <w:rFonts w:ascii="Times New Roman" w:hAnsi="Times New Roman" w:cs="Times New Roman"/>
          <w:noProof/>
          <w:sz w:val="24"/>
          <w:szCs w:val="24"/>
        </w:rPr>
        <w:t xml:space="preserve"> 2007; </w:t>
      </w:r>
      <w:r w:rsidRPr="00CB6F3B">
        <w:rPr>
          <w:rFonts w:ascii="Times New Roman" w:hAnsi="Times New Roman" w:cs="Times New Roman"/>
          <w:b/>
          <w:bCs/>
          <w:noProof/>
          <w:sz w:val="24"/>
          <w:szCs w:val="24"/>
        </w:rPr>
        <w:t>16</w:t>
      </w:r>
      <w:r w:rsidRPr="00CB6F3B">
        <w:rPr>
          <w:rFonts w:ascii="Times New Roman" w:hAnsi="Times New Roman" w:cs="Times New Roman"/>
          <w:noProof/>
          <w:sz w:val="24"/>
          <w:szCs w:val="24"/>
        </w:rPr>
        <w:t xml:space="preserve">: 5326–5340. </w:t>
      </w:r>
    </w:p>
    <w:p w14:paraId="002B53F8"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28. </w:t>
      </w:r>
      <w:r w:rsidRPr="00CB6F3B">
        <w:rPr>
          <w:rFonts w:ascii="Times New Roman" w:hAnsi="Times New Roman" w:cs="Times New Roman"/>
          <w:noProof/>
          <w:sz w:val="24"/>
          <w:szCs w:val="24"/>
        </w:rPr>
        <w:tab/>
        <w:t xml:space="preserve">Bik HM, Fournier D, Sung W, Bergeron RD, Thomas WK. Intra-Genomic Variation in the Ribosomal Repeats of Nematodes. </w:t>
      </w:r>
      <w:r w:rsidRPr="00CB6F3B">
        <w:rPr>
          <w:rFonts w:ascii="Times New Roman" w:hAnsi="Times New Roman" w:cs="Times New Roman"/>
          <w:i/>
          <w:iCs/>
          <w:noProof/>
          <w:sz w:val="24"/>
          <w:szCs w:val="24"/>
        </w:rPr>
        <w:t>PLoS One</w:t>
      </w:r>
      <w:r w:rsidRPr="00CB6F3B">
        <w:rPr>
          <w:rFonts w:ascii="Times New Roman" w:hAnsi="Times New Roman" w:cs="Times New Roman"/>
          <w:noProof/>
          <w:sz w:val="24"/>
          <w:szCs w:val="24"/>
        </w:rPr>
        <w:t xml:space="preserve"> 2013; </w:t>
      </w:r>
      <w:r w:rsidRPr="00CB6F3B">
        <w:rPr>
          <w:rFonts w:ascii="Times New Roman" w:hAnsi="Times New Roman" w:cs="Times New Roman"/>
          <w:b/>
          <w:bCs/>
          <w:noProof/>
          <w:sz w:val="24"/>
          <w:szCs w:val="24"/>
        </w:rPr>
        <w:t>8</w:t>
      </w:r>
      <w:r w:rsidRPr="00CB6F3B">
        <w:rPr>
          <w:rFonts w:ascii="Times New Roman" w:hAnsi="Times New Roman" w:cs="Times New Roman"/>
          <w:noProof/>
          <w:sz w:val="24"/>
          <w:szCs w:val="24"/>
        </w:rPr>
        <w:t xml:space="preserve">: 1–8. </w:t>
      </w:r>
    </w:p>
    <w:p w14:paraId="19410DCA"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29. </w:t>
      </w:r>
      <w:r w:rsidRPr="00CB6F3B">
        <w:rPr>
          <w:rFonts w:ascii="Times New Roman" w:hAnsi="Times New Roman" w:cs="Times New Roman"/>
          <w:noProof/>
          <w:sz w:val="24"/>
          <w:szCs w:val="24"/>
        </w:rPr>
        <w:tab/>
        <w:t xml:space="preserve">Wu Z-W, Wang Q-M, Liu X-Z, Bai F-Y. Intragenomic polymorphism and intergenomic recombination in the ribosomal RNA genes of strains belonging to a yeast species Pichia membranifaciens. </w:t>
      </w:r>
      <w:r w:rsidRPr="00CB6F3B">
        <w:rPr>
          <w:rFonts w:ascii="Times New Roman" w:hAnsi="Times New Roman" w:cs="Times New Roman"/>
          <w:i/>
          <w:iCs/>
          <w:noProof/>
          <w:sz w:val="24"/>
          <w:szCs w:val="24"/>
        </w:rPr>
        <w:t>Mycology</w:t>
      </w:r>
      <w:r w:rsidRPr="00CB6F3B">
        <w:rPr>
          <w:rFonts w:ascii="Times New Roman" w:hAnsi="Times New Roman" w:cs="Times New Roman"/>
          <w:noProof/>
          <w:sz w:val="24"/>
          <w:szCs w:val="24"/>
        </w:rPr>
        <w:t xml:space="preserve"> 2016; </w:t>
      </w:r>
      <w:r w:rsidRPr="00CB6F3B">
        <w:rPr>
          <w:rFonts w:ascii="Times New Roman" w:hAnsi="Times New Roman" w:cs="Times New Roman"/>
          <w:b/>
          <w:bCs/>
          <w:noProof/>
          <w:sz w:val="24"/>
          <w:szCs w:val="24"/>
        </w:rPr>
        <w:t>7</w:t>
      </w:r>
      <w:r w:rsidRPr="00CB6F3B">
        <w:rPr>
          <w:rFonts w:ascii="Times New Roman" w:hAnsi="Times New Roman" w:cs="Times New Roman"/>
          <w:noProof/>
          <w:sz w:val="24"/>
          <w:szCs w:val="24"/>
        </w:rPr>
        <w:t xml:space="preserve">: 102–111. </w:t>
      </w:r>
    </w:p>
    <w:p w14:paraId="6FBAB6CD"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30. </w:t>
      </w:r>
      <w:r w:rsidRPr="00CB6F3B">
        <w:rPr>
          <w:rFonts w:ascii="Times New Roman" w:hAnsi="Times New Roman" w:cs="Times New Roman"/>
          <w:noProof/>
          <w:sz w:val="24"/>
          <w:szCs w:val="24"/>
        </w:rPr>
        <w:tab/>
        <w:t xml:space="preserve">Leasi F, Sevigny JL, Laflamme EM, Artois T, Curini-Galletti M, de Jesus Navarrete A, et al. Biodiversity estimates and ecological interpretations of meiofaunal communities are biased by the taxonomic approach. </w:t>
      </w:r>
      <w:r w:rsidRPr="00CB6F3B">
        <w:rPr>
          <w:rFonts w:ascii="Times New Roman" w:hAnsi="Times New Roman" w:cs="Times New Roman"/>
          <w:i/>
          <w:iCs/>
          <w:noProof/>
          <w:sz w:val="24"/>
          <w:szCs w:val="24"/>
        </w:rPr>
        <w:t>Commun Biol</w:t>
      </w:r>
      <w:r w:rsidRPr="00CB6F3B">
        <w:rPr>
          <w:rFonts w:ascii="Times New Roman" w:hAnsi="Times New Roman" w:cs="Times New Roman"/>
          <w:noProof/>
          <w:sz w:val="24"/>
          <w:szCs w:val="24"/>
        </w:rPr>
        <w:t xml:space="preserve"> 2018; </w:t>
      </w:r>
      <w:r w:rsidRPr="00CB6F3B">
        <w:rPr>
          <w:rFonts w:ascii="Times New Roman" w:hAnsi="Times New Roman" w:cs="Times New Roman"/>
          <w:b/>
          <w:bCs/>
          <w:noProof/>
          <w:sz w:val="24"/>
          <w:szCs w:val="24"/>
        </w:rPr>
        <w:t>1</w:t>
      </w:r>
      <w:r w:rsidRPr="00CB6F3B">
        <w:rPr>
          <w:rFonts w:ascii="Times New Roman" w:hAnsi="Times New Roman" w:cs="Times New Roman"/>
          <w:noProof/>
          <w:sz w:val="24"/>
          <w:szCs w:val="24"/>
        </w:rPr>
        <w:t xml:space="preserve">: 112. </w:t>
      </w:r>
    </w:p>
    <w:p w14:paraId="6903DC6C"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31. </w:t>
      </w:r>
      <w:r w:rsidRPr="00CB6F3B">
        <w:rPr>
          <w:rFonts w:ascii="Times New Roman" w:hAnsi="Times New Roman" w:cs="Times New Roman"/>
          <w:noProof/>
          <w:sz w:val="24"/>
          <w:szCs w:val="24"/>
        </w:rPr>
        <w:tab/>
        <w:t xml:space="preserve">Tedersoo L, Bahram M, Cajthaml T, Põlme S, Hiiesalu I, Anslan S, et al. Tree diversity and species identity effects on soil fungi, protists and animals are context dependent. </w:t>
      </w:r>
      <w:r w:rsidRPr="00CB6F3B">
        <w:rPr>
          <w:rFonts w:ascii="Times New Roman" w:hAnsi="Times New Roman" w:cs="Times New Roman"/>
          <w:i/>
          <w:iCs/>
          <w:noProof/>
          <w:sz w:val="24"/>
          <w:szCs w:val="24"/>
        </w:rPr>
        <w:t>ISME J</w:t>
      </w:r>
      <w:r w:rsidRPr="00CB6F3B">
        <w:rPr>
          <w:rFonts w:ascii="Times New Roman" w:hAnsi="Times New Roman" w:cs="Times New Roman"/>
          <w:noProof/>
          <w:sz w:val="24"/>
          <w:szCs w:val="24"/>
        </w:rPr>
        <w:t xml:space="preserve"> 2016; </w:t>
      </w:r>
      <w:r w:rsidRPr="00CB6F3B">
        <w:rPr>
          <w:rFonts w:ascii="Times New Roman" w:hAnsi="Times New Roman" w:cs="Times New Roman"/>
          <w:b/>
          <w:bCs/>
          <w:noProof/>
          <w:sz w:val="24"/>
          <w:szCs w:val="24"/>
        </w:rPr>
        <w:t>10</w:t>
      </w:r>
      <w:r w:rsidRPr="00CB6F3B">
        <w:rPr>
          <w:rFonts w:ascii="Times New Roman" w:hAnsi="Times New Roman" w:cs="Times New Roman"/>
          <w:noProof/>
          <w:sz w:val="24"/>
          <w:szCs w:val="24"/>
        </w:rPr>
        <w:t xml:space="preserve">: 346–362. </w:t>
      </w:r>
    </w:p>
    <w:p w14:paraId="542C1AB0"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32. </w:t>
      </w:r>
      <w:r w:rsidRPr="00CB6F3B">
        <w:rPr>
          <w:rFonts w:ascii="Times New Roman" w:hAnsi="Times New Roman" w:cs="Times New Roman"/>
          <w:noProof/>
          <w:sz w:val="24"/>
          <w:szCs w:val="24"/>
        </w:rPr>
        <w:tab/>
        <w:t xml:space="preserve">Dopheide A, Tooman LK, Grosser S, Agabiti B, Rhode B, Xie D, et al. Estimating the biodiversity of terrestrial invertebrates on a forested island using DNA barcodes and metabarcoding data. </w:t>
      </w:r>
      <w:r w:rsidRPr="00CB6F3B">
        <w:rPr>
          <w:rFonts w:ascii="Times New Roman" w:hAnsi="Times New Roman" w:cs="Times New Roman"/>
          <w:i/>
          <w:iCs/>
          <w:noProof/>
          <w:sz w:val="24"/>
          <w:szCs w:val="24"/>
        </w:rPr>
        <w:t>Ecol Appl</w:t>
      </w:r>
      <w:r w:rsidRPr="00CB6F3B">
        <w:rPr>
          <w:rFonts w:ascii="Times New Roman" w:hAnsi="Times New Roman" w:cs="Times New Roman"/>
          <w:noProof/>
          <w:sz w:val="24"/>
          <w:szCs w:val="24"/>
        </w:rPr>
        <w:t xml:space="preserve"> 2019; </w:t>
      </w:r>
      <w:r w:rsidRPr="00CB6F3B">
        <w:rPr>
          <w:rFonts w:ascii="Times New Roman" w:hAnsi="Times New Roman" w:cs="Times New Roman"/>
          <w:b/>
          <w:bCs/>
          <w:noProof/>
          <w:sz w:val="24"/>
          <w:szCs w:val="24"/>
        </w:rPr>
        <w:t>29</w:t>
      </w:r>
      <w:r w:rsidRPr="00CB6F3B">
        <w:rPr>
          <w:rFonts w:ascii="Times New Roman" w:hAnsi="Times New Roman" w:cs="Times New Roman"/>
          <w:noProof/>
          <w:sz w:val="24"/>
          <w:szCs w:val="24"/>
        </w:rPr>
        <w:t xml:space="preserve">: e01877. </w:t>
      </w:r>
    </w:p>
    <w:p w14:paraId="3B08AAA7"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33. </w:t>
      </w:r>
      <w:r w:rsidRPr="00CB6F3B">
        <w:rPr>
          <w:rFonts w:ascii="Times New Roman" w:hAnsi="Times New Roman" w:cs="Times New Roman"/>
          <w:noProof/>
          <w:sz w:val="24"/>
          <w:szCs w:val="24"/>
        </w:rPr>
        <w:tab/>
        <w:t xml:space="preserve">Tang CQ, Leasi F, Obertegger U, Kieneke A, Barraclough TG, Fontaneto D. The widely used small subunit 18S rDNA molecule greatly underestimates true diversity in biodiversity surveys of the meiofauna. </w:t>
      </w:r>
      <w:r w:rsidRPr="00CB6F3B">
        <w:rPr>
          <w:rFonts w:ascii="Times New Roman" w:hAnsi="Times New Roman" w:cs="Times New Roman"/>
          <w:i/>
          <w:iCs/>
          <w:noProof/>
          <w:sz w:val="24"/>
          <w:szCs w:val="24"/>
        </w:rPr>
        <w:t>Proc Natl Acad Sci U S A</w:t>
      </w:r>
      <w:r w:rsidRPr="00CB6F3B">
        <w:rPr>
          <w:rFonts w:ascii="Times New Roman" w:hAnsi="Times New Roman" w:cs="Times New Roman"/>
          <w:noProof/>
          <w:sz w:val="24"/>
          <w:szCs w:val="24"/>
        </w:rPr>
        <w:t xml:space="preserve"> 2012; </w:t>
      </w:r>
      <w:r w:rsidRPr="00CB6F3B">
        <w:rPr>
          <w:rFonts w:ascii="Times New Roman" w:hAnsi="Times New Roman" w:cs="Times New Roman"/>
          <w:b/>
          <w:bCs/>
          <w:noProof/>
          <w:sz w:val="24"/>
          <w:szCs w:val="24"/>
        </w:rPr>
        <w:t>109</w:t>
      </w:r>
      <w:r w:rsidRPr="00CB6F3B">
        <w:rPr>
          <w:rFonts w:ascii="Times New Roman" w:hAnsi="Times New Roman" w:cs="Times New Roman"/>
          <w:noProof/>
          <w:sz w:val="24"/>
          <w:szCs w:val="24"/>
        </w:rPr>
        <w:t xml:space="preserve">: 16208–16212. </w:t>
      </w:r>
    </w:p>
    <w:p w14:paraId="5687A4E7"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34. </w:t>
      </w:r>
      <w:r w:rsidRPr="00CB6F3B">
        <w:rPr>
          <w:rFonts w:ascii="Times New Roman" w:hAnsi="Times New Roman" w:cs="Times New Roman"/>
          <w:noProof/>
          <w:sz w:val="24"/>
          <w:szCs w:val="24"/>
        </w:rPr>
        <w:tab/>
        <w:t xml:space="preserve">Eberle J, Ahrens D, Mayer C, Niehuis O, Misof B. A Plea for Standardized Nuclear Markers in Metazoan DNA Taxonomy. </w:t>
      </w:r>
      <w:r w:rsidRPr="00CB6F3B">
        <w:rPr>
          <w:rFonts w:ascii="Times New Roman" w:hAnsi="Times New Roman" w:cs="Times New Roman"/>
          <w:i/>
          <w:iCs/>
          <w:noProof/>
          <w:sz w:val="24"/>
          <w:szCs w:val="24"/>
        </w:rPr>
        <w:t>Trends Ecol Evol</w:t>
      </w:r>
      <w:r w:rsidRPr="00CB6F3B">
        <w:rPr>
          <w:rFonts w:ascii="Times New Roman" w:hAnsi="Times New Roman" w:cs="Times New Roman"/>
          <w:noProof/>
          <w:sz w:val="24"/>
          <w:szCs w:val="24"/>
        </w:rPr>
        <w:t xml:space="preserve"> 2020; 1–10. </w:t>
      </w:r>
    </w:p>
    <w:p w14:paraId="2CCE22C3"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35. </w:t>
      </w:r>
      <w:r w:rsidRPr="00CB6F3B">
        <w:rPr>
          <w:rFonts w:ascii="Times New Roman" w:hAnsi="Times New Roman" w:cs="Times New Roman"/>
          <w:noProof/>
          <w:sz w:val="24"/>
          <w:szCs w:val="24"/>
        </w:rPr>
        <w:tab/>
        <w:t xml:space="preserve">Shade A, Dunn RR, Blowes SA, Keil P, Bohannan BJMM, Herrmann M, et al. Macroecology to Unite All Life, Large and Small. </w:t>
      </w:r>
      <w:r w:rsidRPr="00CB6F3B">
        <w:rPr>
          <w:rFonts w:ascii="Times New Roman" w:hAnsi="Times New Roman" w:cs="Times New Roman"/>
          <w:i/>
          <w:iCs/>
          <w:noProof/>
          <w:sz w:val="24"/>
          <w:szCs w:val="24"/>
        </w:rPr>
        <w:t>Trends Ecol Evol</w:t>
      </w:r>
      <w:r w:rsidRPr="00CB6F3B">
        <w:rPr>
          <w:rFonts w:ascii="Times New Roman" w:hAnsi="Times New Roman" w:cs="Times New Roman"/>
          <w:noProof/>
          <w:sz w:val="24"/>
          <w:szCs w:val="24"/>
        </w:rPr>
        <w:t xml:space="preserve"> 2018; </w:t>
      </w:r>
      <w:r w:rsidRPr="00CB6F3B">
        <w:rPr>
          <w:rFonts w:ascii="Times New Roman" w:hAnsi="Times New Roman" w:cs="Times New Roman"/>
          <w:b/>
          <w:bCs/>
          <w:noProof/>
          <w:sz w:val="24"/>
          <w:szCs w:val="24"/>
        </w:rPr>
        <w:t>33</w:t>
      </w:r>
      <w:r w:rsidRPr="00CB6F3B">
        <w:rPr>
          <w:rFonts w:ascii="Times New Roman" w:hAnsi="Times New Roman" w:cs="Times New Roman"/>
          <w:noProof/>
          <w:sz w:val="24"/>
          <w:szCs w:val="24"/>
        </w:rPr>
        <w:t xml:space="preserve">: 731–744. </w:t>
      </w:r>
    </w:p>
    <w:p w14:paraId="7B185B71"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36. </w:t>
      </w:r>
      <w:r w:rsidRPr="00CB6F3B">
        <w:rPr>
          <w:rFonts w:ascii="Times New Roman" w:hAnsi="Times New Roman" w:cs="Times New Roman"/>
          <w:noProof/>
          <w:sz w:val="24"/>
          <w:szCs w:val="24"/>
        </w:rPr>
        <w:tab/>
        <w:t xml:space="preserve">Mysara M, Vandamme P, Props R, Kerckhof F-M, Leys N, Boon N, et al. Reconciliation between operational taxonomic units and species boundaries. </w:t>
      </w:r>
      <w:r w:rsidRPr="00CB6F3B">
        <w:rPr>
          <w:rFonts w:ascii="Times New Roman" w:hAnsi="Times New Roman" w:cs="Times New Roman"/>
          <w:i/>
          <w:iCs/>
          <w:noProof/>
          <w:sz w:val="24"/>
          <w:szCs w:val="24"/>
        </w:rPr>
        <w:t>FEMS Microbiol Ecol</w:t>
      </w:r>
      <w:r w:rsidRPr="00CB6F3B">
        <w:rPr>
          <w:rFonts w:ascii="Times New Roman" w:hAnsi="Times New Roman" w:cs="Times New Roman"/>
          <w:noProof/>
          <w:sz w:val="24"/>
          <w:szCs w:val="24"/>
        </w:rPr>
        <w:t xml:space="preserve"> 2017; </w:t>
      </w:r>
      <w:r w:rsidRPr="00CB6F3B">
        <w:rPr>
          <w:rFonts w:ascii="Times New Roman" w:hAnsi="Times New Roman" w:cs="Times New Roman"/>
          <w:b/>
          <w:bCs/>
          <w:noProof/>
          <w:sz w:val="24"/>
          <w:szCs w:val="24"/>
        </w:rPr>
        <w:t>93</w:t>
      </w:r>
      <w:r w:rsidRPr="00CB6F3B">
        <w:rPr>
          <w:rFonts w:ascii="Times New Roman" w:hAnsi="Times New Roman" w:cs="Times New Roman"/>
          <w:noProof/>
          <w:sz w:val="24"/>
          <w:szCs w:val="24"/>
        </w:rPr>
        <w:t xml:space="preserve">. </w:t>
      </w:r>
    </w:p>
    <w:p w14:paraId="7078FEA0"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37. </w:t>
      </w:r>
      <w:r w:rsidRPr="00CB6F3B">
        <w:rPr>
          <w:rFonts w:ascii="Times New Roman" w:hAnsi="Times New Roman" w:cs="Times New Roman"/>
          <w:noProof/>
          <w:sz w:val="24"/>
          <w:szCs w:val="24"/>
        </w:rPr>
        <w:tab/>
        <w:t xml:space="preserve">Dell’Anno A, Carugati L, Corinaldesi C, Riccioni G, Danovaro R. Unveiling the Biodiversity of Deep-Sea Nematodes through Metabarcoding: Are We Ready to </w:t>
      </w:r>
      <w:r w:rsidRPr="00CB6F3B">
        <w:rPr>
          <w:rFonts w:ascii="Times New Roman" w:hAnsi="Times New Roman" w:cs="Times New Roman"/>
          <w:noProof/>
          <w:sz w:val="24"/>
          <w:szCs w:val="24"/>
        </w:rPr>
        <w:lastRenderedPageBreak/>
        <w:t xml:space="preserve">Bypass the Classical Taxonomy? </w:t>
      </w:r>
      <w:r w:rsidRPr="00CB6F3B">
        <w:rPr>
          <w:rFonts w:ascii="Times New Roman" w:hAnsi="Times New Roman" w:cs="Times New Roman"/>
          <w:i/>
          <w:iCs/>
          <w:noProof/>
          <w:sz w:val="24"/>
          <w:szCs w:val="24"/>
        </w:rPr>
        <w:t>PLoS One</w:t>
      </w:r>
      <w:r w:rsidRPr="00CB6F3B">
        <w:rPr>
          <w:rFonts w:ascii="Times New Roman" w:hAnsi="Times New Roman" w:cs="Times New Roman"/>
          <w:noProof/>
          <w:sz w:val="24"/>
          <w:szCs w:val="24"/>
        </w:rPr>
        <w:t xml:space="preserve"> 2015; </w:t>
      </w:r>
      <w:r w:rsidRPr="00CB6F3B">
        <w:rPr>
          <w:rFonts w:ascii="Times New Roman" w:hAnsi="Times New Roman" w:cs="Times New Roman"/>
          <w:b/>
          <w:bCs/>
          <w:noProof/>
          <w:sz w:val="24"/>
          <w:szCs w:val="24"/>
        </w:rPr>
        <w:t>10</w:t>
      </w:r>
      <w:r w:rsidRPr="00CB6F3B">
        <w:rPr>
          <w:rFonts w:ascii="Times New Roman" w:hAnsi="Times New Roman" w:cs="Times New Roman"/>
          <w:noProof/>
          <w:sz w:val="24"/>
          <w:szCs w:val="24"/>
        </w:rPr>
        <w:t xml:space="preserve">: e0144928. </w:t>
      </w:r>
    </w:p>
    <w:p w14:paraId="6CCD34A3"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38. </w:t>
      </w:r>
      <w:r w:rsidRPr="00CB6F3B">
        <w:rPr>
          <w:rFonts w:ascii="Times New Roman" w:hAnsi="Times New Roman" w:cs="Times New Roman"/>
          <w:noProof/>
          <w:sz w:val="24"/>
          <w:szCs w:val="24"/>
        </w:rPr>
        <w:tab/>
        <w:t xml:space="preserve">Edgar RC. Updating the 97% identity threshold for 16S ribosomal RNA OTUs. </w:t>
      </w:r>
      <w:r w:rsidRPr="00CB6F3B">
        <w:rPr>
          <w:rFonts w:ascii="Times New Roman" w:hAnsi="Times New Roman" w:cs="Times New Roman"/>
          <w:i/>
          <w:iCs/>
          <w:noProof/>
          <w:sz w:val="24"/>
          <w:szCs w:val="24"/>
        </w:rPr>
        <w:t>Bioinformatics</w:t>
      </w:r>
      <w:r w:rsidRPr="00CB6F3B">
        <w:rPr>
          <w:rFonts w:ascii="Times New Roman" w:hAnsi="Times New Roman" w:cs="Times New Roman"/>
          <w:noProof/>
          <w:sz w:val="24"/>
          <w:szCs w:val="24"/>
        </w:rPr>
        <w:t xml:space="preserve"> 2018; </w:t>
      </w:r>
      <w:r w:rsidRPr="00CB6F3B">
        <w:rPr>
          <w:rFonts w:ascii="Times New Roman" w:hAnsi="Times New Roman" w:cs="Times New Roman"/>
          <w:b/>
          <w:bCs/>
          <w:noProof/>
          <w:sz w:val="24"/>
          <w:szCs w:val="24"/>
        </w:rPr>
        <w:t>34</w:t>
      </w:r>
      <w:r w:rsidRPr="00CB6F3B">
        <w:rPr>
          <w:rFonts w:ascii="Times New Roman" w:hAnsi="Times New Roman" w:cs="Times New Roman"/>
          <w:noProof/>
          <w:sz w:val="24"/>
          <w:szCs w:val="24"/>
        </w:rPr>
        <w:t xml:space="preserve">: 2371–2375. </w:t>
      </w:r>
    </w:p>
    <w:p w14:paraId="17693C71"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39. </w:t>
      </w:r>
      <w:r w:rsidRPr="00CB6F3B">
        <w:rPr>
          <w:rFonts w:ascii="Times New Roman" w:hAnsi="Times New Roman" w:cs="Times New Roman"/>
          <w:noProof/>
          <w:sz w:val="24"/>
          <w:szCs w:val="24"/>
        </w:rPr>
        <w:tab/>
        <w:t xml:space="preserve">Callahan BJ, McMurdie PJ, Holmes SP. Exact sequence variants should replace operational taxonomic units in marker-gene data analysis. </w:t>
      </w:r>
      <w:r w:rsidRPr="00CB6F3B">
        <w:rPr>
          <w:rFonts w:ascii="Times New Roman" w:hAnsi="Times New Roman" w:cs="Times New Roman"/>
          <w:i/>
          <w:iCs/>
          <w:noProof/>
          <w:sz w:val="24"/>
          <w:szCs w:val="24"/>
        </w:rPr>
        <w:t>ISME J</w:t>
      </w:r>
      <w:r w:rsidRPr="00CB6F3B">
        <w:rPr>
          <w:rFonts w:ascii="Times New Roman" w:hAnsi="Times New Roman" w:cs="Times New Roman"/>
          <w:noProof/>
          <w:sz w:val="24"/>
          <w:szCs w:val="24"/>
        </w:rPr>
        <w:t xml:space="preserve"> 2017; </w:t>
      </w:r>
      <w:r w:rsidRPr="00CB6F3B">
        <w:rPr>
          <w:rFonts w:ascii="Times New Roman" w:hAnsi="Times New Roman" w:cs="Times New Roman"/>
          <w:b/>
          <w:bCs/>
          <w:noProof/>
          <w:sz w:val="24"/>
          <w:szCs w:val="24"/>
        </w:rPr>
        <w:t>11</w:t>
      </w:r>
      <w:r w:rsidRPr="00CB6F3B">
        <w:rPr>
          <w:rFonts w:ascii="Times New Roman" w:hAnsi="Times New Roman" w:cs="Times New Roman"/>
          <w:noProof/>
          <w:sz w:val="24"/>
          <w:szCs w:val="24"/>
        </w:rPr>
        <w:t xml:space="preserve">: 2639. </w:t>
      </w:r>
    </w:p>
    <w:p w14:paraId="3B406BD4"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40. </w:t>
      </w:r>
      <w:r w:rsidRPr="00CB6F3B">
        <w:rPr>
          <w:rFonts w:ascii="Times New Roman" w:hAnsi="Times New Roman" w:cs="Times New Roman"/>
          <w:noProof/>
          <w:sz w:val="24"/>
          <w:szCs w:val="24"/>
        </w:rPr>
        <w:tab/>
        <w:t xml:space="preserve">Yergeau E, Bokhorst S, Huiskes AHL, Boschker HTS, Aerts R, Kowalchuk GA. Size and structure of bacterial, fungal and nematode communities along an Antarctic environmental gradient. </w:t>
      </w:r>
      <w:r w:rsidRPr="00CB6F3B">
        <w:rPr>
          <w:rFonts w:ascii="Times New Roman" w:hAnsi="Times New Roman" w:cs="Times New Roman"/>
          <w:i/>
          <w:iCs/>
          <w:noProof/>
          <w:sz w:val="24"/>
          <w:szCs w:val="24"/>
        </w:rPr>
        <w:t>FEMS Microbiol Ecol</w:t>
      </w:r>
      <w:r w:rsidRPr="00CB6F3B">
        <w:rPr>
          <w:rFonts w:ascii="Times New Roman" w:hAnsi="Times New Roman" w:cs="Times New Roman"/>
          <w:noProof/>
          <w:sz w:val="24"/>
          <w:szCs w:val="24"/>
        </w:rPr>
        <w:t xml:space="preserve"> 2007; </w:t>
      </w:r>
      <w:r w:rsidRPr="00CB6F3B">
        <w:rPr>
          <w:rFonts w:ascii="Times New Roman" w:hAnsi="Times New Roman" w:cs="Times New Roman"/>
          <w:b/>
          <w:bCs/>
          <w:noProof/>
          <w:sz w:val="24"/>
          <w:szCs w:val="24"/>
        </w:rPr>
        <w:t>59</w:t>
      </w:r>
      <w:r w:rsidRPr="00CB6F3B">
        <w:rPr>
          <w:rFonts w:ascii="Times New Roman" w:hAnsi="Times New Roman" w:cs="Times New Roman"/>
          <w:noProof/>
          <w:sz w:val="24"/>
          <w:szCs w:val="24"/>
        </w:rPr>
        <w:t xml:space="preserve">: 436–451. </w:t>
      </w:r>
    </w:p>
    <w:p w14:paraId="3175875F"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41. </w:t>
      </w:r>
      <w:r w:rsidRPr="00CB6F3B">
        <w:rPr>
          <w:rFonts w:ascii="Times New Roman" w:hAnsi="Times New Roman" w:cs="Times New Roman"/>
          <w:noProof/>
          <w:sz w:val="24"/>
          <w:szCs w:val="24"/>
        </w:rPr>
        <w:tab/>
        <w:t xml:space="preserve">Green JL, Holmes AJ, Westoby M, Oliver I, Briscoe D, Dangerfield M, et al. Spatial scaling of microbial eukaryote diversity. </w:t>
      </w:r>
      <w:r w:rsidRPr="00CB6F3B">
        <w:rPr>
          <w:rFonts w:ascii="Times New Roman" w:hAnsi="Times New Roman" w:cs="Times New Roman"/>
          <w:i/>
          <w:iCs/>
          <w:noProof/>
          <w:sz w:val="24"/>
          <w:szCs w:val="24"/>
        </w:rPr>
        <w:t>Nature</w:t>
      </w:r>
      <w:r w:rsidRPr="00CB6F3B">
        <w:rPr>
          <w:rFonts w:ascii="Times New Roman" w:hAnsi="Times New Roman" w:cs="Times New Roman"/>
          <w:noProof/>
          <w:sz w:val="24"/>
          <w:szCs w:val="24"/>
        </w:rPr>
        <w:t xml:space="preserve"> 2004; </w:t>
      </w:r>
      <w:r w:rsidRPr="00CB6F3B">
        <w:rPr>
          <w:rFonts w:ascii="Times New Roman" w:hAnsi="Times New Roman" w:cs="Times New Roman"/>
          <w:b/>
          <w:bCs/>
          <w:noProof/>
          <w:sz w:val="24"/>
          <w:szCs w:val="24"/>
        </w:rPr>
        <w:t>432</w:t>
      </w:r>
      <w:r w:rsidRPr="00CB6F3B">
        <w:rPr>
          <w:rFonts w:ascii="Times New Roman" w:hAnsi="Times New Roman" w:cs="Times New Roman"/>
          <w:noProof/>
          <w:sz w:val="24"/>
          <w:szCs w:val="24"/>
        </w:rPr>
        <w:t xml:space="preserve">: 747–750. </w:t>
      </w:r>
    </w:p>
    <w:p w14:paraId="04D71BCF"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42. </w:t>
      </w:r>
      <w:r w:rsidRPr="00CB6F3B">
        <w:rPr>
          <w:rFonts w:ascii="Times New Roman" w:hAnsi="Times New Roman" w:cs="Times New Roman"/>
          <w:noProof/>
          <w:sz w:val="24"/>
          <w:szCs w:val="24"/>
        </w:rPr>
        <w:tab/>
        <w:t xml:space="preserve">Dickie IA, Boyer S, Buckley HL, Duncan RP, Gardner PP, Hogg ID, et al. Towards robust and repeatable sampling methods in eDNA-based studies. </w:t>
      </w:r>
      <w:r w:rsidRPr="00CB6F3B">
        <w:rPr>
          <w:rFonts w:ascii="Times New Roman" w:hAnsi="Times New Roman" w:cs="Times New Roman"/>
          <w:i/>
          <w:iCs/>
          <w:noProof/>
          <w:sz w:val="24"/>
          <w:szCs w:val="24"/>
        </w:rPr>
        <w:t>Mol Ecol Resour</w:t>
      </w:r>
      <w:r w:rsidRPr="00CB6F3B">
        <w:rPr>
          <w:rFonts w:ascii="Times New Roman" w:hAnsi="Times New Roman" w:cs="Times New Roman"/>
          <w:noProof/>
          <w:sz w:val="24"/>
          <w:szCs w:val="24"/>
        </w:rPr>
        <w:t xml:space="preserve"> . 2018. Blackwell Publishing Ltd. , </w:t>
      </w:r>
      <w:r w:rsidRPr="00CB6F3B">
        <w:rPr>
          <w:rFonts w:ascii="Times New Roman" w:hAnsi="Times New Roman" w:cs="Times New Roman"/>
          <w:b/>
          <w:bCs/>
          <w:noProof/>
          <w:sz w:val="24"/>
          <w:szCs w:val="24"/>
        </w:rPr>
        <w:t>18</w:t>
      </w:r>
      <w:r w:rsidRPr="00CB6F3B">
        <w:rPr>
          <w:rFonts w:ascii="Times New Roman" w:hAnsi="Times New Roman" w:cs="Times New Roman"/>
          <w:noProof/>
          <w:sz w:val="24"/>
          <w:szCs w:val="24"/>
        </w:rPr>
        <w:t>: 940–952</w:t>
      </w:r>
    </w:p>
    <w:p w14:paraId="4B5294F0"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43. </w:t>
      </w:r>
      <w:r w:rsidRPr="00CB6F3B">
        <w:rPr>
          <w:rFonts w:ascii="Times New Roman" w:hAnsi="Times New Roman" w:cs="Times New Roman"/>
          <w:noProof/>
          <w:sz w:val="24"/>
          <w:szCs w:val="24"/>
        </w:rPr>
        <w:tab/>
        <w:t xml:space="preserve">Dungan JL, Perry JN, Dale MRT, Legendre P, Citron-Pousty S, Fortin MJ, et al. A balanced view of scale in spatial statistical analysis. </w:t>
      </w:r>
      <w:r w:rsidRPr="00CB6F3B">
        <w:rPr>
          <w:rFonts w:ascii="Times New Roman" w:hAnsi="Times New Roman" w:cs="Times New Roman"/>
          <w:i/>
          <w:iCs/>
          <w:noProof/>
          <w:sz w:val="24"/>
          <w:szCs w:val="24"/>
        </w:rPr>
        <w:t>Ecography (Cop)</w:t>
      </w:r>
      <w:r w:rsidRPr="00CB6F3B">
        <w:rPr>
          <w:rFonts w:ascii="Times New Roman" w:hAnsi="Times New Roman" w:cs="Times New Roman"/>
          <w:noProof/>
          <w:sz w:val="24"/>
          <w:szCs w:val="24"/>
        </w:rPr>
        <w:t xml:space="preserve"> 2002; </w:t>
      </w:r>
      <w:r w:rsidRPr="00CB6F3B">
        <w:rPr>
          <w:rFonts w:ascii="Times New Roman" w:hAnsi="Times New Roman" w:cs="Times New Roman"/>
          <w:b/>
          <w:bCs/>
          <w:noProof/>
          <w:sz w:val="24"/>
          <w:szCs w:val="24"/>
        </w:rPr>
        <w:t>25</w:t>
      </w:r>
      <w:r w:rsidRPr="00CB6F3B">
        <w:rPr>
          <w:rFonts w:ascii="Times New Roman" w:hAnsi="Times New Roman" w:cs="Times New Roman"/>
          <w:noProof/>
          <w:sz w:val="24"/>
          <w:szCs w:val="24"/>
        </w:rPr>
        <w:t xml:space="preserve">: 626–640. </w:t>
      </w:r>
    </w:p>
    <w:p w14:paraId="3A2892A1"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44. </w:t>
      </w:r>
      <w:r w:rsidRPr="00CB6F3B">
        <w:rPr>
          <w:rFonts w:ascii="Times New Roman" w:hAnsi="Times New Roman" w:cs="Times New Roman"/>
          <w:noProof/>
          <w:sz w:val="24"/>
          <w:szCs w:val="24"/>
        </w:rPr>
        <w:tab/>
        <w:t xml:space="preserve">Nekola JC, White PS. The distance decay of similarity in biogeography and ecology. </w:t>
      </w:r>
      <w:r w:rsidRPr="00CB6F3B">
        <w:rPr>
          <w:rFonts w:ascii="Times New Roman" w:hAnsi="Times New Roman" w:cs="Times New Roman"/>
          <w:i/>
          <w:iCs/>
          <w:noProof/>
          <w:sz w:val="24"/>
          <w:szCs w:val="24"/>
        </w:rPr>
        <w:t>J Biogeogr</w:t>
      </w:r>
      <w:r w:rsidRPr="00CB6F3B">
        <w:rPr>
          <w:rFonts w:ascii="Times New Roman" w:hAnsi="Times New Roman" w:cs="Times New Roman"/>
          <w:noProof/>
          <w:sz w:val="24"/>
          <w:szCs w:val="24"/>
        </w:rPr>
        <w:t xml:space="preserve"> 1999; </w:t>
      </w:r>
      <w:r w:rsidRPr="00CB6F3B">
        <w:rPr>
          <w:rFonts w:ascii="Times New Roman" w:hAnsi="Times New Roman" w:cs="Times New Roman"/>
          <w:b/>
          <w:bCs/>
          <w:noProof/>
          <w:sz w:val="24"/>
          <w:szCs w:val="24"/>
        </w:rPr>
        <w:t>26</w:t>
      </w:r>
      <w:r w:rsidRPr="00CB6F3B">
        <w:rPr>
          <w:rFonts w:ascii="Times New Roman" w:hAnsi="Times New Roman" w:cs="Times New Roman"/>
          <w:noProof/>
          <w:sz w:val="24"/>
          <w:szCs w:val="24"/>
        </w:rPr>
        <w:t xml:space="preserve">: 867–878. </w:t>
      </w:r>
    </w:p>
    <w:p w14:paraId="418E035A"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45. </w:t>
      </w:r>
      <w:r w:rsidRPr="00CB6F3B">
        <w:rPr>
          <w:rFonts w:ascii="Times New Roman" w:hAnsi="Times New Roman" w:cs="Times New Roman"/>
          <w:noProof/>
          <w:sz w:val="24"/>
          <w:szCs w:val="24"/>
        </w:rPr>
        <w:tab/>
        <w:t xml:space="preserve">Woodcock S, Curtis TP, Head IM, Lunn M, Sloan WT. Taxa-area relationships for microbes: The unsampled and the unseen. </w:t>
      </w:r>
      <w:r w:rsidRPr="00CB6F3B">
        <w:rPr>
          <w:rFonts w:ascii="Times New Roman" w:hAnsi="Times New Roman" w:cs="Times New Roman"/>
          <w:i/>
          <w:iCs/>
          <w:noProof/>
          <w:sz w:val="24"/>
          <w:szCs w:val="24"/>
        </w:rPr>
        <w:t>Ecol Lett</w:t>
      </w:r>
      <w:r w:rsidRPr="00CB6F3B">
        <w:rPr>
          <w:rFonts w:ascii="Times New Roman" w:hAnsi="Times New Roman" w:cs="Times New Roman"/>
          <w:noProof/>
          <w:sz w:val="24"/>
          <w:szCs w:val="24"/>
        </w:rPr>
        <w:t xml:space="preserve"> 2006; </w:t>
      </w:r>
      <w:r w:rsidRPr="00CB6F3B">
        <w:rPr>
          <w:rFonts w:ascii="Times New Roman" w:hAnsi="Times New Roman" w:cs="Times New Roman"/>
          <w:b/>
          <w:bCs/>
          <w:noProof/>
          <w:sz w:val="24"/>
          <w:szCs w:val="24"/>
        </w:rPr>
        <w:t>9</w:t>
      </w:r>
      <w:r w:rsidRPr="00CB6F3B">
        <w:rPr>
          <w:rFonts w:ascii="Times New Roman" w:hAnsi="Times New Roman" w:cs="Times New Roman"/>
          <w:noProof/>
          <w:sz w:val="24"/>
          <w:szCs w:val="24"/>
        </w:rPr>
        <w:t xml:space="preserve">: 805–812. </w:t>
      </w:r>
    </w:p>
    <w:p w14:paraId="00237DDF"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46. </w:t>
      </w:r>
      <w:r w:rsidRPr="00CB6F3B">
        <w:rPr>
          <w:rFonts w:ascii="Times New Roman" w:hAnsi="Times New Roman" w:cs="Times New Roman"/>
          <w:noProof/>
          <w:sz w:val="24"/>
          <w:szCs w:val="24"/>
        </w:rPr>
        <w:tab/>
        <w:t xml:space="preserve">Wiesel L, Daniell TJ, King D, Neilson R. Determination of the optimal soil sample size to accurately characterise nematode communities in soil. </w:t>
      </w:r>
      <w:r w:rsidRPr="00CB6F3B">
        <w:rPr>
          <w:rFonts w:ascii="Times New Roman" w:hAnsi="Times New Roman" w:cs="Times New Roman"/>
          <w:i/>
          <w:iCs/>
          <w:noProof/>
          <w:sz w:val="24"/>
          <w:szCs w:val="24"/>
        </w:rPr>
        <w:t>Soil Biol Biochem</w:t>
      </w:r>
      <w:r w:rsidRPr="00CB6F3B">
        <w:rPr>
          <w:rFonts w:ascii="Times New Roman" w:hAnsi="Times New Roman" w:cs="Times New Roman"/>
          <w:noProof/>
          <w:sz w:val="24"/>
          <w:szCs w:val="24"/>
        </w:rPr>
        <w:t xml:space="preserve"> 2014; 9–11. </w:t>
      </w:r>
    </w:p>
    <w:p w14:paraId="6CA0963F"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47. </w:t>
      </w:r>
      <w:r w:rsidRPr="00CB6F3B">
        <w:rPr>
          <w:rFonts w:ascii="Times New Roman" w:hAnsi="Times New Roman" w:cs="Times New Roman"/>
          <w:noProof/>
          <w:sz w:val="24"/>
          <w:szCs w:val="24"/>
        </w:rPr>
        <w:tab/>
        <w:t xml:space="preserve">Santos SS, Nunes I, Nielsen TK, Jacquiod S, Hansen LH, Winding A. Soil DNA Extraction Procedure Influences Protist 18S rRNA Gene Community Profiling Outcome. </w:t>
      </w:r>
      <w:r w:rsidRPr="00CB6F3B">
        <w:rPr>
          <w:rFonts w:ascii="Times New Roman" w:hAnsi="Times New Roman" w:cs="Times New Roman"/>
          <w:i/>
          <w:iCs/>
          <w:noProof/>
          <w:sz w:val="24"/>
          <w:szCs w:val="24"/>
        </w:rPr>
        <w:t>Ann Anat</w:t>
      </w:r>
      <w:r w:rsidRPr="00CB6F3B">
        <w:rPr>
          <w:rFonts w:ascii="Times New Roman" w:hAnsi="Times New Roman" w:cs="Times New Roman"/>
          <w:noProof/>
          <w:sz w:val="24"/>
          <w:szCs w:val="24"/>
        </w:rPr>
        <w:t xml:space="preserve"> 2017; </w:t>
      </w:r>
      <w:r w:rsidRPr="00CB6F3B">
        <w:rPr>
          <w:rFonts w:ascii="Times New Roman" w:hAnsi="Times New Roman" w:cs="Times New Roman"/>
          <w:b/>
          <w:bCs/>
          <w:noProof/>
          <w:sz w:val="24"/>
          <w:szCs w:val="24"/>
        </w:rPr>
        <w:t>168</w:t>
      </w:r>
      <w:r w:rsidRPr="00CB6F3B">
        <w:rPr>
          <w:rFonts w:ascii="Times New Roman" w:hAnsi="Times New Roman" w:cs="Times New Roman"/>
          <w:noProof/>
          <w:sz w:val="24"/>
          <w:szCs w:val="24"/>
        </w:rPr>
        <w:t xml:space="preserve">: 283–293. </w:t>
      </w:r>
    </w:p>
    <w:p w14:paraId="67B0DE9B"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48. </w:t>
      </w:r>
      <w:r w:rsidRPr="00CB6F3B">
        <w:rPr>
          <w:rFonts w:ascii="Times New Roman" w:hAnsi="Times New Roman" w:cs="Times New Roman"/>
          <w:noProof/>
          <w:sz w:val="24"/>
          <w:szCs w:val="24"/>
        </w:rPr>
        <w:tab/>
        <w:t xml:space="preserve">Graham CH, Storch D, Machac A. Phylogenetic scale in ecology and evolution. </w:t>
      </w:r>
      <w:r w:rsidRPr="00CB6F3B">
        <w:rPr>
          <w:rFonts w:ascii="Times New Roman" w:hAnsi="Times New Roman" w:cs="Times New Roman"/>
          <w:i/>
          <w:iCs/>
          <w:noProof/>
          <w:sz w:val="24"/>
          <w:szCs w:val="24"/>
        </w:rPr>
        <w:t>Glob Ecol Biogeogr</w:t>
      </w:r>
      <w:r w:rsidRPr="00CB6F3B">
        <w:rPr>
          <w:rFonts w:ascii="Times New Roman" w:hAnsi="Times New Roman" w:cs="Times New Roman"/>
          <w:noProof/>
          <w:sz w:val="24"/>
          <w:szCs w:val="24"/>
        </w:rPr>
        <w:t xml:space="preserve"> 2018; </w:t>
      </w:r>
      <w:r w:rsidRPr="00CB6F3B">
        <w:rPr>
          <w:rFonts w:ascii="Times New Roman" w:hAnsi="Times New Roman" w:cs="Times New Roman"/>
          <w:b/>
          <w:bCs/>
          <w:noProof/>
          <w:sz w:val="24"/>
          <w:szCs w:val="24"/>
        </w:rPr>
        <w:t>27</w:t>
      </w:r>
      <w:r w:rsidRPr="00CB6F3B">
        <w:rPr>
          <w:rFonts w:ascii="Times New Roman" w:hAnsi="Times New Roman" w:cs="Times New Roman"/>
          <w:noProof/>
          <w:sz w:val="24"/>
          <w:szCs w:val="24"/>
        </w:rPr>
        <w:t xml:space="preserve">: 175–187. </w:t>
      </w:r>
    </w:p>
    <w:p w14:paraId="0758C1F2"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49. </w:t>
      </w:r>
      <w:r w:rsidRPr="00CB6F3B">
        <w:rPr>
          <w:rFonts w:ascii="Times New Roman" w:hAnsi="Times New Roman" w:cs="Times New Roman"/>
          <w:noProof/>
          <w:sz w:val="24"/>
          <w:szCs w:val="24"/>
        </w:rPr>
        <w:tab/>
        <w:t xml:space="preserve">Zinger L, Taberlet P, Schimann H, Bonin A, Boyer F, De Barba M, et al. Body size determines soil community assembly in a tropical forest. </w:t>
      </w:r>
      <w:r w:rsidRPr="00CB6F3B">
        <w:rPr>
          <w:rFonts w:ascii="Times New Roman" w:hAnsi="Times New Roman" w:cs="Times New Roman"/>
          <w:i/>
          <w:iCs/>
          <w:noProof/>
          <w:sz w:val="24"/>
          <w:szCs w:val="24"/>
        </w:rPr>
        <w:t>Mol Ecol</w:t>
      </w:r>
      <w:r w:rsidRPr="00CB6F3B">
        <w:rPr>
          <w:rFonts w:ascii="Times New Roman" w:hAnsi="Times New Roman" w:cs="Times New Roman"/>
          <w:noProof/>
          <w:sz w:val="24"/>
          <w:szCs w:val="24"/>
        </w:rPr>
        <w:t xml:space="preserve"> 2019; </w:t>
      </w:r>
      <w:r w:rsidRPr="00CB6F3B">
        <w:rPr>
          <w:rFonts w:ascii="Times New Roman" w:hAnsi="Times New Roman" w:cs="Times New Roman"/>
          <w:b/>
          <w:bCs/>
          <w:noProof/>
          <w:sz w:val="24"/>
          <w:szCs w:val="24"/>
        </w:rPr>
        <w:t>28</w:t>
      </w:r>
      <w:r w:rsidRPr="00CB6F3B">
        <w:rPr>
          <w:rFonts w:ascii="Times New Roman" w:hAnsi="Times New Roman" w:cs="Times New Roman"/>
          <w:noProof/>
          <w:sz w:val="24"/>
          <w:szCs w:val="24"/>
        </w:rPr>
        <w:t xml:space="preserve">: 528–543. </w:t>
      </w:r>
    </w:p>
    <w:p w14:paraId="73150806"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50. </w:t>
      </w:r>
      <w:r w:rsidRPr="00CB6F3B">
        <w:rPr>
          <w:rFonts w:ascii="Times New Roman" w:hAnsi="Times New Roman" w:cs="Times New Roman"/>
          <w:noProof/>
          <w:sz w:val="24"/>
          <w:szCs w:val="24"/>
        </w:rPr>
        <w:tab/>
        <w:t xml:space="preserve">Briones MJI. Soil fauna and soil functions: A jigsaw puzzle. </w:t>
      </w:r>
      <w:r w:rsidRPr="00CB6F3B">
        <w:rPr>
          <w:rFonts w:ascii="Times New Roman" w:hAnsi="Times New Roman" w:cs="Times New Roman"/>
          <w:i/>
          <w:iCs/>
          <w:noProof/>
          <w:sz w:val="24"/>
          <w:szCs w:val="24"/>
        </w:rPr>
        <w:t>Front Environ Sci</w:t>
      </w:r>
      <w:r w:rsidRPr="00CB6F3B">
        <w:rPr>
          <w:rFonts w:ascii="Times New Roman" w:hAnsi="Times New Roman" w:cs="Times New Roman"/>
          <w:noProof/>
          <w:sz w:val="24"/>
          <w:szCs w:val="24"/>
        </w:rPr>
        <w:t xml:space="preserve"> . 2014. Frontiers Media S.A. , </w:t>
      </w:r>
      <w:r w:rsidRPr="00CB6F3B">
        <w:rPr>
          <w:rFonts w:ascii="Times New Roman" w:hAnsi="Times New Roman" w:cs="Times New Roman"/>
          <w:b/>
          <w:bCs/>
          <w:noProof/>
          <w:sz w:val="24"/>
          <w:szCs w:val="24"/>
        </w:rPr>
        <w:t>2</w:t>
      </w:r>
    </w:p>
    <w:p w14:paraId="08E1C758"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51. </w:t>
      </w:r>
      <w:r w:rsidRPr="00CB6F3B">
        <w:rPr>
          <w:rFonts w:ascii="Times New Roman" w:hAnsi="Times New Roman" w:cs="Times New Roman"/>
          <w:noProof/>
          <w:sz w:val="24"/>
          <w:szCs w:val="24"/>
        </w:rPr>
        <w:tab/>
        <w:t xml:space="preserve">Martiny JBH, Jones SE, Lennon JT, Martiny AC. Microbiomes in light of traits: A phylogenetic perspective. </w:t>
      </w:r>
      <w:r w:rsidRPr="00CB6F3B">
        <w:rPr>
          <w:rFonts w:ascii="Times New Roman" w:hAnsi="Times New Roman" w:cs="Times New Roman"/>
          <w:i/>
          <w:iCs/>
          <w:noProof/>
          <w:sz w:val="24"/>
          <w:szCs w:val="24"/>
        </w:rPr>
        <w:t>Science (80- )</w:t>
      </w:r>
      <w:r w:rsidRPr="00CB6F3B">
        <w:rPr>
          <w:rFonts w:ascii="Times New Roman" w:hAnsi="Times New Roman" w:cs="Times New Roman"/>
          <w:noProof/>
          <w:sz w:val="24"/>
          <w:szCs w:val="24"/>
        </w:rPr>
        <w:t xml:space="preserve"> 2015; </w:t>
      </w:r>
      <w:r w:rsidRPr="00CB6F3B">
        <w:rPr>
          <w:rFonts w:ascii="Times New Roman" w:hAnsi="Times New Roman" w:cs="Times New Roman"/>
          <w:b/>
          <w:bCs/>
          <w:noProof/>
          <w:sz w:val="24"/>
          <w:szCs w:val="24"/>
        </w:rPr>
        <w:t>350</w:t>
      </w:r>
      <w:r w:rsidRPr="00CB6F3B">
        <w:rPr>
          <w:rFonts w:ascii="Times New Roman" w:hAnsi="Times New Roman" w:cs="Times New Roman"/>
          <w:noProof/>
          <w:sz w:val="24"/>
          <w:szCs w:val="24"/>
        </w:rPr>
        <w:t xml:space="preserve">. </w:t>
      </w:r>
    </w:p>
    <w:p w14:paraId="58A92381"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52. </w:t>
      </w:r>
      <w:r w:rsidRPr="00CB6F3B">
        <w:rPr>
          <w:rFonts w:ascii="Times New Roman" w:hAnsi="Times New Roman" w:cs="Times New Roman"/>
          <w:noProof/>
          <w:sz w:val="24"/>
          <w:szCs w:val="24"/>
        </w:rPr>
        <w:tab/>
        <w:t xml:space="preserve">Schenk J, Geisen S, Kleinboelting N, Traunspurger W. Metabarcoding data allow for reliable biomass estimates in the most abundant animals on earth. </w:t>
      </w:r>
      <w:r w:rsidRPr="00CB6F3B">
        <w:rPr>
          <w:rFonts w:ascii="Times New Roman" w:hAnsi="Times New Roman" w:cs="Times New Roman"/>
          <w:i/>
          <w:iCs/>
          <w:noProof/>
          <w:sz w:val="24"/>
          <w:szCs w:val="24"/>
        </w:rPr>
        <w:t>Metabarcoding and Metagenomics</w:t>
      </w:r>
      <w:r w:rsidRPr="00CB6F3B">
        <w:rPr>
          <w:rFonts w:ascii="Times New Roman" w:hAnsi="Times New Roman" w:cs="Times New Roman"/>
          <w:noProof/>
          <w:sz w:val="24"/>
          <w:szCs w:val="24"/>
        </w:rPr>
        <w:t xml:space="preserve"> 2019; </w:t>
      </w:r>
      <w:r w:rsidRPr="00CB6F3B">
        <w:rPr>
          <w:rFonts w:ascii="Times New Roman" w:hAnsi="Times New Roman" w:cs="Times New Roman"/>
          <w:b/>
          <w:bCs/>
          <w:noProof/>
          <w:sz w:val="24"/>
          <w:szCs w:val="24"/>
        </w:rPr>
        <w:t>3</w:t>
      </w:r>
      <w:r w:rsidRPr="00CB6F3B">
        <w:rPr>
          <w:rFonts w:ascii="Times New Roman" w:hAnsi="Times New Roman" w:cs="Times New Roman"/>
          <w:noProof/>
          <w:sz w:val="24"/>
          <w:szCs w:val="24"/>
        </w:rPr>
        <w:t xml:space="preserve">: 117–126. </w:t>
      </w:r>
    </w:p>
    <w:p w14:paraId="6BC3EFF7"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lang w:val="de-DE"/>
        </w:rPr>
      </w:pPr>
      <w:r w:rsidRPr="00CB6F3B">
        <w:rPr>
          <w:rFonts w:ascii="Times New Roman" w:hAnsi="Times New Roman" w:cs="Times New Roman"/>
          <w:noProof/>
          <w:sz w:val="24"/>
          <w:szCs w:val="24"/>
        </w:rPr>
        <w:t xml:space="preserve">53. </w:t>
      </w:r>
      <w:r w:rsidRPr="00CB6F3B">
        <w:rPr>
          <w:rFonts w:ascii="Times New Roman" w:hAnsi="Times New Roman" w:cs="Times New Roman"/>
          <w:noProof/>
          <w:sz w:val="24"/>
          <w:szCs w:val="24"/>
        </w:rPr>
        <w:tab/>
        <w:t xml:space="preserve">Quinn TP, Erb I, Gloor G, Notredame C, Richardson MF, Crowley TM. A field guide for the compositional analysis of any-omics data. </w:t>
      </w:r>
      <w:r w:rsidRPr="00CB6F3B">
        <w:rPr>
          <w:rFonts w:ascii="Times New Roman" w:hAnsi="Times New Roman" w:cs="Times New Roman"/>
          <w:i/>
          <w:iCs/>
          <w:noProof/>
          <w:sz w:val="24"/>
          <w:szCs w:val="24"/>
          <w:lang w:val="de-DE"/>
        </w:rPr>
        <w:t>Gigascience</w:t>
      </w:r>
      <w:r w:rsidRPr="00CB6F3B">
        <w:rPr>
          <w:rFonts w:ascii="Times New Roman" w:hAnsi="Times New Roman" w:cs="Times New Roman"/>
          <w:noProof/>
          <w:sz w:val="24"/>
          <w:szCs w:val="24"/>
          <w:lang w:val="de-DE"/>
        </w:rPr>
        <w:t xml:space="preserve"> 2019; </w:t>
      </w:r>
      <w:r w:rsidRPr="00CB6F3B">
        <w:rPr>
          <w:rFonts w:ascii="Times New Roman" w:hAnsi="Times New Roman" w:cs="Times New Roman"/>
          <w:b/>
          <w:bCs/>
          <w:noProof/>
          <w:sz w:val="24"/>
          <w:szCs w:val="24"/>
          <w:lang w:val="de-DE"/>
        </w:rPr>
        <w:t>8</w:t>
      </w:r>
      <w:r w:rsidRPr="00CB6F3B">
        <w:rPr>
          <w:rFonts w:ascii="Times New Roman" w:hAnsi="Times New Roman" w:cs="Times New Roman"/>
          <w:noProof/>
          <w:sz w:val="24"/>
          <w:szCs w:val="24"/>
          <w:lang w:val="de-DE"/>
        </w:rPr>
        <w:t xml:space="preserve">: 1–14. </w:t>
      </w:r>
    </w:p>
    <w:p w14:paraId="56D9CA58"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lang w:val="de-DE"/>
        </w:rPr>
        <w:t xml:space="preserve">54. </w:t>
      </w:r>
      <w:r w:rsidRPr="00CB6F3B">
        <w:rPr>
          <w:rFonts w:ascii="Times New Roman" w:hAnsi="Times New Roman" w:cs="Times New Roman"/>
          <w:noProof/>
          <w:sz w:val="24"/>
          <w:szCs w:val="24"/>
          <w:lang w:val="de-DE"/>
        </w:rPr>
        <w:tab/>
        <w:t xml:space="preserve">McKnight DT, Huerlimann R, Bower DS, Schwarzkopf L, Alford RA, Zenger KR. </w:t>
      </w:r>
      <w:r w:rsidRPr="00CB6F3B">
        <w:rPr>
          <w:rFonts w:ascii="Times New Roman" w:hAnsi="Times New Roman" w:cs="Times New Roman"/>
          <w:noProof/>
          <w:sz w:val="24"/>
          <w:szCs w:val="24"/>
        </w:rPr>
        <w:lastRenderedPageBreak/>
        <w:t xml:space="preserve">Methods for normalizing microbiome data: An ecological perspective. </w:t>
      </w:r>
      <w:r w:rsidRPr="00CB6F3B">
        <w:rPr>
          <w:rFonts w:ascii="Times New Roman" w:hAnsi="Times New Roman" w:cs="Times New Roman"/>
          <w:i/>
          <w:iCs/>
          <w:noProof/>
          <w:sz w:val="24"/>
          <w:szCs w:val="24"/>
        </w:rPr>
        <w:t>Methods Ecol Evol</w:t>
      </w:r>
      <w:r w:rsidRPr="00CB6F3B">
        <w:rPr>
          <w:rFonts w:ascii="Times New Roman" w:hAnsi="Times New Roman" w:cs="Times New Roman"/>
          <w:noProof/>
          <w:sz w:val="24"/>
          <w:szCs w:val="24"/>
        </w:rPr>
        <w:t xml:space="preserve"> 2019; </w:t>
      </w:r>
      <w:r w:rsidRPr="00CB6F3B">
        <w:rPr>
          <w:rFonts w:ascii="Times New Roman" w:hAnsi="Times New Roman" w:cs="Times New Roman"/>
          <w:b/>
          <w:bCs/>
          <w:noProof/>
          <w:sz w:val="24"/>
          <w:szCs w:val="24"/>
        </w:rPr>
        <w:t>10</w:t>
      </w:r>
      <w:r w:rsidRPr="00CB6F3B">
        <w:rPr>
          <w:rFonts w:ascii="Times New Roman" w:hAnsi="Times New Roman" w:cs="Times New Roman"/>
          <w:noProof/>
          <w:sz w:val="24"/>
          <w:szCs w:val="24"/>
        </w:rPr>
        <w:t xml:space="preserve">: 389–400. </w:t>
      </w:r>
    </w:p>
    <w:p w14:paraId="7C34764B"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55. </w:t>
      </w:r>
      <w:r w:rsidRPr="00CB6F3B">
        <w:rPr>
          <w:rFonts w:ascii="Times New Roman" w:hAnsi="Times New Roman" w:cs="Times New Roman"/>
          <w:noProof/>
          <w:sz w:val="24"/>
          <w:szCs w:val="24"/>
        </w:rPr>
        <w:tab/>
        <w:t xml:space="preserve">Weiss S, Xu ZZ, Peddada S, Amir A, Bittinger K, Gonzalez A, et al. Normalization and microbial differential abundance strategies depend upon data characteristics. </w:t>
      </w:r>
      <w:r w:rsidRPr="00CB6F3B">
        <w:rPr>
          <w:rFonts w:ascii="Times New Roman" w:hAnsi="Times New Roman" w:cs="Times New Roman"/>
          <w:i/>
          <w:iCs/>
          <w:noProof/>
          <w:sz w:val="24"/>
          <w:szCs w:val="24"/>
        </w:rPr>
        <w:t>Microbiome</w:t>
      </w:r>
      <w:r w:rsidRPr="00CB6F3B">
        <w:rPr>
          <w:rFonts w:ascii="Times New Roman" w:hAnsi="Times New Roman" w:cs="Times New Roman"/>
          <w:noProof/>
          <w:sz w:val="24"/>
          <w:szCs w:val="24"/>
        </w:rPr>
        <w:t xml:space="preserve"> 2017; </w:t>
      </w:r>
      <w:r w:rsidRPr="00CB6F3B">
        <w:rPr>
          <w:rFonts w:ascii="Times New Roman" w:hAnsi="Times New Roman" w:cs="Times New Roman"/>
          <w:b/>
          <w:bCs/>
          <w:noProof/>
          <w:sz w:val="24"/>
          <w:szCs w:val="24"/>
        </w:rPr>
        <w:t>5</w:t>
      </w:r>
      <w:r w:rsidRPr="00CB6F3B">
        <w:rPr>
          <w:rFonts w:ascii="Times New Roman" w:hAnsi="Times New Roman" w:cs="Times New Roman"/>
          <w:noProof/>
          <w:sz w:val="24"/>
          <w:szCs w:val="24"/>
        </w:rPr>
        <w:t xml:space="preserve">: 27. </w:t>
      </w:r>
    </w:p>
    <w:p w14:paraId="03AB23C5"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56. </w:t>
      </w:r>
      <w:r w:rsidRPr="00CB6F3B">
        <w:rPr>
          <w:rFonts w:ascii="Times New Roman" w:hAnsi="Times New Roman" w:cs="Times New Roman"/>
          <w:noProof/>
          <w:sz w:val="24"/>
          <w:szCs w:val="24"/>
        </w:rPr>
        <w:tab/>
        <w:t xml:space="preserve">Ficetola GF, Pansu J, Bonin A, Coissac E, Giguet‐Covex C, De Barba M, et al. Replication levels, false presences and the estimation of the presence/absence from eDNA metabarcoding data. </w:t>
      </w:r>
      <w:r w:rsidRPr="00CB6F3B">
        <w:rPr>
          <w:rFonts w:ascii="Times New Roman" w:hAnsi="Times New Roman" w:cs="Times New Roman"/>
          <w:i/>
          <w:iCs/>
          <w:noProof/>
          <w:sz w:val="24"/>
          <w:szCs w:val="24"/>
        </w:rPr>
        <w:t>Mol Ecol Resour</w:t>
      </w:r>
      <w:r w:rsidRPr="00CB6F3B">
        <w:rPr>
          <w:rFonts w:ascii="Times New Roman" w:hAnsi="Times New Roman" w:cs="Times New Roman"/>
          <w:noProof/>
          <w:sz w:val="24"/>
          <w:szCs w:val="24"/>
        </w:rPr>
        <w:t xml:space="preserve"> 2015; </w:t>
      </w:r>
      <w:r w:rsidRPr="00CB6F3B">
        <w:rPr>
          <w:rFonts w:ascii="Times New Roman" w:hAnsi="Times New Roman" w:cs="Times New Roman"/>
          <w:b/>
          <w:bCs/>
          <w:noProof/>
          <w:sz w:val="24"/>
          <w:szCs w:val="24"/>
        </w:rPr>
        <w:t>15</w:t>
      </w:r>
      <w:r w:rsidRPr="00CB6F3B">
        <w:rPr>
          <w:rFonts w:ascii="Times New Roman" w:hAnsi="Times New Roman" w:cs="Times New Roman"/>
          <w:noProof/>
          <w:sz w:val="24"/>
          <w:szCs w:val="24"/>
        </w:rPr>
        <w:t xml:space="preserve">: 543–556. </w:t>
      </w:r>
    </w:p>
    <w:p w14:paraId="5787EE3E"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57. </w:t>
      </w:r>
      <w:r w:rsidRPr="00CB6F3B">
        <w:rPr>
          <w:rFonts w:ascii="Times New Roman" w:hAnsi="Times New Roman" w:cs="Times New Roman"/>
          <w:noProof/>
          <w:sz w:val="24"/>
          <w:szCs w:val="24"/>
        </w:rPr>
        <w:tab/>
        <w:t xml:space="preserve">Chase JM, McGill BJ, McGlinn DJ, May F, Blowes SA, Xiao X, et al. Embracing scale-dependence to achieve a deeper understanding of biodiversity and its change across communities. </w:t>
      </w:r>
      <w:r w:rsidRPr="00CB6F3B">
        <w:rPr>
          <w:rFonts w:ascii="Times New Roman" w:hAnsi="Times New Roman" w:cs="Times New Roman"/>
          <w:i/>
          <w:iCs/>
          <w:noProof/>
          <w:sz w:val="24"/>
          <w:szCs w:val="24"/>
        </w:rPr>
        <w:t>Ecol Lett</w:t>
      </w:r>
      <w:r w:rsidRPr="00CB6F3B">
        <w:rPr>
          <w:rFonts w:ascii="Times New Roman" w:hAnsi="Times New Roman" w:cs="Times New Roman"/>
          <w:noProof/>
          <w:sz w:val="24"/>
          <w:szCs w:val="24"/>
        </w:rPr>
        <w:t xml:space="preserve"> 2018; </w:t>
      </w:r>
      <w:r w:rsidRPr="00CB6F3B">
        <w:rPr>
          <w:rFonts w:ascii="Times New Roman" w:hAnsi="Times New Roman" w:cs="Times New Roman"/>
          <w:b/>
          <w:bCs/>
          <w:noProof/>
          <w:sz w:val="24"/>
          <w:szCs w:val="24"/>
        </w:rPr>
        <w:t>21</w:t>
      </w:r>
      <w:r w:rsidRPr="00CB6F3B">
        <w:rPr>
          <w:rFonts w:ascii="Times New Roman" w:hAnsi="Times New Roman" w:cs="Times New Roman"/>
          <w:noProof/>
          <w:sz w:val="24"/>
          <w:szCs w:val="24"/>
        </w:rPr>
        <w:t xml:space="preserve">: 1737–1751. </w:t>
      </w:r>
    </w:p>
    <w:p w14:paraId="14CBAAC6"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58. </w:t>
      </w:r>
      <w:r w:rsidRPr="00CB6F3B">
        <w:rPr>
          <w:rFonts w:ascii="Times New Roman" w:hAnsi="Times New Roman" w:cs="Times New Roman"/>
          <w:noProof/>
          <w:sz w:val="24"/>
          <w:szCs w:val="24"/>
        </w:rPr>
        <w:tab/>
        <w:t xml:space="preserve">Knight R, Vrbanac A, Taylor BC, Aksenov A, Callewaert C, Debelius J, et al. Best practices for analysing microbiomes. </w:t>
      </w:r>
      <w:r w:rsidRPr="00CB6F3B">
        <w:rPr>
          <w:rFonts w:ascii="Times New Roman" w:hAnsi="Times New Roman" w:cs="Times New Roman"/>
          <w:i/>
          <w:iCs/>
          <w:noProof/>
          <w:sz w:val="24"/>
          <w:szCs w:val="24"/>
        </w:rPr>
        <w:t>Nat Rev Microbiol</w:t>
      </w:r>
      <w:r w:rsidRPr="00CB6F3B">
        <w:rPr>
          <w:rFonts w:ascii="Times New Roman" w:hAnsi="Times New Roman" w:cs="Times New Roman"/>
          <w:noProof/>
          <w:sz w:val="24"/>
          <w:szCs w:val="24"/>
        </w:rPr>
        <w:t xml:space="preserve"> 2018; </w:t>
      </w:r>
      <w:r w:rsidRPr="00CB6F3B">
        <w:rPr>
          <w:rFonts w:ascii="Times New Roman" w:hAnsi="Times New Roman" w:cs="Times New Roman"/>
          <w:b/>
          <w:bCs/>
          <w:noProof/>
          <w:sz w:val="24"/>
          <w:szCs w:val="24"/>
        </w:rPr>
        <w:t>16</w:t>
      </w:r>
      <w:r w:rsidRPr="00CB6F3B">
        <w:rPr>
          <w:rFonts w:ascii="Times New Roman" w:hAnsi="Times New Roman" w:cs="Times New Roman"/>
          <w:noProof/>
          <w:sz w:val="24"/>
          <w:szCs w:val="24"/>
        </w:rPr>
        <w:t xml:space="preserve">: 410–422. </w:t>
      </w:r>
    </w:p>
    <w:p w14:paraId="64633722"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59. </w:t>
      </w:r>
      <w:r w:rsidRPr="00CB6F3B">
        <w:rPr>
          <w:rFonts w:ascii="Times New Roman" w:hAnsi="Times New Roman" w:cs="Times New Roman"/>
          <w:noProof/>
          <w:sz w:val="24"/>
          <w:szCs w:val="24"/>
        </w:rPr>
        <w:tab/>
        <w:t xml:space="preserve">Guillera‐Arroita G. Modelling of species distributions, range dynamics and communities under imperfect detection: advances, challenges and opportunities. </w:t>
      </w:r>
      <w:r w:rsidRPr="00CB6F3B">
        <w:rPr>
          <w:rFonts w:ascii="Times New Roman" w:hAnsi="Times New Roman" w:cs="Times New Roman"/>
          <w:i/>
          <w:iCs/>
          <w:noProof/>
          <w:sz w:val="24"/>
          <w:szCs w:val="24"/>
        </w:rPr>
        <w:t>Ecography (Cop)</w:t>
      </w:r>
      <w:r w:rsidRPr="00CB6F3B">
        <w:rPr>
          <w:rFonts w:ascii="Times New Roman" w:hAnsi="Times New Roman" w:cs="Times New Roman"/>
          <w:noProof/>
          <w:sz w:val="24"/>
          <w:szCs w:val="24"/>
        </w:rPr>
        <w:t xml:space="preserve"> 2017; </w:t>
      </w:r>
      <w:r w:rsidRPr="00CB6F3B">
        <w:rPr>
          <w:rFonts w:ascii="Times New Roman" w:hAnsi="Times New Roman" w:cs="Times New Roman"/>
          <w:b/>
          <w:bCs/>
          <w:noProof/>
          <w:sz w:val="24"/>
          <w:szCs w:val="24"/>
        </w:rPr>
        <w:t>40</w:t>
      </w:r>
      <w:r w:rsidRPr="00CB6F3B">
        <w:rPr>
          <w:rFonts w:ascii="Times New Roman" w:hAnsi="Times New Roman" w:cs="Times New Roman"/>
          <w:noProof/>
          <w:sz w:val="24"/>
          <w:szCs w:val="24"/>
        </w:rPr>
        <w:t xml:space="preserve">: 281–295. </w:t>
      </w:r>
    </w:p>
    <w:p w14:paraId="4D46FEF3"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60. </w:t>
      </w:r>
      <w:r w:rsidRPr="00CB6F3B">
        <w:rPr>
          <w:rFonts w:ascii="Times New Roman" w:hAnsi="Times New Roman" w:cs="Times New Roman"/>
          <w:noProof/>
          <w:sz w:val="24"/>
          <w:szCs w:val="24"/>
        </w:rPr>
        <w:tab/>
        <w:t xml:space="preserve">Nguyen BAT, Chen QL, He JZ, Hu HW. Microbial regulation of natural antibiotic resistance: Understanding the protist-bacteria interactions for evolution of soil resistome. </w:t>
      </w:r>
      <w:r w:rsidRPr="00CB6F3B">
        <w:rPr>
          <w:rFonts w:ascii="Times New Roman" w:hAnsi="Times New Roman" w:cs="Times New Roman"/>
          <w:i/>
          <w:iCs/>
          <w:noProof/>
          <w:sz w:val="24"/>
          <w:szCs w:val="24"/>
        </w:rPr>
        <w:t>Sci Total Environ</w:t>
      </w:r>
      <w:r w:rsidRPr="00CB6F3B">
        <w:rPr>
          <w:rFonts w:ascii="Times New Roman" w:hAnsi="Times New Roman" w:cs="Times New Roman"/>
          <w:noProof/>
          <w:sz w:val="24"/>
          <w:szCs w:val="24"/>
        </w:rPr>
        <w:t xml:space="preserve"> 2020; </w:t>
      </w:r>
      <w:r w:rsidRPr="00CB6F3B">
        <w:rPr>
          <w:rFonts w:ascii="Times New Roman" w:hAnsi="Times New Roman" w:cs="Times New Roman"/>
          <w:b/>
          <w:bCs/>
          <w:noProof/>
          <w:sz w:val="24"/>
          <w:szCs w:val="24"/>
        </w:rPr>
        <w:t>705</w:t>
      </w:r>
      <w:r w:rsidRPr="00CB6F3B">
        <w:rPr>
          <w:rFonts w:ascii="Times New Roman" w:hAnsi="Times New Roman" w:cs="Times New Roman"/>
          <w:noProof/>
          <w:sz w:val="24"/>
          <w:szCs w:val="24"/>
        </w:rPr>
        <w:t xml:space="preserve">: 135882. </w:t>
      </w:r>
    </w:p>
    <w:p w14:paraId="37AF83D3"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61. </w:t>
      </w:r>
      <w:r w:rsidRPr="00CB6F3B">
        <w:rPr>
          <w:rFonts w:ascii="Times New Roman" w:hAnsi="Times New Roman" w:cs="Times New Roman"/>
          <w:noProof/>
          <w:sz w:val="24"/>
          <w:szCs w:val="24"/>
        </w:rPr>
        <w:tab/>
        <w:t xml:space="preserve">Griffiths BS, de Groot GA, Laros I, Stone D, Geisen S. The need for standardisation: Exemplified by a description of the diversity, community structure and ecological indices of soil nematodes. </w:t>
      </w:r>
      <w:r w:rsidRPr="00CB6F3B">
        <w:rPr>
          <w:rFonts w:ascii="Times New Roman" w:hAnsi="Times New Roman" w:cs="Times New Roman"/>
          <w:i/>
          <w:iCs/>
          <w:noProof/>
          <w:sz w:val="24"/>
          <w:szCs w:val="24"/>
        </w:rPr>
        <w:t>Ecol Indic</w:t>
      </w:r>
      <w:r w:rsidRPr="00CB6F3B">
        <w:rPr>
          <w:rFonts w:ascii="Times New Roman" w:hAnsi="Times New Roman" w:cs="Times New Roman"/>
          <w:noProof/>
          <w:sz w:val="24"/>
          <w:szCs w:val="24"/>
        </w:rPr>
        <w:t xml:space="preserve"> 2018; </w:t>
      </w:r>
      <w:r w:rsidRPr="00CB6F3B">
        <w:rPr>
          <w:rFonts w:ascii="Times New Roman" w:hAnsi="Times New Roman" w:cs="Times New Roman"/>
          <w:b/>
          <w:bCs/>
          <w:noProof/>
          <w:sz w:val="24"/>
          <w:szCs w:val="24"/>
        </w:rPr>
        <w:t>87</w:t>
      </w:r>
      <w:r w:rsidRPr="00CB6F3B">
        <w:rPr>
          <w:rFonts w:ascii="Times New Roman" w:hAnsi="Times New Roman" w:cs="Times New Roman"/>
          <w:noProof/>
          <w:sz w:val="24"/>
          <w:szCs w:val="24"/>
        </w:rPr>
        <w:t xml:space="preserve">: 43–46. </w:t>
      </w:r>
    </w:p>
    <w:p w14:paraId="6360FD6F"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62. </w:t>
      </w:r>
      <w:r w:rsidRPr="00CB6F3B">
        <w:rPr>
          <w:rFonts w:ascii="Times New Roman" w:hAnsi="Times New Roman" w:cs="Times New Roman"/>
          <w:noProof/>
          <w:sz w:val="24"/>
          <w:szCs w:val="24"/>
        </w:rPr>
        <w:tab/>
        <w:t xml:space="preserve">Marquina D, Esparza-Salas R, Roslin T, Ronquist F. Establishing arthropod community composition using metabarcoding: Surprising inconsistencies between soil samples and preservative ethanol and homogenate from Malaise trap catches. </w:t>
      </w:r>
      <w:r w:rsidRPr="00CB6F3B">
        <w:rPr>
          <w:rFonts w:ascii="Times New Roman" w:hAnsi="Times New Roman" w:cs="Times New Roman"/>
          <w:i/>
          <w:iCs/>
          <w:noProof/>
          <w:sz w:val="24"/>
          <w:szCs w:val="24"/>
        </w:rPr>
        <w:t>Mol Ecol Resour</w:t>
      </w:r>
      <w:r w:rsidRPr="00CB6F3B">
        <w:rPr>
          <w:rFonts w:ascii="Times New Roman" w:hAnsi="Times New Roman" w:cs="Times New Roman"/>
          <w:noProof/>
          <w:sz w:val="24"/>
          <w:szCs w:val="24"/>
        </w:rPr>
        <w:t xml:space="preserve"> 2019; </w:t>
      </w:r>
      <w:r w:rsidRPr="00CB6F3B">
        <w:rPr>
          <w:rFonts w:ascii="Times New Roman" w:hAnsi="Times New Roman" w:cs="Times New Roman"/>
          <w:b/>
          <w:bCs/>
          <w:noProof/>
          <w:sz w:val="24"/>
          <w:szCs w:val="24"/>
        </w:rPr>
        <w:t>19</w:t>
      </w:r>
      <w:r w:rsidRPr="00CB6F3B">
        <w:rPr>
          <w:rFonts w:ascii="Times New Roman" w:hAnsi="Times New Roman" w:cs="Times New Roman"/>
          <w:noProof/>
          <w:sz w:val="24"/>
          <w:szCs w:val="24"/>
        </w:rPr>
        <w:t xml:space="preserve">: 1516–1530. </w:t>
      </w:r>
    </w:p>
    <w:p w14:paraId="1AE7659E"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63. </w:t>
      </w:r>
      <w:r w:rsidRPr="00CB6F3B">
        <w:rPr>
          <w:rFonts w:ascii="Times New Roman" w:hAnsi="Times New Roman" w:cs="Times New Roman"/>
          <w:noProof/>
          <w:sz w:val="24"/>
          <w:szCs w:val="24"/>
        </w:rPr>
        <w:tab/>
        <w:t xml:space="preserve">Eloe-Fadrosh EA, Ivanova NN, Woyke T, Kyrpides NC. Metagenomics uncovers gaps in amplicon-based detection of microbial diversity. </w:t>
      </w:r>
      <w:r w:rsidRPr="00CB6F3B">
        <w:rPr>
          <w:rFonts w:ascii="Times New Roman" w:hAnsi="Times New Roman" w:cs="Times New Roman"/>
          <w:i/>
          <w:iCs/>
          <w:noProof/>
          <w:sz w:val="24"/>
          <w:szCs w:val="24"/>
        </w:rPr>
        <w:t>Nat Microbiol</w:t>
      </w:r>
      <w:r w:rsidRPr="00CB6F3B">
        <w:rPr>
          <w:rFonts w:ascii="Times New Roman" w:hAnsi="Times New Roman" w:cs="Times New Roman"/>
          <w:noProof/>
          <w:sz w:val="24"/>
          <w:szCs w:val="24"/>
        </w:rPr>
        <w:t xml:space="preserve"> 2016; </w:t>
      </w:r>
      <w:r w:rsidRPr="00CB6F3B">
        <w:rPr>
          <w:rFonts w:ascii="Times New Roman" w:hAnsi="Times New Roman" w:cs="Times New Roman"/>
          <w:b/>
          <w:bCs/>
          <w:noProof/>
          <w:sz w:val="24"/>
          <w:szCs w:val="24"/>
        </w:rPr>
        <w:t>1</w:t>
      </w:r>
      <w:r w:rsidRPr="00CB6F3B">
        <w:rPr>
          <w:rFonts w:ascii="Times New Roman" w:hAnsi="Times New Roman" w:cs="Times New Roman"/>
          <w:noProof/>
          <w:sz w:val="24"/>
          <w:szCs w:val="24"/>
        </w:rPr>
        <w:t xml:space="preserve">: 1–4. </w:t>
      </w:r>
    </w:p>
    <w:p w14:paraId="3A320D28"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64. </w:t>
      </w:r>
      <w:r w:rsidRPr="00CB6F3B">
        <w:rPr>
          <w:rFonts w:ascii="Times New Roman" w:hAnsi="Times New Roman" w:cs="Times New Roman"/>
          <w:noProof/>
          <w:sz w:val="24"/>
          <w:szCs w:val="24"/>
        </w:rPr>
        <w:tab/>
        <w:t xml:space="preserve">Thomas AC, Deagle BE, Eveson JP, Harsch CH, Trites AW. Quantitative DNA metabarcoding : improved estimates of species proportional biomass using correction factors derived from control material. 2016; 714–726. </w:t>
      </w:r>
    </w:p>
    <w:p w14:paraId="2D2F7832"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65. </w:t>
      </w:r>
      <w:r w:rsidRPr="00CB6F3B">
        <w:rPr>
          <w:rFonts w:ascii="Times New Roman" w:hAnsi="Times New Roman" w:cs="Times New Roman"/>
          <w:noProof/>
          <w:sz w:val="24"/>
          <w:szCs w:val="24"/>
        </w:rPr>
        <w:tab/>
        <w:t xml:space="preserve">Gerstner K, Moreno-Mateos D, Gurevitch J, Beckmann M, Kambach S, Jones HP, et al. Will your paper be used in a meta-analysis? Make the reach of your research broader and longer lasting. </w:t>
      </w:r>
      <w:r w:rsidRPr="00CB6F3B">
        <w:rPr>
          <w:rFonts w:ascii="Times New Roman" w:hAnsi="Times New Roman" w:cs="Times New Roman"/>
          <w:i/>
          <w:iCs/>
          <w:noProof/>
          <w:sz w:val="24"/>
          <w:szCs w:val="24"/>
        </w:rPr>
        <w:t>Methods Ecol Evol</w:t>
      </w:r>
      <w:r w:rsidRPr="00CB6F3B">
        <w:rPr>
          <w:rFonts w:ascii="Times New Roman" w:hAnsi="Times New Roman" w:cs="Times New Roman"/>
          <w:noProof/>
          <w:sz w:val="24"/>
          <w:szCs w:val="24"/>
        </w:rPr>
        <w:t xml:space="preserve"> . 2017. British Ecological Society. , </w:t>
      </w:r>
      <w:r w:rsidRPr="00CB6F3B">
        <w:rPr>
          <w:rFonts w:ascii="Times New Roman" w:hAnsi="Times New Roman" w:cs="Times New Roman"/>
          <w:b/>
          <w:bCs/>
          <w:noProof/>
          <w:sz w:val="24"/>
          <w:szCs w:val="24"/>
        </w:rPr>
        <w:t>8</w:t>
      </w:r>
      <w:r w:rsidRPr="00CB6F3B">
        <w:rPr>
          <w:rFonts w:ascii="Times New Roman" w:hAnsi="Times New Roman" w:cs="Times New Roman"/>
          <w:noProof/>
          <w:sz w:val="24"/>
          <w:szCs w:val="24"/>
        </w:rPr>
        <w:t>: 777–784</w:t>
      </w:r>
    </w:p>
    <w:p w14:paraId="1122E6A4"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szCs w:val="24"/>
        </w:rPr>
      </w:pPr>
      <w:r w:rsidRPr="00CB6F3B">
        <w:rPr>
          <w:rFonts w:ascii="Times New Roman" w:hAnsi="Times New Roman" w:cs="Times New Roman"/>
          <w:noProof/>
          <w:sz w:val="24"/>
          <w:szCs w:val="24"/>
        </w:rPr>
        <w:t xml:space="preserve">66. </w:t>
      </w:r>
      <w:r w:rsidRPr="00CB6F3B">
        <w:rPr>
          <w:rFonts w:ascii="Times New Roman" w:hAnsi="Times New Roman" w:cs="Times New Roman"/>
          <w:noProof/>
          <w:sz w:val="24"/>
          <w:szCs w:val="24"/>
        </w:rPr>
        <w:tab/>
        <w:t xml:space="preserve">Swift MJ, Heal OW, Anderson JM, Anderson JM. Decomposition in terrestrial ecosystems. 1979. Univ of California Press. </w:t>
      </w:r>
    </w:p>
    <w:p w14:paraId="02F6D834" w14:textId="77777777" w:rsidR="002D2AE8" w:rsidRPr="00CB6F3B" w:rsidRDefault="002D2AE8" w:rsidP="002D2AE8">
      <w:pPr>
        <w:widowControl w:val="0"/>
        <w:autoSpaceDE w:val="0"/>
        <w:autoSpaceDN w:val="0"/>
        <w:adjustRightInd w:val="0"/>
        <w:spacing w:line="240" w:lineRule="auto"/>
        <w:ind w:left="640" w:hanging="640"/>
        <w:rPr>
          <w:rFonts w:ascii="Times New Roman" w:hAnsi="Times New Roman" w:cs="Times New Roman"/>
          <w:noProof/>
          <w:sz w:val="24"/>
        </w:rPr>
      </w:pPr>
      <w:r w:rsidRPr="00CB6F3B">
        <w:rPr>
          <w:rFonts w:ascii="Times New Roman" w:hAnsi="Times New Roman" w:cs="Times New Roman"/>
          <w:noProof/>
          <w:sz w:val="24"/>
          <w:szCs w:val="24"/>
        </w:rPr>
        <w:t xml:space="preserve">67. </w:t>
      </w:r>
      <w:r w:rsidRPr="00CB6F3B">
        <w:rPr>
          <w:rFonts w:ascii="Times New Roman" w:hAnsi="Times New Roman" w:cs="Times New Roman"/>
          <w:noProof/>
          <w:sz w:val="24"/>
          <w:szCs w:val="24"/>
        </w:rPr>
        <w:tab/>
        <w:t xml:space="preserve">Kéry M. Introduction to WinBUGS for ecologists: Bayesian approach to regression, ANOVA, mixed models and related analyses. 2010. Academic Press. </w:t>
      </w:r>
    </w:p>
    <w:p w14:paraId="34BB1BE1" w14:textId="5B7C80B8" w:rsidR="00F73FBD" w:rsidRPr="00CB6F3B" w:rsidRDefault="00F73FBD" w:rsidP="005D7AFC">
      <w:pPr>
        <w:rPr>
          <w:rFonts w:ascii="Times New Roman" w:hAnsi="Times New Roman" w:cs="Times New Roman"/>
          <w:sz w:val="24"/>
          <w:szCs w:val="24"/>
        </w:rPr>
      </w:pPr>
      <w:r w:rsidRPr="00CB6F3B">
        <w:rPr>
          <w:rFonts w:ascii="Times New Roman" w:hAnsi="Times New Roman" w:cs="Times New Roman"/>
          <w:sz w:val="24"/>
          <w:szCs w:val="24"/>
        </w:rPr>
        <w:fldChar w:fldCharType="end"/>
      </w:r>
    </w:p>
    <w:p w14:paraId="0E15B707" w14:textId="77777777" w:rsidR="001C37AE" w:rsidRPr="00CB6F3B" w:rsidRDefault="001C37AE" w:rsidP="001C37AE">
      <w:pPr>
        <w:rPr>
          <w:rFonts w:ascii="Times New Roman" w:hAnsi="Times New Roman" w:cs="Times New Roman"/>
          <w:sz w:val="24"/>
          <w:szCs w:val="24"/>
        </w:rPr>
      </w:pPr>
    </w:p>
    <w:p w14:paraId="6B55D093" w14:textId="77777777" w:rsidR="00AA6269" w:rsidRPr="00CB6F3B" w:rsidRDefault="00AA6269">
      <w:pPr>
        <w:rPr>
          <w:rFonts w:ascii="Times New Roman" w:hAnsi="Times New Roman" w:cs="Times New Roman"/>
          <w:b/>
          <w:sz w:val="24"/>
          <w:szCs w:val="24"/>
        </w:rPr>
      </w:pPr>
      <w:r w:rsidRPr="00CB6F3B">
        <w:rPr>
          <w:rFonts w:ascii="Times New Roman" w:hAnsi="Times New Roman" w:cs="Times New Roman"/>
          <w:b/>
          <w:sz w:val="24"/>
          <w:szCs w:val="24"/>
        </w:rPr>
        <w:lastRenderedPageBreak/>
        <w:br w:type="page"/>
      </w:r>
    </w:p>
    <w:p w14:paraId="023462E1" w14:textId="6550E45E" w:rsidR="00AA6269" w:rsidRPr="00CB6F3B" w:rsidRDefault="00AA6269" w:rsidP="00AA6269">
      <w:pPr>
        <w:rPr>
          <w:rFonts w:ascii="Times New Roman" w:hAnsi="Times New Roman" w:cs="Times New Roman"/>
          <w:b/>
          <w:sz w:val="24"/>
          <w:szCs w:val="24"/>
        </w:rPr>
      </w:pPr>
      <w:r w:rsidRPr="00CB6F3B">
        <w:rPr>
          <w:rFonts w:ascii="Times New Roman" w:hAnsi="Times New Roman" w:cs="Times New Roman"/>
          <w:b/>
          <w:sz w:val="24"/>
          <w:szCs w:val="24"/>
        </w:rPr>
        <w:lastRenderedPageBreak/>
        <w:t>FIGURES AND CAPTIONS</w:t>
      </w:r>
    </w:p>
    <w:p w14:paraId="2EC1F448" w14:textId="77777777" w:rsidR="00AA6269" w:rsidRPr="00CB6F3B" w:rsidRDefault="00AA6269" w:rsidP="00AA6269">
      <w:pPr>
        <w:rPr>
          <w:rFonts w:ascii="Times New Roman" w:hAnsi="Times New Roman" w:cs="Times New Roman"/>
          <w:b/>
          <w:sz w:val="24"/>
          <w:szCs w:val="24"/>
        </w:rPr>
      </w:pPr>
      <w:r w:rsidRPr="00CB6F3B">
        <w:rPr>
          <w:rFonts w:ascii="Times New Roman" w:hAnsi="Times New Roman" w:cs="Times New Roman"/>
          <w:b/>
          <w:sz w:val="24"/>
          <w:szCs w:val="24"/>
        </w:rPr>
        <w:t>Glossary:</w:t>
      </w:r>
    </w:p>
    <w:p w14:paraId="61C53DE1" w14:textId="77777777" w:rsidR="00AA6269" w:rsidRPr="00CB6F3B" w:rsidRDefault="00AA6269" w:rsidP="00AA6269">
      <w:pPr>
        <w:pStyle w:val="ListParagraph"/>
        <w:numPr>
          <w:ilvl w:val="0"/>
          <w:numId w:val="22"/>
        </w:numPr>
        <w:rPr>
          <w:rFonts w:ascii="Times New Roman" w:hAnsi="Times New Roman" w:cs="Times New Roman"/>
          <w:b/>
          <w:sz w:val="24"/>
          <w:szCs w:val="24"/>
        </w:rPr>
      </w:pPr>
      <w:r w:rsidRPr="00CB6F3B">
        <w:rPr>
          <w:rFonts w:ascii="Times New Roman" w:hAnsi="Times New Roman" w:cs="Times New Roman"/>
          <w:b/>
          <w:sz w:val="24"/>
          <w:szCs w:val="24"/>
        </w:rPr>
        <w:t xml:space="preserve">Amplicon sequencing: </w:t>
      </w:r>
      <w:r w:rsidRPr="00CB6F3B">
        <w:rPr>
          <w:rFonts w:ascii="Times New Roman" w:hAnsi="Times New Roman" w:cs="Times New Roman"/>
          <w:sz w:val="24"/>
          <w:szCs w:val="24"/>
        </w:rPr>
        <w:t xml:space="preserve">the sequencing of a specific genetic sequence, which has been previously amplified through polymerase chain reaction. </w:t>
      </w:r>
    </w:p>
    <w:p w14:paraId="66E3DBC5" w14:textId="77777777" w:rsidR="00AA6269" w:rsidRPr="00CB6F3B" w:rsidRDefault="00AA6269" w:rsidP="00AA6269">
      <w:pPr>
        <w:pStyle w:val="ListParagraph"/>
        <w:numPr>
          <w:ilvl w:val="0"/>
          <w:numId w:val="22"/>
        </w:numPr>
        <w:rPr>
          <w:rFonts w:ascii="Times New Roman" w:hAnsi="Times New Roman" w:cs="Times New Roman"/>
          <w:b/>
          <w:sz w:val="24"/>
          <w:szCs w:val="24"/>
        </w:rPr>
      </w:pPr>
      <w:r w:rsidRPr="00CB6F3B">
        <w:rPr>
          <w:rFonts w:ascii="Times New Roman" w:hAnsi="Times New Roman" w:cs="Times New Roman"/>
          <w:b/>
          <w:sz w:val="24"/>
          <w:szCs w:val="24"/>
        </w:rPr>
        <w:t xml:space="preserve">16S rRNA and 18S rRNA genes: </w:t>
      </w:r>
      <w:r w:rsidRPr="00CB6F3B">
        <w:rPr>
          <w:rFonts w:ascii="Times New Roman" w:hAnsi="Times New Roman" w:cs="Times New Roman"/>
          <w:sz w:val="24"/>
          <w:szCs w:val="24"/>
        </w:rPr>
        <w:t xml:space="preserve">the gene coding for a portion of the small ribosomal subunit in prokaryotes and eukaryotes, respectively. These genes are commonly used as universal marker genes. </w:t>
      </w:r>
    </w:p>
    <w:p w14:paraId="4E72F825" w14:textId="77777777" w:rsidR="00AA6269" w:rsidRPr="00CB6F3B" w:rsidRDefault="00AA6269" w:rsidP="00AA6269">
      <w:pPr>
        <w:pStyle w:val="ListParagraph"/>
        <w:numPr>
          <w:ilvl w:val="0"/>
          <w:numId w:val="22"/>
        </w:numPr>
        <w:rPr>
          <w:rFonts w:ascii="Times New Roman" w:hAnsi="Times New Roman" w:cs="Times New Roman"/>
          <w:b/>
          <w:sz w:val="24"/>
          <w:szCs w:val="24"/>
        </w:rPr>
      </w:pPr>
      <w:r w:rsidRPr="00CB6F3B">
        <w:rPr>
          <w:rFonts w:ascii="Times New Roman" w:hAnsi="Times New Roman" w:cs="Times New Roman"/>
          <w:b/>
          <w:sz w:val="24"/>
          <w:szCs w:val="24"/>
        </w:rPr>
        <w:t xml:space="preserve">COI: </w:t>
      </w:r>
      <w:r w:rsidRPr="00CB6F3B">
        <w:rPr>
          <w:rFonts w:ascii="Times New Roman" w:hAnsi="Times New Roman" w:cs="Times New Roman"/>
          <w:sz w:val="24"/>
          <w:szCs w:val="24"/>
        </w:rPr>
        <w:t xml:space="preserve">the mitochondrially-encoded cytochrome c oxidase gene, commonly used as a universal marker gene of arthropods. </w:t>
      </w:r>
    </w:p>
    <w:p w14:paraId="2BA68CA4" w14:textId="77777777" w:rsidR="00AA6269" w:rsidRPr="00CB6F3B" w:rsidRDefault="00AA6269" w:rsidP="00AA6269">
      <w:pPr>
        <w:pStyle w:val="ListParagraph"/>
        <w:numPr>
          <w:ilvl w:val="0"/>
          <w:numId w:val="22"/>
        </w:numPr>
        <w:rPr>
          <w:rFonts w:ascii="Times New Roman" w:hAnsi="Times New Roman" w:cs="Times New Roman"/>
          <w:b/>
          <w:sz w:val="24"/>
          <w:szCs w:val="24"/>
        </w:rPr>
      </w:pPr>
      <w:r w:rsidRPr="00CB6F3B">
        <w:rPr>
          <w:rFonts w:ascii="Times New Roman" w:hAnsi="Times New Roman" w:cs="Times New Roman"/>
          <w:b/>
          <w:sz w:val="24"/>
          <w:szCs w:val="24"/>
        </w:rPr>
        <w:t xml:space="preserve">ITS: </w:t>
      </w:r>
      <w:r w:rsidRPr="00CB6F3B">
        <w:rPr>
          <w:rFonts w:ascii="Times New Roman" w:hAnsi="Times New Roman" w:cs="Times New Roman"/>
          <w:sz w:val="24"/>
          <w:szCs w:val="24"/>
        </w:rPr>
        <w:t>The internal transcribed spacer region between ribosomal genes, routinely used in the study of fungal communities</w:t>
      </w:r>
    </w:p>
    <w:p w14:paraId="2F6E4A51" w14:textId="77777777" w:rsidR="00AA6269" w:rsidRPr="00CB6F3B" w:rsidRDefault="00AA6269" w:rsidP="00AA6269">
      <w:pPr>
        <w:pStyle w:val="ListParagraph"/>
        <w:numPr>
          <w:ilvl w:val="0"/>
          <w:numId w:val="22"/>
        </w:numPr>
        <w:rPr>
          <w:rFonts w:ascii="Times New Roman" w:hAnsi="Times New Roman" w:cs="Times New Roman"/>
          <w:sz w:val="24"/>
          <w:szCs w:val="24"/>
        </w:rPr>
      </w:pPr>
      <w:r w:rsidRPr="00CB6F3B">
        <w:rPr>
          <w:rFonts w:ascii="Times New Roman" w:hAnsi="Times New Roman" w:cs="Times New Roman"/>
          <w:b/>
          <w:sz w:val="24"/>
          <w:szCs w:val="24"/>
        </w:rPr>
        <w:t xml:space="preserve">OTU: </w:t>
      </w:r>
      <w:r w:rsidRPr="00CB6F3B">
        <w:rPr>
          <w:rFonts w:ascii="Times New Roman" w:hAnsi="Times New Roman" w:cs="Times New Roman"/>
          <w:sz w:val="24"/>
          <w:szCs w:val="24"/>
        </w:rPr>
        <w:t xml:space="preserve">operational definition used to classify taxa into groups according to the similarity in their genes. The commonly used bacterial OTU is defined as 97% similarity in the 16S rRNA gene. </w:t>
      </w:r>
    </w:p>
    <w:p w14:paraId="3525DDFE" w14:textId="77777777" w:rsidR="00AA6269" w:rsidRPr="00CB6F3B" w:rsidRDefault="00AA6269" w:rsidP="00AA6269">
      <w:pPr>
        <w:pStyle w:val="ListParagraph"/>
        <w:numPr>
          <w:ilvl w:val="0"/>
          <w:numId w:val="22"/>
        </w:numPr>
        <w:rPr>
          <w:rFonts w:ascii="Times New Roman" w:hAnsi="Times New Roman" w:cs="Times New Roman"/>
          <w:sz w:val="24"/>
          <w:szCs w:val="24"/>
        </w:rPr>
      </w:pPr>
      <w:r w:rsidRPr="00CB6F3B">
        <w:rPr>
          <w:rFonts w:ascii="Times New Roman" w:hAnsi="Times New Roman" w:cs="Times New Roman"/>
          <w:b/>
          <w:sz w:val="24"/>
          <w:szCs w:val="24"/>
        </w:rPr>
        <w:t>Intragenomic polymorphisms:</w:t>
      </w:r>
      <w:r w:rsidRPr="00CB6F3B">
        <w:rPr>
          <w:rFonts w:ascii="Times New Roman" w:hAnsi="Times New Roman" w:cs="Times New Roman"/>
          <w:sz w:val="24"/>
          <w:szCs w:val="24"/>
        </w:rPr>
        <w:t xml:space="preserve"> the occurrence of multiple variants of a gene in a single organism.</w:t>
      </w:r>
    </w:p>
    <w:p w14:paraId="74A7EAAD" w14:textId="33A9250B" w:rsidR="00AC1C73" w:rsidRPr="00CB6F3B" w:rsidRDefault="00AC1C73" w:rsidP="00AC1C73">
      <w:pPr>
        <w:pStyle w:val="ListParagraph"/>
        <w:numPr>
          <w:ilvl w:val="0"/>
          <w:numId w:val="22"/>
        </w:numPr>
        <w:rPr>
          <w:rFonts w:ascii="Times New Roman" w:hAnsi="Times New Roman" w:cs="Times New Roman"/>
          <w:sz w:val="24"/>
          <w:szCs w:val="24"/>
        </w:rPr>
      </w:pPr>
      <w:r w:rsidRPr="00CB6F3B">
        <w:rPr>
          <w:rFonts w:ascii="Times New Roman" w:hAnsi="Times New Roman" w:cs="Times New Roman"/>
          <w:b/>
          <w:sz w:val="24"/>
          <w:szCs w:val="24"/>
        </w:rPr>
        <w:t xml:space="preserve">Compositional data: </w:t>
      </w:r>
      <w:r w:rsidRPr="00CB6F3B">
        <w:rPr>
          <w:rFonts w:ascii="Times New Roman" w:hAnsi="Times New Roman" w:cs="Times New Roman"/>
          <w:sz w:val="24"/>
          <w:szCs w:val="24"/>
        </w:rPr>
        <w:t>each vector in a compositional dataset contains positive real numbers and an u</w:t>
      </w:r>
      <w:r w:rsidRPr="00CB6F3B">
        <w:rPr>
          <w:rFonts w:ascii="Times New Roman" w:hAnsi="Times New Roman" w:cs="Times New Roman"/>
          <w:sz w:val="24"/>
          <w:szCs w:val="24"/>
        </w:rPr>
        <w:t xml:space="preserve">ninformative sum. In the case of amplicon sequencing, the number of observed organisms is </w:t>
      </w:r>
      <w:r w:rsidRPr="00CB6F3B">
        <w:rPr>
          <w:rFonts w:ascii="Times New Roman" w:hAnsi="Times New Roman" w:cs="Times New Roman"/>
          <w:sz w:val="24"/>
          <w:szCs w:val="24"/>
        </w:rPr>
        <w:t>related to the sequencing machinery used rather than to ecological characteristics of the system studied.</w:t>
      </w:r>
    </w:p>
    <w:p w14:paraId="08C22794" w14:textId="5AAB31F2" w:rsidR="00AA6269" w:rsidRPr="00CB6F3B" w:rsidRDefault="00AA6269" w:rsidP="00AA6269">
      <w:pPr>
        <w:pStyle w:val="ListParagraph"/>
        <w:numPr>
          <w:ilvl w:val="0"/>
          <w:numId w:val="22"/>
        </w:numPr>
        <w:rPr>
          <w:rFonts w:ascii="Times New Roman" w:hAnsi="Times New Roman" w:cs="Times New Roman"/>
          <w:b/>
          <w:sz w:val="24"/>
          <w:szCs w:val="24"/>
        </w:rPr>
      </w:pPr>
      <w:r w:rsidRPr="00CB6F3B">
        <w:rPr>
          <w:rFonts w:ascii="Times New Roman" w:hAnsi="Times New Roman" w:cs="Times New Roman"/>
          <w:b/>
          <w:sz w:val="24"/>
          <w:szCs w:val="24"/>
        </w:rPr>
        <w:t xml:space="preserve">Rarefaction: </w:t>
      </w:r>
      <w:r w:rsidRPr="00CB6F3B">
        <w:rPr>
          <w:rFonts w:ascii="Times New Roman" w:hAnsi="Times New Roman" w:cs="Times New Roman"/>
          <w:sz w:val="24"/>
          <w:szCs w:val="24"/>
        </w:rPr>
        <w:t xml:space="preserve">standardization of observation depth, or effort across samples. </w:t>
      </w:r>
      <w:r w:rsidRPr="00CB6F3B">
        <w:rPr>
          <w:rFonts w:ascii="Times New Roman" w:hAnsi="Times New Roman" w:cs="Times New Roman"/>
          <w:b/>
          <w:sz w:val="24"/>
          <w:szCs w:val="24"/>
        </w:rPr>
        <w:t xml:space="preserve"> </w:t>
      </w:r>
    </w:p>
    <w:p w14:paraId="1B750520" w14:textId="77777777" w:rsidR="00AA6269" w:rsidRPr="00CB6F3B" w:rsidRDefault="00AA6269" w:rsidP="00AA6269">
      <w:pPr>
        <w:pStyle w:val="ListParagraph"/>
        <w:numPr>
          <w:ilvl w:val="0"/>
          <w:numId w:val="22"/>
        </w:numPr>
        <w:rPr>
          <w:rFonts w:ascii="Times New Roman" w:hAnsi="Times New Roman" w:cs="Times New Roman"/>
          <w:b/>
          <w:sz w:val="24"/>
          <w:szCs w:val="24"/>
        </w:rPr>
      </w:pPr>
      <w:r w:rsidRPr="00CB6F3B">
        <w:rPr>
          <w:rFonts w:ascii="Times New Roman" w:hAnsi="Times New Roman" w:cs="Times New Roman"/>
          <w:b/>
          <w:sz w:val="24"/>
          <w:szCs w:val="24"/>
        </w:rPr>
        <w:t xml:space="preserve">Benchmarking: </w:t>
      </w:r>
      <w:r w:rsidRPr="00CB6F3B">
        <w:rPr>
          <w:rFonts w:ascii="Times New Roman" w:hAnsi="Times New Roman" w:cs="Times New Roman"/>
          <w:sz w:val="24"/>
          <w:szCs w:val="24"/>
        </w:rPr>
        <w:t>empirically comparing methods</w:t>
      </w:r>
    </w:p>
    <w:p w14:paraId="7352647A" w14:textId="77777777" w:rsidR="00AA6269" w:rsidRPr="00CB6F3B" w:rsidRDefault="00AA6269" w:rsidP="00AA6269">
      <w:pPr>
        <w:pStyle w:val="ListParagraph"/>
        <w:numPr>
          <w:ilvl w:val="0"/>
          <w:numId w:val="22"/>
        </w:numPr>
        <w:rPr>
          <w:rFonts w:ascii="Times New Roman" w:eastAsia="Times New Roman" w:hAnsi="Times New Roman" w:cs="Times New Roman"/>
          <w:sz w:val="24"/>
          <w:szCs w:val="24"/>
        </w:rPr>
      </w:pPr>
      <w:r w:rsidRPr="00CB6F3B">
        <w:rPr>
          <w:rFonts w:ascii="Times New Roman" w:hAnsi="Times New Roman" w:cs="Times New Roman"/>
          <w:b/>
          <w:sz w:val="24"/>
          <w:szCs w:val="24"/>
        </w:rPr>
        <w:t xml:space="preserve">Occupancy models: </w:t>
      </w:r>
      <w:r w:rsidRPr="00CB6F3B">
        <w:rPr>
          <w:rFonts w:ascii="Times New Roman" w:hAnsi="Times New Roman" w:cs="Times New Roman"/>
          <w:sz w:val="24"/>
          <w:szCs w:val="24"/>
        </w:rPr>
        <w:t xml:space="preserve">a </w:t>
      </w:r>
      <w:r w:rsidRPr="00CB6F3B">
        <w:rPr>
          <w:rFonts w:ascii="Times New Roman" w:eastAsia="Times New Roman" w:hAnsi="Times New Roman" w:cs="Times New Roman"/>
          <w:sz w:val="24"/>
          <w:szCs w:val="24"/>
        </w:rPr>
        <w:t>toolset that accounts for the biases caused by imperfect detection using hierarchical statistical models (see Figure 4).</w:t>
      </w:r>
    </w:p>
    <w:p w14:paraId="3AE5A3F1" w14:textId="77777777" w:rsidR="00AA6269" w:rsidRPr="00CB6F3B" w:rsidRDefault="00AA6269" w:rsidP="00AA6269">
      <w:pPr>
        <w:rPr>
          <w:rFonts w:ascii="Times New Roman" w:hAnsi="Times New Roman" w:cs="Times New Roman"/>
          <w:sz w:val="24"/>
          <w:szCs w:val="24"/>
        </w:rPr>
      </w:pPr>
    </w:p>
    <w:p w14:paraId="23E61301" w14:textId="3E7D0391" w:rsidR="00AA6269" w:rsidRPr="00CB6F3B" w:rsidRDefault="00AA6269" w:rsidP="00AA6269">
      <w:pPr>
        <w:rPr>
          <w:rFonts w:ascii="Times New Roman" w:hAnsi="Times New Roman" w:cs="Times New Roman"/>
          <w:sz w:val="24"/>
          <w:szCs w:val="24"/>
        </w:rPr>
      </w:pPr>
      <w:r w:rsidRPr="00CB6F3B">
        <w:rPr>
          <w:rFonts w:ascii="Times New Roman" w:hAnsi="Times New Roman" w:cs="Times New Roman"/>
          <w:b/>
          <w:sz w:val="24"/>
          <w:szCs w:val="24"/>
        </w:rPr>
        <w:t>Figure 1.</w:t>
      </w:r>
      <w:r w:rsidRPr="00CB6F3B">
        <w:rPr>
          <w:rFonts w:ascii="Times New Roman" w:hAnsi="Times New Roman" w:cs="Times New Roman"/>
          <w:sz w:val="24"/>
          <w:szCs w:val="24"/>
        </w:rPr>
        <w:t xml:space="preserve"> Issues arising from variation in morphology. (a) Soil biota comprise a broad range of  sizes (adapted from </w:t>
      </w:r>
      <w:r w:rsidRPr="00CB6F3B">
        <w:rPr>
          <w:rFonts w:ascii="Times New Roman" w:hAnsi="Times New Roman" w:cs="Times New Roman"/>
          <w:sz w:val="24"/>
          <w:szCs w:val="24"/>
        </w:rPr>
        <w:fldChar w:fldCharType="begin" w:fldLock="1"/>
      </w:r>
      <w:r w:rsidR="002D2AE8" w:rsidRPr="00CB6F3B">
        <w:rPr>
          <w:rFonts w:ascii="Times New Roman" w:hAnsi="Times New Roman" w:cs="Times New Roman"/>
          <w:sz w:val="24"/>
          <w:szCs w:val="24"/>
        </w:rPr>
        <w:instrText>ADDIN CSL_CITATION {"citationItems":[{"id":"ITEM-1","itemData":{"ISBN":"0520040015","author":[{"dropping-particle":"","family":"Swift","given":"Michael John","non-dropping-particle":"","parse-names":false,"suffix":""},{"dropping-particle":"","family":"Heal","given":"Oliver W","non-dropping-particle":"","parse-names":false,"suffix":""},{"dropping-particle":"","family":"Anderson","given":"Jonathan Michael","non-dropping-particle":"","parse-names":false,"suffix":""},{"dropping-particle":"","family":"Anderson","given":"J M","non-dropping-particle":"","parse-names":false,"suffix":""}],"id":"ITEM-1","issued":{"date-parts":[["1979"]]},"publisher":"Univ of California Press","title":"Decomposition in terrestrial ecosystems","type":"book","volume":"5"},"uris":["http://www.mendeley.com/documents/?uuid=6cff86c4-6698-4cc6-afdd-ce9d1a2fb551"]}],"mendeley":{"formattedCitation":"[66]","plainTextFormattedCitation":"[66]","previouslyFormattedCitation":"[68]"},"properties":{"noteIndex":0},"schema":"https://github.com/citation-style-language/schema/raw/master/csl-citation.json"}</w:instrText>
      </w:r>
      <w:r w:rsidRPr="00CB6F3B">
        <w:rPr>
          <w:rFonts w:ascii="Times New Roman" w:hAnsi="Times New Roman" w:cs="Times New Roman"/>
          <w:sz w:val="24"/>
          <w:szCs w:val="24"/>
        </w:rPr>
        <w:fldChar w:fldCharType="separate"/>
      </w:r>
      <w:r w:rsidR="002D2AE8" w:rsidRPr="00CB6F3B">
        <w:rPr>
          <w:rFonts w:ascii="Times New Roman" w:hAnsi="Times New Roman" w:cs="Times New Roman"/>
          <w:noProof/>
          <w:sz w:val="24"/>
          <w:szCs w:val="24"/>
        </w:rPr>
        <w:t>[66]</w:t>
      </w:r>
      <w:r w:rsidRPr="00CB6F3B">
        <w:rPr>
          <w:rFonts w:ascii="Times New Roman" w:hAnsi="Times New Roman" w:cs="Times New Roman"/>
          <w:sz w:val="24"/>
          <w:szCs w:val="24"/>
        </w:rPr>
        <w:fldChar w:fldCharType="end"/>
      </w:r>
      <w:r w:rsidRPr="00CB6F3B">
        <w:rPr>
          <w:rFonts w:ascii="Times New Roman" w:hAnsi="Times New Roman" w:cs="Times New Roman"/>
          <w:sz w:val="24"/>
          <w:szCs w:val="24"/>
        </w:rPr>
        <w:t xml:space="preserve">). (b) The ideal scenario for amplicon sequencing-based studies is that a sequenced read is equivalent to an organism, or proportional to its abundance. (c) The multicellularity of eukaryotes results in an overestimation of the abundance according to body size, while (d) the abundance of organisms with multiple copies of the marker gene per cell will also be overestimated. Finally, (e) organisms which contain multiple, different copies of the marker gene (intragenomic polymorphisms) may be estimated as several species. These biases affect estimates of (f) diversity, (g) the total abundance of organisms, and (h) estimates of the abundances of specific species. In the case of intragenomic polymorphisms, compositional data may be biased by the incorrect classification of different sequences from a single organism as multiple species, indicated by error bars.  </w:t>
      </w:r>
    </w:p>
    <w:p w14:paraId="78C1D388" w14:textId="77777777" w:rsidR="00AA6269" w:rsidRPr="00CB6F3B" w:rsidRDefault="00AA6269" w:rsidP="00AA6269">
      <w:pPr>
        <w:rPr>
          <w:rFonts w:ascii="Times New Roman" w:hAnsi="Times New Roman" w:cs="Times New Roman"/>
          <w:sz w:val="24"/>
          <w:szCs w:val="24"/>
        </w:rPr>
      </w:pPr>
      <w:r w:rsidRPr="00CB6F3B">
        <w:rPr>
          <w:rFonts w:ascii="Times New Roman" w:hAnsi="Times New Roman" w:cs="Times New Roman"/>
          <w:b/>
          <w:sz w:val="24"/>
          <w:szCs w:val="24"/>
        </w:rPr>
        <w:t>Figure 2.</w:t>
      </w:r>
      <w:r w:rsidRPr="00CB6F3B">
        <w:rPr>
          <w:rFonts w:ascii="Times New Roman" w:hAnsi="Times New Roman" w:cs="Times New Roman"/>
          <w:sz w:val="24"/>
          <w:szCs w:val="24"/>
        </w:rPr>
        <w:t xml:space="preserve"> Issues arising from variations in phylogeny and taxonomy.  (a) The ideal scenario for amplicon sequencing-based studies is that a taxonomic unit is equivalent to a species, and that all species are detected; however (b) primer mismatches result in the systematic exclusion of certain branches of the phylogenetic tree which are not captured by the selected primer set, resulting in the omission of present taxa. (c) Differing evolutionary rates among clades may result in the clustering of several species into one, and (d) the taxonomic classification of species may greatly differ from the sequence-based phylogeny. (e) all three phenomena may bias estimates of biodiversity, however the difference between taxonomic </w:t>
      </w:r>
      <w:r w:rsidRPr="00CB6F3B">
        <w:rPr>
          <w:rFonts w:ascii="Times New Roman" w:hAnsi="Times New Roman" w:cs="Times New Roman"/>
          <w:sz w:val="24"/>
          <w:szCs w:val="24"/>
        </w:rPr>
        <w:lastRenderedPageBreak/>
        <w:t xml:space="preserve">and sequence-based phylogenetic classifications may result in over- or underestimation of diversity, indicated by grey lines. </w:t>
      </w:r>
    </w:p>
    <w:p w14:paraId="3EDD0670" w14:textId="77777777" w:rsidR="00AA6269" w:rsidRPr="00CB6F3B" w:rsidRDefault="00AA6269" w:rsidP="00AA6269">
      <w:pPr>
        <w:rPr>
          <w:rFonts w:ascii="Times New Roman" w:hAnsi="Times New Roman" w:cs="Times New Roman"/>
          <w:sz w:val="24"/>
          <w:szCs w:val="24"/>
        </w:rPr>
      </w:pPr>
    </w:p>
    <w:p w14:paraId="24B4048D" w14:textId="77777777" w:rsidR="00AA6269" w:rsidRPr="00CB6F3B" w:rsidRDefault="00AA6269" w:rsidP="00AA6269">
      <w:pPr>
        <w:rPr>
          <w:rFonts w:ascii="Times New Roman" w:eastAsia="Times New Roman" w:hAnsi="Times New Roman" w:cs="Times New Roman"/>
          <w:sz w:val="24"/>
          <w:szCs w:val="24"/>
        </w:rPr>
      </w:pPr>
      <w:r w:rsidRPr="00CB6F3B">
        <w:rPr>
          <w:rFonts w:ascii="Times New Roman" w:eastAsia="Times New Roman" w:hAnsi="Times New Roman" w:cs="Times New Roman"/>
          <w:b/>
          <w:sz w:val="24"/>
          <w:szCs w:val="24"/>
        </w:rPr>
        <w:t xml:space="preserve">Figure 3. </w:t>
      </w:r>
      <w:r w:rsidRPr="00CB6F3B">
        <w:rPr>
          <w:rFonts w:ascii="Times New Roman" w:eastAsia="Times New Roman" w:hAnsi="Times New Roman" w:cs="Times New Roman"/>
          <w:sz w:val="24"/>
          <w:szCs w:val="24"/>
        </w:rPr>
        <w:t>Spatial sampling issues that affect average species richness per sample (</w:t>
      </w:r>
      <m:oMath>
        <m:acc>
          <m:accPr>
            <m:chr m:val="̅"/>
            <m:ctrlPr>
              <w:rPr>
                <w:rFonts w:ascii="Cambria Math" w:eastAsia="Times New Roman" w:hAnsi="Cambria Math" w:cs="Times New Roman"/>
                <w:i/>
                <w:sz w:val="24"/>
                <w:szCs w:val="24"/>
              </w:rPr>
            </m:ctrlPr>
          </m:accPr>
          <m:e>
            <m:r>
              <w:rPr>
                <w:rFonts w:ascii="Cambria Math" w:eastAsia="Times New Roman" w:hAnsi="Cambria Math" w:cs="Times New Roman"/>
                <w:sz w:val="24"/>
                <w:szCs w:val="24"/>
              </w:rPr>
              <m:t>α</m:t>
            </m:r>
          </m:e>
        </m:acc>
      </m:oMath>
      <w:r w:rsidRPr="00CB6F3B">
        <w:rPr>
          <w:rFonts w:ascii="Times New Roman" w:eastAsia="Times New Roman" w:hAnsi="Times New Roman" w:cs="Times New Roman"/>
          <w:sz w:val="24"/>
          <w:szCs w:val="24"/>
        </w:rPr>
        <w:t>), total richness across all samples (</w:t>
      </w:r>
      <m:oMath>
        <m:r>
          <w:rPr>
            <w:rFonts w:ascii="Cambria Math" w:eastAsia="Times New Roman" w:hAnsi="Cambria Math" w:cs="Times New Roman"/>
            <w:sz w:val="24"/>
            <w:szCs w:val="24"/>
          </w:rPr>
          <m:t>γ</m:t>
        </m:r>
      </m:oMath>
      <w:r w:rsidRPr="00CB6F3B">
        <w:rPr>
          <w:rFonts w:ascii="Times New Roman" w:eastAsia="Times New Roman" w:hAnsi="Times New Roman" w:cs="Times New Roman"/>
          <w:sz w:val="24"/>
          <w:szCs w:val="24"/>
        </w:rPr>
        <w:t>), and total richness of an entire site, i.e. both within and outside of the samples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γ</m:t>
            </m:r>
          </m:e>
          <m:sub>
            <m:r>
              <w:rPr>
                <w:rFonts w:ascii="Cambria Math" w:eastAsia="Times New Roman" w:hAnsi="Cambria Math" w:cs="Times New Roman"/>
                <w:sz w:val="24"/>
                <w:szCs w:val="24"/>
              </w:rPr>
              <m:t>site</m:t>
            </m:r>
          </m:sub>
        </m:sSub>
      </m:oMath>
      <w:r w:rsidRPr="00CB6F3B">
        <w:rPr>
          <w:rFonts w:ascii="Times New Roman" w:eastAsia="Times New Roman" w:hAnsi="Times New Roman" w:cs="Times New Roman"/>
          <w:sz w:val="24"/>
          <w:szCs w:val="24"/>
        </w:rPr>
        <w:t xml:space="preserve">). All of the expected effects stem from two ubiquitous empirical patterns: the increase of number of taxa with increasing area or volume (taxa-area or taxa-volume relationship) and the Tobler’s law (a.k.a. distance decay of similarity) that states that closer locations are more similar in their taxonomic composition that distant ones </w:t>
      </w:r>
    </w:p>
    <w:p w14:paraId="4EE660D0" w14:textId="1BC47BA1" w:rsidR="00AA6269" w:rsidRPr="00AA6269" w:rsidRDefault="00AA6269" w:rsidP="00AA6269">
      <w:pPr>
        <w:rPr>
          <w:rFonts w:ascii="Times New Roman" w:eastAsia="Times New Roman" w:hAnsi="Times New Roman" w:cs="Times New Roman"/>
          <w:sz w:val="24"/>
          <w:szCs w:val="24"/>
        </w:rPr>
      </w:pPr>
      <w:r w:rsidRPr="00CB6F3B">
        <w:rPr>
          <w:rFonts w:ascii="Times New Roman" w:eastAsia="Times New Roman" w:hAnsi="Times New Roman" w:cs="Times New Roman"/>
          <w:b/>
          <w:sz w:val="24"/>
          <w:szCs w:val="24"/>
        </w:rPr>
        <w:t>Figure 4.</w:t>
      </w:r>
      <w:r w:rsidRPr="00CB6F3B">
        <w:rPr>
          <w:rFonts w:ascii="Times New Roman" w:eastAsia="Times New Roman" w:hAnsi="Times New Roman" w:cs="Times New Roman"/>
          <w:sz w:val="24"/>
          <w:szCs w:val="24"/>
        </w:rPr>
        <w:t xml:space="preserve"> Example of a simple occupancy model that accounts for imperfect detectability when estimating presence/absence of a single species at three sites (based on </w:t>
      </w:r>
      <w:r w:rsidRPr="00CB6F3B">
        <w:rPr>
          <w:rFonts w:ascii="Times New Roman" w:eastAsia="Times New Roman" w:hAnsi="Times New Roman" w:cs="Times New Roman"/>
          <w:sz w:val="24"/>
          <w:szCs w:val="24"/>
        </w:rPr>
        <w:fldChar w:fldCharType="begin" w:fldLock="1"/>
      </w:r>
      <w:r w:rsidR="002D2AE8" w:rsidRPr="00CB6F3B">
        <w:rPr>
          <w:rFonts w:ascii="Times New Roman" w:eastAsia="Times New Roman" w:hAnsi="Times New Roman" w:cs="Times New Roman"/>
          <w:sz w:val="24"/>
          <w:szCs w:val="24"/>
        </w:rPr>
        <w:instrText>ADDIN CSL_CITATION {"citationItems":[{"id":"ITEM-1","itemData":{"ISBN":"0123786061","author":[{"dropping-particle":"","family":"Kéry","given":"Marc","non-dropping-particle":"","parse-names":false,"suffix":""}],"id":"ITEM-1","issued":{"date-parts":[["2010"]]},"publisher":"Academic Press","title":"Introduction to WinBUGS for ecologists: Bayesian approach to regression, ANOVA, mixed models and related analyses","type":"book"},"uris":["http://www.mendeley.com/documents/?uuid=6080b99a-72d9-435b-ad19-516bbbdceaf1"]}],"mendeley":{"formattedCitation":"[67]","plainTextFormattedCitation":"[67]","previouslyFormattedCitation":"[69]"},"properties":{"noteIndex":0},"schema":"https://github.com/citation-style-language/schema/raw/master/csl-citation.json"}</w:instrText>
      </w:r>
      <w:r w:rsidRPr="00CB6F3B">
        <w:rPr>
          <w:rFonts w:ascii="Times New Roman" w:eastAsia="Times New Roman" w:hAnsi="Times New Roman" w:cs="Times New Roman"/>
          <w:sz w:val="24"/>
          <w:szCs w:val="24"/>
        </w:rPr>
        <w:fldChar w:fldCharType="separate"/>
      </w:r>
      <w:r w:rsidR="002D2AE8" w:rsidRPr="00CB6F3B">
        <w:rPr>
          <w:rFonts w:ascii="Times New Roman" w:eastAsia="Times New Roman" w:hAnsi="Times New Roman" w:cs="Times New Roman"/>
          <w:noProof/>
          <w:sz w:val="24"/>
          <w:szCs w:val="24"/>
        </w:rPr>
        <w:t>[67]</w:t>
      </w:r>
      <w:r w:rsidRPr="00CB6F3B">
        <w:rPr>
          <w:rFonts w:ascii="Times New Roman" w:eastAsia="Times New Roman" w:hAnsi="Times New Roman" w:cs="Times New Roman"/>
          <w:sz w:val="24"/>
          <w:szCs w:val="24"/>
        </w:rPr>
        <w:fldChar w:fldCharType="end"/>
      </w:r>
      <w:r w:rsidRPr="00CB6F3B">
        <w:rPr>
          <w:rFonts w:ascii="Times New Roman" w:eastAsia="Times New Roman" w:hAnsi="Times New Roman" w:cs="Times New Roman"/>
          <w:sz w:val="24"/>
          <w:szCs w:val="24"/>
        </w:rPr>
        <w:t xml:space="preserve"> and </w:t>
      </w:r>
      <w:r w:rsidRPr="00CB6F3B">
        <w:rPr>
          <w:rFonts w:ascii="Times New Roman" w:eastAsia="Times New Roman" w:hAnsi="Times New Roman" w:cs="Times New Roman"/>
          <w:sz w:val="24"/>
          <w:szCs w:val="24"/>
        </w:rPr>
        <w:fldChar w:fldCharType="begin" w:fldLock="1"/>
      </w:r>
      <w:r w:rsidR="002D2AE8" w:rsidRPr="00CB6F3B">
        <w:rPr>
          <w:rFonts w:ascii="Times New Roman" w:eastAsia="Times New Roman" w:hAnsi="Times New Roman" w:cs="Times New Roman"/>
          <w:sz w:val="24"/>
          <w:szCs w:val="24"/>
        </w:rPr>
        <w:instrText>ADDIN CSL_CITATION {"citationItems":[{"id":"ITEM-1","itemData":{"ISSN":"0906-7590","author":[{"dropping-particle":"","family":"Guillera‐Arroita","given":"Gurutzeta","non-dropping-particle":"","parse-names":false,"suffix":""}],"container-title":"Ecography","id":"ITEM-1","issue":"2","issued":{"date-parts":[["2017"]]},"page":"281-295","publisher":"Wiley Online Library","title":"Modelling of species distributions, range dynamics and communities under imperfect detection: advances, challenges and opportunities","type":"article-journal","volume":"40"},"uris":["http://www.mendeley.com/documents/?uuid=0c1ad2bf-dbd8-4dab-a832-8f21020579bb"]}],"mendeley":{"formattedCitation":"[59]","plainTextFormattedCitation":"[59]","previouslyFormattedCitation":"[61]"},"properties":{"noteIndex":0},"schema":"https://github.com/citation-style-language/schema/raw/master/csl-citation.json"}</w:instrText>
      </w:r>
      <w:r w:rsidRPr="00CB6F3B">
        <w:rPr>
          <w:rFonts w:ascii="Times New Roman" w:eastAsia="Times New Roman" w:hAnsi="Times New Roman" w:cs="Times New Roman"/>
          <w:sz w:val="24"/>
          <w:szCs w:val="24"/>
        </w:rPr>
        <w:fldChar w:fldCharType="separate"/>
      </w:r>
      <w:r w:rsidR="002D2AE8" w:rsidRPr="00CB6F3B">
        <w:rPr>
          <w:rFonts w:ascii="Times New Roman" w:eastAsia="Times New Roman" w:hAnsi="Times New Roman" w:cs="Times New Roman"/>
          <w:noProof/>
          <w:sz w:val="24"/>
          <w:szCs w:val="24"/>
        </w:rPr>
        <w:t>[59]</w:t>
      </w:r>
      <w:r w:rsidRPr="00CB6F3B">
        <w:rPr>
          <w:rFonts w:ascii="Times New Roman" w:eastAsia="Times New Roman" w:hAnsi="Times New Roman" w:cs="Times New Roman"/>
          <w:sz w:val="24"/>
          <w:szCs w:val="24"/>
        </w:rPr>
        <w:fldChar w:fldCharType="end"/>
      </w:r>
      <w:r w:rsidRPr="00CB6F3B">
        <w:rPr>
          <w:rFonts w:ascii="Times New Roman" w:eastAsia="Times New Roman" w:hAnsi="Times New Roman" w:cs="Times New Roman"/>
          <w:sz w:val="24"/>
          <w:szCs w:val="24"/>
        </w:rPr>
        <w:t xml:space="preserve">). The model has two parts: (1) an occupancy sub-model, which is an ordinary logistic regression of presence/absence against a covariate, and (2) an observation </w:t>
      </w:r>
      <w:proofErr w:type="spellStart"/>
      <w:r w:rsidRPr="00CB6F3B">
        <w:rPr>
          <w:rFonts w:ascii="Times New Roman" w:eastAsia="Times New Roman" w:hAnsi="Times New Roman" w:cs="Times New Roman"/>
          <w:sz w:val="24"/>
          <w:szCs w:val="24"/>
        </w:rPr>
        <w:t>submodel</w:t>
      </w:r>
      <w:proofErr w:type="spellEnd"/>
      <w:r w:rsidRPr="00CB6F3B">
        <w:rPr>
          <w:rFonts w:ascii="Times New Roman" w:eastAsia="Times New Roman" w:hAnsi="Times New Roman" w:cs="Times New Roman"/>
          <w:sz w:val="24"/>
          <w:szCs w:val="24"/>
        </w:rPr>
        <w:t xml:space="preserve"> that estimates detectability of the species thanks to repeated sampling at each site. Both </w:t>
      </w:r>
      <w:proofErr w:type="spellStart"/>
      <w:r w:rsidRPr="00CB6F3B">
        <w:rPr>
          <w:rFonts w:ascii="Times New Roman" w:eastAsia="Times New Roman" w:hAnsi="Times New Roman" w:cs="Times New Roman"/>
          <w:sz w:val="24"/>
          <w:szCs w:val="24"/>
        </w:rPr>
        <w:t>submodels</w:t>
      </w:r>
      <w:proofErr w:type="spellEnd"/>
      <w:r w:rsidRPr="00CB6F3B">
        <w:rPr>
          <w:rFonts w:ascii="Times New Roman" w:eastAsia="Times New Roman" w:hAnsi="Times New Roman" w:cs="Times New Roman"/>
          <w:sz w:val="24"/>
          <w:szCs w:val="24"/>
        </w:rPr>
        <w:t xml:space="preserve"> are fitted at the same time, usually by Markov Chain Monte Carlo (MCMC) or maximum likelihood.</w:t>
      </w:r>
    </w:p>
    <w:p w14:paraId="37BC82BF" w14:textId="113720FA" w:rsidR="001C37AE" w:rsidRDefault="001C37AE" w:rsidP="09F56902">
      <w:pPr>
        <w:rPr>
          <w:rFonts w:ascii="Times New Roman" w:eastAsia="Times New Roman" w:hAnsi="Times New Roman" w:cs="Times New Roman"/>
          <w:sz w:val="24"/>
          <w:szCs w:val="24"/>
        </w:rPr>
      </w:pPr>
    </w:p>
    <w:p w14:paraId="36B533B6" w14:textId="32157861" w:rsidR="0081556B" w:rsidRPr="00CB6F3B" w:rsidRDefault="0081556B" w:rsidP="002D2AE8">
      <w:pPr>
        <w:rPr>
          <w:rFonts w:ascii="Times New Roman" w:eastAsia="Times New Roman" w:hAnsi="Times New Roman" w:cs="Times New Roman"/>
          <w:b/>
          <w:sz w:val="24"/>
          <w:szCs w:val="24"/>
        </w:rPr>
      </w:pPr>
    </w:p>
    <w:sectPr w:rsidR="0081556B" w:rsidRPr="00CB6F3B" w:rsidSect="00325A53">
      <w:footerReference w:type="default" r:id="rId9"/>
      <w:pgSz w:w="11906" w:h="16838"/>
      <w:pgMar w:top="1440" w:right="1440" w:bottom="1440" w:left="1440" w:header="708" w:footer="708" w:gutter="0"/>
      <w:lnNumType w:countBy="1" w:restart="continuou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7BF9A" w16cex:dateUtc="2020-05-26T06:17:00Z"/>
  <w16cex:commentExtensible w16cex:durableId="2277C0CA" w16cex:dateUtc="2020-05-26T06:22:00Z"/>
  <w16cex:commentExtensible w16cex:durableId="2277C36E" w16cex:dateUtc="2020-05-26T06:33:00Z"/>
  <w16cex:commentExtensible w16cex:durableId="2277C5AD" w16cex:dateUtc="2020-05-26T06:43:00Z"/>
  <w16cex:commentExtensible w16cex:durableId="2277C684" w16cex:dateUtc="2020-05-26T06: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E8AD3" w14:textId="77777777" w:rsidR="0059046C" w:rsidRDefault="0059046C" w:rsidP="00177862">
      <w:pPr>
        <w:spacing w:after="0" w:line="240" w:lineRule="auto"/>
      </w:pPr>
      <w:r>
        <w:separator/>
      </w:r>
    </w:p>
  </w:endnote>
  <w:endnote w:type="continuationSeparator" w:id="0">
    <w:p w14:paraId="53BC450E" w14:textId="77777777" w:rsidR="0059046C" w:rsidRDefault="0059046C" w:rsidP="00177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7940470"/>
      <w:docPartObj>
        <w:docPartGallery w:val="Page Numbers (Bottom of Page)"/>
        <w:docPartUnique/>
      </w:docPartObj>
    </w:sdtPr>
    <w:sdtEndPr>
      <w:rPr>
        <w:noProof/>
      </w:rPr>
    </w:sdtEndPr>
    <w:sdtContent>
      <w:p w14:paraId="5657AFEC" w14:textId="7AF34A1E" w:rsidR="00AC1C73" w:rsidRDefault="00AC1C73">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5C309614" w14:textId="77777777" w:rsidR="00AC1C73" w:rsidRDefault="00AC1C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AD9EF" w14:textId="77777777" w:rsidR="0059046C" w:rsidRDefault="0059046C" w:rsidP="00177862">
      <w:pPr>
        <w:spacing w:after="0" w:line="240" w:lineRule="auto"/>
      </w:pPr>
      <w:r>
        <w:separator/>
      </w:r>
    </w:p>
  </w:footnote>
  <w:footnote w:type="continuationSeparator" w:id="0">
    <w:p w14:paraId="69F45AD4" w14:textId="77777777" w:rsidR="0059046C" w:rsidRDefault="0059046C" w:rsidP="001778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525A3"/>
    <w:multiLevelType w:val="hybridMultilevel"/>
    <w:tmpl w:val="4AA03F52"/>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11372D06"/>
    <w:multiLevelType w:val="hybridMultilevel"/>
    <w:tmpl w:val="B82859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706215"/>
    <w:multiLevelType w:val="hybridMultilevel"/>
    <w:tmpl w:val="20BE8380"/>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21266BCF"/>
    <w:multiLevelType w:val="hybridMultilevel"/>
    <w:tmpl w:val="CD941EEA"/>
    <w:lvl w:ilvl="0" w:tplc="C49A0128">
      <w:numFmt w:val="bullet"/>
      <w:lvlText w:val="•"/>
      <w:lvlJc w:val="left"/>
      <w:pPr>
        <w:ind w:left="1080" w:hanging="720"/>
      </w:pPr>
      <w:rPr>
        <w:rFonts w:ascii="Times New Roman" w:eastAsiaTheme="minorHAnsi" w:hAnsi="Times New Roman" w:cs="Times New Roman"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21933147"/>
    <w:multiLevelType w:val="hybridMultilevel"/>
    <w:tmpl w:val="39887D3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 w15:restartNumberingAfterBreak="0">
    <w:nsid w:val="224F576E"/>
    <w:multiLevelType w:val="hybridMultilevel"/>
    <w:tmpl w:val="7D48CAA2"/>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6" w15:restartNumberingAfterBreak="0">
    <w:nsid w:val="25E62841"/>
    <w:multiLevelType w:val="hybridMultilevel"/>
    <w:tmpl w:val="DBE20D16"/>
    <w:lvl w:ilvl="0" w:tplc="193A0736">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716762"/>
    <w:multiLevelType w:val="hybridMultilevel"/>
    <w:tmpl w:val="D830618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8" w15:restartNumberingAfterBreak="0">
    <w:nsid w:val="27AD4095"/>
    <w:multiLevelType w:val="hybridMultilevel"/>
    <w:tmpl w:val="C93CAF9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9" w15:restartNumberingAfterBreak="0">
    <w:nsid w:val="2A454553"/>
    <w:multiLevelType w:val="hybridMultilevel"/>
    <w:tmpl w:val="776AAE9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0" w15:restartNumberingAfterBreak="0">
    <w:nsid w:val="2AB51F99"/>
    <w:multiLevelType w:val="hybridMultilevel"/>
    <w:tmpl w:val="E38271C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1" w15:restartNumberingAfterBreak="0">
    <w:nsid w:val="30B70D40"/>
    <w:multiLevelType w:val="hybridMultilevel"/>
    <w:tmpl w:val="ED14AF62"/>
    <w:lvl w:ilvl="0" w:tplc="6F9887B6">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3B6CAC"/>
    <w:multiLevelType w:val="hybridMultilevel"/>
    <w:tmpl w:val="B15CB700"/>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3" w15:restartNumberingAfterBreak="0">
    <w:nsid w:val="318A40D1"/>
    <w:multiLevelType w:val="hybridMultilevel"/>
    <w:tmpl w:val="C03AE47A"/>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4F591F"/>
    <w:multiLevelType w:val="hybridMultilevel"/>
    <w:tmpl w:val="EAE02508"/>
    <w:lvl w:ilvl="0" w:tplc="711A6F9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4C4BC5"/>
    <w:multiLevelType w:val="hybridMultilevel"/>
    <w:tmpl w:val="EE362A5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6" w15:restartNumberingAfterBreak="0">
    <w:nsid w:val="3AE51275"/>
    <w:multiLevelType w:val="hybridMultilevel"/>
    <w:tmpl w:val="741E146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7" w15:restartNumberingAfterBreak="0">
    <w:nsid w:val="42B73388"/>
    <w:multiLevelType w:val="hybridMultilevel"/>
    <w:tmpl w:val="6FB8603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8" w15:restartNumberingAfterBreak="0">
    <w:nsid w:val="4C1F144C"/>
    <w:multiLevelType w:val="hybridMultilevel"/>
    <w:tmpl w:val="C05C2E5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9" w15:restartNumberingAfterBreak="0">
    <w:nsid w:val="55D76D43"/>
    <w:multiLevelType w:val="hybridMultilevel"/>
    <w:tmpl w:val="E42E7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D05991"/>
    <w:multiLevelType w:val="hybridMultilevel"/>
    <w:tmpl w:val="A6EC37B6"/>
    <w:lvl w:ilvl="0" w:tplc="1000000F">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1" w15:restartNumberingAfterBreak="0">
    <w:nsid w:val="5BDB2003"/>
    <w:multiLevelType w:val="hybridMultilevel"/>
    <w:tmpl w:val="7BDABE7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2" w15:restartNumberingAfterBreak="0">
    <w:nsid w:val="5F545486"/>
    <w:multiLevelType w:val="hybridMultilevel"/>
    <w:tmpl w:val="A8E01E0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3" w15:restartNumberingAfterBreak="0">
    <w:nsid w:val="673365B5"/>
    <w:multiLevelType w:val="hybridMultilevel"/>
    <w:tmpl w:val="5BBA7816"/>
    <w:lvl w:ilvl="0" w:tplc="FFFFFFFF">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4" w15:restartNumberingAfterBreak="0">
    <w:nsid w:val="6BE759E9"/>
    <w:multiLevelType w:val="hybridMultilevel"/>
    <w:tmpl w:val="06EE51D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5" w15:restartNumberingAfterBreak="0">
    <w:nsid w:val="79447875"/>
    <w:multiLevelType w:val="hybridMultilevel"/>
    <w:tmpl w:val="F5A8EFFE"/>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6" w15:restartNumberingAfterBreak="0">
    <w:nsid w:val="7F3036E8"/>
    <w:multiLevelType w:val="hybridMultilevel"/>
    <w:tmpl w:val="4D0A060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24"/>
  </w:num>
  <w:num w:numId="4">
    <w:abstractNumId w:val="5"/>
  </w:num>
  <w:num w:numId="5">
    <w:abstractNumId w:val="23"/>
  </w:num>
  <w:num w:numId="6">
    <w:abstractNumId w:val="16"/>
  </w:num>
  <w:num w:numId="7">
    <w:abstractNumId w:val="22"/>
  </w:num>
  <w:num w:numId="8">
    <w:abstractNumId w:val="26"/>
  </w:num>
  <w:num w:numId="9">
    <w:abstractNumId w:val="25"/>
  </w:num>
  <w:num w:numId="10">
    <w:abstractNumId w:val="13"/>
  </w:num>
  <w:num w:numId="11">
    <w:abstractNumId w:val="20"/>
  </w:num>
  <w:num w:numId="12">
    <w:abstractNumId w:val="9"/>
  </w:num>
  <w:num w:numId="13">
    <w:abstractNumId w:val="8"/>
  </w:num>
  <w:num w:numId="14">
    <w:abstractNumId w:val="4"/>
  </w:num>
  <w:num w:numId="15">
    <w:abstractNumId w:val="15"/>
  </w:num>
  <w:num w:numId="16">
    <w:abstractNumId w:val="10"/>
  </w:num>
  <w:num w:numId="17">
    <w:abstractNumId w:val="18"/>
  </w:num>
  <w:num w:numId="18">
    <w:abstractNumId w:val="14"/>
  </w:num>
  <w:num w:numId="19">
    <w:abstractNumId w:val="2"/>
  </w:num>
  <w:num w:numId="20">
    <w:abstractNumId w:val="21"/>
  </w:num>
  <w:num w:numId="21">
    <w:abstractNumId w:val="17"/>
  </w:num>
  <w:num w:numId="22">
    <w:abstractNumId w:val="3"/>
  </w:num>
  <w:num w:numId="23">
    <w:abstractNumId w:val="11"/>
  </w:num>
  <w:num w:numId="24">
    <w:abstractNumId w:val="6"/>
  </w:num>
  <w:num w:numId="25">
    <w:abstractNumId w:val="1"/>
  </w:num>
  <w:num w:numId="26">
    <w:abstractNumId w:val="19"/>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0C6"/>
    <w:rsid w:val="00000484"/>
    <w:rsid w:val="0000148B"/>
    <w:rsid w:val="00004E10"/>
    <w:rsid w:val="000077A3"/>
    <w:rsid w:val="00007B61"/>
    <w:rsid w:val="00012779"/>
    <w:rsid w:val="0001281A"/>
    <w:rsid w:val="0001568C"/>
    <w:rsid w:val="000167A7"/>
    <w:rsid w:val="00016C0B"/>
    <w:rsid w:val="00021A60"/>
    <w:rsid w:val="00026AFC"/>
    <w:rsid w:val="000274A8"/>
    <w:rsid w:val="000277E0"/>
    <w:rsid w:val="000314DB"/>
    <w:rsid w:val="000343C5"/>
    <w:rsid w:val="00036BD3"/>
    <w:rsid w:val="000373CF"/>
    <w:rsid w:val="0004037E"/>
    <w:rsid w:val="00042852"/>
    <w:rsid w:val="000429A1"/>
    <w:rsid w:val="000436D1"/>
    <w:rsid w:val="000446C2"/>
    <w:rsid w:val="0005001E"/>
    <w:rsid w:val="00051787"/>
    <w:rsid w:val="00053243"/>
    <w:rsid w:val="0005450F"/>
    <w:rsid w:val="00055F2D"/>
    <w:rsid w:val="00063E79"/>
    <w:rsid w:val="00067A88"/>
    <w:rsid w:val="00070A7E"/>
    <w:rsid w:val="00073D83"/>
    <w:rsid w:val="00086A89"/>
    <w:rsid w:val="00087416"/>
    <w:rsid w:val="00087833"/>
    <w:rsid w:val="00087C58"/>
    <w:rsid w:val="0009005F"/>
    <w:rsid w:val="000969BC"/>
    <w:rsid w:val="000A0212"/>
    <w:rsid w:val="000A0FBE"/>
    <w:rsid w:val="000A1CF2"/>
    <w:rsid w:val="000A30E6"/>
    <w:rsid w:val="000A435E"/>
    <w:rsid w:val="000A750A"/>
    <w:rsid w:val="000B16F6"/>
    <w:rsid w:val="000B30E0"/>
    <w:rsid w:val="000B59D2"/>
    <w:rsid w:val="000B7CDB"/>
    <w:rsid w:val="000C4A0B"/>
    <w:rsid w:val="000C7C7E"/>
    <w:rsid w:val="000D42C3"/>
    <w:rsid w:val="000D6CF3"/>
    <w:rsid w:val="000D768A"/>
    <w:rsid w:val="000E0F9B"/>
    <w:rsid w:val="000E587D"/>
    <w:rsid w:val="000F0A66"/>
    <w:rsid w:val="000F2437"/>
    <w:rsid w:val="000F26A4"/>
    <w:rsid w:val="000F2FCF"/>
    <w:rsid w:val="000F3375"/>
    <w:rsid w:val="000F55E0"/>
    <w:rsid w:val="00100A26"/>
    <w:rsid w:val="00100C7E"/>
    <w:rsid w:val="00104761"/>
    <w:rsid w:val="0010601A"/>
    <w:rsid w:val="00107931"/>
    <w:rsid w:val="00110AEA"/>
    <w:rsid w:val="00110BC0"/>
    <w:rsid w:val="00112DBA"/>
    <w:rsid w:val="00113305"/>
    <w:rsid w:val="0011332F"/>
    <w:rsid w:val="00115FE4"/>
    <w:rsid w:val="001179A6"/>
    <w:rsid w:val="00132ADF"/>
    <w:rsid w:val="00132C73"/>
    <w:rsid w:val="00132DF0"/>
    <w:rsid w:val="00133164"/>
    <w:rsid w:val="0013317F"/>
    <w:rsid w:val="00133D60"/>
    <w:rsid w:val="001346EE"/>
    <w:rsid w:val="00134FCC"/>
    <w:rsid w:val="00141154"/>
    <w:rsid w:val="001411EE"/>
    <w:rsid w:val="00141A50"/>
    <w:rsid w:val="0014268C"/>
    <w:rsid w:val="00143604"/>
    <w:rsid w:val="001437EB"/>
    <w:rsid w:val="00144AD5"/>
    <w:rsid w:val="00144CF0"/>
    <w:rsid w:val="00145D90"/>
    <w:rsid w:val="00146CFA"/>
    <w:rsid w:val="00155CA6"/>
    <w:rsid w:val="00160B93"/>
    <w:rsid w:val="00162D9E"/>
    <w:rsid w:val="001645D7"/>
    <w:rsid w:val="0017330D"/>
    <w:rsid w:val="00173FB6"/>
    <w:rsid w:val="00174C7F"/>
    <w:rsid w:val="00177862"/>
    <w:rsid w:val="00181D54"/>
    <w:rsid w:val="0018224B"/>
    <w:rsid w:val="001829C7"/>
    <w:rsid w:val="001846A0"/>
    <w:rsid w:val="00184D52"/>
    <w:rsid w:val="00192DBA"/>
    <w:rsid w:val="00195396"/>
    <w:rsid w:val="001964C9"/>
    <w:rsid w:val="001A35C1"/>
    <w:rsid w:val="001A5498"/>
    <w:rsid w:val="001A55B5"/>
    <w:rsid w:val="001B4304"/>
    <w:rsid w:val="001B64CE"/>
    <w:rsid w:val="001C37AE"/>
    <w:rsid w:val="001C7C1A"/>
    <w:rsid w:val="001D1B44"/>
    <w:rsid w:val="001D4315"/>
    <w:rsid w:val="001E216C"/>
    <w:rsid w:val="001E345C"/>
    <w:rsid w:val="001E4F03"/>
    <w:rsid w:val="001E752D"/>
    <w:rsid w:val="001F0968"/>
    <w:rsid w:val="001F1D02"/>
    <w:rsid w:val="001F2C6A"/>
    <w:rsid w:val="001F6ADB"/>
    <w:rsid w:val="00202590"/>
    <w:rsid w:val="002036AE"/>
    <w:rsid w:val="00203CE9"/>
    <w:rsid w:val="002116CD"/>
    <w:rsid w:val="00211B93"/>
    <w:rsid w:val="002136AE"/>
    <w:rsid w:val="00213751"/>
    <w:rsid w:val="002159D7"/>
    <w:rsid w:val="0022007D"/>
    <w:rsid w:val="00234D2A"/>
    <w:rsid w:val="002408DB"/>
    <w:rsid w:val="00245E2F"/>
    <w:rsid w:val="002533EF"/>
    <w:rsid w:val="00254996"/>
    <w:rsid w:val="00257FAE"/>
    <w:rsid w:val="00262312"/>
    <w:rsid w:val="00266883"/>
    <w:rsid w:val="00290520"/>
    <w:rsid w:val="00291D8F"/>
    <w:rsid w:val="0029247C"/>
    <w:rsid w:val="002A0C7D"/>
    <w:rsid w:val="002A2074"/>
    <w:rsid w:val="002A3F0D"/>
    <w:rsid w:val="002A640E"/>
    <w:rsid w:val="002A7765"/>
    <w:rsid w:val="002B023C"/>
    <w:rsid w:val="002B03C4"/>
    <w:rsid w:val="002C2DB3"/>
    <w:rsid w:val="002D25A7"/>
    <w:rsid w:val="002D2AE8"/>
    <w:rsid w:val="002D4146"/>
    <w:rsid w:val="002D6032"/>
    <w:rsid w:val="002D7793"/>
    <w:rsid w:val="002E2797"/>
    <w:rsid w:val="002F00A8"/>
    <w:rsid w:val="002F0B04"/>
    <w:rsid w:val="002F3A06"/>
    <w:rsid w:val="002F41F6"/>
    <w:rsid w:val="002F57E7"/>
    <w:rsid w:val="002F5B9E"/>
    <w:rsid w:val="002F7C7A"/>
    <w:rsid w:val="003039EC"/>
    <w:rsid w:val="00304475"/>
    <w:rsid w:val="0031142E"/>
    <w:rsid w:val="00313377"/>
    <w:rsid w:val="003142D6"/>
    <w:rsid w:val="003146A0"/>
    <w:rsid w:val="00315622"/>
    <w:rsid w:val="00323F36"/>
    <w:rsid w:val="00325A53"/>
    <w:rsid w:val="00327978"/>
    <w:rsid w:val="0033011C"/>
    <w:rsid w:val="00330428"/>
    <w:rsid w:val="00330D80"/>
    <w:rsid w:val="00333EDA"/>
    <w:rsid w:val="00341058"/>
    <w:rsid w:val="0034245C"/>
    <w:rsid w:val="00342569"/>
    <w:rsid w:val="00342DFE"/>
    <w:rsid w:val="00347135"/>
    <w:rsid w:val="003515D9"/>
    <w:rsid w:val="003560DD"/>
    <w:rsid w:val="00356E43"/>
    <w:rsid w:val="00360BA8"/>
    <w:rsid w:val="00362EF9"/>
    <w:rsid w:val="0036382F"/>
    <w:rsid w:val="00364155"/>
    <w:rsid w:val="00364490"/>
    <w:rsid w:val="00365584"/>
    <w:rsid w:val="0036582A"/>
    <w:rsid w:val="003667F5"/>
    <w:rsid w:val="0036713D"/>
    <w:rsid w:val="00370B13"/>
    <w:rsid w:val="003715AB"/>
    <w:rsid w:val="00372795"/>
    <w:rsid w:val="00375074"/>
    <w:rsid w:val="00375B84"/>
    <w:rsid w:val="003825EA"/>
    <w:rsid w:val="0038781F"/>
    <w:rsid w:val="00390EEB"/>
    <w:rsid w:val="003930CF"/>
    <w:rsid w:val="0039415B"/>
    <w:rsid w:val="003948C7"/>
    <w:rsid w:val="00395485"/>
    <w:rsid w:val="00395DEF"/>
    <w:rsid w:val="003A208E"/>
    <w:rsid w:val="003A4A36"/>
    <w:rsid w:val="003B20BF"/>
    <w:rsid w:val="003B226C"/>
    <w:rsid w:val="003B3445"/>
    <w:rsid w:val="003B4246"/>
    <w:rsid w:val="003B5A8C"/>
    <w:rsid w:val="003B5E1B"/>
    <w:rsid w:val="003B75F9"/>
    <w:rsid w:val="003C09EE"/>
    <w:rsid w:val="003C564C"/>
    <w:rsid w:val="003D3CB9"/>
    <w:rsid w:val="003D541B"/>
    <w:rsid w:val="003E420F"/>
    <w:rsid w:val="003F02B3"/>
    <w:rsid w:val="003F0816"/>
    <w:rsid w:val="003F0F37"/>
    <w:rsid w:val="003F11C5"/>
    <w:rsid w:val="003F304C"/>
    <w:rsid w:val="003F5164"/>
    <w:rsid w:val="00402D91"/>
    <w:rsid w:val="00402DE3"/>
    <w:rsid w:val="004052A6"/>
    <w:rsid w:val="00407FEA"/>
    <w:rsid w:val="004115BB"/>
    <w:rsid w:val="0041205F"/>
    <w:rsid w:val="0042652F"/>
    <w:rsid w:val="0042729D"/>
    <w:rsid w:val="004272E4"/>
    <w:rsid w:val="00427449"/>
    <w:rsid w:val="0043114F"/>
    <w:rsid w:val="00431531"/>
    <w:rsid w:val="00435522"/>
    <w:rsid w:val="004375B1"/>
    <w:rsid w:val="00447E2E"/>
    <w:rsid w:val="00451A53"/>
    <w:rsid w:val="0046118F"/>
    <w:rsid w:val="00462051"/>
    <w:rsid w:val="00462796"/>
    <w:rsid w:val="00472C27"/>
    <w:rsid w:val="00486E0E"/>
    <w:rsid w:val="00490393"/>
    <w:rsid w:val="00490B79"/>
    <w:rsid w:val="00493C13"/>
    <w:rsid w:val="00494318"/>
    <w:rsid w:val="004A5221"/>
    <w:rsid w:val="004B3517"/>
    <w:rsid w:val="004B709A"/>
    <w:rsid w:val="004B7839"/>
    <w:rsid w:val="004C1815"/>
    <w:rsid w:val="004C4CBD"/>
    <w:rsid w:val="004D058C"/>
    <w:rsid w:val="004D32AF"/>
    <w:rsid w:val="004D5AAB"/>
    <w:rsid w:val="004D60F8"/>
    <w:rsid w:val="004D79F8"/>
    <w:rsid w:val="004E192E"/>
    <w:rsid w:val="004E5B7E"/>
    <w:rsid w:val="004E7BE6"/>
    <w:rsid w:val="004F02D6"/>
    <w:rsid w:val="004F143C"/>
    <w:rsid w:val="004F383C"/>
    <w:rsid w:val="004F617C"/>
    <w:rsid w:val="004F6846"/>
    <w:rsid w:val="00500EED"/>
    <w:rsid w:val="005017DF"/>
    <w:rsid w:val="005041E5"/>
    <w:rsid w:val="00505A80"/>
    <w:rsid w:val="00505E3F"/>
    <w:rsid w:val="005076E9"/>
    <w:rsid w:val="005149C7"/>
    <w:rsid w:val="00517888"/>
    <w:rsid w:val="00520C7C"/>
    <w:rsid w:val="005266F8"/>
    <w:rsid w:val="00526877"/>
    <w:rsid w:val="00527929"/>
    <w:rsid w:val="00532379"/>
    <w:rsid w:val="00533E01"/>
    <w:rsid w:val="00542213"/>
    <w:rsid w:val="005425DF"/>
    <w:rsid w:val="005446D7"/>
    <w:rsid w:val="005511C6"/>
    <w:rsid w:val="005523B1"/>
    <w:rsid w:val="00552A35"/>
    <w:rsid w:val="005576EA"/>
    <w:rsid w:val="005663C3"/>
    <w:rsid w:val="00567835"/>
    <w:rsid w:val="00571AAA"/>
    <w:rsid w:val="0057408E"/>
    <w:rsid w:val="0057457F"/>
    <w:rsid w:val="00574851"/>
    <w:rsid w:val="00575365"/>
    <w:rsid w:val="005756F7"/>
    <w:rsid w:val="005805BE"/>
    <w:rsid w:val="00582835"/>
    <w:rsid w:val="005832DB"/>
    <w:rsid w:val="0059046C"/>
    <w:rsid w:val="005913DF"/>
    <w:rsid w:val="00593AB0"/>
    <w:rsid w:val="005A1DD7"/>
    <w:rsid w:val="005A262D"/>
    <w:rsid w:val="005A64E6"/>
    <w:rsid w:val="005A6954"/>
    <w:rsid w:val="005B0B43"/>
    <w:rsid w:val="005C1AE3"/>
    <w:rsid w:val="005D5C7D"/>
    <w:rsid w:val="005D7AFC"/>
    <w:rsid w:val="005E2EAC"/>
    <w:rsid w:val="005E309C"/>
    <w:rsid w:val="005E6802"/>
    <w:rsid w:val="005F0BD4"/>
    <w:rsid w:val="005F2361"/>
    <w:rsid w:val="005F371D"/>
    <w:rsid w:val="005F6D28"/>
    <w:rsid w:val="00603B2A"/>
    <w:rsid w:val="00603D86"/>
    <w:rsid w:val="006118FF"/>
    <w:rsid w:val="00612626"/>
    <w:rsid w:val="0061475B"/>
    <w:rsid w:val="00617264"/>
    <w:rsid w:val="0062121B"/>
    <w:rsid w:val="0062390C"/>
    <w:rsid w:val="0063030D"/>
    <w:rsid w:val="006443BA"/>
    <w:rsid w:val="00645E74"/>
    <w:rsid w:val="00654248"/>
    <w:rsid w:val="0065719B"/>
    <w:rsid w:val="00663705"/>
    <w:rsid w:val="00664F2F"/>
    <w:rsid w:val="00665D0D"/>
    <w:rsid w:val="00667E09"/>
    <w:rsid w:val="00672C07"/>
    <w:rsid w:val="00682B60"/>
    <w:rsid w:val="00683967"/>
    <w:rsid w:val="006844F1"/>
    <w:rsid w:val="00690B55"/>
    <w:rsid w:val="0069203D"/>
    <w:rsid w:val="006A4481"/>
    <w:rsid w:val="006A45A3"/>
    <w:rsid w:val="006B5FE3"/>
    <w:rsid w:val="006B7D40"/>
    <w:rsid w:val="006C1AFA"/>
    <w:rsid w:val="006C237B"/>
    <w:rsid w:val="006C52E3"/>
    <w:rsid w:val="006D03DF"/>
    <w:rsid w:val="006D0C01"/>
    <w:rsid w:val="006D52B0"/>
    <w:rsid w:val="006E01A1"/>
    <w:rsid w:val="006E5D7D"/>
    <w:rsid w:val="006E7805"/>
    <w:rsid w:val="006F17C7"/>
    <w:rsid w:val="006F1CF1"/>
    <w:rsid w:val="00700E29"/>
    <w:rsid w:val="00701DBF"/>
    <w:rsid w:val="007031E3"/>
    <w:rsid w:val="007074DD"/>
    <w:rsid w:val="00714743"/>
    <w:rsid w:val="00717803"/>
    <w:rsid w:val="0073063D"/>
    <w:rsid w:val="0073207E"/>
    <w:rsid w:val="00734C10"/>
    <w:rsid w:val="007359CC"/>
    <w:rsid w:val="007360DA"/>
    <w:rsid w:val="007415FD"/>
    <w:rsid w:val="00741E94"/>
    <w:rsid w:val="00745A94"/>
    <w:rsid w:val="00746045"/>
    <w:rsid w:val="00751CD7"/>
    <w:rsid w:val="00756AD4"/>
    <w:rsid w:val="0075725D"/>
    <w:rsid w:val="00761B33"/>
    <w:rsid w:val="00763B39"/>
    <w:rsid w:val="0077165A"/>
    <w:rsid w:val="00774067"/>
    <w:rsid w:val="007742AA"/>
    <w:rsid w:val="00775354"/>
    <w:rsid w:val="007849A9"/>
    <w:rsid w:val="00790E4C"/>
    <w:rsid w:val="00792C18"/>
    <w:rsid w:val="0079332E"/>
    <w:rsid w:val="00796711"/>
    <w:rsid w:val="007A486D"/>
    <w:rsid w:val="007A62DD"/>
    <w:rsid w:val="007B0AF8"/>
    <w:rsid w:val="007C3C20"/>
    <w:rsid w:val="007D37C9"/>
    <w:rsid w:val="007D4169"/>
    <w:rsid w:val="007E0723"/>
    <w:rsid w:val="007E0F48"/>
    <w:rsid w:val="007E1F6B"/>
    <w:rsid w:val="007E47E5"/>
    <w:rsid w:val="007E5B9C"/>
    <w:rsid w:val="007E7E3E"/>
    <w:rsid w:val="007F0EED"/>
    <w:rsid w:val="007F7A9E"/>
    <w:rsid w:val="00801CC2"/>
    <w:rsid w:val="008022C2"/>
    <w:rsid w:val="0081556B"/>
    <w:rsid w:val="00830218"/>
    <w:rsid w:val="008361B5"/>
    <w:rsid w:val="0084461D"/>
    <w:rsid w:val="00845F62"/>
    <w:rsid w:val="00853F37"/>
    <w:rsid w:val="00862D09"/>
    <w:rsid w:val="008750D2"/>
    <w:rsid w:val="00876D09"/>
    <w:rsid w:val="00877B42"/>
    <w:rsid w:val="00877FF5"/>
    <w:rsid w:val="0088706C"/>
    <w:rsid w:val="008908FE"/>
    <w:rsid w:val="00890F99"/>
    <w:rsid w:val="008923CD"/>
    <w:rsid w:val="00892503"/>
    <w:rsid w:val="00892535"/>
    <w:rsid w:val="00892A8A"/>
    <w:rsid w:val="008931B3"/>
    <w:rsid w:val="008A009C"/>
    <w:rsid w:val="008A0E3F"/>
    <w:rsid w:val="008B0426"/>
    <w:rsid w:val="008B0EE6"/>
    <w:rsid w:val="008B5242"/>
    <w:rsid w:val="008B6A68"/>
    <w:rsid w:val="008B7175"/>
    <w:rsid w:val="008C2CE0"/>
    <w:rsid w:val="008C3D8F"/>
    <w:rsid w:val="008C5A05"/>
    <w:rsid w:val="008C727B"/>
    <w:rsid w:val="008D060E"/>
    <w:rsid w:val="008D4A5C"/>
    <w:rsid w:val="008D4B2A"/>
    <w:rsid w:val="008D648E"/>
    <w:rsid w:val="008E05C0"/>
    <w:rsid w:val="008E15C4"/>
    <w:rsid w:val="008E25AC"/>
    <w:rsid w:val="008E4F9F"/>
    <w:rsid w:val="008E4FC7"/>
    <w:rsid w:val="008E628C"/>
    <w:rsid w:val="008F1714"/>
    <w:rsid w:val="00900D43"/>
    <w:rsid w:val="009046F8"/>
    <w:rsid w:val="00904BA3"/>
    <w:rsid w:val="00905544"/>
    <w:rsid w:val="00906F78"/>
    <w:rsid w:val="00915DC5"/>
    <w:rsid w:val="0091680A"/>
    <w:rsid w:val="00917260"/>
    <w:rsid w:val="00923140"/>
    <w:rsid w:val="0092661D"/>
    <w:rsid w:val="00926D03"/>
    <w:rsid w:val="009344FE"/>
    <w:rsid w:val="009347A3"/>
    <w:rsid w:val="00937988"/>
    <w:rsid w:val="00937B62"/>
    <w:rsid w:val="009416CF"/>
    <w:rsid w:val="00941765"/>
    <w:rsid w:val="009424CC"/>
    <w:rsid w:val="00943C02"/>
    <w:rsid w:val="00944694"/>
    <w:rsid w:val="00950D67"/>
    <w:rsid w:val="009532C0"/>
    <w:rsid w:val="009557F8"/>
    <w:rsid w:val="00956ED2"/>
    <w:rsid w:val="009578E6"/>
    <w:rsid w:val="00963ABE"/>
    <w:rsid w:val="00966151"/>
    <w:rsid w:val="00967D69"/>
    <w:rsid w:val="00970C36"/>
    <w:rsid w:val="0097191D"/>
    <w:rsid w:val="00972F32"/>
    <w:rsid w:val="009805CB"/>
    <w:rsid w:val="00980ED5"/>
    <w:rsid w:val="00983214"/>
    <w:rsid w:val="00992F8E"/>
    <w:rsid w:val="009A3750"/>
    <w:rsid w:val="009A38CE"/>
    <w:rsid w:val="009B0998"/>
    <w:rsid w:val="009B295B"/>
    <w:rsid w:val="009B45FC"/>
    <w:rsid w:val="009B4F15"/>
    <w:rsid w:val="009B70EE"/>
    <w:rsid w:val="009C1236"/>
    <w:rsid w:val="009C44EC"/>
    <w:rsid w:val="009C4977"/>
    <w:rsid w:val="009C60AD"/>
    <w:rsid w:val="009D7802"/>
    <w:rsid w:val="009E15C0"/>
    <w:rsid w:val="009F002E"/>
    <w:rsid w:val="009F3075"/>
    <w:rsid w:val="009F3A10"/>
    <w:rsid w:val="009F4F9D"/>
    <w:rsid w:val="009F50CB"/>
    <w:rsid w:val="00A06D6C"/>
    <w:rsid w:val="00A070F8"/>
    <w:rsid w:val="00A10B2A"/>
    <w:rsid w:val="00A2018D"/>
    <w:rsid w:val="00A21693"/>
    <w:rsid w:val="00A23A0A"/>
    <w:rsid w:val="00A24081"/>
    <w:rsid w:val="00A241D1"/>
    <w:rsid w:val="00A2460D"/>
    <w:rsid w:val="00A27295"/>
    <w:rsid w:val="00A4149D"/>
    <w:rsid w:val="00A573D8"/>
    <w:rsid w:val="00A653CD"/>
    <w:rsid w:val="00A66DE8"/>
    <w:rsid w:val="00A745B1"/>
    <w:rsid w:val="00A74D11"/>
    <w:rsid w:val="00A85D68"/>
    <w:rsid w:val="00A92BA5"/>
    <w:rsid w:val="00A95E4F"/>
    <w:rsid w:val="00A962C4"/>
    <w:rsid w:val="00A977C5"/>
    <w:rsid w:val="00AA00F0"/>
    <w:rsid w:val="00AA2E41"/>
    <w:rsid w:val="00AA3463"/>
    <w:rsid w:val="00AA36D7"/>
    <w:rsid w:val="00AA6269"/>
    <w:rsid w:val="00AA6A84"/>
    <w:rsid w:val="00AB1332"/>
    <w:rsid w:val="00AB3AAD"/>
    <w:rsid w:val="00AB4D96"/>
    <w:rsid w:val="00AC1C73"/>
    <w:rsid w:val="00AD323F"/>
    <w:rsid w:val="00AE0659"/>
    <w:rsid w:val="00AE1303"/>
    <w:rsid w:val="00AE1D21"/>
    <w:rsid w:val="00AE4F11"/>
    <w:rsid w:val="00AF392A"/>
    <w:rsid w:val="00B03343"/>
    <w:rsid w:val="00B1046C"/>
    <w:rsid w:val="00B118CF"/>
    <w:rsid w:val="00B157D7"/>
    <w:rsid w:val="00B170D1"/>
    <w:rsid w:val="00B17355"/>
    <w:rsid w:val="00B2274F"/>
    <w:rsid w:val="00B23F4D"/>
    <w:rsid w:val="00B2608A"/>
    <w:rsid w:val="00B3093E"/>
    <w:rsid w:val="00B3147D"/>
    <w:rsid w:val="00B31723"/>
    <w:rsid w:val="00B35A70"/>
    <w:rsid w:val="00B50C57"/>
    <w:rsid w:val="00B534C2"/>
    <w:rsid w:val="00B53EBF"/>
    <w:rsid w:val="00B57014"/>
    <w:rsid w:val="00B61595"/>
    <w:rsid w:val="00B701DF"/>
    <w:rsid w:val="00B70232"/>
    <w:rsid w:val="00B7387C"/>
    <w:rsid w:val="00B8071A"/>
    <w:rsid w:val="00B81EDF"/>
    <w:rsid w:val="00B8235B"/>
    <w:rsid w:val="00B823CE"/>
    <w:rsid w:val="00B8413B"/>
    <w:rsid w:val="00B8631D"/>
    <w:rsid w:val="00B94B6B"/>
    <w:rsid w:val="00B964C2"/>
    <w:rsid w:val="00BA2C69"/>
    <w:rsid w:val="00BA46AA"/>
    <w:rsid w:val="00BA6713"/>
    <w:rsid w:val="00BB0301"/>
    <w:rsid w:val="00BB215C"/>
    <w:rsid w:val="00BB58CE"/>
    <w:rsid w:val="00BD12BA"/>
    <w:rsid w:val="00BD22E6"/>
    <w:rsid w:val="00BD2ACA"/>
    <w:rsid w:val="00BE00A8"/>
    <w:rsid w:val="00BE1268"/>
    <w:rsid w:val="00BE3E97"/>
    <w:rsid w:val="00BF0C08"/>
    <w:rsid w:val="00BF50C6"/>
    <w:rsid w:val="00C026BD"/>
    <w:rsid w:val="00C17A6E"/>
    <w:rsid w:val="00C327DA"/>
    <w:rsid w:val="00C33F22"/>
    <w:rsid w:val="00C3417B"/>
    <w:rsid w:val="00C37555"/>
    <w:rsid w:val="00C400E9"/>
    <w:rsid w:val="00C4225D"/>
    <w:rsid w:val="00C44CBF"/>
    <w:rsid w:val="00C455EE"/>
    <w:rsid w:val="00C4679F"/>
    <w:rsid w:val="00C46F8E"/>
    <w:rsid w:val="00C5407E"/>
    <w:rsid w:val="00C601F0"/>
    <w:rsid w:val="00C62303"/>
    <w:rsid w:val="00C6403B"/>
    <w:rsid w:val="00C6412D"/>
    <w:rsid w:val="00C65E17"/>
    <w:rsid w:val="00C71362"/>
    <w:rsid w:val="00C74463"/>
    <w:rsid w:val="00C761B3"/>
    <w:rsid w:val="00C76DC4"/>
    <w:rsid w:val="00C77B7D"/>
    <w:rsid w:val="00C808FF"/>
    <w:rsid w:val="00C97584"/>
    <w:rsid w:val="00C97648"/>
    <w:rsid w:val="00C9765C"/>
    <w:rsid w:val="00CA0996"/>
    <w:rsid w:val="00CA4B6F"/>
    <w:rsid w:val="00CA5AD3"/>
    <w:rsid w:val="00CB2456"/>
    <w:rsid w:val="00CB401C"/>
    <w:rsid w:val="00CB6F3B"/>
    <w:rsid w:val="00CB713E"/>
    <w:rsid w:val="00CC06A8"/>
    <w:rsid w:val="00CC174C"/>
    <w:rsid w:val="00CC2985"/>
    <w:rsid w:val="00CC2AB7"/>
    <w:rsid w:val="00CC509D"/>
    <w:rsid w:val="00CE757B"/>
    <w:rsid w:val="00D028CC"/>
    <w:rsid w:val="00D07EF5"/>
    <w:rsid w:val="00D12C38"/>
    <w:rsid w:val="00D16323"/>
    <w:rsid w:val="00D170C0"/>
    <w:rsid w:val="00D21CDE"/>
    <w:rsid w:val="00D22BF1"/>
    <w:rsid w:val="00D2301B"/>
    <w:rsid w:val="00D24A94"/>
    <w:rsid w:val="00D257B2"/>
    <w:rsid w:val="00D27C51"/>
    <w:rsid w:val="00D31756"/>
    <w:rsid w:val="00D317DA"/>
    <w:rsid w:val="00D33D09"/>
    <w:rsid w:val="00D361B2"/>
    <w:rsid w:val="00D439D5"/>
    <w:rsid w:val="00D47B06"/>
    <w:rsid w:val="00D52001"/>
    <w:rsid w:val="00D52980"/>
    <w:rsid w:val="00D52D53"/>
    <w:rsid w:val="00D542E4"/>
    <w:rsid w:val="00D56E1E"/>
    <w:rsid w:val="00D5751E"/>
    <w:rsid w:val="00D649FA"/>
    <w:rsid w:val="00D72F0D"/>
    <w:rsid w:val="00D816E2"/>
    <w:rsid w:val="00D8382F"/>
    <w:rsid w:val="00D84AEB"/>
    <w:rsid w:val="00D86152"/>
    <w:rsid w:val="00D8661F"/>
    <w:rsid w:val="00D92FB0"/>
    <w:rsid w:val="00D95131"/>
    <w:rsid w:val="00D95C66"/>
    <w:rsid w:val="00DA328F"/>
    <w:rsid w:val="00DA4EA9"/>
    <w:rsid w:val="00DA58D0"/>
    <w:rsid w:val="00DA5F1C"/>
    <w:rsid w:val="00DA60BA"/>
    <w:rsid w:val="00DA65C7"/>
    <w:rsid w:val="00DA6F59"/>
    <w:rsid w:val="00DB635B"/>
    <w:rsid w:val="00DB6B8B"/>
    <w:rsid w:val="00DC1744"/>
    <w:rsid w:val="00DC3EAD"/>
    <w:rsid w:val="00DD0993"/>
    <w:rsid w:val="00DD1F77"/>
    <w:rsid w:val="00DD20D6"/>
    <w:rsid w:val="00DD44C5"/>
    <w:rsid w:val="00DE388B"/>
    <w:rsid w:val="00DE4EAB"/>
    <w:rsid w:val="00DE7AE4"/>
    <w:rsid w:val="00DF051C"/>
    <w:rsid w:val="00DF2945"/>
    <w:rsid w:val="00DF6A4E"/>
    <w:rsid w:val="00E0516A"/>
    <w:rsid w:val="00E22F30"/>
    <w:rsid w:val="00E23DF1"/>
    <w:rsid w:val="00E30B1E"/>
    <w:rsid w:val="00E329C4"/>
    <w:rsid w:val="00E32D89"/>
    <w:rsid w:val="00E3351B"/>
    <w:rsid w:val="00E37FB4"/>
    <w:rsid w:val="00E41DBE"/>
    <w:rsid w:val="00E41F41"/>
    <w:rsid w:val="00E42697"/>
    <w:rsid w:val="00E51374"/>
    <w:rsid w:val="00E54E0D"/>
    <w:rsid w:val="00E570C0"/>
    <w:rsid w:val="00E6396C"/>
    <w:rsid w:val="00E66CD4"/>
    <w:rsid w:val="00E741ED"/>
    <w:rsid w:val="00E85DBA"/>
    <w:rsid w:val="00E87549"/>
    <w:rsid w:val="00E87B8B"/>
    <w:rsid w:val="00E95657"/>
    <w:rsid w:val="00EB0800"/>
    <w:rsid w:val="00EB7251"/>
    <w:rsid w:val="00EC0621"/>
    <w:rsid w:val="00EC0C44"/>
    <w:rsid w:val="00EC30D2"/>
    <w:rsid w:val="00EC623F"/>
    <w:rsid w:val="00ED5253"/>
    <w:rsid w:val="00ED619A"/>
    <w:rsid w:val="00ED7670"/>
    <w:rsid w:val="00EF08AE"/>
    <w:rsid w:val="00EF095E"/>
    <w:rsid w:val="00EF49D4"/>
    <w:rsid w:val="00EF7124"/>
    <w:rsid w:val="00F059BD"/>
    <w:rsid w:val="00F10606"/>
    <w:rsid w:val="00F10DE9"/>
    <w:rsid w:val="00F146D2"/>
    <w:rsid w:val="00F1628E"/>
    <w:rsid w:val="00F17A03"/>
    <w:rsid w:val="00F20BE0"/>
    <w:rsid w:val="00F23658"/>
    <w:rsid w:val="00F25664"/>
    <w:rsid w:val="00F34C4A"/>
    <w:rsid w:val="00F42A66"/>
    <w:rsid w:val="00F45814"/>
    <w:rsid w:val="00F5089E"/>
    <w:rsid w:val="00F55F06"/>
    <w:rsid w:val="00F570A5"/>
    <w:rsid w:val="00F6026C"/>
    <w:rsid w:val="00F62DAF"/>
    <w:rsid w:val="00F647A7"/>
    <w:rsid w:val="00F65D2A"/>
    <w:rsid w:val="00F73718"/>
    <w:rsid w:val="00F73FBD"/>
    <w:rsid w:val="00F77A7B"/>
    <w:rsid w:val="00F839DF"/>
    <w:rsid w:val="00F92734"/>
    <w:rsid w:val="00F9514B"/>
    <w:rsid w:val="00FA612D"/>
    <w:rsid w:val="00FA73E2"/>
    <w:rsid w:val="00FB2333"/>
    <w:rsid w:val="00FB30F1"/>
    <w:rsid w:val="00FB3E76"/>
    <w:rsid w:val="00FB76A0"/>
    <w:rsid w:val="00FC3AB8"/>
    <w:rsid w:val="00FD0EC7"/>
    <w:rsid w:val="00FD1620"/>
    <w:rsid w:val="00FD6610"/>
    <w:rsid w:val="00FE021F"/>
    <w:rsid w:val="00FE5CC2"/>
    <w:rsid w:val="00FF0453"/>
    <w:rsid w:val="00FF2DAD"/>
    <w:rsid w:val="00FF54FD"/>
    <w:rsid w:val="09F56902"/>
    <w:rsid w:val="2C65E15A"/>
    <w:rsid w:val="3FE819B3"/>
    <w:rsid w:val="42DC7A68"/>
    <w:rsid w:val="51C3348D"/>
    <w:rsid w:val="650B5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D6C4D"/>
  <w15:chartTrackingRefBased/>
  <w15:docId w15:val="{A0ACBC09-4E45-4A33-A5F3-E68D79E6D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208E"/>
  </w:style>
  <w:style w:type="paragraph" w:styleId="Heading1">
    <w:name w:val="heading 1"/>
    <w:basedOn w:val="Normal"/>
    <w:link w:val="Heading1Char"/>
    <w:uiPriority w:val="9"/>
    <w:qFormat/>
    <w:rsid w:val="00146CF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42C3"/>
    <w:rPr>
      <w:color w:val="0563C1" w:themeColor="hyperlink"/>
      <w:u w:val="single"/>
    </w:rPr>
  </w:style>
  <w:style w:type="character" w:styleId="CommentReference">
    <w:name w:val="annotation reference"/>
    <w:basedOn w:val="DefaultParagraphFont"/>
    <w:uiPriority w:val="99"/>
    <w:semiHidden/>
    <w:unhideWhenUsed/>
    <w:rsid w:val="000D42C3"/>
    <w:rPr>
      <w:sz w:val="16"/>
      <w:szCs w:val="16"/>
    </w:rPr>
  </w:style>
  <w:style w:type="paragraph" w:styleId="CommentText">
    <w:name w:val="annotation text"/>
    <w:basedOn w:val="Normal"/>
    <w:link w:val="CommentTextChar"/>
    <w:uiPriority w:val="99"/>
    <w:unhideWhenUsed/>
    <w:rsid w:val="000D42C3"/>
    <w:pPr>
      <w:spacing w:line="240" w:lineRule="auto"/>
    </w:pPr>
    <w:rPr>
      <w:sz w:val="20"/>
      <w:szCs w:val="20"/>
    </w:rPr>
  </w:style>
  <w:style w:type="character" w:customStyle="1" w:styleId="CommentTextChar">
    <w:name w:val="Comment Text Char"/>
    <w:basedOn w:val="DefaultParagraphFont"/>
    <w:link w:val="CommentText"/>
    <w:uiPriority w:val="99"/>
    <w:rsid w:val="000D42C3"/>
    <w:rPr>
      <w:sz w:val="20"/>
      <w:szCs w:val="20"/>
    </w:rPr>
  </w:style>
  <w:style w:type="paragraph" w:styleId="BalloonText">
    <w:name w:val="Balloon Text"/>
    <w:basedOn w:val="Normal"/>
    <w:link w:val="BalloonTextChar"/>
    <w:uiPriority w:val="99"/>
    <w:semiHidden/>
    <w:unhideWhenUsed/>
    <w:rsid w:val="000D42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42C3"/>
    <w:rPr>
      <w:rFonts w:ascii="Segoe UI" w:hAnsi="Segoe UI" w:cs="Segoe UI"/>
      <w:sz w:val="18"/>
      <w:szCs w:val="18"/>
    </w:rPr>
  </w:style>
  <w:style w:type="paragraph" w:styleId="ListParagraph">
    <w:name w:val="List Paragraph"/>
    <w:basedOn w:val="Normal"/>
    <w:uiPriority w:val="34"/>
    <w:qFormat/>
    <w:rsid w:val="00665D0D"/>
    <w:pPr>
      <w:ind w:left="720"/>
      <w:contextualSpacing/>
    </w:pPr>
  </w:style>
  <w:style w:type="character" w:styleId="FollowedHyperlink">
    <w:name w:val="FollowedHyperlink"/>
    <w:basedOn w:val="DefaultParagraphFont"/>
    <w:uiPriority w:val="99"/>
    <w:semiHidden/>
    <w:unhideWhenUsed/>
    <w:rsid w:val="004D058C"/>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3715AB"/>
    <w:rPr>
      <w:b/>
      <w:bCs/>
    </w:rPr>
  </w:style>
  <w:style w:type="character" w:customStyle="1" w:styleId="CommentSubjectChar">
    <w:name w:val="Comment Subject Char"/>
    <w:basedOn w:val="CommentTextChar"/>
    <w:link w:val="CommentSubject"/>
    <w:uiPriority w:val="99"/>
    <w:semiHidden/>
    <w:rsid w:val="003715AB"/>
    <w:rPr>
      <w:b/>
      <w:bCs/>
      <w:sz w:val="20"/>
      <w:szCs w:val="20"/>
    </w:rPr>
  </w:style>
  <w:style w:type="character" w:customStyle="1" w:styleId="UnresolvedMention1">
    <w:name w:val="Unresolved Mention1"/>
    <w:basedOn w:val="DefaultParagraphFont"/>
    <w:uiPriority w:val="99"/>
    <w:semiHidden/>
    <w:unhideWhenUsed/>
    <w:rsid w:val="00542213"/>
    <w:rPr>
      <w:color w:val="605E5C"/>
      <w:shd w:val="clear" w:color="auto" w:fill="E1DFDD"/>
    </w:rPr>
  </w:style>
  <w:style w:type="character" w:styleId="PlaceholderText">
    <w:name w:val="Placeholder Text"/>
    <w:basedOn w:val="DefaultParagraphFont"/>
    <w:uiPriority w:val="99"/>
    <w:semiHidden/>
    <w:rsid w:val="00C761B3"/>
    <w:rPr>
      <w:color w:val="808080"/>
    </w:rPr>
  </w:style>
  <w:style w:type="character" w:customStyle="1" w:styleId="UnresolvedMention2">
    <w:name w:val="Unresolved Mention2"/>
    <w:basedOn w:val="DefaultParagraphFont"/>
    <w:uiPriority w:val="99"/>
    <w:semiHidden/>
    <w:unhideWhenUsed/>
    <w:rsid w:val="00741E94"/>
    <w:rPr>
      <w:color w:val="605E5C"/>
      <w:shd w:val="clear" w:color="auto" w:fill="E1DFDD"/>
    </w:rPr>
  </w:style>
  <w:style w:type="character" w:styleId="LineNumber">
    <w:name w:val="line number"/>
    <w:basedOn w:val="DefaultParagraphFont"/>
    <w:uiPriority w:val="99"/>
    <w:semiHidden/>
    <w:unhideWhenUsed/>
    <w:rsid w:val="00325A53"/>
  </w:style>
  <w:style w:type="paragraph" w:styleId="Header">
    <w:name w:val="header"/>
    <w:basedOn w:val="Normal"/>
    <w:link w:val="HeaderChar"/>
    <w:uiPriority w:val="99"/>
    <w:unhideWhenUsed/>
    <w:rsid w:val="001778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862"/>
  </w:style>
  <w:style w:type="paragraph" w:styleId="Footer">
    <w:name w:val="footer"/>
    <w:basedOn w:val="Normal"/>
    <w:link w:val="FooterChar"/>
    <w:uiPriority w:val="99"/>
    <w:unhideWhenUsed/>
    <w:rsid w:val="001778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862"/>
  </w:style>
  <w:style w:type="paragraph" w:styleId="Revision">
    <w:name w:val="Revision"/>
    <w:hidden/>
    <w:uiPriority w:val="99"/>
    <w:semiHidden/>
    <w:rsid w:val="004375B1"/>
    <w:pPr>
      <w:spacing w:after="0" w:line="240" w:lineRule="auto"/>
    </w:pPr>
  </w:style>
  <w:style w:type="character" w:customStyle="1" w:styleId="Heading1Char">
    <w:name w:val="Heading 1 Char"/>
    <w:basedOn w:val="DefaultParagraphFont"/>
    <w:link w:val="Heading1"/>
    <w:uiPriority w:val="9"/>
    <w:rsid w:val="00146CFA"/>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404834">
      <w:bodyDiv w:val="1"/>
      <w:marLeft w:val="0"/>
      <w:marRight w:val="0"/>
      <w:marTop w:val="0"/>
      <w:marBottom w:val="0"/>
      <w:divBdr>
        <w:top w:val="none" w:sz="0" w:space="0" w:color="auto"/>
        <w:left w:val="none" w:sz="0" w:space="0" w:color="auto"/>
        <w:bottom w:val="none" w:sz="0" w:space="0" w:color="auto"/>
        <w:right w:val="none" w:sz="0" w:space="0" w:color="auto"/>
      </w:divBdr>
      <w:divsChild>
        <w:div w:id="1337032127">
          <w:marLeft w:val="0"/>
          <w:marRight w:val="0"/>
          <w:marTop w:val="0"/>
          <w:marBottom w:val="0"/>
          <w:divBdr>
            <w:top w:val="none" w:sz="0" w:space="0" w:color="auto"/>
            <w:left w:val="none" w:sz="0" w:space="0" w:color="auto"/>
            <w:bottom w:val="none" w:sz="0" w:space="0" w:color="auto"/>
            <w:right w:val="none" w:sz="0" w:space="0" w:color="auto"/>
          </w:divBdr>
          <w:divsChild>
            <w:div w:id="1991516708">
              <w:marLeft w:val="-240"/>
              <w:marRight w:val="-120"/>
              <w:marTop w:val="0"/>
              <w:marBottom w:val="0"/>
              <w:divBdr>
                <w:top w:val="none" w:sz="0" w:space="0" w:color="auto"/>
                <w:left w:val="none" w:sz="0" w:space="0" w:color="auto"/>
                <w:bottom w:val="none" w:sz="0" w:space="0" w:color="auto"/>
                <w:right w:val="none" w:sz="0" w:space="0" w:color="auto"/>
              </w:divBdr>
              <w:divsChild>
                <w:div w:id="1676880575">
                  <w:marLeft w:val="0"/>
                  <w:marRight w:val="0"/>
                  <w:marTop w:val="0"/>
                  <w:marBottom w:val="60"/>
                  <w:divBdr>
                    <w:top w:val="none" w:sz="0" w:space="0" w:color="auto"/>
                    <w:left w:val="none" w:sz="0" w:space="0" w:color="auto"/>
                    <w:bottom w:val="none" w:sz="0" w:space="0" w:color="auto"/>
                    <w:right w:val="none" w:sz="0" w:space="0" w:color="auto"/>
                  </w:divBdr>
                  <w:divsChild>
                    <w:div w:id="1011370879">
                      <w:marLeft w:val="0"/>
                      <w:marRight w:val="0"/>
                      <w:marTop w:val="0"/>
                      <w:marBottom w:val="0"/>
                      <w:divBdr>
                        <w:top w:val="none" w:sz="0" w:space="0" w:color="auto"/>
                        <w:left w:val="none" w:sz="0" w:space="0" w:color="auto"/>
                        <w:bottom w:val="none" w:sz="0" w:space="0" w:color="auto"/>
                        <w:right w:val="none" w:sz="0" w:space="0" w:color="auto"/>
                      </w:divBdr>
                      <w:divsChild>
                        <w:div w:id="588006076">
                          <w:marLeft w:val="0"/>
                          <w:marRight w:val="0"/>
                          <w:marTop w:val="0"/>
                          <w:marBottom w:val="0"/>
                          <w:divBdr>
                            <w:top w:val="none" w:sz="0" w:space="0" w:color="auto"/>
                            <w:left w:val="none" w:sz="0" w:space="0" w:color="auto"/>
                            <w:bottom w:val="none" w:sz="0" w:space="0" w:color="auto"/>
                            <w:right w:val="none" w:sz="0" w:space="0" w:color="auto"/>
                          </w:divBdr>
                          <w:divsChild>
                            <w:div w:id="1625036229">
                              <w:marLeft w:val="0"/>
                              <w:marRight w:val="0"/>
                              <w:marTop w:val="0"/>
                              <w:marBottom w:val="0"/>
                              <w:divBdr>
                                <w:top w:val="none" w:sz="0" w:space="0" w:color="auto"/>
                                <w:left w:val="none" w:sz="0" w:space="0" w:color="auto"/>
                                <w:bottom w:val="none" w:sz="0" w:space="0" w:color="auto"/>
                                <w:right w:val="none" w:sz="0" w:space="0" w:color="auto"/>
                              </w:divBdr>
                              <w:divsChild>
                                <w:div w:id="180126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5290270">
      <w:bodyDiv w:val="1"/>
      <w:marLeft w:val="0"/>
      <w:marRight w:val="0"/>
      <w:marTop w:val="0"/>
      <w:marBottom w:val="0"/>
      <w:divBdr>
        <w:top w:val="none" w:sz="0" w:space="0" w:color="auto"/>
        <w:left w:val="none" w:sz="0" w:space="0" w:color="auto"/>
        <w:bottom w:val="none" w:sz="0" w:space="0" w:color="auto"/>
        <w:right w:val="none" w:sz="0" w:space="0" w:color="auto"/>
      </w:divBdr>
      <w:divsChild>
        <w:div w:id="198786857">
          <w:marLeft w:val="0"/>
          <w:marRight w:val="0"/>
          <w:marTop w:val="0"/>
          <w:marBottom w:val="0"/>
          <w:divBdr>
            <w:top w:val="none" w:sz="0" w:space="0" w:color="auto"/>
            <w:left w:val="none" w:sz="0" w:space="0" w:color="auto"/>
            <w:bottom w:val="none" w:sz="0" w:space="0" w:color="auto"/>
            <w:right w:val="none" w:sz="0" w:space="0" w:color="auto"/>
          </w:divBdr>
        </w:div>
      </w:divsChild>
    </w:div>
    <w:div w:id="720443704">
      <w:bodyDiv w:val="1"/>
      <w:marLeft w:val="0"/>
      <w:marRight w:val="0"/>
      <w:marTop w:val="0"/>
      <w:marBottom w:val="0"/>
      <w:divBdr>
        <w:top w:val="none" w:sz="0" w:space="0" w:color="auto"/>
        <w:left w:val="none" w:sz="0" w:space="0" w:color="auto"/>
        <w:bottom w:val="none" w:sz="0" w:space="0" w:color="auto"/>
        <w:right w:val="none" w:sz="0" w:space="0" w:color="auto"/>
      </w:divBdr>
      <w:divsChild>
        <w:div w:id="146827440">
          <w:marLeft w:val="0"/>
          <w:marRight w:val="0"/>
          <w:marTop w:val="0"/>
          <w:marBottom w:val="0"/>
          <w:divBdr>
            <w:top w:val="none" w:sz="0" w:space="0" w:color="auto"/>
            <w:left w:val="none" w:sz="0" w:space="0" w:color="auto"/>
            <w:bottom w:val="none" w:sz="0" w:space="0" w:color="auto"/>
            <w:right w:val="none" w:sz="0" w:space="0" w:color="auto"/>
          </w:divBdr>
        </w:div>
        <w:div w:id="1206941870">
          <w:marLeft w:val="0"/>
          <w:marRight w:val="0"/>
          <w:marTop w:val="0"/>
          <w:marBottom w:val="0"/>
          <w:divBdr>
            <w:top w:val="none" w:sz="0" w:space="0" w:color="auto"/>
            <w:left w:val="none" w:sz="0" w:space="0" w:color="auto"/>
            <w:bottom w:val="none" w:sz="0" w:space="0" w:color="auto"/>
            <w:right w:val="none" w:sz="0" w:space="0" w:color="auto"/>
          </w:divBdr>
        </w:div>
        <w:div w:id="1366757813">
          <w:marLeft w:val="0"/>
          <w:marRight w:val="0"/>
          <w:marTop w:val="0"/>
          <w:marBottom w:val="0"/>
          <w:divBdr>
            <w:top w:val="none" w:sz="0" w:space="0" w:color="auto"/>
            <w:left w:val="none" w:sz="0" w:space="0" w:color="auto"/>
            <w:bottom w:val="none" w:sz="0" w:space="0" w:color="auto"/>
            <w:right w:val="none" w:sz="0" w:space="0" w:color="auto"/>
          </w:divBdr>
        </w:div>
        <w:div w:id="1484076846">
          <w:marLeft w:val="0"/>
          <w:marRight w:val="0"/>
          <w:marTop w:val="0"/>
          <w:marBottom w:val="0"/>
          <w:divBdr>
            <w:top w:val="none" w:sz="0" w:space="0" w:color="auto"/>
            <w:left w:val="none" w:sz="0" w:space="0" w:color="auto"/>
            <w:bottom w:val="none" w:sz="0" w:space="0" w:color="auto"/>
            <w:right w:val="none" w:sz="0" w:space="0" w:color="auto"/>
          </w:divBdr>
        </w:div>
        <w:div w:id="189222005">
          <w:marLeft w:val="0"/>
          <w:marRight w:val="0"/>
          <w:marTop w:val="0"/>
          <w:marBottom w:val="0"/>
          <w:divBdr>
            <w:top w:val="none" w:sz="0" w:space="0" w:color="auto"/>
            <w:left w:val="none" w:sz="0" w:space="0" w:color="auto"/>
            <w:bottom w:val="none" w:sz="0" w:space="0" w:color="auto"/>
            <w:right w:val="none" w:sz="0" w:space="0" w:color="auto"/>
          </w:divBdr>
        </w:div>
        <w:div w:id="951857517">
          <w:marLeft w:val="0"/>
          <w:marRight w:val="0"/>
          <w:marTop w:val="0"/>
          <w:marBottom w:val="0"/>
          <w:divBdr>
            <w:top w:val="none" w:sz="0" w:space="0" w:color="auto"/>
            <w:left w:val="none" w:sz="0" w:space="0" w:color="auto"/>
            <w:bottom w:val="none" w:sz="0" w:space="0" w:color="auto"/>
            <w:right w:val="none" w:sz="0" w:space="0" w:color="auto"/>
          </w:divBdr>
        </w:div>
      </w:divsChild>
    </w:div>
    <w:div w:id="888566501">
      <w:bodyDiv w:val="1"/>
      <w:marLeft w:val="0"/>
      <w:marRight w:val="0"/>
      <w:marTop w:val="0"/>
      <w:marBottom w:val="0"/>
      <w:divBdr>
        <w:top w:val="none" w:sz="0" w:space="0" w:color="auto"/>
        <w:left w:val="none" w:sz="0" w:space="0" w:color="auto"/>
        <w:bottom w:val="none" w:sz="0" w:space="0" w:color="auto"/>
        <w:right w:val="none" w:sz="0" w:space="0" w:color="auto"/>
      </w:divBdr>
    </w:div>
    <w:div w:id="1299992661">
      <w:bodyDiv w:val="1"/>
      <w:marLeft w:val="0"/>
      <w:marRight w:val="0"/>
      <w:marTop w:val="0"/>
      <w:marBottom w:val="0"/>
      <w:divBdr>
        <w:top w:val="none" w:sz="0" w:space="0" w:color="auto"/>
        <w:left w:val="none" w:sz="0" w:space="0" w:color="auto"/>
        <w:bottom w:val="none" w:sz="0" w:space="0" w:color="auto"/>
        <w:right w:val="none" w:sz="0" w:space="0" w:color="auto"/>
      </w:divBdr>
    </w:div>
    <w:div w:id="1484274467">
      <w:bodyDiv w:val="1"/>
      <w:marLeft w:val="0"/>
      <w:marRight w:val="0"/>
      <w:marTop w:val="0"/>
      <w:marBottom w:val="0"/>
      <w:divBdr>
        <w:top w:val="none" w:sz="0" w:space="0" w:color="auto"/>
        <w:left w:val="none" w:sz="0" w:space="0" w:color="auto"/>
        <w:bottom w:val="none" w:sz="0" w:space="0" w:color="auto"/>
        <w:right w:val="none" w:sz="0" w:space="0" w:color="auto"/>
      </w:divBdr>
    </w:div>
    <w:div w:id="1505172686">
      <w:bodyDiv w:val="1"/>
      <w:marLeft w:val="0"/>
      <w:marRight w:val="0"/>
      <w:marTop w:val="0"/>
      <w:marBottom w:val="0"/>
      <w:divBdr>
        <w:top w:val="none" w:sz="0" w:space="0" w:color="auto"/>
        <w:left w:val="none" w:sz="0" w:space="0" w:color="auto"/>
        <w:bottom w:val="none" w:sz="0" w:space="0" w:color="auto"/>
        <w:right w:val="none" w:sz="0" w:space="0" w:color="auto"/>
      </w:divBdr>
      <w:divsChild>
        <w:div w:id="421680817">
          <w:marLeft w:val="0"/>
          <w:marRight w:val="0"/>
          <w:marTop w:val="0"/>
          <w:marBottom w:val="0"/>
          <w:divBdr>
            <w:top w:val="none" w:sz="0" w:space="0" w:color="auto"/>
            <w:left w:val="none" w:sz="0" w:space="0" w:color="auto"/>
            <w:bottom w:val="none" w:sz="0" w:space="0" w:color="auto"/>
            <w:right w:val="none" w:sz="0" w:space="0" w:color="auto"/>
          </w:divBdr>
        </w:div>
      </w:divsChild>
    </w:div>
    <w:div w:id="1611276536">
      <w:bodyDiv w:val="1"/>
      <w:marLeft w:val="0"/>
      <w:marRight w:val="0"/>
      <w:marTop w:val="0"/>
      <w:marBottom w:val="0"/>
      <w:divBdr>
        <w:top w:val="none" w:sz="0" w:space="0" w:color="auto"/>
        <w:left w:val="none" w:sz="0" w:space="0" w:color="auto"/>
        <w:bottom w:val="none" w:sz="0" w:space="0" w:color="auto"/>
        <w:right w:val="none" w:sz="0" w:space="0" w:color="auto"/>
      </w:divBdr>
    </w:div>
    <w:div w:id="2039968064">
      <w:bodyDiv w:val="1"/>
      <w:marLeft w:val="0"/>
      <w:marRight w:val="0"/>
      <w:marTop w:val="0"/>
      <w:marBottom w:val="0"/>
      <w:divBdr>
        <w:top w:val="none" w:sz="0" w:space="0" w:color="auto"/>
        <w:left w:val="none" w:sz="0" w:space="0" w:color="auto"/>
        <w:bottom w:val="none" w:sz="0" w:space="0" w:color="auto"/>
        <w:right w:val="none" w:sz="0" w:space="0" w:color="auto"/>
      </w:divBdr>
      <w:divsChild>
        <w:div w:id="1778790743">
          <w:marLeft w:val="0"/>
          <w:marRight w:val="0"/>
          <w:marTop w:val="0"/>
          <w:marBottom w:val="0"/>
          <w:divBdr>
            <w:top w:val="none" w:sz="0" w:space="0" w:color="auto"/>
            <w:left w:val="none" w:sz="0" w:space="0" w:color="auto"/>
            <w:bottom w:val="none" w:sz="0" w:space="0" w:color="auto"/>
            <w:right w:val="none" w:sz="0" w:space="0" w:color="auto"/>
          </w:divBdr>
        </w:div>
        <w:div w:id="1572809016">
          <w:marLeft w:val="0"/>
          <w:marRight w:val="0"/>
          <w:marTop w:val="0"/>
          <w:marBottom w:val="0"/>
          <w:divBdr>
            <w:top w:val="none" w:sz="0" w:space="0" w:color="auto"/>
            <w:left w:val="none" w:sz="0" w:space="0" w:color="auto"/>
            <w:bottom w:val="none" w:sz="0" w:space="0" w:color="auto"/>
            <w:right w:val="none" w:sz="0" w:space="0" w:color="auto"/>
          </w:divBdr>
        </w:div>
        <w:div w:id="1401906794">
          <w:marLeft w:val="0"/>
          <w:marRight w:val="0"/>
          <w:marTop w:val="0"/>
          <w:marBottom w:val="0"/>
          <w:divBdr>
            <w:top w:val="none" w:sz="0" w:space="0" w:color="auto"/>
            <w:left w:val="none" w:sz="0" w:space="0" w:color="auto"/>
            <w:bottom w:val="none" w:sz="0" w:space="0" w:color="auto"/>
            <w:right w:val="none" w:sz="0" w:space="0" w:color="auto"/>
          </w:divBdr>
        </w:div>
        <w:div w:id="325521156">
          <w:marLeft w:val="0"/>
          <w:marRight w:val="0"/>
          <w:marTop w:val="0"/>
          <w:marBottom w:val="0"/>
          <w:divBdr>
            <w:top w:val="none" w:sz="0" w:space="0" w:color="auto"/>
            <w:left w:val="none" w:sz="0" w:space="0" w:color="auto"/>
            <w:bottom w:val="none" w:sz="0" w:space="0" w:color="auto"/>
            <w:right w:val="none" w:sz="0" w:space="0" w:color="auto"/>
          </w:divBdr>
        </w:div>
        <w:div w:id="170417491">
          <w:marLeft w:val="0"/>
          <w:marRight w:val="0"/>
          <w:marTop w:val="0"/>
          <w:marBottom w:val="0"/>
          <w:divBdr>
            <w:top w:val="none" w:sz="0" w:space="0" w:color="auto"/>
            <w:left w:val="none" w:sz="0" w:space="0" w:color="auto"/>
            <w:bottom w:val="none" w:sz="0" w:space="0" w:color="auto"/>
            <w:right w:val="none" w:sz="0" w:space="0" w:color="auto"/>
          </w:divBdr>
        </w:div>
        <w:div w:id="1411082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d.jurburg@gmail.com" TargetMode="Externa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F7E3B-8510-4F94-BC66-262D258DD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46397</Words>
  <Characters>264466</Characters>
  <Application>Microsoft Office Word</Application>
  <DocSecurity>0</DocSecurity>
  <Lines>2203</Lines>
  <Paragraphs>620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Jurburg, Stephanie</dc:creator>
  <cp:keywords/>
  <dc:description/>
  <cp:lastModifiedBy>Jurburg, Stephanie</cp:lastModifiedBy>
  <cp:revision>3</cp:revision>
  <cp:lastPrinted>2020-02-04T14:27:00Z</cp:lastPrinted>
  <dcterms:created xsi:type="dcterms:W3CDTF">2020-11-10T11:52:00Z</dcterms:created>
  <dcterms:modified xsi:type="dcterms:W3CDTF">2020-11-10T11:52:00Z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http://www.zotero.org/styles/biology-and-fertility-of-soils</vt:lpwstr>
  </property>
  <property fmtid="{D5CDD505-2E9C-101B-9397-08002B2CF9AE}" pid="5" name="Mendeley Recent Style Name 1_1">
    <vt:lpwstr>Biology and Fertility of Soils</vt:lpwstr>
  </property>
  <property fmtid="{D5CDD505-2E9C-101B-9397-08002B2CF9AE}" pid="6" name="Mendeley Recent Style Id 2_1">
    <vt:lpwstr>http://www.zotero.org/styles/harvard-cite-them-right</vt:lpwstr>
  </property>
  <property fmtid="{D5CDD505-2E9C-101B-9397-08002B2CF9AE}" pid="7" name="Mendeley Recent Style Name 2_1">
    <vt:lpwstr>Cite Them Right 10th edition - Harvard</vt:lpwstr>
  </property>
  <property fmtid="{D5CDD505-2E9C-101B-9397-08002B2CF9AE}" pid="8" name="Mendeley Recent Style Id 3_1">
    <vt:lpwstr>http://www.zotero.org/styles/environmental-microbiology</vt:lpwstr>
  </property>
  <property fmtid="{D5CDD505-2E9C-101B-9397-08002B2CF9AE}" pid="9" name="Mendeley Recent Style Name 3_1">
    <vt:lpwstr>Environmental Microbiology</vt:lpwstr>
  </property>
  <property fmtid="{D5CDD505-2E9C-101B-9397-08002B2CF9AE}" pid="10" name="Mendeley Recent Style Id 4_1">
    <vt:lpwstr>http://www.zotero.org/styles/fems-microbiology-ecology</vt:lpwstr>
  </property>
  <property fmtid="{D5CDD505-2E9C-101B-9397-08002B2CF9AE}" pid="11" name="Mendeley Recent Style Name 4_1">
    <vt:lpwstr>FEMS Microbiology Ecology</vt:lpwstr>
  </property>
  <property fmtid="{D5CDD505-2E9C-101B-9397-08002B2CF9AE}" pid="12" name="Mendeley Recent Style Id 5_1">
    <vt:lpwstr>http://www.zotero.org/styles/frontiers-in-microbiology</vt:lpwstr>
  </property>
  <property fmtid="{D5CDD505-2E9C-101B-9397-08002B2CF9AE}" pid="13" name="Mendeley Recent Style Name 5_1">
    <vt:lpwstr>Frontiers in Microbiology</vt:lpwstr>
  </property>
  <property fmtid="{D5CDD505-2E9C-101B-9397-08002B2CF9AE}" pid="14" name="Mendeley Recent Style Id 6_1">
    <vt:lpwstr>http://www.zotero.org/styles/nature</vt:lpwstr>
  </property>
  <property fmtid="{D5CDD505-2E9C-101B-9397-08002B2CF9AE}" pid="15" name="Mendeley Recent Style Name 6_1">
    <vt:lpwstr>Nature</vt:lpwstr>
  </property>
  <property fmtid="{D5CDD505-2E9C-101B-9397-08002B2CF9AE}" pid="16" name="Mendeley Recent Style Id 7_1">
    <vt:lpwstr>http://www.zotero.org/styles/nucleic-acids-research</vt:lpwstr>
  </property>
  <property fmtid="{D5CDD505-2E9C-101B-9397-08002B2CF9AE}" pid="17" name="Mendeley Recent Style Name 7_1">
    <vt:lpwstr>Nucleic Acids Research</vt:lpwstr>
  </property>
  <property fmtid="{D5CDD505-2E9C-101B-9397-08002B2CF9AE}" pid="18" name="Mendeley Recent Style Id 8_1">
    <vt:lpwstr>http://csl.mendeley.com/styles/18910331/springer-basic-author-date</vt:lpwstr>
  </property>
  <property fmtid="{D5CDD505-2E9C-101B-9397-08002B2CF9AE}" pid="19" name="Mendeley Recent Style Name 8_1">
    <vt:lpwstr>Springer - Basic (author-date) - Stephanie Jurburg</vt:lpwstr>
  </property>
  <property fmtid="{D5CDD505-2E9C-101B-9397-08002B2CF9AE}" pid="20" name="Mendeley Recent Style Id 9_1">
    <vt:lpwstr>http://www.zotero.org/styles/the-isme-journal</vt:lpwstr>
  </property>
  <property fmtid="{D5CDD505-2E9C-101B-9397-08002B2CF9AE}" pid="21" name="Mendeley Recent Style Name 9_1">
    <vt:lpwstr>The ISME Journal</vt:lpwstr>
  </property>
  <property fmtid="{D5CDD505-2E9C-101B-9397-08002B2CF9AE}" pid="22" name="Mendeley Document_1">
    <vt:lpwstr>True</vt:lpwstr>
  </property>
  <property fmtid="{D5CDD505-2E9C-101B-9397-08002B2CF9AE}" pid="23" name="Mendeley Unique User Id_1">
    <vt:lpwstr>0a8f45d3-3447-3131-a3df-3587a91b356b</vt:lpwstr>
  </property>
  <property fmtid="{D5CDD505-2E9C-101B-9397-08002B2CF9AE}" pid="24" name="Mendeley Citation Style_1">
    <vt:lpwstr>http://www.zotero.org/styles/the-isme-journal</vt:lpwstr>
  </property>
</Properties>
</file>