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F2E0AA" w14:textId="77777777" w:rsidR="00417D6F" w:rsidRDefault="00417D6F" w:rsidP="00417D6F">
      <w:pPr>
        <w:rPr>
          <w:b/>
          <w:bCs/>
        </w:rPr>
      </w:pPr>
      <w:bookmarkStart w:id="0" w:name="_Toc33289883"/>
      <w:bookmarkStart w:id="1" w:name="_Toc29199694"/>
      <w:bookmarkStart w:id="2" w:name="_Toc33289891"/>
    </w:p>
    <w:p w14:paraId="2B598192" w14:textId="77777777" w:rsidR="00C52F5C" w:rsidRPr="00F129EE" w:rsidRDefault="00C52F5C" w:rsidP="00C52F5C">
      <w:pPr>
        <w:spacing w:line="360" w:lineRule="auto"/>
      </w:pPr>
      <w:r w:rsidRPr="00E46151">
        <w:rPr>
          <w:b/>
          <w:bCs/>
        </w:rPr>
        <w:t xml:space="preserve">Title: </w:t>
      </w:r>
      <w:r>
        <w:t xml:space="preserve">Management effectiveness positively influences forest conservation outcomes in protected areas in Mexico </w:t>
      </w:r>
    </w:p>
    <w:p w14:paraId="23CC9675" w14:textId="77777777" w:rsidR="00C52F5C" w:rsidRDefault="00C52F5C" w:rsidP="00C52F5C">
      <w:pPr>
        <w:spacing w:line="360" w:lineRule="auto"/>
        <w:rPr>
          <w:b/>
          <w:bCs/>
        </w:rPr>
      </w:pPr>
    </w:p>
    <w:p w14:paraId="7AB4C6DD" w14:textId="77777777" w:rsidR="00C52F5C" w:rsidRDefault="00C52F5C" w:rsidP="00C52F5C">
      <w:pPr>
        <w:spacing w:line="360" w:lineRule="auto"/>
        <w:rPr>
          <w:vertAlign w:val="superscript"/>
        </w:rPr>
      </w:pPr>
      <w:r>
        <w:rPr>
          <w:b/>
          <w:bCs/>
        </w:rPr>
        <w:t xml:space="preserve">Authors: </w:t>
      </w:r>
      <w:r>
        <w:t>Kathryn A. Powlen</w:t>
      </w:r>
      <w:r w:rsidRPr="00EF2AF3">
        <w:rPr>
          <w:vertAlign w:val="superscript"/>
        </w:rPr>
        <w:t>1</w:t>
      </w:r>
      <w:r>
        <w:rPr>
          <w:vertAlign w:val="superscript"/>
        </w:rPr>
        <w:t>a</w:t>
      </w:r>
      <w:r>
        <w:t>, Michael Gavin</w:t>
      </w:r>
      <w:r>
        <w:rPr>
          <w:vertAlign w:val="superscript"/>
        </w:rPr>
        <w:t>a</w:t>
      </w:r>
      <w:r>
        <w:t>, Kelly W. Jones</w:t>
      </w:r>
      <w:r>
        <w:rPr>
          <w:vertAlign w:val="superscript"/>
        </w:rPr>
        <w:t>a</w:t>
      </w:r>
    </w:p>
    <w:p w14:paraId="043E0D9E" w14:textId="77777777" w:rsidR="00C52F5C" w:rsidRDefault="00C52F5C" w:rsidP="00C52F5C">
      <w:pPr>
        <w:spacing w:line="360" w:lineRule="auto"/>
      </w:pPr>
    </w:p>
    <w:p w14:paraId="5B9D074A" w14:textId="77777777" w:rsidR="00C52F5C" w:rsidRDefault="00C52F5C" w:rsidP="00C52F5C">
      <w:pPr>
        <w:spacing w:line="360" w:lineRule="auto"/>
      </w:pPr>
      <w:r w:rsidRPr="00EF2AF3">
        <w:rPr>
          <w:vertAlign w:val="superscript"/>
        </w:rPr>
        <w:t>a</w:t>
      </w:r>
      <w:r>
        <w:rPr>
          <w:vertAlign w:val="superscript"/>
        </w:rPr>
        <w:t xml:space="preserve"> </w:t>
      </w:r>
      <w:r>
        <w:t>Human Dimensions of Natural Resources, Colorado State University, Fort Collins, CO, USA</w:t>
      </w:r>
    </w:p>
    <w:p w14:paraId="322D981F" w14:textId="77777777" w:rsidR="00C52F5C" w:rsidRPr="00EF2AF3" w:rsidRDefault="00C52F5C" w:rsidP="00C52F5C">
      <w:pPr>
        <w:spacing w:line="360" w:lineRule="auto"/>
      </w:pPr>
      <w:r w:rsidRPr="00EF2AF3">
        <w:rPr>
          <w:vertAlign w:val="superscript"/>
        </w:rPr>
        <w:t>1</w:t>
      </w:r>
      <w:r>
        <w:t>Corresponding author: kapowlen@colostate.edu</w:t>
      </w:r>
    </w:p>
    <w:p w14:paraId="7E280AB0" w14:textId="77777777" w:rsidR="00C52F5C" w:rsidRDefault="00C52F5C" w:rsidP="00C52F5C">
      <w:pPr>
        <w:spacing w:line="360" w:lineRule="auto"/>
        <w:rPr>
          <w:b/>
          <w:bCs/>
        </w:rPr>
      </w:pPr>
    </w:p>
    <w:p w14:paraId="612EEB0F" w14:textId="77777777" w:rsidR="00C52F5C" w:rsidRDefault="00C52F5C" w:rsidP="00C52F5C">
      <w:pPr>
        <w:spacing w:line="360" w:lineRule="auto"/>
        <w:rPr>
          <w:b/>
          <w:bCs/>
        </w:rPr>
      </w:pPr>
      <w:r w:rsidRPr="00681271">
        <w:rPr>
          <w:b/>
          <w:bCs/>
        </w:rPr>
        <w:t>Highlights (3-5)</w:t>
      </w:r>
    </w:p>
    <w:p w14:paraId="5FFC98A8" w14:textId="77777777" w:rsidR="00C52F5C" w:rsidRPr="00681271" w:rsidRDefault="00C52F5C" w:rsidP="00C52F5C">
      <w:pPr>
        <w:pStyle w:val="ListParagraph"/>
        <w:numPr>
          <w:ilvl w:val="0"/>
          <w:numId w:val="12"/>
        </w:numPr>
        <w:spacing w:line="360" w:lineRule="auto"/>
        <w:rPr>
          <w:b/>
          <w:bCs/>
        </w:rPr>
      </w:pPr>
      <w:r>
        <w:t xml:space="preserve">Protected areas reduce forest loss across Mexico compared to control areas. </w:t>
      </w:r>
    </w:p>
    <w:p w14:paraId="787948AF" w14:textId="77777777" w:rsidR="00C52F5C" w:rsidRPr="00AB2E9F" w:rsidRDefault="00C52F5C" w:rsidP="00C52F5C">
      <w:pPr>
        <w:pStyle w:val="ListParagraph"/>
        <w:numPr>
          <w:ilvl w:val="0"/>
          <w:numId w:val="12"/>
        </w:numPr>
        <w:spacing w:line="360" w:lineRule="auto"/>
        <w:rPr>
          <w:b/>
          <w:bCs/>
        </w:rPr>
      </w:pPr>
      <w:r>
        <w:t xml:space="preserve">Protected areas </w:t>
      </w:r>
      <w:r w:rsidRPr="00AB2E9F">
        <w:t>with higher management effectiveness scores prevent more forest loss.</w:t>
      </w:r>
    </w:p>
    <w:p w14:paraId="5FE651BE" w14:textId="77777777" w:rsidR="00C52F5C" w:rsidRPr="00AB2E9F" w:rsidRDefault="00C52F5C" w:rsidP="00C52F5C">
      <w:pPr>
        <w:pStyle w:val="ListParagraph"/>
        <w:numPr>
          <w:ilvl w:val="0"/>
          <w:numId w:val="12"/>
        </w:numPr>
        <w:spacing w:line="360" w:lineRule="auto"/>
      </w:pPr>
      <w:r>
        <w:rPr>
          <w:rFonts w:ascii="Times" w:hAnsi="Times"/>
          <w:color w:val="000000"/>
        </w:rPr>
        <w:t>Management dimensions associated with h</w:t>
      </w:r>
      <w:r w:rsidRPr="00AB2E9F">
        <w:rPr>
          <w:rFonts w:ascii="Times" w:hAnsi="Times"/>
          <w:color w:val="000000"/>
        </w:rPr>
        <w:t xml:space="preserve">uman capacity and financial resources </w:t>
      </w:r>
      <w:r>
        <w:rPr>
          <w:rFonts w:ascii="Times" w:hAnsi="Times"/>
          <w:color w:val="000000"/>
        </w:rPr>
        <w:t>were</w:t>
      </w:r>
      <w:r w:rsidRPr="00AB2E9F">
        <w:rPr>
          <w:rFonts w:ascii="Times" w:hAnsi="Times"/>
          <w:color w:val="000000"/>
        </w:rPr>
        <w:t xml:space="preserve"> found to have the strongest relationship with protected area outcomes.</w:t>
      </w:r>
    </w:p>
    <w:p w14:paraId="2295450A" w14:textId="77777777" w:rsidR="00DE69DC" w:rsidRDefault="00DE69DC" w:rsidP="003E53E3">
      <w:pPr>
        <w:rPr>
          <w:b/>
          <w:bCs/>
        </w:rPr>
      </w:pPr>
    </w:p>
    <w:p w14:paraId="46DAF4EA" w14:textId="666B931B" w:rsidR="003276AB" w:rsidRDefault="003276AB" w:rsidP="003E53E3">
      <w:pPr>
        <w:rPr>
          <w:b/>
          <w:bCs/>
        </w:rPr>
      </w:pPr>
      <w:r>
        <w:rPr>
          <w:b/>
          <w:bCs/>
        </w:rPr>
        <w:t>Abstract</w:t>
      </w:r>
    </w:p>
    <w:p w14:paraId="52D9CD6A" w14:textId="2EFFDEF3" w:rsidR="00D357CB" w:rsidRPr="001B34B3" w:rsidRDefault="00C3309E" w:rsidP="003E53E3">
      <w:pPr>
        <w:ind w:firstLine="720"/>
        <w:rPr>
          <w:i/>
          <w:iCs/>
        </w:rPr>
      </w:pPr>
      <w:r w:rsidRPr="00C3309E">
        <w:rPr>
          <w:color w:val="000000" w:themeColor="text1"/>
        </w:rPr>
        <w:t xml:space="preserve">Understanding the factors that drive protected area outcomes is critical </w:t>
      </w:r>
      <w:r w:rsidR="00FE43C4">
        <w:rPr>
          <w:color w:val="000000" w:themeColor="text1"/>
        </w:rPr>
        <w:t xml:space="preserve">to </w:t>
      </w:r>
      <w:r w:rsidRPr="00C3309E">
        <w:rPr>
          <w:color w:val="000000" w:themeColor="text1"/>
        </w:rPr>
        <w:t>increas</w:t>
      </w:r>
      <w:r w:rsidR="00FE43C4">
        <w:rPr>
          <w:color w:val="000000" w:themeColor="text1"/>
        </w:rPr>
        <w:t>e</w:t>
      </w:r>
      <w:r w:rsidRPr="00C3309E">
        <w:rPr>
          <w:color w:val="000000" w:themeColor="text1"/>
        </w:rPr>
        <w:t xml:space="preserve"> the success of global conservation efforts. </w:t>
      </w:r>
      <w:r>
        <w:rPr>
          <w:color w:val="000000" w:themeColor="text1"/>
        </w:rPr>
        <w:t>U</w:t>
      </w:r>
      <w:r w:rsidRPr="00C3309E">
        <w:rPr>
          <w:color w:val="000000" w:themeColor="text1"/>
        </w:rPr>
        <w:t xml:space="preserve">ntil recently, our understanding of the influence of management effectiveness has been restricted by </w:t>
      </w:r>
      <w:r w:rsidR="001B1424">
        <w:rPr>
          <w:color w:val="000000" w:themeColor="text1"/>
        </w:rPr>
        <w:t xml:space="preserve">the limited availability </w:t>
      </w:r>
      <w:r w:rsidRPr="00C3309E">
        <w:rPr>
          <w:color w:val="000000" w:themeColor="text1"/>
        </w:rPr>
        <w:t>of standardized management data and study design limitations</w:t>
      </w:r>
      <w:r w:rsidR="008839B9">
        <w:rPr>
          <w:color w:val="000000" w:themeColor="text1"/>
        </w:rPr>
        <w:t xml:space="preserve"> of prior evaluations</w:t>
      </w:r>
      <w:r w:rsidRPr="00C3309E">
        <w:rPr>
          <w:color w:val="000000" w:themeColor="text1"/>
        </w:rPr>
        <w:t xml:space="preserve">. </w:t>
      </w:r>
      <w:r w:rsidR="00E46151" w:rsidRPr="00C3309E">
        <w:rPr>
          <w:color w:val="000000" w:themeColor="text1"/>
        </w:rPr>
        <w:t xml:space="preserve">Here </w:t>
      </w:r>
      <w:r>
        <w:rPr>
          <w:color w:val="000000" w:themeColor="text1"/>
        </w:rPr>
        <w:t xml:space="preserve">we </w:t>
      </w:r>
      <w:r w:rsidR="00691122" w:rsidRPr="00C3309E">
        <w:rPr>
          <w:color w:val="000000" w:themeColor="text1"/>
        </w:rPr>
        <w:t>u</w:t>
      </w:r>
      <w:r w:rsidR="00251BC7" w:rsidRPr="00C3309E">
        <w:rPr>
          <w:color w:val="000000" w:themeColor="text1"/>
        </w:rPr>
        <w:t>s</w:t>
      </w:r>
      <w:r w:rsidR="00691122" w:rsidRPr="00C3309E">
        <w:rPr>
          <w:color w:val="000000" w:themeColor="text1"/>
        </w:rPr>
        <w:t>e</w:t>
      </w:r>
      <w:r w:rsidR="00251BC7" w:rsidRPr="00C3309E">
        <w:rPr>
          <w:color w:val="000000" w:themeColor="text1"/>
        </w:rPr>
        <w:t xml:space="preserve"> a </w:t>
      </w:r>
      <w:r w:rsidR="00B61661" w:rsidRPr="00C3309E">
        <w:rPr>
          <w:color w:val="000000" w:themeColor="text1"/>
        </w:rPr>
        <w:t xml:space="preserve">quasi-experimental </w:t>
      </w:r>
      <w:r w:rsidR="00251BC7" w:rsidRPr="00C3309E">
        <w:rPr>
          <w:color w:val="000000" w:themeColor="text1"/>
        </w:rPr>
        <w:t xml:space="preserve">matching </w:t>
      </w:r>
      <w:r w:rsidR="00B61661" w:rsidRPr="00C3309E">
        <w:rPr>
          <w:color w:val="000000" w:themeColor="text1"/>
        </w:rPr>
        <w:t>approach</w:t>
      </w:r>
      <w:r w:rsidR="00691122" w:rsidRPr="00C3309E">
        <w:rPr>
          <w:color w:val="000000" w:themeColor="text1"/>
        </w:rPr>
        <w:t xml:space="preserve"> to </w:t>
      </w:r>
      <w:r w:rsidR="00D357CB" w:rsidRPr="00C3309E">
        <w:rPr>
          <w:color w:val="000000" w:themeColor="text1"/>
        </w:rPr>
        <w:t xml:space="preserve">test the influence of </w:t>
      </w:r>
      <w:r w:rsidRPr="00C3309E">
        <w:rPr>
          <w:color w:val="000000" w:themeColor="text1"/>
        </w:rPr>
        <w:t xml:space="preserve">management effectiveness </w:t>
      </w:r>
      <w:r>
        <w:rPr>
          <w:color w:val="000000" w:themeColor="text1"/>
        </w:rPr>
        <w:t>on forest cover change inside 46 protected areas</w:t>
      </w:r>
      <w:r w:rsidR="00C12FDE">
        <w:rPr>
          <w:color w:val="000000" w:themeColor="text1"/>
        </w:rPr>
        <w:t xml:space="preserve"> in Mexico</w:t>
      </w:r>
      <w:r>
        <w:rPr>
          <w:color w:val="000000" w:themeColor="text1"/>
        </w:rPr>
        <w:t xml:space="preserve">. We test the influence of five management </w:t>
      </w:r>
      <w:r w:rsidR="00D357CB">
        <w:rPr>
          <w:color w:val="000000" w:themeColor="text1"/>
        </w:rPr>
        <w:t>categories, including context and planning</w:t>
      </w:r>
      <w:r w:rsidR="000342F7">
        <w:rPr>
          <w:color w:val="000000" w:themeColor="text1"/>
        </w:rPr>
        <w:t xml:space="preserve">, </w:t>
      </w:r>
      <w:r w:rsidR="000342F7">
        <w:t>administration and finance</w:t>
      </w:r>
      <w:r w:rsidR="00D357CB">
        <w:rPr>
          <w:color w:val="000000" w:themeColor="text1"/>
        </w:rPr>
        <w:t xml:space="preserve">, use and benefits, governance and social participation, and management quality, </w:t>
      </w:r>
      <w:r w:rsidR="00E219B0">
        <w:rPr>
          <w:color w:val="000000" w:themeColor="text1"/>
        </w:rPr>
        <w:t>as well as</w:t>
      </w:r>
      <w:r w:rsidR="00D357CB">
        <w:rPr>
          <w:color w:val="000000" w:themeColor="text1"/>
        </w:rPr>
        <w:t xml:space="preserve"> an overall effectiveness score</w:t>
      </w:r>
      <w:r>
        <w:rPr>
          <w:color w:val="000000" w:themeColor="text1"/>
        </w:rPr>
        <w:t>,</w:t>
      </w:r>
      <w:r w:rsidR="00F971B3">
        <w:t xml:space="preserve"> using </w:t>
      </w:r>
      <w:r>
        <w:t>a</w:t>
      </w:r>
      <w:r w:rsidR="00F971B3">
        <w:t xml:space="preserve"> subgroup analysis and an interaction term in </w:t>
      </w:r>
      <w:r w:rsidR="00A35907">
        <w:t xml:space="preserve">post-matching </w:t>
      </w:r>
      <w:r w:rsidR="00F971B3">
        <w:t xml:space="preserve">multiple linear regression. </w:t>
      </w:r>
      <w:r w:rsidR="000C35B8">
        <w:rPr>
          <w:color w:val="000000" w:themeColor="text1"/>
        </w:rPr>
        <w:t>Our results</w:t>
      </w:r>
      <w:r w:rsidR="00251BC7">
        <w:rPr>
          <w:color w:val="000000" w:themeColor="text1"/>
        </w:rPr>
        <w:t xml:space="preserve"> </w:t>
      </w:r>
      <w:r w:rsidR="00FE43C4">
        <w:rPr>
          <w:color w:val="000000" w:themeColor="text1"/>
        </w:rPr>
        <w:t xml:space="preserve">show </w:t>
      </w:r>
      <w:r w:rsidR="00251BC7">
        <w:rPr>
          <w:color w:val="000000" w:themeColor="text1"/>
        </w:rPr>
        <w:t xml:space="preserve">that </w:t>
      </w:r>
      <w:r w:rsidR="00C279C0">
        <w:rPr>
          <w:color w:val="000000" w:themeColor="text1"/>
        </w:rPr>
        <w:t xml:space="preserve">protected areas with </w:t>
      </w:r>
      <w:r w:rsidR="00691122">
        <w:rPr>
          <w:color w:val="000000" w:themeColor="text1"/>
        </w:rPr>
        <w:t>higher</w:t>
      </w:r>
      <w:r w:rsidR="00251BC7">
        <w:rPr>
          <w:color w:val="000000" w:themeColor="text1"/>
        </w:rPr>
        <w:t xml:space="preserve"> management effectiveness </w:t>
      </w:r>
      <w:r w:rsidR="00C279C0">
        <w:rPr>
          <w:color w:val="000000" w:themeColor="text1"/>
        </w:rPr>
        <w:t xml:space="preserve">have </w:t>
      </w:r>
      <w:r w:rsidR="00251BC7">
        <w:rPr>
          <w:color w:val="000000" w:themeColor="text1"/>
        </w:rPr>
        <w:t xml:space="preserve">a greater effect </w:t>
      </w:r>
      <w:r w:rsidR="00691122">
        <w:rPr>
          <w:color w:val="000000" w:themeColor="text1"/>
        </w:rPr>
        <w:t xml:space="preserve">on reducing deforestation compared to </w:t>
      </w:r>
      <w:r w:rsidR="00C279C0">
        <w:rPr>
          <w:color w:val="000000" w:themeColor="text1"/>
        </w:rPr>
        <w:t xml:space="preserve">those with </w:t>
      </w:r>
      <w:r w:rsidR="00251BC7">
        <w:rPr>
          <w:color w:val="000000" w:themeColor="text1"/>
        </w:rPr>
        <w:t>low</w:t>
      </w:r>
      <w:r w:rsidR="001B34B3">
        <w:rPr>
          <w:color w:val="000000" w:themeColor="text1"/>
        </w:rPr>
        <w:t xml:space="preserve"> management</w:t>
      </w:r>
      <w:r w:rsidR="00251BC7">
        <w:rPr>
          <w:color w:val="000000" w:themeColor="text1"/>
        </w:rPr>
        <w:t xml:space="preserve"> </w:t>
      </w:r>
      <w:r w:rsidR="00691122">
        <w:rPr>
          <w:color w:val="000000" w:themeColor="text1"/>
        </w:rPr>
        <w:t>effectiveness</w:t>
      </w:r>
      <w:r w:rsidR="00B61661">
        <w:rPr>
          <w:color w:val="000000" w:themeColor="text1"/>
        </w:rPr>
        <w:t xml:space="preserve">, </w:t>
      </w:r>
      <w:r w:rsidR="00887135">
        <w:rPr>
          <w:color w:val="000000" w:themeColor="text1"/>
        </w:rPr>
        <w:t xml:space="preserve">but </w:t>
      </w:r>
      <w:r w:rsidR="00B61661">
        <w:rPr>
          <w:color w:val="000000" w:themeColor="text1"/>
        </w:rPr>
        <w:t xml:space="preserve">that both </w:t>
      </w:r>
      <w:r w:rsidR="00887135">
        <w:rPr>
          <w:color w:val="000000" w:themeColor="text1"/>
        </w:rPr>
        <w:t xml:space="preserve">types of protected areas </w:t>
      </w:r>
      <w:r w:rsidR="00B61661">
        <w:rPr>
          <w:color w:val="000000" w:themeColor="text1"/>
        </w:rPr>
        <w:t>experience less forest loss compared to similar unprotected areas</w:t>
      </w:r>
      <w:r w:rsidR="00251BC7">
        <w:rPr>
          <w:color w:val="000000" w:themeColor="text1"/>
        </w:rPr>
        <w:t xml:space="preserve">. </w:t>
      </w:r>
      <w:r w:rsidR="001B34B3">
        <w:rPr>
          <w:color w:val="000000" w:themeColor="text1"/>
        </w:rPr>
        <w:t>We find this</w:t>
      </w:r>
      <w:r w:rsidR="00251BC7">
        <w:rPr>
          <w:color w:val="000000" w:themeColor="text1"/>
        </w:rPr>
        <w:t xml:space="preserve"> trend </w:t>
      </w:r>
      <w:r w:rsidR="001B34B3">
        <w:rPr>
          <w:color w:val="000000" w:themeColor="text1"/>
        </w:rPr>
        <w:t>in</w:t>
      </w:r>
      <w:r w:rsidR="00012C36">
        <w:rPr>
          <w:color w:val="000000" w:themeColor="text1"/>
        </w:rPr>
        <w:t xml:space="preserve"> </w:t>
      </w:r>
      <w:r w:rsidR="00EE34E5">
        <w:rPr>
          <w:color w:val="000000" w:themeColor="text1"/>
        </w:rPr>
        <w:t>all five</w:t>
      </w:r>
      <w:r w:rsidR="009B4FE4">
        <w:rPr>
          <w:color w:val="000000" w:themeColor="text1"/>
        </w:rPr>
        <w:t xml:space="preserve"> of the </w:t>
      </w:r>
      <w:r w:rsidR="00EE34E5">
        <w:rPr>
          <w:color w:val="000000" w:themeColor="text1"/>
        </w:rPr>
        <w:t>management</w:t>
      </w:r>
      <w:r w:rsidR="009B4FE4">
        <w:rPr>
          <w:color w:val="000000" w:themeColor="text1"/>
        </w:rPr>
        <w:t xml:space="preserve"> categories and t</w:t>
      </w:r>
      <w:r w:rsidR="001B34B3">
        <w:rPr>
          <w:color w:val="000000" w:themeColor="text1"/>
        </w:rPr>
        <w:t>he overall score</w:t>
      </w:r>
      <w:r w:rsidR="00EE34E5">
        <w:rPr>
          <w:color w:val="000000" w:themeColor="text1"/>
        </w:rPr>
        <w:t xml:space="preserve">, with </w:t>
      </w:r>
      <w:r w:rsidR="000342F7">
        <w:t xml:space="preserve">administration and finance </w:t>
      </w:r>
      <w:r w:rsidR="00EE34E5">
        <w:rPr>
          <w:color w:val="000000" w:themeColor="text1"/>
        </w:rPr>
        <w:t>scores</w:t>
      </w:r>
      <w:r w:rsidR="00B002A4">
        <w:rPr>
          <w:color w:val="000000" w:themeColor="text1"/>
        </w:rPr>
        <w:t xml:space="preserve"> </w:t>
      </w:r>
      <w:r w:rsidR="00EE34E5">
        <w:rPr>
          <w:color w:val="000000" w:themeColor="text1"/>
        </w:rPr>
        <w:t xml:space="preserve">having the </w:t>
      </w:r>
      <w:r w:rsidR="001B34B3">
        <w:rPr>
          <w:color w:val="000000" w:themeColor="text1"/>
        </w:rPr>
        <w:t>greate</w:t>
      </w:r>
      <w:r w:rsidR="00EE34E5">
        <w:rPr>
          <w:color w:val="000000" w:themeColor="text1"/>
        </w:rPr>
        <w:t>st</w:t>
      </w:r>
      <w:r w:rsidR="00251BC7">
        <w:rPr>
          <w:color w:val="000000" w:themeColor="text1"/>
        </w:rPr>
        <w:t xml:space="preserve"> effect </w:t>
      </w:r>
      <w:r w:rsidR="00EE34E5">
        <w:rPr>
          <w:color w:val="000000" w:themeColor="text1"/>
        </w:rPr>
        <w:t>on forest loss outcomes</w:t>
      </w:r>
      <w:r w:rsidR="00AB2B7A">
        <w:rPr>
          <w:color w:val="000000" w:themeColor="text1"/>
        </w:rPr>
        <w:t xml:space="preserve">. </w:t>
      </w:r>
      <w:r w:rsidR="001B34B3">
        <w:rPr>
          <w:color w:val="000000" w:themeColor="text1"/>
        </w:rPr>
        <w:t>Our</w:t>
      </w:r>
      <w:r w:rsidR="00021ACB">
        <w:rPr>
          <w:color w:val="000000" w:themeColor="text1"/>
        </w:rPr>
        <w:t xml:space="preserve"> findings suggest </w:t>
      </w:r>
      <w:r w:rsidR="001B34B3">
        <w:rPr>
          <w:color w:val="000000" w:themeColor="text1"/>
        </w:rPr>
        <w:t>careful</w:t>
      </w:r>
      <w:r w:rsidR="00021ACB">
        <w:rPr>
          <w:color w:val="000000" w:themeColor="text1"/>
        </w:rPr>
        <w:t xml:space="preserve"> design and planning</w:t>
      </w:r>
      <w:r w:rsidR="001B34B3">
        <w:rPr>
          <w:color w:val="000000" w:themeColor="text1"/>
        </w:rPr>
        <w:t>,</w:t>
      </w:r>
      <w:r w:rsidR="00021ACB">
        <w:rPr>
          <w:color w:val="000000" w:themeColor="text1"/>
        </w:rPr>
        <w:t xml:space="preserve"> effective participation</w:t>
      </w:r>
      <w:r w:rsidR="001B34B3">
        <w:rPr>
          <w:color w:val="000000" w:themeColor="text1"/>
        </w:rPr>
        <w:t xml:space="preserve"> from multiple stakeholder</w:t>
      </w:r>
      <w:r w:rsidR="004451DD">
        <w:rPr>
          <w:color w:val="000000" w:themeColor="text1"/>
        </w:rPr>
        <w:t>s</w:t>
      </w:r>
      <w:r w:rsidR="001B34B3">
        <w:rPr>
          <w:color w:val="000000" w:themeColor="text1"/>
        </w:rPr>
        <w:t xml:space="preserve"> and equal sharing of benefits</w:t>
      </w:r>
      <w:r w:rsidR="00EE34E5">
        <w:rPr>
          <w:color w:val="000000" w:themeColor="text1"/>
        </w:rPr>
        <w:t xml:space="preserve">, </w:t>
      </w:r>
      <w:r w:rsidR="004451DD">
        <w:rPr>
          <w:color w:val="000000" w:themeColor="text1"/>
        </w:rPr>
        <w:t>and</w:t>
      </w:r>
      <w:r w:rsidR="00EE34E5">
        <w:rPr>
          <w:color w:val="000000" w:themeColor="text1"/>
        </w:rPr>
        <w:t xml:space="preserve"> sufficient </w:t>
      </w:r>
      <w:r w:rsidR="004451DD">
        <w:rPr>
          <w:color w:val="000000" w:themeColor="text1"/>
        </w:rPr>
        <w:t xml:space="preserve">human and </w:t>
      </w:r>
      <w:r w:rsidR="00EE34E5">
        <w:rPr>
          <w:color w:val="000000" w:themeColor="text1"/>
        </w:rPr>
        <w:t xml:space="preserve">financial </w:t>
      </w:r>
      <w:r w:rsidR="00371B31">
        <w:rPr>
          <w:color w:val="000000" w:themeColor="text1"/>
        </w:rPr>
        <w:t xml:space="preserve">capital </w:t>
      </w:r>
      <w:r w:rsidR="00292D10">
        <w:rPr>
          <w:color w:val="000000" w:themeColor="text1"/>
        </w:rPr>
        <w:t>can improve the</w:t>
      </w:r>
      <w:r w:rsidR="00EE34E5">
        <w:rPr>
          <w:color w:val="000000" w:themeColor="text1"/>
        </w:rPr>
        <w:t xml:space="preserve"> effective</w:t>
      </w:r>
      <w:r w:rsidR="00292D10">
        <w:rPr>
          <w:color w:val="000000" w:themeColor="text1"/>
        </w:rPr>
        <w:t>ness of protected areas in</w:t>
      </w:r>
      <w:r w:rsidR="00B002A4">
        <w:rPr>
          <w:color w:val="000000" w:themeColor="text1"/>
        </w:rPr>
        <w:t xml:space="preserve"> </w:t>
      </w:r>
      <w:r w:rsidR="00292D10">
        <w:rPr>
          <w:color w:val="000000" w:themeColor="text1"/>
        </w:rPr>
        <w:t>preventing</w:t>
      </w:r>
      <w:r w:rsidR="00B002A4">
        <w:rPr>
          <w:color w:val="000000" w:themeColor="text1"/>
        </w:rPr>
        <w:t xml:space="preserve"> forest loss</w:t>
      </w:r>
      <w:r w:rsidR="001B34B3">
        <w:rPr>
          <w:color w:val="000000" w:themeColor="text1"/>
        </w:rPr>
        <w:t>.</w:t>
      </w:r>
      <w:r w:rsidR="00021ACB">
        <w:rPr>
          <w:color w:val="000000" w:themeColor="text1"/>
        </w:rPr>
        <w:t xml:space="preserve"> </w:t>
      </w:r>
    </w:p>
    <w:p w14:paraId="27B6AA52" w14:textId="7F422404" w:rsidR="003276AB" w:rsidRDefault="003276AB" w:rsidP="003E53E3">
      <w:pPr>
        <w:rPr>
          <w:b/>
          <w:bCs/>
        </w:rPr>
      </w:pPr>
    </w:p>
    <w:p w14:paraId="276CA93D" w14:textId="62324903" w:rsidR="006128BE" w:rsidRDefault="006128BE" w:rsidP="003E53E3">
      <w:pPr>
        <w:rPr>
          <w:b/>
          <w:bCs/>
        </w:rPr>
      </w:pPr>
      <w:r>
        <w:rPr>
          <w:b/>
          <w:bCs/>
        </w:rPr>
        <w:t xml:space="preserve">Keywords: </w:t>
      </w:r>
    </w:p>
    <w:p w14:paraId="08AEF20B" w14:textId="151082DC" w:rsidR="006128BE" w:rsidRDefault="006128BE" w:rsidP="003E53E3">
      <w:r>
        <w:t xml:space="preserve">Protected </w:t>
      </w:r>
      <w:r w:rsidR="00466CEF">
        <w:t>a</w:t>
      </w:r>
      <w:r>
        <w:t xml:space="preserve">reas, Management </w:t>
      </w:r>
      <w:r w:rsidR="00466CEF">
        <w:t>e</w:t>
      </w:r>
      <w:r>
        <w:t xml:space="preserve">ffectiveness, </w:t>
      </w:r>
      <w:r w:rsidR="00466CEF">
        <w:t>Forest conservation</w:t>
      </w:r>
      <w:r w:rsidR="001B1424">
        <w:t>, Impact evaluation, Mexico</w:t>
      </w:r>
    </w:p>
    <w:p w14:paraId="5AA2BB9B" w14:textId="66CD766A" w:rsidR="00E420E9" w:rsidRDefault="00E420E9" w:rsidP="003E53E3">
      <w:pPr>
        <w:rPr>
          <w:b/>
          <w:bCs/>
        </w:rPr>
      </w:pPr>
    </w:p>
    <w:p w14:paraId="2DE801C0" w14:textId="77777777" w:rsidR="003E53E3" w:rsidRDefault="003E53E3" w:rsidP="003E53E3">
      <w:pPr>
        <w:rPr>
          <w:b/>
          <w:bCs/>
        </w:rPr>
        <w:sectPr w:rsidR="003E53E3" w:rsidSect="0020390B">
          <w:footerReference w:type="even" r:id="rId8"/>
          <w:footerReference w:type="default" r:id="rId9"/>
          <w:pgSz w:w="12240" w:h="15840"/>
          <w:pgMar w:top="1440" w:right="1440" w:bottom="1440" w:left="1440" w:header="720" w:footer="720" w:gutter="0"/>
          <w:cols w:space="720"/>
          <w:titlePg/>
          <w:docGrid w:linePitch="360"/>
        </w:sectPr>
      </w:pPr>
    </w:p>
    <w:p w14:paraId="3C968A59" w14:textId="727AE6CD" w:rsidR="004705B9" w:rsidRPr="006E7ECA" w:rsidRDefault="004705B9" w:rsidP="003E53E3">
      <w:pPr>
        <w:pStyle w:val="ListParagraph"/>
        <w:numPr>
          <w:ilvl w:val="0"/>
          <w:numId w:val="8"/>
        </w:numPr>
        <w:rPr>
          <w:b/>
          <w:bCs/>
          <w:caps/>
        </w:rPr>
      </w:pPr>
      <w:r w:rsidRPr="006E7ECA">
        <w:rPr>
          <w:b/>
          <w:bCs/>
        </w:rPr>
        <w:lastRenderedPageBreak/>
        <w:t>Introduction</w:t>
      </w:r>
      <w:bookmarkEnd w:id="0"/>
    </w:p>
    <w:bookmarkEnd w:id="1"/>
    <w:bookmarkEnd w:id="2"/>
    <w:p w14:paraId="2E9FDABB" w14:textId="19D7F05E" w:rsidR="00E2431E" w:rsidRDefault="004F5978" w:rsidP="003E53E3">
      <w:pPr>
        <w:ind w:firstLine="720"/>
      </w:pPr>
      <w:r w:rsidRPr="004F5978">
        <w:t>Protected areas</w:t>
      </w:r>
      <w:r w:rsidR="0049442F">
        <w:t xml:space="preserve"> </w:t>
      </w:r>
      <w:r w:rsidR="00086F25">
        <w:t xml:space="preserve">(PA) </w:t>
      </w:r>
      <w:r w:rsidRPr="004F5978">
        <w:t>are a widely promoted tool to conserve the world’s remaining forest</w:t>
      </w:r>
      <w:r w:rsidR="00C12FDE">
        <w:t>s</w:t>
      </w:r>
      <w:r w:rsidR="00FE43C4">
        <w:t>,</w:t>
      </w:r>
      <w:r w:rsidRPr="004F5978">
        <w:t xml:space="preserve"> and have significantly expanded since the adoption of the Aichi Targets by the Convention of Biological Diversity </w:t>
      </w:r>
      <w:r w:rsidRPr="004F5978">
        <w:fldChar w:fldCharType="begin" w:fldLock="1"/>
      </w:r>
      <w:r w:rsidR="00EC711B">
        <w:instrText>ADDIN CSL_CITATION {"citationItems":[{"id":"ITEM-1","itemData":{"DOI":"10.1111/conl.12158","ISBN":"1755-263X","ISSN":"1755263X","PMID":"26955080","abstract":"Governments have committed to conserving 17% of terrestrial and 10% of\\nmarine environments globally, especially areas of particular importance\\nfor biodiversity through ecologically representative Protected Area (PA)\\nsystems or other area-based conservation measures, while individual\\ncountries have committed to conserve 3-50% of their land area. We\\nestimate that PAs currently cover 14.6% of terrestrial and 2.8% of\\nmarine extent, but 59-68% of ecoregions, 77-78% of important sites for\\nbiodiversity, and 57% of 25,380 species have inadequate coverage. The\\nexisting 19.7 million km(2) terrestrial PA network needs only 3.3\\nmillion km(2) to be added to achieve 17% terrestrial coverage. However,\\nit would require nearly doubling to achieve, cost-efficiently, coverage\\ntargets for all countries, ecoregions, important sites, and species.\\nPoorer countries have the largest relative shortfalls. Such extensive\\nand rapid expansion of formal PAs is unlikely to be achievable. Greater\\nfocus is therefore needed on alternative approaches, including\\ncommunity- and privately managed sites and other effective area-based\\nconservation measures.","author":[{"dropping-particle":"","family":"Butchart","given":"Stuart H.M.","non-dropping-particle":"","parse-names":false,"suffix":""},{"dropping-particle":"","family":"Clarke","given":"Martin","non-dropping-particle":"","parse-names":false,"suffix":""},{"dropping-particle":"","family":"Smith","given":"Robert J.","non-dropping-particle":"","parse-names":false,"suffix":""},{"dropping-particle":"","family":"Sykes","given":"Rachel E.","non-dropping-particle":"","parse-names":false,"suffix":""},{"dropping-particle":"","family":"Scharlemann","given":"Jörn P.W.","non-dropping-particle":"","parse-names":false,"suffix":""},{"dropping-particle":"","family":"Harfoot","given":"Mike","non-dropping-particle":"","parse-names":false,"suffix":""},{"dropping-particle":"","family":"Buchanan","given":"Graeme M.","non-dropping-particle":"","parse-names":false,"suffix":""},{"dropping-particle":"","family":"Angulo","given":"Ariadne","non-dropping-particle":"","parse-names":false,"suffix":""},{"dropping-particle":"","family":"Balmford","given":"Andrew","non-dropping-particle":"","parse-names":false,"suffix":""},{"dropping-particle":"","family":"Bertzky","given":"Bastian","non-dropping-particle":"","parse-names":false,"suffix":""},{"dropping-particle":"","family":"Brooks","given":"Thomas M.","non-dropping-particle":"","parse-names":false,"suffix":""},{"dropping-particle":"","family":"Carpenter","given":"Kent E.","non-dropping-particle":"","parse-names":false,"suffix":""},{"dropping-particle":"","family":"Comeros-Raynal","given":"Mia T.","non-dropping-particle":"","parse-names":false,"suffix":""},{"dropping-particle":"","family":"Cornell","given":"John","non-dropping-particle":"","parse-names":false,"suffix":""},{"dropping-particle":"","family":"Ficetola","given":"G. Francesco","non-dropping-particle":"","parse-names":false,"suffix":""},{"dropping-particle":"","family":"Fishpool","given":"Lincoln D.C.","non-dropping-particle":"","parse-names":false,"suffix":""},{"dropping-particle":"","family":"Fuller","given":"Richard A.","non-dropping-particle":"","parse-names":false,"suffix":""},{"dropping-particle":"","family":"Geldmann","given":"Jonas","non-dropping-particle":"","parse-names":false,"suffix":""},{"dropping-particle":"","family":"Harwell","given":"Heather","non-dropping-particle":"","parse-names":false,"suffix":""},{"dropping-particle":"","family":"Hilton-Taylor","given":"Craig","non-dropping-particle":"","parse-names":false,"suffix":""},{"dropping-particle":"","family":"Hoffmann","given":"Michael","non-dropping-particle":"","parse-names":false,"suffix":""},{"dropping-particle":"","family":"Joolia","given":"Ackbar","non-dropping-particle":"","parse-names":false,"suffix":""},{"dropping-particle":"","family":"Joppa","given":"Lucas","non-dropping-particle":"","parse-names":false,"suffix":""},{"dropping-particle":"","family":"Kingston","given":"Naomi","non-dropping-particle":"","parse-names":false,"suffix":""},{"dropping-particle":"","family":"May","given":"Ian","non-dropping-particle":"","parse-names":false,"suffix":""},{"dropping-particle":"","family":"Milam","given":"Amy","non-dropping-particle":"","parse-names":false,"suffix":""},{"dropping-particle":"","family":"Polidoro","given":"Beth","non-dropping-particle":"","parse-names":false,"suffix":""},{"dropping-particle":"","family":"Ralph","given":"Gina","non-dropping-particle":"","parse-names":false,"suffix":""},{"dropping-particle":"","family":"Richman","given":"Nadia","non-dropping-particle":"","parse-names":false,"suffix":""},{"dropping-particle":"","family":"Rondinini","given":"Carlo","non-dropping-particle":"","parse-names":false,"suffix":""},{"dropping-particle":"","family":"Segan","given":"Daniel B.","non-dropping-particle":"","parse-names":false,"suffix":""},{"dropping-particle":"","family":"Skolnik","given":"Benjamin","non-dropping-particle":"","parse-names":false,"suffix":""},{"dropping-particle":"","family":"Spalding","given":"Mark D.","non-dropping-particle":"","parse-names":false,"suffix":""},{"dropping-particle":"","family":"Stuart","given":"Simon N.","non-dropping-particle":"","parse-names":false,"suffix":""},{"dropping-particle":"","family":"Symes","given":"Andy","non-dropping-particle":"","parse-names":false,"suffix":""},{"dropping-particle":"","family":"Taylor","given":"Joseph","non-dropping-particle":"","parse-names":false,"suffix":""},{"dropping-particle":"","family":"Visconti","given":"Piero","non-dropping-particle":"","parse-names":false,"suffix":""},{"dropping-particle":"","family":"Watson","given":"James E.M.","non-dropping-particle":"","parse-names":false,"suffix":""},{"dropping-particle":"","family":"Wood","given":"Louisa","non-dropping-particle":"","parse-names":false,"suffix":""},{"dropping-particle":"","family":"Burgess","given":"Neil D.","non-dropping-particle":"","parse-names":false,"suffix":""}],"container-title":"Conservation Letters","id":"ITEM-1","issue":"5","issued":{"date-parts":[["2015"]]},"page":"329-337","title":"Shortfalls and Solutions for Meeting National and Global Conservation Area Targets","type":"article-journal","volume":"8"},"uris":["http://www.mendeley.com/documents/?uuid=4134255f-328d-4002-bc2b-74b5f073115e"]},{"id":"ITEM-2","itemData":{"author":[{"dropping-particle":"","family":"CBD","given":"","non-dropping-particle":"","parse-names":false,"suffix":""}],"id":"ITEM-2","issued":{"date-parts":[["2010"]]},"title":"The Strategic Plan for Biodiversity 2011–2020 and the Aichi Biodiversity Targets","type":"report"},"uris":["http://www.mendeley.com/documents/?uuid=867d3d6c-3383-474a-ba9f-393a86d86606"]}],"mendeley":{"formattedCitation":"(Butchart et al., 2015; CBD, 2010)","plainTextFormattedCitation":"(Butchart et al., 2015; CBD, 2010)","previouslyFormattedCitation":"(Butchart et al., 2015; CBD, 2010)"},"properties":{"noteIndex":0},"schema":"https://github.com/citation-style-language/schema/raw/master/csl-citation.json"}</w:instrText>
      </w:r>
      <w:r w:rsidRPr="004F5978">
        <w:fldChar w:fldCharType="separate"/>
      </w:r>
      <w:r w:rsidR="00EC711B" w:rsidRPr="00EC711B">
        <w:rPr>
          <w:noProof/>
        </w:rPr>
        <w:t>(Butchart et al., 2015; CBD, 2010)</w:t>
      </w:r>
      <w:r w:rsidRPr="004F5978">
        <w:fldChar w:fldCharType="end"/>
      </w:r>
      <w:r w:rsidRPr="004F5978">
        <w:t xml:space="preserve">. </w:t>
      </w:r>
      <w:r w:rsidR="00E2431E">
        <w:t xml:space="preserve">While we are on </w:t>
      </w:r>
      <w:r w:rsidR="002D0244">
        <w:t>track</w:t>
      </w:r>
      <w:r w:rsidR="00E2431E">
        <w:t xml:space="preserve"> to reach global goals for </w:t>
      </w:r>
      <w:r w:rsidR="00016B66">
        <w:t>PA</w:t>
      </w:r>
      <w:r w:rsidR="00E2431E">
        <w:t xml:space="preserve"> coverage, </w:t>
      </w:r>
      <w:r w:rsidR="00ED27E4">
        <w:t>less progress has been made on other</w:t>
      </w:r>
      <w:r w:rsidR="00B0791C">
        <w:t xml:space="preserve"> global goals</w:t>
      </w:r>
      <w:r w:rsidR="00ED27E4">
        <w:t xml:space="preserve">, including </w:t>
      </w:r>
      <w:r w:rsidR="002B4F4F">
        <w:t xml:space="preserve">minimal </w:t>
      </w:r>
      <w:r w:rsidR="00C12FDE">
        <w:t xml:space="preserve">improvements </w:t>
      </w:r>
      <w:r w:rsidR="00ED27E4">
        <w:t xml:space="preserve">in the loss and fragmentation of natural habitats and </w:t>
      </w:r>
      <w:r w:rsidR="00ED27E4" w:rsidRPr="00050A13">
        <w:t>the restoration</w:t>
      </w:r>
      <w:r w:rsidR="00ED27E4">
        <w:t xml:space="preserve"> of ecosystems that provide essential services </w:t>
      </w:r>
      <w:r w:rsidR="00726793">
        <w:fldChar w:fldCharType="begin" w:fldLock="1"/>
      </w:r>
      <w:r w:rsidR="004E1DE0">
        <w:instrText>ADDIN CSL_CITATION {"citationItems":[{"id":"ITEM-1","itemData":{"author":[{"dropping-particle":"","family":"Secretariat of the Convention on Biological Diversity","given":"","non-dropping-particle":"","parse-names":false,"suffix":""}],"id":"ITEM-1","issued":{"date-parts":[["2020"]]},"publisher-place":"Montreal","title":"Global Biodiversity Outlook 5","type":"report"},"uris":["http://www.mendeley.com/documents/?uuid=4ca9b36a-eb50-4e41-920a-f37cfa781760"]}],"mendeley":{"formattedCitation":"(Secretariat of the Convention on Biological Diversity, 2020)","manualFormatting":"(Secretariat of the Convention on Biological Diversity, 2020)","plainTextFormattedCitation":"(Secretariat of the Convention on Biological Diversity, 2020)","previouslyFormattedCitation":"(Secretariat of the Convention on Biological Diversity, 2020)"},"properties":{"noteIndex":0},"schema":"https://github.com/citation-style-language/schema/raw/master/csl-citation.json"}</w:instrText>
      </w:r>
      <w:r w:rsidR="00726793">
        <w:fldChar w:fldCharType="separate"/>
      </w:r>
      <w:r w:rsidR="00DB3936" w:rsidRPr="00DB3936">
        <w:rPr>
          <w:noProof/>
        </w:rPr>
        <w:t>(Secretariat of the Convention on Biological Diversity, 2020)</w:t>
      </w:r>
      <w:r w:rsidR="00726793">
        <w:fldChar w:fldCharType="end"/>
      </w:r>
      <w:r w:rsidR="002D0244">
        <w:t>.</w:t>
      </w:r>
      <w:r w:rsidR="00ED4053">
        <w:t xml:space="preserve"> </w:t>
      </w:r>
      <w:r w:rsidR="00C12FDE">
        <w:t xml:space="preserve">In light of this disconnect between </w:t>
      </w:r>
      <w:r w:rsidR="00016B66">
        <w:t>PA</w:t>
      </w:r>
      <w:r w:rsidR="00C12FDE">
        <w:t xml:space="preserve"> establishment and conservation </w:t>
      </w:r>
      <w:r w:rsidR="00ED76D6">
        <w:t>metrics</w:t>
      </w:r>
      <w:r w:rsidR="00C12FDE">
        <w:t>, i</w:t>
      </w:r>
      <w:r w:rsidR="00ED4053">
        <w:t xml:space="preserve">t is critical that we gain a better understanding of what drives conservation outcomes </w:t>
      </w:r>
      <w:r w:rsidR="00FE43C4">
        <w:t xml:space="preserve">for the </w:t>
      </w:r>
      <w:r w:rsidR="00741019">
        <w:t xml:space="preserve">effective pursuit of biodiversity goals. </w:t>
      </w:r>
      <w:r w:rsidR="00D819EE">
        <w:t xml:space="preserve"> </w:t>
      </w:r>
    </w:p>
    <w:p w14:paraId="78DE7E63" w14:textId="2D4B3EA4" w:rsidR="00AC62D7" w:rsidRDefault="004F5978" w:rsidP="003E53E3">
      <w:pPr>
        <w:ind w:firstLine="720"/>
      </w:pPr>
      <w:r w:rsidRPr="004F5978">
        <w:t xml:space="preserve">In addition to increasing </w:t>
      </w:r>
      <w:r w:rsidR="00AA4EE1">
        <w:t xml:space="preserve">global terrestrial </w:t>
      </w:r>
      <w:r w:rsidR="00016B66">
        <w:t>PA</w:t>
      </w:r>
      <w:r w:rsidRPr="004F5978">
        <w:t xml:space="preserve"> coverage to 17%</w:t>
      </w:r>
      <w:r w:rsidR="00AA4EE1">
        <w:t xml:space="preserve">, the CBD calls </w:t>
      </w:r>
      <w:r w:rsidRPr="004F5978">
        <w:t>for</w:t>
      </w:r>
      <w:r w:rsidR="00AA4EE1">
        <w:t xml:space="preserve"> the</w:t>
      </w:r>
      <w:r w:rsidRPr="004F5978">
        <w:t xml:space="preserve"> </w:t>
      </w:r>
      <w:r w:rsidRPr="004F5978">
        <w:rPr>
          <w:i/>
          <w:iCs/>
        </w:rPr>
        <w:t xml:space="preserve">effective and equitable </w:t>
      </w:r>
      <w:r w:rsidRPr="004F5978">
        <w:t xml:space="preserve">management of </w:t>
      </w:r>
      <w:r w:rsidR="00695FDC">
        <w:t>PAs</w:t>
      </w:r>
      <w:r w:rsidRPr="004F5978">
        <w:t xml:space="preserve"> </w:t>
      </w:r>
      <w:r w:rsidRPr="004F5978">
        <w:fldChar w:fldCharType="begin" w:fldLock="1"/>
      </w:r>
      <w:r w:rsidRPr="004F5978">
        <w:instrText>ADDIN CSL_CITATION {"citationItems":[{"id":"ITEM-1","itemData":{"author":[{"dropping-particle":"","family":"CBD","given":"","non-dropping-particle":"","parse-names":false,"suffix":""}],"id":"ITEM-1","issued":{"date-parts":[["2010"]]},"title":"The Strategic Plan for Biodiversity 2011–2020 and the Aichi Biodiversity Targets","type":"report"},"uris":["http://www.mendeley.com/documents/?uuid=867d3d6c-3383-474a-ba9f-393a86d86606"]}],"mendeley":{"formattedCitation":"(CBD, 2010)","plainTextFormattedCitation":"(CBD, 2010)","previouslyFormattedCitation":"(CBD, 2010)"},"properties":{"noteIndex":0},"schema":"https://github.com/citation-style-language/schema/raw/master/csl-citation.json"}</w:instrText>
      </w:r>
      <w:r w:rsidRPr="004F5978">
        <w:fldChar w:fldCharType="separate"/>
      </w:r>
      <w:r w:rsidRPr="004F5978">
        <w:rPr>
          <w:noProof/>
        </w:rPr>
        <w:t>(CBD, 2010)</w:t>
      </w:r>
      <w:r w:rsidRPr="004F5978">
        <w:fldChar w:fldCharType="end"/>
      </w:r>
      <w:r w:rsidRPr="004F5978">
        <w:t xml:space="preserve">. Management effectiveness </w:t>
      </w:r>
      <w:r w:rsidR="000B2FA6">
        <w:t>is expected to lead</w:t>
      </w:r>
      <w:r w:rsidRPr="004F5978">
        <w:t xml:space="preserve"> to better conservation outcomes </w:t>
      </w:r>
      <w:r w:rsidR="009762B7">
        <w:t>as</w:t>
      </w:r>
      <w:r w:rsidR="009762B7" w:rsidRPr="004F5978">
        <w:t xml:space="preserve"> </w:t>
      </w:r>
      <w:r w:rsidRPr="004F5978">
        <w:t xml:space="preserve">more strategic planning, better monitoring capacity, improved accountability and transparency, and </w:t>
      </w:r>
      <w:r w:rsidR="00B61A1E">
        <w:t>sufficient</w:t>
      </w:r>
      <w:r w:rsidRPr="004F5978">
        <w:t xml:space="preserve"> human and financial resources</w:t>
      </w:r>
      <w:r w:rsidR="009762B7">
        <w:t xml:space="preserve"> should theoretically </w:t>
      </w:r>
      <w:r w:rsidR="000B2FA6">
        <w:t>result</w:t>
      </w:r>
      <w:r w:rsidR="009762B7">
        <w:t xml:space="preserve"> </w:t>
      </w:r>
      <w:r w:rsidR="000B2FA6">
        <w:t>in</w:t>
      </w:r>
      <w:r w:rsidR="009762B7">
        <w:t xml:space="preserve"> </w:t>
      </w:r>
      <w:r w:rsidR="006452C9">
        <w:t xml:space="preserve">more effective </w:t>
      </w:r>
      <w:r w:rsidR="009762B7">
        <w:t>enforcement and governance</w:t>
      </w:r>
      <w:r w:rsidRPr="004F5978">
        <w:t xml:space="preserve"> </w:t>
      </w:r>
      <w:r w:rsidRPr="003928DC">
        <w:rPr>
          <w:color w:val="000000" w:themeColor="text1"/>
        </w:rPr>
        <w:fldChar w:fldCharType="begin" w:fldLock="1"/>
      </w:r>
      <w:r w:rsidR="00A46512">
        <w:rPr>
          <w:color w:val="000000" w:themeColor="text1"/>
        </w:rPr>
        <w:instrText>ADDIN CSL_CITATION {"citationItems":[{"id":"ITEM-1","itemData":{"DOI":"10.1111/j.1523-1739.2012.01930.x","ISSN":"08888892","abstract":"Management-effectiveness scores are used widely by donors and implementers of conservation projects to prioritize, track, and evaluate investments in protected areas. However, there is little evidence that these scores actually reflect the capacity of protected areas to deliver conservation outcomes. We examined the relation between indicators of management effectiveness in protected areas and the effectiveness of protected areas in reducing fire occurrence in the Amazon rainforest. We used data collected with the Management Effectiveness Tracking Tool (METT) scorecard, adopted by some of the world's largest conservation organizations to track management characteristics believed to be crucial for protected-area effectiveness. We used the occurrence of forest fires from 2000 through 2010 as a measure of the effect of protected areas on undesired land-cover change in the Amazon basin. We used matching to compare the estimated effect of protected areas with low versus high METT scores on fire occurrence. We also estimated effects of individual protected areas on fire occurrence and explored the relation between these effects and METT scores. The relations between METT scores and effects of protected areas on fire occurrence were weak. Protected areas with higher METT scores in 2005 did not seem to have performed better than protected areas with lower METT scores at reducing fire occurrence over the last 10 years. Further research into the relations between management-effectiveness indicators and conservation outcomes in protected areas seems necessary, and our results show that the careful application of matching methods can be a suitable method for that purpose. © 2012 Society for Conservation Biology.","author":[{"dropping-particle":"","family":"Nolte","given":"Christoph","non-dropping-particle":"","parse-names":false,"suffix":""},{"dropping-particle":"","family":"Agrawal","given":"Arun","non-dropping-particle":"","parse-names":false,"suffix":""}],"container-title":"Conservation Biology","id":"ITEM-1","issue":"1","issued":{"date-parts":[["2013"]]},"page":"155-165","title":"Linking Management Effectiveness Indicators to Observed Effects of Protected Areas on Fire Occurrence in the Amazon Rainforest","type":"article-journal","volume":"27"},"uris":["http://www.mendeley.com/documents/?uuid=5ad29e98-3116-4c31-96f0-595c520cd727"]},{"id":"ITEM-2","itemData":{"DOI":"10.1111/conl.12434","ISSN":"1755263X","abstract":"Protecting important sites is a key strategy for halting the loss of biodiversity. How-ever, our understanding of the relationship between management inputs and biodi-versity outcomes in protected areas (PAs) remains weak. Here, we examine biodiver-sity outcomes using species population trends in PAs derived from the Living Planet Database in relation to management data derived from the Management Effective-ness Tracking Tool (METT) database for 217 population time-series from 73 PAs. We found a positive relationship between our METT-based scores for Capacity and Resources and changes in vertebrate abundance, consistent with the hypothesis that PAs require adequate resourcing to halt biodiversity loss. Additionally, PA age was","author":[{"dropping-particle":"","family":"Geldmann","given":"Jonas","non-dropping-particle":"","parse-names":false,"suffix":""},{"dropping-particle":"","family":"Coad","given":"Lauren","non-dropping-particle":"","parse-names":false,"suffix":""},{"dropping-particle":"","family":"Barnes","given":"Megan D.","non-dropping-particle":"","parse-names":false,"suffix":""},{"dropping-particle":"","family":"Craigie","given":"Ian D.","non-dropping-particle":"","parse-names":false,"suffix":""},{"dropping-particle":"","family":"Woodley","given":"Stephen","non-dropping-particle":"","parse-names":false,"suffix":""},{"dropping-particle":"","family":"Balmford","given":"Andrew","non-dropping-particle":"","parse-names":false,"suffix":""},{"dropping-particle":"","family":"Brooks","given":"Thomas M.","non-dropping-particle":"","parse-names":false,"suffix":""},{"dropping-particle":"","family":"Hockings","given":"Marc","non-dropping-particle":"","parse-names":false,"suffix":""},{"dropping-particle":"","family":"Knights","given":"Kathryn","non-dropping-particle":"","parse-names":false,"suffix":""},{"dropping-particle":"","family":"Mascia","given":"Michael B.","non-dropping-particle":"","parse-names":false,"suffix":""},{"dropping-particle":"","family":"McRae","given":"Louise","non-dropping-particle":"","parse-names":false,"suffix":""},{"dropping-particle":"","family":"Burgess","given":"Neil D.","non-dropping-particle":"","parse-names":false,"suffix":""}],"container-title":"Conservation Letters","id":"ITEM-2","issue":"3","issued":{"date-parts":[["2018"]]},"page":"1-10","title":"A global analysis of management capacity and ecological outcomes in terrestrial protected areas","type":"article-journal","volume":"11"},"uris":["http://www.mendeley.com/documents/?uuid=0b1e6338-5828-45c6-99cc-054c7bdb6adb"]},{"id":"ITEM-3","itemData":{"DOI":"10.1098/rstb.2014.0281","ISSN":"14712970","PMID":"26460133","abstract":"Protected areas (PAs) are at the forefront of conservation efforts, and yet despite considerable progress towards the global target of having 17% of the world’s land area within protected areas by 2020, biodiversity continues to decline. The discrepancy between increasing PA coverage and negative biodiversity trends has resulted in renewed efforts to enhance PA effectiveness. The global conservation community has conducted thousands of assessments of protected area management effectiveness (PAME), and interest in the use of these data to helpmeasure the conservation impact of PAmanagement interventions is high. Here, we summarize the status of PAME assessment, review the published evidence for a link between PAMEassessment results and the conservation impacts of PAs, and discuss the limitations and future use of PAME data in measuring the impact of PAmanagement interventions on conservation outcomes.We conclude that PAME data,while designed as a tool for local adaptivemanagement, may also help to provide insights into the impact of PA management interventions from the local-to-global scale. However, the subjective and ordinal characteristics of the data present significant limitations for their application in rigorous scientific impact evaluations, a problem that should be recognized and mitigated where possible.","author":[{"dropping-particle":"","family":"Coad","given":"Lauren","non-dropping-particle":"","parse-names":false,"suffix":""},{"dropping-particle":"","family":"Leverington","given":"Fiona","non-dropping-particle":"","parse-names":false,"suffix":""},{"dropping-particle":"","family":"Knights","given":"Kathryn","non-dropping-particle":"","parse-names":false,"suffix":""},{"dropping-particle":"","family":"Geldmann","given":"Jonas","non-dropping-particle":"","parse-names":false,"suffix":""},{"dropping-particle":"","family":"Eassom","given":"April","non-dropping-particle":"","parse-names":false,"suffix":""},{"dropping-particle":"","family":"Kapos","given":"Valerie","non-dropping-particle":"","parse-names":false,"suffix":""},{"dropping-particle":"","family":"Kingston","given":"Naomi","non-dropping-particle":"","parse-names":false,"suffix":""},{"dropping-particle":"De","family":"Lima","given":"Marcelo","non-dropping-particle":"","parse-names":false,"suffix":""},{"dropping-particle":"","family":"Zamora","given":"Camilo","non-dropping-particle":"","parse-names":false,"suffix":""},{"dropping-particle":"","family":"Cuardros","given":"Ivon","non-dropping-particle":"","parse-names":false,"suffix":""},{"dropping-particle":"","family":"Nolte","given":"Christoph","non-dropping-particle":"","parse-names":false,"suffix":""},{"dropping-particle":"","family":"Burgess","given":"Neil D.","non-dropping-particle":"","parse-names":false,"suffix":""},{"dropping-particle":"","family":"Hockings","given":"Marc","non-dropping-particle":"","parse-names":false,"suffix":""}],"container-title":"Philosophical Transactions of the Royal Society B: Biological Sciences","id":"ITEM-3","issue":"20140281","issued":{"date-parts":[["2015"]]},"title":"Measuring impact of protected area management interventions: current and future use of the Global Database of Protected Area Aanagement Effectiveness","type":"article-journal","volume":"370"},"uris":["http://www.mendeley.com/documents/?uuid=75d9a026-a3ca-46e3-abba-136e4f15893a"]},{"id":"ITEM-4","itemData":{"ISBN":"9782880852979","abstract":"This document is a tool to assess the values and benefits provided by Protected Areas. The tool provides a series of datasheets to gather PA's background information, to identify values provided by PA's (categorized in main groups of values: food, water, culture and spirit, health and recreation, knowledge, environmental benefits and materials). Additionally, the tool provides recommendations on how to fill-out the set of asssessment datasheets.","author":[{"dropping-particle":"","family":"Dudley","given":"Nigel","non-dropping-particle":"","parse-names":false,"suffix":""},{"dropping-particle":"","family":"Stolton","given":"Sue","non-dropping-particle":"","parse-names":false,"suffix":""}],"container-title":"Assessment","id":"ITEM-4","issue":"February","issued":{"date-parts":[["2009"]]},"number-of-pages":"1-43","title":"The Protected Areas Benefits Assessment Tool","type":"book"},"uris":["http://www.mendeley.com/documents/?uuid=4b1824b7-6d41-4fc5-9787-c9336d39dce3"]},{"id":"ITEM-5","itemData":{"DOI":"10.2305/IUCN.CH.2013.PARKS-19-1.LC.en","ISSN":"24112119","abstract":"The management effectiveness of protected areas is a critically important consideration for their conservation success. Over 40 different protected area management effectiveness (PAME) data collection tools have been developed to systematically assess protected area management effectiveness. Many of these assessments have recently been collated into the Global IUCN Protected Area Management Effectiveness (PAME) database. We use the PAME database together with and the World Database on Protected Areas (WDPA) to assess current progress towards the Convention on Biological Diversity’s (CBD) 2010 and 2015 targets for PAME, which call for at least 30 per cent and 60 per cent of the total area of protected areas to have been assessed in terms of management effectiveness, respectively. We show that globally 29 per cent of the area protected has been assessed and 23 per cent of countries have reached the 60 per cent target. In addition 46 per cent of countries have reached the 30 per cent target. However, analytical results show that there are biases in the type of protected area assessed; protected areas with larger areas, and protected areas designated as National Parks (IUCN category II) are much more likely to have conducted a PAME assessment. In addition there is a paucity of PAME assessments from Europe and North America, where assessments of protected area management may already be integrated into protected area planning and monitoring systems, creating a challenge for reporting to the CBD. We further discuss the potential and limitations of PAME assessments as tools for tracking and evaluating protected area management, and the need for further assessment tools to address the ‘equity’ elements of Target 11 of the CBD.","author":[{"dropping-particle":"","family":"Coad","given":"Lauren","non-dropping-particle":"","parse-names":false,"suffix":""},{"dropping-particle":"","family":"Leverington","given":"Fiona","non-dropping-particle":"","parse-names":false,"suffix":""},{"dropping-particle":"","family":"Burgess","given":"Neil D.","non-dropping-particle":"","parse-names":false,"suffix":""},{"dropping-particle":"","family":"Cuadros","given":"Ivon C.","non-dropping-particle":"","parse-names":false,"suffix":""},{"dropping-particle":"","family":"Geldmann","given":"Jonas","non-dropping-particle":"","parse-names":false,"suffix":""},{"dropping-particle":"","family":"Marthews","given":"Toby R.","non-dropping-particle":"","parse-names":false,"suffix":""},{"dropping-particle":"","family":"Mee","given":"Jessie","non-dropping-particle":"","parse-names":false,"suffix":""},{"dropping-particle":"","family":"Nolte","given":"Christoph","non-dropping-particle":"","parse-names":false,"suffix":""},{"dropping-particle":"","family":"Stoll-Kleemann","given":"Susanne","non-dropping-particle":"","parse-names":false,"suffix":""},{"dropping-particle":"","family":"Vansteelant","given":"Nanna","non-dropping-particle":"","parse-names":false,"suffix":""},{"dropping-particle":"","family":"Zamora","given":"Camilo","non-dropping-particle":"","parse-names":false,"suffix":""},{"dropping-particle":"","family":"Zimsky","given":"Mark","non-dropping-particle":"","parse-names":false,"suffix":""},{"dropping-particle":"","family":"Hockings","given":"Marc","non-dropping-particle":"","parse-names":false,"suffix":""}],"container-title":"Parks","id":"ITEM-5","issue":"1","issued":{"date-parts":[["2013"]]},"page":"13-24","title":"Progress towards the CBD protected area management effectiveness targets","type":"article-journal","volume":"19"},"uris":["http://www.mendeley.com/documents/?uuid=36dc117a-c421-4b3a-8312-bc7663c2d41b"]}],"mendeley":{"formattedCitation":"(Coad, Leverington, Burgess, Cuadros, Geldmann, et al., 2013; Coad et al., 2015; Dudley &amp; Stolton, 2009; Geldmann et al., 2018; Christoph Nolte &amp; Agrawal, 2013)","manualFormatting":"(Coad, Leverington, Burgess, Cuadros, Geldmann, et al., 2013; Coad et al., 2015; Dudley &amp; Stolton, 2009; Geldmann et al., 2018; Nolte &amp; Agrawal, 2013)","plainTextFormattedCitation":"(Coad, Leverington, Burgess, Cuadros, Geldmann, et al., 2013; Coad et al., 2015; Dudley &amp; Stolton, 2009; Geldmann et al., 2018; Christoph Nolte &amp; Agrawal, 2013)","previouslyFormattedCitation":"(Coad, Leverington, Burgess, Cuadros, Geldmann, et al., 2013; Coad et al., 2015; Dudley &amp; Stolton, 2009; Geldmann et al., 2018; Christoph Nolte &amp; Agrawal, 2013)"},"properties":{"noteIndex":0},"schema":"https://github.com/citation-style-language/schema/raw/master/csl-citation.json"}</w:instrText>
      </w:r>
      <w:r w:rsidRPr="003928DC">
        <w:rPr>
          <w:color w:val="000000" w:themeColor="text1"/>
        </w:rPr>
        <w:fldChar w:fldCharType="separate"/>
      </w:r>
      <w:r w:rsidR="00EC711B" w:rsidRPr="003928DC">
        <w:rPr>
          <w:noProof/>
          <w:color w:val="000000" w:themeColor="text1"/>
        </w:rPr>
        <w:t>(Coad, Leverington, Burgess, Cuadros, Geldmann, et al., 2013; Coad et al., 2015; Dudley &amp; Stolton, 2009; Geldmann et al., 2018; Nolte &amp; Agrawal, 2013)</w:t>
      </w:r>
      <w:r w:rsidRPr="003928DC">
        <w:rPr>
          <w:color w:val="000000" w:themeColor="text1"/>
        </w:rPr>
        <w:fldChar w:fldCharType="end"/>
      </w:r>
      <w:r w:rsidRPr="003928DC">
        <w:rPr>
          <w:color w:val="000000" w:themeColor="text1"/>
        </w:rPr>
        <w:t xml:space="preserve">. </w:t>
      </w:r>
      <w:r w:rsidR="00516DE4" w:rsidRPr="003928DC">
        <w:rPr>
          <w:color w:val="000000" w:themeColor="text1"/>
        </w:rPr>
        <w:t xml:space="preserve">However, until recently, these theoretical links remained largely untested due to </w:t>
      </w:r>
      <w:r w:rsidR="003928DC" w:rsidRPr="003928DC">
        <w:rPr>
          <w:color w:val="000000" w:themeColor="text1"/>
        </w:rPr>
        <w:t>limited data on</w:t>
      </w:r>
      <w:r w:rsidR="00516DE4" w:rsidRPr="003928DC">
        <w:rPr>
          <w:color w:val="000000" w:themeColor="text1"/>
        </w:rPr>
        <w:t xml:space="preserve"> </w:t>
      </w:r>
      <w:r w:rsidR="00AC62D7" w:rsidRPr="003928DC">
        <w:rPr>
          <w:i/>
          <w:iCs/>
          <w:color w:val="000000" w:themeColor="text1"/>
        </w:rPr>
        <w:t>de facto</w:t>
      </w:r>
      <w:r w:rsidR="00AC62D7" w:rsidRPr="003928DC">
        <w:rPr>
          <w:color w:val="000000" w:themeColor="text1"/>
        </w:rPr>
        <w:t xml:space="preserve"> </w:t>
      </w:r>
      <w:r w:rsidR="00516DE4" w:rsidRPr="003928DC">
        <w:rPr>
          <w:color w:val="000000" w:themeColor="text1"/>
        </w:rPr>
        <w:t>management</w:t>
      </w:r>
      <w:r w:rsidR="00353DE6">
        <w:rPr>
          <w:color w:val="000000" w:themeColor="text1"/>
        </w:rPr>
        <w:t xml:space="preserve"> (i.e., </w:t>
      </w:r>
      <w:r w:rsidR="00AC62D7" w:rsidRPr="003928DC">
        <w:rPr>
          <w:color w:val="000000" w:themeColor="text1"/>
        </w:rPr>
        <w:t>how</w:t>
      </w:r>
      <w:r w:rsidR="00CA082D" w:rsidRPr="003928DC">
        <w:rPr>
          <w:color w:val="000000" w:themeColor="text1"/>
        </w:rPr>
        <w:t xml:space="preserve"> management actions are carried out on the ground</w:t>
      </w:r>
      <w:r w:rsidR="00353DE6">
        <w:rPr>
          <w:color w:val="000000" w:themeColor="text1"/>
        </w:rPr>
        <w:t>)</w:t>
      </w:r>
      <w:r w:rsidR="00CA082D" w:rsidRPr="003928DC">
        <w:rPr>
          <w:color w:val="000000" w:themeColor="text1"/>
        </w:rPr>
        <w:t xml:space="preserve"> </w:t>
      </w:r>
      <w:r w:rsidR="00AC62D7" w:rsidRPr="003928DC">
        <w:rPr>
          <w:color w:val="000000" w:themeColor="text1"/>
        </w:rPr>
        <w:t>and</w:t>
      </w:r>
      <w:r w:rsidR="00CA082D" w:rsidRPr="003928DC">
        <w:rPr>
          <w:color w:val="000000" w:themeColor="text1"/>
        </w:rPr>
        <w:t xml:space="preserve"> </w:t>
      </w:r>
      <w:r w:rsidR="003928DC" w:rsidRPr="003928DC">
        <w:rPr>
          <w:color w:val="000000" w:themeColor="text1"/>
        </w:rPr>
        <w:t xml:space="preserve">a lack of counterfactual </w:t>
      </w:r>
      <w:r w:rsidR="00291B26">
        <w:rPr>
          <w:color w:val="000000" w:themeColor="text1"/>
        </w:rPr>
        <w:t>evaluation</w:t>
      </w:r>
      <w:r w:rsidR="00516DE4" w:rsidRPr="003928DC">
        <w:rPr>
          <w:color w:val="000000" w:themeColor="text1"/>
        </w:rPr>
        <w:t xml:space="preserve">. </w:t>
      </w:r>
      <w:r w:rsidR="00AC62D7" w:rsidRPr="003928DC">
        <w:rPr>
          <w:color w:val="000000" w:themeColor="text1"/>
        </w:rPr>
        <w:t xml:space="preserve">Our study overcomes both limitations by </w:t>
      </w:r>
      <w:r w:rsidR="003928DC" w:rsidRPr="003928DC">
        <w:rPr>
          <w:color w:val="000000" w:themeColor="text1"/>
        </w:rPr>
        <w:t xml:space="preserve">using a rigorous impact evaluation design </w:t>
      </w:r>
      <w:r w:rsidR="00050A13">
        <w:rPr>
          <w:color w:val="000000" w:themeColor="text1"/>
        </w:rPr>
        <w:t xml:space="preserve">to examine the influence of management </w:t>
      </w:r>
      <w:r w:rsidR="00151CB6">
        <w:rPr>
          <w:color w:val="000000" w:themeColor="text1"/>
        </w:rPr>
        <w:t xml:space="preserve">effectiveness scores </w:t>
      </w:r>
      <w:r w:rsidR="00050A13">
        <w:rPr>
          <w:color w:val="000000" w:themeColor="text1"/>
        </w:rPr>
        <w:t>on</w:t>
      </w:r>
      <w:r w:rsidR="00050A13" w:rsidRPr="003928DC">
        <w:rPr>
          <w:color w:val="000000" w:themeColor="text1"/>
        </w:rPr>
        <w:t xml:space="preserve"> </w:t>
      </w:r>
      <w:r w:rsidR="00016B66">
        <w:rPr>
          <w:color w:val="000000" w:themeColor="text1"/>
        </w:rPr>
        <w:t>PA</w:t>
      </w:r>
      <w:r w:rsidR="00050A13" w:rsidRPr="003928DC">
        <w:rPr>
          <w:color w:val="000000" w:themeColor="text1"/>
        </w:rPr>
        <w:t xml:space="preserve"> outcomes</w:t>
      </w:r>
      <w:r w:rsidR="00050A13">
        <w:rPr>
          <w:color w:val="000000" w:themeColor="text1"/>
        </w:rPr>
        <w:t xml:space="preserve"> using the </w:t>
      </w:r>
      <w:r w:rsidR="00050A13" w:rsidRPr="003928DC">
        <w:rPr>
          <w:color w:val="000000" w:themeColor="text1"/>
        </w:rPr>
        <w:t xml:space="preserve">results of a recently developed </w:t>
      </w:r>
      <w:r w:rsidR="00151CB6">
        <w:rPr>
          <w:color w:val="000000" w:themeColor="text1"/>
        </w:rPr>
        <w:t>national</w:t>
      </w:r>
      <w:r w:rsidR="00151CB6" w:rsidRPr="003928DC">
        <w:rPr>
          <w:color w:val="000000" w:themeColor="text1"/>
        </w:rPr>
        <w:t xml:space="preserve"> </w:t>
      </w:r>
      <w:r w:rsidR="00050A13" w:rsidRPr="003928DC">
        <w:rPr>
          <w:color w:val="000000" w:themeColor="text1"/>
        </w:rPr>
        <w:t xml:space="preserve">management effectiveness </w:t>
      </w:r>
      <w:r w:rsidR="006C7F45">
        <w:rPr>
          <w:color w:val="000000" w:themeColor="text1"/>
        </w:rPr>
        <w:t>assessment</w:t>
      </w:r>
      <w:r w:rsidR="00151CB6">
        <w:rPr>
          <w:color w:val="000000" w:themeColor="text1"/>
        </w:rPr>
        <w:t xml:space="preserve"> in Mexico</w:t>
      </w:r>
      <w:r w:rsidR="003928DC" w:rsidRPr="003928DC">
        <w:rPr>
          <w:color w:val="000000" w:themeColor="text1"/>
        </w:rPr>
        <w:t xml:space="preserve">. </w:t>
      </w:r>
      <w:r w:rsidR="00AC62D7" w:rsidRPr="003928DC">
        <w:rPr>
          <w:color w:val="000000" w:themeColor="text1"/>
        </w:rPr>
        <w:t xml:space="preserve"> </w:t>
      </w:r>
    </w:p>
    <w:p w14:paraId="314AF26B" w14:textId="5DBAD5FC" w:rsidR="00BB67BD" w:rsidRDefault="00B52F45" w:rsidP="003E53E3">
      <w:pPr>
        <w:ind w:firstLine="720"/>
        <w:rPr>
          <w:noProof/>
        </w:rPr>
      </w:pPr>
      <w:r>
        <w:t>M</w:t>
      </w:r>
      <w:r w:rsidR="00BB67BD" w:rsidRPr="004F5978">
        <w:t xml:space="preserve">anagement effectiveness assessments, known as </w:t>
      </w:r>
      <w:r w:rsidR="00016B66">
        <w:t>Protected Area</w:t>
      </w:r>
      <w:r w:rsidR="00BB67BD" w:rsidRPr="004F5978">
        <w:t xml:space="preserve"> Management Effectiveness (PAME) </w:t>
      </w:r>
      <w:r w:rsidR="00BB67BD">
        <w:t>tools,</w:t>
      </w:r>
      <w:r w:rsidR="00BB67BD" w:rsidRPr="004F5978">
        <w:t xml:space="preserve"> have been designed to increase and standardize </w:t>
      </w:r>
      <w:r w:rsidR="00016B66">
        <w:t>PA</w:t>
      </w:r>
      <w:r w:rsidR="00BB67BD" w:rsidRPr="004F5978">
        <w:t xml:space="preserve"> management monitoring </w:t>
      </w:r>
      <w:r w:rsidR="00BB67BD" w:rsidRPr="00B31266">
        <w:fldChar w:fldCharType="begin" w:fldLock="1"/>
      </w:r>
      <w:r w:rsidR="00BB67BD">
        <w:instrText>ADDIN CSL_CITATION {"citationItems":[{"id":"ITEM-1","itemData":{"DOI":"10.1111/conl.12434","ISSN":"1755263X","abstract":"Protecting important sites is a key strategy for halting the loss of biodiversity. How-ever, our understanding of the relationship between management inputs and biodi-versity outcomes in protected areas (PAs) remains weak. Here, we examine biodiver-sity outcomes using species population trends in PAs derived from the Living Planet Database in relation to management data derived from the Management Effective-ness Tracking Tool (METT) database for 217 population time-series from 73 PAs. We found a positive relationship between our METT-based scores for Capacity and Resources and changes in vertebrate abundance, consistent with the hypothesis that PAs require adequate resourcing to halt biodiversity loss. Additionally, PA age was","author":[{"dropping-particle":"","family":"Geldmann","given":"Jonas","non-dropping-particle":"","parse-names":false,"suffix":""},{"dropping-particle":"","family":"Coad","given":"Lauren","non-dropping-particle":"","parse-names":false,"suffix":""},{"dropping-particle":"","family":"Barnes","given":"Megan D.","non-dropping-particle":"","parse-names":false,"suffix":""},{"dropping-particle":"","family":"Craigie","given":"Ian D.","non-dropping-particle":"","parse-names":false,"suffix":""},{"dropping-particle":"","family":"Woodley","given":"Stephen","non-dropping-particle":"","parse-names":false,"suffix":""},{"dropping-particle":"","family":"Balmford","given":"Andrew","non-dropping-particle":"","parse-names":false,"suffix":""},{"dropping-particle":"","family":"Brooks","given":"Thomas M.","non-dropping-particle":"","parse-names":false,"suffix":""},{"dropping-particle":"","family":"Hockings","given":"Marc","non-dropping-particle":"","parse-names":false,"suffix":""},{"dropping-particle":"","family":"Knights","given":"Kathryn","non-dropping-particle":"","parse-names":false,"suffix":""},{"dropping-particle":"","family":"Mascia","given":"Michael B.","non-dropping-particle":"","parse-names":false,"suffix":""},{"dropping-particle":"","family":"McRae","given":"Louise","non-dropping-particle":"","parse-names":false,"suffix":""},{"dropping-particle":"","family":"Burgess","given":"Neil D.","non-dropping-particle":"","parse-names":false,"suffix":""}],"container-title":"Conservation Letters","id":"ITEM-1","issue":"3","issued":{"date-parts":[["2018"]]},"page":"1-10","title":"A global analysis of management capacity and ecological outcomes in terrestrial protected areas","type":"article-journal","volume":"11"},"uris":["http://www.mendeley.com/documents/?uuid=0b1e6338-5828-45c6-99cc-054c7bdb6adb"]},{"id":"ITEM-2","itemData":{"DOI":"10.2305/IUCN.CH.2013.PARKS-19-1.LC.en","author":[{"dropping-particle":"","family":"Coad","given":"Lauren","non-dropping-particle":"","parse-names":false,"suffix":""},{"dropping-particle":"","family":"Leverington","given":"Fiona","non-dropping-particle":"","parse-names":false,"suffix":""},{"dropping-particle":"","family":"Burgess","given":"Neil D","non-dropping-particle":"","parse-names":false,"suffix":""},{"dropping-particle":"","family":"Cuadros","given":"Ivon C","non-dropping-particle":"","parse-names":false,"suffix":""},{"dropping-particle":"","family":"Stoll-kleemann","given":"Susanne","non-dropping-particle":"","parse-names":false,"suffix":""},{"dropping-particle":"","family":"Vansteelant","given":"Nanna","non-dropping-particle":"","parse-names":false,"suffix":""},{"dropping-particle":"","family":"Zamora","given":"Camilo","non-dropping-particle":"","parse-names":false,"suffix":""}],"container-title":"Parks","id":"ITEM-2","issue":"1","issued":{"date-parts":[["2013"]]},"note":"Great explaination of methods!\n\nFor example, all protected area targeting projects funded by the GEF since 2004 have been required to complete the Management Effectiveness Tracking Tool (METT) (Stolton et al., 2007) at least three times for each targeted protected area. As\n\nevaluation of management effectiveness can be carried out for a variety of reasons, including providing better management in a changing environment, effective resource allocation, improved accountability and transparency, community involvement, and promotion of protected area values.","title":"Progress towards the CBD Protected Area Management Effectiveness targets","type":"article-journal","volume":"19"},"uris":["http://www.mendeley.com/documents/?uuid=13153b82-9da9-48e4-a895-77e7a826a6cd"]},{"id":"ITEM-3","itemData":{"DOI":"10.1016/j.biocon.2015.08.029","ISBN":"00063207","ISSN":"00063207","PMID":"24439530","abstract":"Protected area coverage has reached over 15% of the global land area. However, the quality of management of the vast majority of reserves remains unknown, and many are suspected to be \"paper parks\". Moreover, the degree to which management can be enhanced through targeted conservation projects remains broadly speculative. Proven links between improved reserve management and the delivery of conservation outcomes are even more elusive. In this paper we present results on how management effectiveness scores change in protected areas receiving conservation investment, using a globally expanded database of protected area management effectiveness, focusing on the \"management effectiveness tracking tool\" (METT). Of 1934 protected areas with METT data, 722 sites have at least two assessments. Mean METT scores increased in 69.5% of sites while 25.1% experienced decreases and 5.4% experienced no change over project periods (median 4. years). Low initial METT scores and longer implementation time were both found to positively correlate with larger increases in management effectiveness. Performance metrics related to planning and context as well as monitoring and enforcement systems increased the most while protected area outcomes showed least improvement. Using a general linear mixed model we tested the correlation between change in METT scores and matrices of 1) landscape and protected area properties (i.e. topography and size), 2) human threats (i.e. road and human population density), and 3) socio-economics (i.e. infant mortality rate). Protected areas under greater threat and larger protected areas showed greatest improvements in METT. Our results suggest that when funding and resources are targeted at protected areas under greater threat they have a greater impact, potentially including slowing the loss of biodiversity.","author":[{"dropping-particle":"","family":"Geldmann","given":"Jonas","non-dropping-particle":"","parse-names":false,"suffix":""},{"dropping-particle":"","family":"Coad","given":"Lauren","non-dropping-particle":"","parse-names":false,"suffix":""},{"dropping-particle":"","family":"Barnes","given":"Megan","non-dropping-particle":"","parse-names":false,"suffix":""},{"dropping-particle":"","family":"Craigie","given":"Ian D.","non-dropping-particle":"","parse-names":false,"suffix":""},{"dropping-particle":"","family":"Hockings","given":"Marc","non-dropping-particle":"","parse-names":false,"suffix":""},{"dropping-particle":"","family":"Knights","given":"Kathryn","non-dropping-particle":"","parse-names":false,"suffix":""},{"dropping-particle":"","family":"Leverington","given":"Fiona","non-dropping-particle":"","parse-names":false,"suffix":""},{"dropping-particle":"","family":"Cuadros","given":"Ivon C.","non-dropping-particle":"","parse-names":false,"suffix":""},{"dropping-particle":"","family":"Zamora","given":"Camilo","non-dropping-particle":"","parse-names":false,"suffix":""},{"dropping-particle":"","family":"Woodley","given":"Stephen","non-dropping-particle":"","parse-names":false,"suffix":""},{"dropping-particle":"","family":"Burgess","given":"Neil D.","non-dropping-particle":"","parse-names":false,"suffix":""}],"container-title":"Biological Conservation","id":"ITEM-3","issued":{"date-parts":[["2015"]]},"note":"Uses METT from PAME to assess management changes over time. Does NOT connect to biological outcomes. Tests for some contextual factors. \n\nInput and Process improvement assessment","page":"692-699","publisher":"Elsevier B.V.","title":"Changes in protected area management effectiveness over time: A global analysis","type":"article-journal","volume":"191"},"uris":["http://www.mendeley.com/documents/?uuid=a83a590d-ca36-402f-829c-ff06094b844d"]},{"id":"ITEM-4","itemData":{"author":[{"dropping-particle":"","family":"Hockings","given":"Marc","non-dropping-particle":"","parse-names":false,"suffix":""},{"dropping-particle":"","family":"Cook","given":"Carly N","non-dropping-particle":"","parse-names":false,"suffix":""},{"dropping-particle":"","family":"Leverington","given":"Fiona","non-dropping-particle":"","parse-names":false,"suffix":""}],"container-title":"Protected Area Governance and Management","editor":[{"dropping-particle":"","family":"Worboys","given":"Graeme L","non-dropping-particle":"","parse-names":false,"suffix":""},{"dropping-particle":"","family":"Lockwood","given":"Michael","non-dropping-particle":"","parse-names":false,"suffix":""},{"dropping-particle":"","family":"Kothari","given":"Ashish","non-dropping-particle":"","parse-names":false,"suffix":""},{"dropping-particle":"","family":"Feary","given":"Sue","non-dropping-particle":"","parse-names":false,"suffix":""},{"dropping-particle":"","family":"Pulsford","given":"I","non-dropping-particle":"","parse-names":false,"suffix":""}],"id":"ITEM-4","issued":{"date-parts":[["2015"]]},"page":"889-928","publisher":"ANU Press","publisher-place":"Canberra","title":"Protected Area Management Effectiveness","type":"chapter"},"uris":["http://www.mendeley.com/documents/?uuid=da06d523-9659-4ee4-935b-0260c31a8a4c"]},{"id":"ITEM-5","itemData":{"DOI":"10.1007/s00267-010-9564-5","ISBN":"0364-152X","ISSN":"0364152X","PMID":"20859627","abstract":"We compiled details of over 8000 assessments of protected area management effectiveness across the world and developed a method for analyzing results across diverse assessment methodologies and indicators. Data was compiled and analyzed for over 4000 of these sites. Management of these protected areas varied from weak to effective, with about 40% showing major deficiencies. About 14% of the surveyed areas showed significant deficiencies across many management effectiveness indicators and hence lacked basic requirements to operate effectively. Strongest management factors recorded on average related to establishment of protected areas (legal establishment, design, legislation and boundary marking) and to effectiveness of governance; while the weakest aspects of management included community benefit programs, resourcing (funding reliability and adequacy, staff numbers and facility and equipment maintenance) and management effectiveness evaluation. Estimations of management outcomes, including both environmental values conservation and impact on communities, were positive. We conclude that in spite of inadequate funding and management process, there are indications that protected areas are contributing to biodiversity conservation and community well-being.","author":[{"dropping-particle":"","family":"Leverington","given":"Fiona","non-dropping-particle":"","parse-names":false,"suffix":""},{"dropping-particle":"","family":"Costa","given":"Katia Lemos","non-dropping-particle":"","parse-names":false,"suffix":""},{"dropping-particle":"","family":"Pavese","given":"Helena","non-dropping-particle":"","parse-names":false,"suffix":""},{"dropping-particle":"","family":"Lisle","given":"Allan","non-dropping-particle":"","parse-names":false,"suffix":""},{"dropping-particle":"","family":"Hockings","given":"Marc","non-dropping-particle":"","parse-names":false,"suffix":""}],"container-title":"Environmental Management","id":"ITEM-5","issue":"5","issued":{"date-parts":[["2010"]]},"page":"685-698","title":"A global analysis of protected area management effectiveness","type":"article-journal","volume":"46"},"uris":["http://www.mendeley.com/documents/?uuid=abde824a-e9cd-4d0c-b1dd-941860f47e52"]},{"id":"ITEM-6","itemData":{"DOI":"10.1098/rstb.2014.0281","ISSN":"14712970","PMID":"26460133","abstract":"Protected areas (PAs) are at the forefront of conservation efforts, and yet despite considerable progress towards the global target of having 17% of the world’s land area within protected areas by 2020, biodiversity continues to decline. The discrepancy between increasing PA coverage and negative biodiversity trends has resulted in renewed efforts to enhance PA effectiveness. The global conservation community has conducted thousands of assessments of protected area management effectiveness (PAME), and interest in the use of these data to helpmeasure the conservation impact of PAmanagement interventions is high. Here, we summarize the status of PAME assessment, review the published evidence for a link between PAMEassessment results and the conservation impacts of PAs, and discuss the limitations and future use of PAME data in measuring the impact of PAmanagement interventions on conservation outcomes.We conclude that PAME data,while designed as a tool for local adaptivemanagement, may also help to provide insights into the impact of PA management interventions from the local-to-global scale. However, the subjective and ordinal characteristics of the data present significant limitations for their application in rigorous scientific impact evaluations, a problem that should be recognized and mitigated where possible.","author":[{"dropping-particle":"","family":"Coad","given":"Lauren","non-dropping-particle":"","parse-names":false,"suffix":""},{"dropping-particle":"","family":"Leverington","given":"Fiona","non-dropping-particle":"","parse-names":false,"suffix":""},{"dropping-particle":"","family":"Knights","given":"Kathryn","non-dropping-particle":"","parse-names":false,"suffix":""},{"dropping-particle":"","family":"Geldmann","given":"Jonas","non-dropping-particle":"","parse-names":false,"suffix":""},{"dropping-particle":"","family":"Eassom","given":"April","non-dropping-particle":"","parse-names":false,"suffix":""},{"dropping-particle":"","family":"Kapos","given":"Valerie","non-dropping-particle":"","parse-names":false,"suffix":""},{"dropping-particle":"","family":"Kingston","given":"Naomi","non-dropping-particle":"","parse-names":false,"suffix":""},{"dropping-particle":"De","family":"Lima","given":"Marcelo","non-dropping-particle":"","parse-names":false,"suffix":""},{"dropping-particle":"","family":"Zamora","given":"Camilo","non-dropping-particle":"","parse-names":false,"suffix":""},{"dropping-particle":"","family":"Cuardros","given":"Ivon","non-dropping-particle":"","parse-names":false,"suffix":""},{"dropping-particle":"","family":"Nolte","given":"Christoph","non-dropping-particle":"","parse-names":false,"suffix":""},{"dropping-particle":"","family":"Burgess","given":"Neil D.","non-dropping-particle":"","parse-names":false,"suffix":""},{"dropping-particle":"","family":"Hockings","given":"Marc","non-dropping-particle":"","parse-names":false,"suffix":""}],"container-title":"Philosophical Transactions of the Royal Society B: Biological Sciences","id":"ITEM-6","issue":"20140281","issued":{"date-parts":[["2015"]]},"title":"Measuring impact of protected area management interventions: current and future use of the Global Database of Protected Area Aanagement Effectiveness","type":"article-journal","volume":"370"},"uris":["http://www.mendeley.com/documents/?uuid=75d9a026-a3ca-46e3-abba-136e4f15893a"]}],"mendeley":{"formattedCitation":"(Coad, Leverington, Burgess, Cuadros, Stoll-kleemann, et al., 2013; Coad et al., 2015; Geldmann et al., 2015, 2018; Hockings, Cook, &amp; Leverington, 2015; Leverington, Costa, Pavese, Lisle, &amp; Hockings, 2010)","plainTextFormattedCitation":"(Coad, Leverington, Burgess, Cuadros, Stoll-kleemann, et al., 2013; Coad et al., 2015; Geldmann et al., 2015, 2018; Hockings, Cook, &amp; Leverington, 2015; Leverington, Costa, Pavese, Lisle, &amp; Hockings, 2010)","previouslyFormattedCitation":"(Coad, Leverington, Burgess, Cuadros, Stoll-kleemann, et al., 2013; Coad et al., 2015; Geldmann et al., 2015, 2018; Hockings, Cook, &amp; Leverington, 2015; Leverington, Costa, Pavese, Lisle, &amp; Hockings, 2010)"},"properties":{"noteIndex":0},"schema":"https://github.com/citation-style-language/schema/raw/master/csl-citation.json"}</w:instrText>
      </w:r>
      <w:r w:rsidR="00BB67BD" w:rsidRPr="00B31266">
        <w:fldChar w:fldCharType="separate"/>
      </w:r>
      <w:r w:rsidR="00BB67BD" w:rsidRPr="00EC711B">
        <w:rPr>
          <w:noProof/>
        </w:rPr>
        <w:t>(Coad, Leverington, Burgess, Cuadros, Stoll-kleemann, et al., 2013; Coad et al., 2015; Geldmann et al., 2015, 2018; Hockings, Cook, &amp; Leverington, 2015; Leverington, Costa, Pavese, Lisle, &amp; Hockings, 2010)</w:t>
      </w:r>
      <w:r w:rsidR="00BB67BD" w:rsidRPr="00B31266">
        <w:fldChar w:fldCharType="end"/>
      </w:r>
      <w:r w:rsidR="00BB67BD">
        <w:t>.</w:t>
      </w:r>
      <w:r w:rsidR="00BB67BD" w:rsidRPr="004F5978">
        <w:t xml:space="preserve"> These assessments focus on the design and planning, capacity and resources, and decision-making processes of </w:t>
      </w:r>
      <w:r w:rsidR="00695FDC">
        <w:t>PAs</w:t>
      </w:r>
      <w:r w:rsidR="00BB67BD" w:rsidRPr="004F5978">
        <w:t xml:space="preserve"> </w:t>
      </w:r>
      <w:r w:rsidR="00BB67BD" w:rsidRPr="004F5978">
        <w:fldChar w:fldCharType="begin" w:fldLock="1"/>
      </w:r>
      <w:r w:rsidR="006B2563">
        <w:instrText>ADDIN CSL_CITATION {"citationItems":[{"id":"ITEM-1","itemData":{"ISBN":"9781527200609","abstract":"A guide to using the Management Effectiveness Tracking Tool (METT) 2 A guide to using the METT page METT use | Best practices | METT Q&amp;A | Standards | Conclusions | Addendum | References Contents WWF is the world's leading independent conservation organisation. WWFUK is part of the global WWF network, which has over five million supporters worldwide. Together we work in more than 100 countries. We're working with governments, businesses and the public to create solutions to the most critical environmental challenges and to find ways to ensure people can live in harmony with nature","author":[{"dropping-particle":"","family":"Stolton","given":"S","non-dropping-particle":"","parse-names":false,"suffix":""},{"dropping-particle":"","family":"Dudley","given":"N","non-dropping-particle":"","parse-names":false,"suffix":""}],"container-title":"WWF-UK","id":"ITEM-1","issued":{"date-parts":[["2016"]]},"title":"METT Handbook: A guide to using the Management Effectiveness Tracking Tool (METT)","type":"book"},"uris":["http://www.mendeley.com/documents/?uuid=4165ac59-d12c-4b1d-83d6-893b7a2de909"]},{"id":"ITEM-2","itemData":{"DOI":"10.2305/IUCN.CH.2006.PAG.14.en","ISBN":"9782831709390","ISSN":"0167-8809","PMID":"129561","abstract":"Management effectiveness evaluation is defined as the assessment of how well protected areas are being managed – primarily the extent to which management is protecting values and achieving goals and objectives. The term management effectiveness reflects three main ‘themes’ in protected area management: design issues relating to both individual sites and protected area systems; adequacy and appropriateness of management systems and processes; and delivery of protected area objectives including conservation of values. Evaluation of management effectiveness is recognised as a vital component of responsive, pro-active protected area management. As well as being an essential tool at local, regional and national level, evaluation also has an increasing international context. Nations are agreeing to report on progress in conservation to their peers through institutions such as the World Heritage Convention and the Convention on Biological Diversity. In the latter, nations have committed to develop systems of assessing management effectiveness and to report on 30 per cent of their protected areas by 2010. These and other external demands for information on status and trends in protected area management, combined with the need for more data to meet the practical challenges of managing protected areas, have led to a rapid increase in interest in monitoring and evaluation (see Chapter 1). Four major purposes drive evaluation of management effectiveness (detailed in Chapter 2). It can: lead to better management in a changing environment; assist in effective resource allocation; promote accountability and transparency; and help involve the community, build constituency and promote protected area values. The range of evaluation purposes combined with the great diversity of protected areas – with different values, cultural settings and management regimes – means that it is not practical to develop a single assessment tool. For this reason, it was instead decided to develop a common Framework, which provides a consistent basis for designing assessment systems, gives guidance about what to assess and provides broad criteria for assessment. Based on this Framework, different systems using a range of evaluation ‘tools’ can be used to conduct evaluations at different scales and depths. The Framework for management effectiveness developed by the IUCN World Commission for Protected Areas was published in the first version of this Best Practice Guideline.1 It is further expla…","author":[{"dropping-particle":"","family":"Hockings","given":"Marc","non-dropping-particle":"","parse-names":false,"suffix":""},{"dropping-particle":"","family":"Stolton","given":"Sue","non-dropping-particle":"","parse-names":false,"suffix":""},{"dropping-particle":"","family":"Leverington","given":"Fiona","non-dropping-particle":"","parse-names":false,"suffix":""},{"dropping-particle":"","family":"Dudley","given":"Nigel","non-dropping-particle":"","parse-names":false,"suffix":""},{"dropping-particle":"","family":"Courrau","given":"José","non-dropping-particle":"","parse-names":false,"suffix":""},{"dropping-particle":"","family":"Valentine","given":"P.","non-dropping-particle":"","parse-names":false,"suffix":""}],"container-title":"IUCN","id":"ITEM-2","issue":"14","issued":{"date-parts":[["2006"]]},"number-of-pages":"105","title":"Evaluating effectiveness: A framework for assessing management effectiveness of protected areas","type":"book"},"uris":["http://www.mendeley.com/documents/?uuid=e7074433-8c04-4b3e-9876-3290c1573c39"]}],"mendeley":{"formattedCitation":"(Hockings et al., 2006; Stolton &amp; Dudley, 2016)","plainTextFormattedCitation":"(Hockings et al., 2006; Stolton &amp; Dudley, 2016)","previouslyFormattedCitation":"(Hockings et al., 2006; Stolton &amp; Dudley, 2016)"},"properties":{"noteIndex":0},"schema":"https://github.com/citation-style-language/schema/raw/master/csl-citation.json"}</w:instrText>
      </w:r>
      <w:r w:rsidR="00BB67BD" w:rsidRPr="004F5978">
        <w:fldChar w:fldCharType="separate"/>
      </w:r>
      <w:r w:rsidR="00BB67BD" w:rsidRPr="00EC711B">
        <w:rPr>
          <w:noProof/>
        </w:rPr>
        <w:t>(Hockings et al., 2006; Stolton &amp; Dudley, 2016)</w:t>
      </w:r>
      <w:r w:rsidR="00BB67BD" w:rsidRPr="004F5978">
        <w:fldChar w:fldCharType="end"/>
      </w:r>
      <w:r w:rsidR="00BB67BD" w:rsidRPr="004F5978">
        <w:t xml:space="preserve">. In addition to strengthening efforts to meet global conservation goals, many conservation organizations have adopted these assessments as a measurement of </w:t>
      </w:r>
      <w:r w:rsidR="00016B66">
        <w:t>PA</w:t>
      </w:r>
      <w:r w:rsidR="00BB67BD" w:rsidRPr="004F5978">
        <w:t xml:space="preserve"> success</w:t>
      </w:r>
      <w:r w:rsidR="006137DC">
        <w:t>,</w:t>
      </w:r>
      <w:r w:rsidR="00BB67BD" w:rsidRPr="004F5978">
        <w:t xml:space="preserve"> and the results play an important role in</w:t>
      </w:r>
      <w:r w:rsidR="006C7F45">
        <w:t xml:space="preserve"> conservation</w:t>
      </w:r>
      <w:r w:rsidR="00BB67BD" w:rsidRPr="004F5978">
        <w:t xml:space="preserve"> investment</w:t>
      </w:r>
      <w:r w:rsidR="006C7F45">
        <w:t>s</w:t>
      </w:r>
      <w:r w:rsidR="00BB67BD" w:rsidRPr="004F5978">
        <w:t xml:space="preserve"> by large donors, such as the Global Environmental Facility (GEF) </w:t>
      </w:r>
      <w:r w:rsidR="00BB67BD" w:rsidRPr="004F5978">
        <w:fldChar w:fldCharType="begin" w:fldLock="1"/>
      </w:r>
      <w:r w:rsidR="003A24F7">
        <w:instrText>ADDIN CSL_CITATION {"citationItems":[{"id":"ITEM-1","itemData":{"DOI":"10.1111/j.1523-1739.2012.01930.x","ISSN":"08888892","abstract":"Management-effectiveness scores are used widely by donors and implementers of conservation projects to prioritize, track, and evaluate investments in protected areas. However, there is little evidence that these scores actually reflect the capacity of protected areas to deliver conservation outcomes. We examined the relation between indicators of management effectiveness in protected areas and the effectiveness of protected areas in reducing fire occurrence in the Amazon rainforest. We used data collected with the Management Effectiveness Tracking Tool (METT) scorecard, adopted by some of the world's largest conservation organizations to track management characteristics believed to be crucial for protected-area effectiveness. We used the occurrence of forest fires from 2000 through 2010 as a measure of the effect of protected areas on undesired land-cover change in the Amazon basin. We used matching to compare the estimated effect of protected areas with low versus high METT scores on fire occurrence. We also estimated effects of individual protected areas on fire occurrence and explored the relation between these effects and METT scores. The relations between METT scores and effects of protected areas on fire occurrence were weak. Protected areas with higher METT scores in 2005 did not seem to have performed better than protected areas with lower METT scores at reducing fire occurrence over the last 10 years. Further research into the relations between management-effectiveness indicators and conservation outcomes in protected areas seems necessary, and our results show that the careful application of matching methods can be a suitable method for that purpose. © 2012 Society for Conservation Biology.","author":[{"dropping-particle":"","family":"Nolte","given":"Christoph","non-dropping-particle":"","parse-names":false,"suffix":""},{"dropping-particle":"","family":"Agrawal","given":"Arun","non-dropping-particle":"","parse-names":false,"suffix":""}],"container-title":"Conservation Biology","id":"ITEM-1","issue":"1","issued":{"date-parts":[["2013"]]},"page":"155-165","title":"Linking Management Effectiveness Indicators to Observed Effects of Protected Areas on Fire Occurrence in the Amazon Rainforest","type":"article-journal","volume":"27"},"uris":["http://www.mendeley.com/documents/?uuid=5ad29e98-3116-4c31-96f0-595c520cd727"]}],"mendeley":{"formattedCitation":"(Christoph Nolte &amp; Agrawal, 2013)","manualFormatting":"(Nolte &amp; Agrawal, 2013)","plainTextFormattedCitation":"(Christoph Nolte &amp; Agrawal, 2013)","previouslyFormattedCitation":"(Christoph Nolte &amp; Agrawal, 2013)"},"properties":{"noteIndex":0},"schema":"https://github.com/citation-style-language/schema/raw/master/csl-citation.json"}</w:instrText>
      </w:r>
      <w:r w:rsidR="00BB67BD" w:rsidRPr="004F5978">
        <w:fldChar w:fldCharType="separate"/>
      </w:r>
      <w:r w:rsidR="00BB67BD" w:rsidRPr="00EC711B">
        <w:rPr>
          <w:noProof/>
        </w:rPr>
        <w:t>(Nolte &amp; Agrawal, 2013)</w:t>
      </w:r>
      <w:r w:rsidR="00BB67BD" w:rsidRPr="004F5978">
        <w:fldChar w:fldCharType="end"/>
      </w:r>
      <w:r w:rsidR="00BB67BD" w:rsidRPr="004F5978">
        <w:t xml:space="preserve">. </w:t>
      </w:r>
    </w:p>
    <w:p w14:paraId="451CCBC4" w14:textId="502FCC1D" w:rsidR="003928DC" w:rsidRDefault="00097F39" w:rsidP="003E53E3">
      <w:pPr>
        <w:ind w:firstLine="720"/>
        <w:rPr>
          <w:color w:val="000000" w:themeColor="text1"/>
        </w:rPr>
      </w:pPr>
      <w:r>
        <w:t>S</w:t>
      </w:r>
      <w:r w:rsidR="004F5978" w:rsidRPr="004F5978">
        <w:t>cores from management effectiveness assessments</w:t>
      </w:r>
      <w:r w:rsidR="00F066C6">
        <w:t xml:space="preserve"> </w:t>
      </w:r>
      <w:r>
        <w:t>provide new opportunities to examine</w:t>
      </w:r>
      <w:r w:rsidR="004F5978" w:rsidRPr="004F5978">
        <w:t xml:space="preserve"> </w:t>
      </w:r>
      <w:r w:rsidR="004F5978" w:rsidRPr="004F5978">
        <w:rPr>
          <w:i/>
          <w:iCs/>
        </w:rPr>
        <w:t>de facto</w:t>
      </w:r>
      <w:r w:rsidR="004F5978" w:rsidRPr="004F5978">
        <w:t xml:space="preserve"> management</w:t>
      </w:r>
      <w:r>
        <w:t xml:space="preserve"> </w:t>
      </w:r>
      <w:r w:rsidR="00BB67BD">
        <w:t xml:space="preserve">rather than </w:t>
      </w:r>
      <w:r w:rsidR="00BB67BD" w:rsidRPr="004F5978">
        <w:rPr>
          <w:i/>
          <w:iCs/>
        </w:rPr>
        <w:t>de jure</w:t>
      </w:r>
      <w:r w:rsidR="00BB67BD">
        <w:rPr>
          <w:i/>
          <w:iCs/>
        </w:rPr>
        <w:t xml:space="preserve"> </w:t>
      </w:r>
      <w:r w:rsidR="00BB67BD">
        <w:t xml:space="preserve">management </w:t>
      </w:r>
      <w:r w:rsidR="00924E4D">
        <w:t>(e.g.,</w:t>
      </w:r>
      <w:r w:rsidR="00BB67BD">
        <w:t xml:space="preserve"> IUCN management categories</w:t>
      </w:r>
      <w:r w:rsidR="00924E4D">
        <w:t>)</w:t>
      </w:r>
      <w:r w:rsidR="00CA082D">
        <w:t xml:space="preserve"> used in previous studies </w:t>
      </w:r>
      <w:r w:rsidR="00BB67BD" w:rsidRPr="004F5978">
        <w:fldChar w:fldCharType="begin" w:fldLock="1"/>
      </w:r>
      <w:r w:rsidR="00BB67BD">
        <w:instrText>ADDIN CSL_CITATION {"citationItems":[{"id":"ITEM-1","itemData":{"ISBN":"1111111111","author":[{"dropping-particle":"","family":"Muñoz Brenes","given":"Carlos L","non-dropping-particle":"","parse-names":false,"suffix":""},{"dropping-particle":"","family":"Jones","given":"Kelly W","non-dropping-particle":"","parse-names":false,"suffix":""},{"dropping-particle":"","family":"Schlesinger","given":"Peter","non-dropping-particle":"","parse-names":false,"suffix":""},{"dropping-particle":"","family":"Robalino","given":"Juan","non-dropping-particle":"","parse-names":false,"suffix":""},{"dropping-particle":"","family":"Vierling","given":"Lee","non-dropping-particle":"","parse-names":false,"suffix":""}],"container-title":"PLoS One","id":"ITEM-1","issue":"10","issued":{"date-parts":[["2018"]]},"title":"The impact of protected area governance and management capacity on ecosystem function in Central America","type":"article-journal","volume":"13"},"uris":["http://www.mendeley.com/documents/?uuid=d4b9d3f8-4ce4-4419-9de3-6ff7296a5611"]},{"id":"ITEM-2","itemData":{"DOI":"10.1088/1748-9326/8/2/025011","ISSN":"17489326","abstract":"National parks and other protected areas are at the forefront of global efforts to protect biodiversity and ecosystem services. However, not all protection is equal. Some areas are assigned strict legal protection that permits few extractive human uses. Other protected area designations permit a wider range of uses. Whether strictly protected areas are more effective in achieving environmental objectives is an empirical question: although strictly protected areas legally permit less anthropogenic disturbance, the social conflicts associated with assigning strict protection may lead politicians to assign strict protection to less-threatened areas and may lead citizens or enforcement agents to ignore the strict legal restrictions. We contrast the impacts of strictly and less strictly protected areas in four countries using IUCN designations to measure de jure strictness, data on deforestation to measure outcomes, and a quasi-experimental design to estimate impacts. On average, stricter protection reduced deforestation rates more than less strict protection, but the additional impact was not always large and sometimes arose because of where stricter protection was assigned rather than regulatory strictness per se. We also show that, in protected area studies contrasting y management regimes, there are y2 policy-relevant impacts, rather than only y, as earlier studies have implied. © 2013 IOP Publishing Ltd.","author":[{"dropping-particle":"","family":"Ferraro","given":"Paul J.","non-dropping-particle":"","parse-names":false,"suffix":""},{"dropping-particle":"","family":"Hanauer","given":"Merlin M.","non-dropping-particle":"","parse-names":false,"suffix":""},{"dropping-particle":"","family":"Miteva","given":"Daniela A.","non-dropping-particle":"","parse-names":false,"suffix":""},{"dropping-particle":"","family":"Canavire-Bacarreza","given":"Gustavo Javier","non-dropping-particle":"","parse-names":false,"suffix":""},{"dropping-particle":"","family":"Pattanayak","given":"Subhrendu K.","non-dropping-particle":"","parse-names":false,"suffix":""},{"dropping-particle":"","family":"Sims","given":"Katharine R E","non-dropping-particle":"","parse-names":false,"suffix":""}],"container-title":"Environmental Research Letters","id":"ITEM-2","issue":"2","issued":{"date-parts":[["2013"]]},"title":"More strictly protected areas are not necessarily more protective: Evidence from Bolivia, Costa Rica, Indonesia, and Thailand","type":"article-journal","volume":"8"},"uris":["http://www.mendeley.com/documents/?uuid=10f3a4d9-af83-471d-8587-6a03bb05b092"]}],"mendeley":{"formattedCitation":"(Ferraro et al., 2013; Muñoz Brenes, Jones, Schlesinger, Robalino, &amp; Vierling, 2018)","plainTextFormattedCitation":"(Ferraro et al., 2013; Muñoz Brenes, Jones, Schlesinger, Robalino, &amp; Vierling, 2018)","previouslyFormattedCitation":"(Ferraro et al., 2013; Muñoz Brenes, Jones, Schlesinger, Robalino, &amp; Vierling, 2018)"},"properties":{"noteIndex":0},"schema":"https://github.com/citation-style-language/schema/raw/master/csl-citation.json"}</w:instrText>
      </w:r>
      <w:r w:rsidR="00BB67BD" w:rsidRPr="004F5978">
        <w:fldChar w:fldCharType="separate"/>
      </w:r>
      <w:r w:rsidR="00BB67BD" w:rsidRPr="00EC711B">
        <w:rPr>
          <w:noProof/>
        </w:rPr>
        <w:t>(Ferraro et al., 2013; Muñoz Brenes, Jones, Schlesinger, Robalino, &amp; Vierling, 2018)</w:t>
      </w:r>
      <w:r w:rsidR="00BB67BD" w:rsidRPr="004F5978">
        <w:fldChar w:fldCharType="end"/>
      </w:r>
      <w:r>
        <w:t xml:space="preserve">. </w:t>
      </w:r>
      <w:r w:rsidR="006137DC">
        <w:t>T</w:t>
      </w:r>
      <w:r w:rsidR="00CA082D">
        <w:t>o</w:t>
      </w:r>
      <w:r w:rsidR="00051018">
        <w:t xml:space="preserve"> date</w:t>
      </w:r>
      <w:r w:rsidR="006137DC">
        <w:t>,</w:t>
      </w:r>
      <w:r w:rsidR="00051018">
        <w:t xml:space="preserve"> </w:t>
      </w:r>
      <w:r>
        <w:t xml:space="preserve">few </w:t>
      </w:r>
      <w:r w:rsidR="00051018">
        <w:t xml:space="preserve">impact </w:t>
      </w:r>
      <w:r>
        <w:t>evaluations have critically examined</w:t>
      </w:r>
      <w:r w:rsidRPr="004F5978">
        <w:t xml:space="preserve"> </w:t>
      </w:r>
      <w:r>
        <w:t>the</w:t>
      </w:r>
      <w:r w:rsidR="00DF415F">
        <w:t xml:space="preserve"> relationship between </w:t>
      </w:r>
      <w:r w:rsidR="00051018" w:rsidRPr="00744540">
        <w:rPr>
          <w:i/>
          <w:iCs/>
        </w:rPr>
        <w:t xml:space="preserve">de facto </w:t>
      </w:r>
      <w:r>
        <w:t xml:space="preserve">management </w:t>
      </w:r>
      <w:r w:rsidR="00DF415F">
        <w:t>and</w:t>
      </w:r>
      <w:r>
        <w:t xml:space="preserve"> </w:t>
      </w:r>
      <w:r w:rsidRPr="004F5978">
        <w:t xml:space="preserve">biodiversity outcomes </w:t>
      </w:r>
      <w:r w:rsidRPr="004F5978">
        <w:fldChar w:fldCharType="begin" w:fldLock="1"/>
      </w:r>
      <w:r w:rsidR="00EC711B">
        <w:instrText>ADDIN CSL_CITATION {"citationItems":[{"id":"ITEM-1","itemData":{"DOI":"10.1098/rstb.2014.0281","ISSN":"14712970","PMID":"26460133","abstract":"Protected areas (PAs) are at the forefront of conservation efforts, and yet despite considerable progress towards the global target of having 17% of the world’s land area within protected areas by 2020, biodiversity continues to decline. The discrepancy between increasing PA coverage and negative biodiversity trends has resulted in renewed efforts to enhance PA effectiveness. The global conservation community has conducted thousands of assessments of protected area management effectiveness (PAME), and interest in the use of these data to helpmeasure the conservation impact of PAmanagement interventions is high. Here, we summarize the status of PAME assessment, review the published evidence for a link between PAMEassessment results and the conservation impacts of PAs, and discuss the limitations and future use of PAME data in measuring the impact of PAmanagement interventions on conservation outcomes.We conclude that PAME data,while designed as a tool for local adaptivemanagement, may also help to provide insights into the impact of PA management interventions from the local-to-global scale. However, the subjective and ordinal characteristics of the data present significant limitations for their application in rigorous scientific impact evaluations, a problem that should be recognized and mitigated where possible.","author":[{"dropping-particle":"","family":"Coad","given":"Lauren","non-dropping-particle":"","parse-names":false,"suffix":""},{"dropping-particle":"","family":"Leverington","given":"Fiona","non-dropping-particle":"","parse-names":false,"suffix":""},{"dropping-particle":"","family":"Knights","given":"Kathryn","non-dropping-particle":"","parse-names":false,"suffix":""},{"dropping-particle":"","family":"Geldmann","given":"Jonas","non-dropping-particle":"","parse-names":false,"suffix":""},{"dropping-particle":"","family":"Eassom","given":"April","non-dropping-particle":"","parse-names":false,"suffix":""},{"dropping-particle":"","family":"Kapos","given":"Valerie","non-dropping-particle":"","parse-names":false,"suffix":""},{"dropping-particle":"","family":"Kingston","given":"Naomi","non-dropping-particle":"","parse-names":false,"suffix":""},{"dropping-particle":"De","family":"Lima","given":"Marcelo","non-dropping-particle":"","parse-names":false,"suffix":""},{"dropping-particle":"","family":"Zamora","given":"Camilo","non-dropping-particle":"","parse-names":false,"suffix":""},{"dropping-particle":"","family":"Cuardros","given":"Ivon","non-dropping-particle":"","parse-names":false,"suffix":""},{"dropping-particle":"","family":"Nolte","given":"Christoph","non-dropping-particle":"","parse-names":false,"suffix":""},{"dropping-particle":"","family":"Burgess","given":"Neil D.","non-dropping-particle":"","parse-names":false,"suffix":""},{"dropping-particle":"","family":"Hockings","given":"Marc","non-dropping-particle":"","parse-names":false,"suffix":""}],"container-title":"Philosophical Transactions of the Royal Society B: Biological Sciences","id":"ITEM-1","issue":"20140281","issued":{"date-parts":[["2015"]]},"title":"Measuring impact of protected area management interventions: current and future use of the Global Database of Protected Area Aanagement Effectiveness","type":"article-journal","volume":"370"},"uris":["http://www.mendeley.com/documents/?uuid=75d9a026-a3ca-46e3-abba-136e4f15893a"]}],"mendeley":{"formattedCitation":"(Coad et al., 2015)","plainTextFormattedCitation":"(Coad et al., 2015)","previouslyFormattedCitation":"(Coad et al., 2015)"},"properties":{"noteIndex":0},"schema":"https://github.com/citation-style-language/schema/raw/master/csl-citation.json"}</w:instrText>
      </w:r>
      <w:r w:rsidRPr="004F5978">
        <w:fldChar w:fldCharType="separate"/>
      </w:r>
      <w:r w:rsidRPr="00EC711B">
        <w:rPr>
          <w:noProof/>
        </w:rPr>
        <w:t>(Coad et al., 2015)</w:t>
      </w:r>
      <w:r w:rsidRPr="004F5978">
        <w:fldChar w:fldCharType="end"/>
      </w:r>
      <w:r>
        <w:t xml:space="preserve">. </w:t>
      </w:r>
      <w:r w:rsidR="00916DDE">
        <w:t>As of</w:t>
      </w:r>
      <w:r w:rsidR="004F5978" w:rsidRPr="004F5978">
        <w:t xml:space="preserve"> 2015, an estimated 17,700 PAME assessments had been conducted in over 9,000 </w:t>
      </w:r>
      <w:r w:rsidR="00695FDC">
        <w:t>PAs</w:t>
      </w:r>
      <w:r w:rsidR="004F5978" w:rsidRPr="004F5978">
        <w:t xml:space="preserve"> </w:t>
      </w:r>
      <w:r w:rsidR="004F5978" w:rsidRPr="004F5978">
        <w:fldChar w:fldCharType="begin" w:fldLock="1"/>
      </w:r>
      <w:r w:rsidR="00EC711B">
        <w:instrText>ADDIN CSL_CITATION {"citationItems":[{"id":"ITEM-1","itemData":{"DOI":"10.2305/IUCN.CH.2013.PARKS-19-1.LC.en","author":[{"dropping-particle":"","family":"Coad","given":"Lauren","non-dropping-particle":"","parse-names":false,"suffix":""},{"dropping-particle":"","family":"Leverington","given":"Fiona","non-dropping-particle":"","parse-names":false,"suffix":""},{"dropping-particle":"","family":"Burgess","given":"Neil D","non-dropping-particle":"","parse-names":false,"suffix":""},{"dropping-particle":"","family":"Cuadros","given":"Ivon C","non-dropping-particle":"","parse-names":false,"suffix":""},{"dropping-particle":"","family":"Stoll-kleemann","given":"Susanne","non-dropping-particle":"","parse-names":false,"suffix":""},{"dropping-particle":"","family":"Vansteelant","given":"Nanna","non-dropping-particle":"","parse-names":false,"suffix":""},{"dropping-particle":"","family":"Zamora","given":"Camilo","non-dropping-particle":"","parse-names":false,"suffix":""}],"container-title":"Parks","id":"ITEM-1","issue":"1","issued":{"date-parts":[["2013"]]},"note":"Great explaination of methods!\n\nFor example, all protected area targeting projects funded by the GEF since 2004 have been required to complete the Management Effectiveness Tracking Tool (METT) (Stolton et al., 2007) at least three times for each targeted protected area. As\n\nevaluation of management effectiveness can be carried out for a variety of reasons, including providing better management in a changing environment, effective resource allocation, improved accountability and transparency, community involvement, and promotion of protected area values.","title":"Progress towards the CBD Protected Area Management Effectiveness targets","type":"article-journal","volume":"19"},"uris":["http://www.mendeley.com/documents/?uuid=13153b82-9da9-48e4-a895-77e7a826a6cd"]}],"mendeley":{"formattedCitation":"(Coad, Leverington, Burgess, Cuadros, Stoll-kleemann, et al., 2013)","plainTextFormattedCitation":"(Coad, Leverington, Burgess, Cuadros, Stoll-kleemann, et al., 2013)","previouslyFormattedCitation":"(Coad, Leverington, Burgess, Cuadros, Stoll-kleemann, et al., 2013)"},"properties":{"noteIndex":0},"schema":"https://github.com/citation-style-language/schema/raw/master/csl-citation.json"}</w:instrText>
      </w:r>
      <w:r w:rsidR="004F5978" w:rsidRPr="004F5978">
        <w:fldChar w:fldCharType="separate"/>
      </w:r>
      <w:r w:rsidR="00EC711B" w:rsidRPr="00EC711B">
        <w:rPr>
          <w:noProof/>
        </w:rPr>
        <w:t>(Coad, Leverington, Burgess, Cuadros, Stoll-kleemann, et al., 2013)</w:t>
      </w:r>
      <w:r w:rsidR="004F5978" w:rsidRPr="004F5978">
        <w:fldChar w:fldCharType="end"/>
      </w:r>
      <w:r w:rsidR="004F5978" w:rsidRPr="004F5978">
        <w:t>,</w:t>
      </w:r>
      <w:r>
        <w:t xml:space="preserve"> but a review from the same year </w:t>
      </w:r>
      <w:r>
        <w:rPr>
          <w:color w:val="000000" w:themeColor="text1"/>
        </w:rPr>
        <w:t>found only nine studies, from peer-review and gray literature, t</w:t>
      </w:r>
      <w:r w:rsidR="00916DDE">
        <w:rPr>
          <w:color w:val="000000" w:themeColor="text1"/>
        </w:rPr>
        <w:t>hat could be</w:t>
      </w:r>
      <w:r>
        <w:rPr>
          <w:color w:val="000000" w:themeColor="text1"/>
        </w:rPr>
        <w:t xml:space="preserve"> summarize</w:t>
      </w:r>
      <w:r w:rsidR="00916DDE">
        <w:rPr>
          <w:color w:val="000000" w:themeColor="text1"/>
        </w:rPr>
        <w:t>d</w:t>
      </w:r>
      <w:r>
        <w:rPr>
          <w:color w:val="000000" w:themeColor="text1"/>
        </w:rPr>
        <w:t xml:space="preserve"> as evidence on the relationship between PAME scores and biodiversity outcomes </w:t>
      </w:r>
      <w:r>
        <w:rPr>
          <w:color w:val="000000" w:themeColor="text1"/>
        </w:rPr>
        <w:fldChar w:fldCharType="begin" w:fldLock="1"/>
      </w:r>
      <w:r>
        <w:rPr>
          <w:color w:val="000000" w:themeColor="text1"/>
        </w:rPr>
        <w:instrText>ADDIN CSL_CITATION {"citationItems":[{"id":"ITEM-1","itemData":{"DOI":"10.1098/rstb.2014.0281","ISSN":"14712970","PMID":"26460133","abstract":"Protected areas (PAs) are at the forefront of conservation efforts, and yet despite considerable progress towards the global target of having 17% of the world’s land area within protected areas by 2020, biodiversity continues to decline. The discrepancy between increasing PA coverage and negative biodiversity trends has resulted in renewed efforts to enhance PA effectiveness. The global conservation community has conducted thousands of assessments of protected area management effectiveness (PAME), and interest in the use of these data to helpmeasure the conservation impact of PAmanagement interventions is high. Here, we summarize the status of PAME assessment, review the published evidence for a link between PAMEassessment results and the conservation impacts of PAs, and discuss the limitations and future use of PAME data in measuring the impact of PAmanagement interventions on conservation outcomes.We conclude that PAME data,while designed as a tool for local adaptivemanagement, may also help to provide insights into the impact of PA management interventions from the local-to-global scale. However, the subjective and ordinal characteristics of the data present significant limitations for their application in rigorous scientific impact evaluations, a problem that should be recognized and mitigated where possible.","author":[{"dropping-particle":"","family":"Coad","given":"Lauren","non-dropping-particle":"","parse-names":false,"suffix":""},{"dropping-particle":"","family":"Leverington","given":"Fiona","non-dropping-particle":"","parse-names":false,"suffix":""},{"dropping-particle":"","family":"Knights","given":"Kathryn","non-dropping-particle":"","parse-names":false,"suffix":""},{"dropping-particle":"","family":"Geldmann","given":"Jonas","non-dropping-particle":"","parse-names":false,"suffix":""},{"dropping-particle":"","family":"Eassom","given":"April","non-dropping-particle":"","parse-names":false,"suffix":""},{"dropping-particle":"","family":"Kapos","given":"Valerie","non-dropping-particle":"","parse-names":false,"suffix":""},{"dropping-particle":"","family":"Kingston","given":"Naomi","non-dropping-particle":"","parse-names":false,"suffix":""},{"dropping-particle":"De","family":"Lima","given":"Marcelo","non-dropping-particle":"","parse-names":false,"suffix":""},{"dropping-particle":"","family":"Zamora","given":"Camilo","non-dropping-particle":"","parse-names":false,"suffix":""},{"dropping-particle":"","family":"Cuardros","given":"Ivon","non-dropping-particle":"","parse-names":false,"suffix":""},{"dropping-particle":"","family":"Nolte","given":"Christoph","non-dropping-particle":"","parse-names":false,"suffix":""},{"dropping-particle":"","family":"Burgess","given":"Neil D.","non-dropping-particle":"","parse-names":false,"suffix":""},{"dropping-particle":"","family":"Hockings","given":"Marc","non-dropping-particle":"","parse-names":false,"suffix":""}],"container-title":"Philosophical Transactions of the Royal Society B: Biological Sciences","id":"ITEM-1","issue":"20140281","issued":{"date-parts":[["2015"]]},"title":"Measuring impact of protected area management interventions: current and future use of the Global Database of Protected Area Aanagement Effectiveness","type":"article-journal","volume":"370"},"uris":["http://www.mendeley.com/documents/?uuid=75d9a026-a3ca-46e3-abba-136e4f15893a"]}],"mendeley":{"formattedCitation":"(Coad et al., 2015)","plainTextFormattedCitation":"(Coad et al., 2015)","previouslyFormattedCitation":"(Coad et al., 2015)"},"properties":{"noteIndex":0},"schema":"https://github.com/citation-style-language/schema/raw/master/csl-citation.json"}</w:instrText>
      </w:r>
      <w:r>
        <w:rPr>
          <w:color w:val="000000" w:themeColor="text1"/>
        </w:rPr>
        <w:fldChar w:fldCharType="separate"/>
      </w:r>
      <w:r w:rsidRPr="007A118D">
        <w:rPr>
          <w:noProof/>
          <w:color w:val="000000" w:themeColor="text1"/>
        </w:rPr>
        <w:t>(Coad et al., 2015)</w:t>
      </w:r>
      <w:r>
        <w:rPr>
          <w:color w:val="000000" w:themeColor="text1"/>
        </w:rPr>
        <w:fldChar w:fldCharType="end"/>
      </w:r>
      <w:r>
        <w:rPr>
          <w:color w:val="000000" w:themeColor="text1"/>
        </w:rPr>
        <w:t xml:space="preserve">. </w:t>
      </w:r>
      <w:r w:rsidR="003928DC">
        <w:t>Of those</w:t>
      </w:r>
      <w:r w:rsidR="003928DC" w:rsidRPr="004E7145">
        <w:t xml:space="preserve"> nine studies</w:t>
      </w:r>
      <w:r w:rsidR="003928DC" w:rsidRPr="004F5978">
        <w:t xml:space="preserve">, </w:t>
      </w:r>
      <w:r w:rsidR="003928DC">
        <w:t xml:space="preserve">only </w:t>
      </w:r>
      <w:r w:rsidR="003928DC" w:rsidRPr="004F5978">
        <w:t>three studies us</w:t>
      </w:r>
      <w:r w:rsidR="003928DC">
        <w:t xml:space="preserve">ed </w:t>
      </w:r>
      <w:r w:rsidR="003928DC" w:rsidRPr="004F5978">
        <w:t xml:space="preserve">counterfactual </w:t>
      </w:r>
      <w:r w:rsidR="00151CB6">
        <w:t>evaluation</w:t>
      </w:r>
      <w:r w:rsidR="006137DC">
        <w:t>,</w:t>
      </w:r>
      <w:r w:rsidR="006137DC" w:rsidRPr="004F5978">
        <w:t xml:space="preserve"> </w:t>
      </w:r>
      <w:r w:rsidR="003928DC">
        <w:t xml:space="preserve">and </w:t>
      </w:r>
      <w:r w:rsidR="00B0791C">
        <w:t xml:space="preserve">all three </w:t>
      </w:r>
      <w:r w:rsidR="00151CB6">
        <w:t xml:space="preserve">of these studies </w:t>
      </w:r>
      <w:r w:rsidR="003928DC">
        <w:t>found</w:t>
      </w:r>
      <w:r w:rsidR="003928DC" w:rsidRPr="004F5978">
        <w:t xml:space="preserve"> no correlation between management effectiveness and biodiversity outcomes</w:t>
      </w:r>
      <w:r w:rsidR="003928DC">
        <w:t xml:space="preserve"> </w:t>
      </w:r>
      <w:r w:rsidR="003928DC" w:rsidRPr="004E7145">
        <w:fldChar w:fldCharType="begin" w:fldLock="1"/>
      </w:r>
      <w:r w:rsidR="003928DC">
        <w:instrText>ADDIN CSL_CITATION {"citationItems":[{"id":"ITEM-1","itemData":{"DOI":"10.1098/rstb.2014.0281","ISSN":"14712970","PMID":"26460133","abstract":"Protected areas (PAs) are at the forefront of conservation efforts, and yet despite considerable progress towards the global target of having 17% of the world’s land area within protected areas by 2020, biodiversity continues to decline. The discrepancy between increasing PA coverage and negative biodiversity trends has resulted in renewed efforts to enhance PA effectiveness. The global conservation community has conducted thousands of assessments of protected area management effectiveness (PAME), and interest in the use of these data to helpmeasure the conservation impact of PAmanagement interventions is high. Here, we summarize the status of PAME assessment, review the published evidence for a link between PAMEassessment results and the conservation impacts of PAs, and discuss the limitations and future use of PAME data in measuring the impact of PAmanagement interventions on conservation outcomes.We conclude that PAME data,while designed as a tool for local adaptivemanagement, may also help to provide insights into the impact of PA management interventions from the local-to-global scale. However, the subjective and ordinal characteristics of the data present significant limitations for their application in rigorous scientific impact evaluations, a problem that should be recognized and mitigated where possible.","author":[{"dropping-particle":"","family":"Coad","given":"Lauren","non-dropping-particle":"","parse-names":false,"suffix":""},{"dropping-particle":"","family":"Leverington","given":"Fiona","non-dropping-particle":"","parse-names":false,"suffix":""},{"dropping-particle":"","family":"Knights","given":"Kathryn","non-dropping-particle":"","parse-names":false,"suffix":""},{"dropping-particle":"","family":"Geldmann","given":"Jonas","non-dropping-particle":"","parse-names":false,"suffix":""},{"dropping-particle":"","family":"Eassom","given":"April","non-dropping-particle":"","parse-names":false,"suffix":""},{"dropping-particle":"","family":"Kapos","given":"Valerie","non-dropping-particle":"","parse-names":false,"suffix":""},{"dropping-particle":"","family":"Kingston","given":"Naomi","non-dropping-particle":"","parse-names":false,"suffix":""},{"dropping-particle":"De","family":"Lima","given":"Marcelo","non-dropping-particle":"","parse-names":false,"suffix":""},{"dropping-particle":"","family":"Zamora","given":"Camilo","non-dropping-particle":"","parse-names":false,"suffix":""},{"dropping-particle":"","family":"Cuardros","given":"Ivon","non-dropping-particle":"","parse-names":false,"suffix":""},{"dropping-particle":"","family":"Nolte","given":"Christoph","non-dropping-particle":"","parse-names":false,"suffix":""},{"dropping-particle":"","family":"Burgess","given":"Neil D.","non-dropping-particle":"","parse-names":false,"suffix":""},{"dropping-particle":"","family":"Hockings","given":"Marc","non-dropping-particle":"","parse-names":false,"suffix":""}],"container-title":"Philosophical Transactions of the Royal Society B: Biological Sciences","id":"ITEM-1","issue":"20140281","issued":{"date-parts":[["2015"]]},"title":"Measuring impact of protected area management interventions: current and future use of the Global Database of Protected Area Aanagement Effectiveness","type":"article-journal","volume":"370"},"uris":["http://www.mendeley.com/documents/?uuid=75d9a026-a3ca-46e3-abba-136e4f15893a"]}],"mendeley":{"formattedCitation":"(Coad et al., 2015)","plainTextFormattedCitation":"(Coad et al., 2015)","previouslyFormattedCitation":"(Coad et al., 2015)"},"properties":{"noteIndex":0},"schema":"https://github.com/citation-style-language/schema/raw/master/csl-citation.json"}</w:instrText>
      </w:r>
      <w:r w:rsidR="003928DC" w:rsidRPr="004E7145">
        <w:fldChar w:fldCharType="separate"/>
      </w:r>
      <w:r w:rsidR="003928DC" w:rsidRPr="00EC711B">
        <w:rPr>
          <w:noProof/>
        </w:rPr>
        <w:t>(Coad et al., 2015)</w:t>
      </w:r>
      <w:r w:rsidR="003928DC" w:rsidRPr="004E7145">
        <w:fldChar w:fldCharType="end"/>
      </w:r>
      <w:r w:rsidR="003928DC" w:rsidRPr="004F5978">
        <w:t>.</w:t>
      </w:r>
    </w:p>
    <w:p w14:paraId="19249480" w14:textId="54B64C0D" w:rsidR="004F5978" w:rsidRPr="0084300F" w:rsidRDefault="00685ED2" w:rsidP="003E53E3">
      <w:pPr>
        <w:ind w:firstLine="720"/>
        <w:rPr>
          <w:lang w:val="es-US"/>
        </w:rPr>
      </w:pPr>
      <w:r>
        <w:t>E</w:t>
      </w:r>
      <w:r w:rsidR="004F5978" w:rsidRPr="004F5978">
        <w:t xml:space="preserve">vidence </w:t>
      </w:r>
      <w:r w:rsidR="00D1025A">
        <w:t>from</w:t>
      </w:r>
      <w:r>
        <w:t xml:space="preserve"> other</w:t>
      </w:r>
      <w:r w:rsidR="00D1025A">
        <w:t xml:space="preserve"> </w:t>
      </w:r>
      <w:r w:rsidR="00D1025A" w:rsidRPr="004F5978">
        <w:t xml:space="preserve">existing impact evaluations </w:t>
      </w:r>
      <w:r w:rsidR="00B0791C">
        <w:t>have drawn inconsistent</w:t>
      </w:r>
      <w:r w:rsidR="00B0791C" w:rsidRPr="004F5978">
        <w:t xml:space="preserve"> </w:t>
      </w:r>
      <w:r w:rsidR="00B0791C">
        <w:t>conclusions about</w:t>
      </w:r>
      <w:r w:rsidR="004F5978" w:rsidRPr="004F5978">
        <w:t xml:space="preserve"> </w:t>
      </w:r>
      <w:r w:rsidR="00B0791C">
        <w:t xml:space="preserve">the influence of </w:t>
      </w:r>
      <w:r w:rsidR="004F5978" w:rsidRPr="004F5978">
        <w:t xml:space="preserve">management </w:t>
      </w:r>
      <w:r w:rsidR="00916DDE">
        <w:t xml:space="preserve">effectiveness </w:t>
      </w:r>
      <w:r w:rsidR="00B0791C">
        <w:t>on</w:t>
      </w:r>
      <w:r w:rsidR="004F5978" w:rsidRPr="004F5978">
        <w:t xml:space="preserve"> conservation outcomes. For example, </w:t>
      </w:r>
      <w:r w:rsidR="004F5978" w:rsidRPr="004F5978">
        <w:lastRenderedPageBreak/>
        <w:t xml:space="preserve">Geldmann et al (2018) found only management characteristics related to staff and budget </w:t>
      </w:r>
      <w:r w:rsidR="00916DDE">
        <w:t>had</w:t>
      </w:r>
      <w:r w:rsidR="004F5978" w:rsidRPr="004F5978">
        <w:t xml:space="preserve"> a significant relationship with vertebrate abundance in global </w:t>
      </w:r>
      <w:r w:rsidR="00695FDC">
        <w:t>PAs</w:t>
      </w:r>
      <w:r w:rsidR="004F5978" w:rsidRPr="004F5978">
        <w:t xml:space="preserve">, </w:t>
      </w:r>
      <w:r w:rsidR="006137DC">
        <w:t>while</w:t>
      </w:r>
      <w:r w:rsidR="006137DC" w:rsidRPr="004F5978">
        <w:t xml:space="preserve"> </w:t>
      </w:r>
      <w:r w:rsidR="004F5978" w:rsidRPr="004F5978">
        <w:t xml:space="preserve">other studies have found no relationship between management effectiveness </w:t>
      </w:r>
      <w:r w:rsidR="00916DDE">
        <w:t xml:space="preserve">scores </w:t>
      </w:r>
      <w:r w:rsidR="004F5978" w:rsidRPr="004F5978">
        <w:t xml:space="preserve">and forest loss mitigation in Brazil </w:t>
      </w:r>
      <w:r w:rsidR="004F5978" w:rsidRPr="004F5978">
        <w:fldChar w:fldCharType="begin" w:fldLock="1"/>
      </w:r>
      <w:r w:rsidR="00C62D43">
        <w:instrText>ADDIN CSL_CITATION {"citationItems":[{"id":"ITEM-1","itemData":{"DOI":"10.1088/1748-9326/8/1/015039","ISBN":"1748-9326","ISSN":"17489326","abstract":"Cost-effective protected area networks require that decision makers have sufficient information to allocate investments in ways that generate the greatest positive impacts. With applications in more than 50 countries, the Rapid Assessment and Prioritization of Protected Area Management (RAPPAM) method is arguably the tool used most widely to assist such prioritization. The extent to which its indicators provide useful measures of a protected area's capacity to achieve its conservation objectives, however, has seldom been subject to empirical scrutiny. We use a rich spatial dataset and time series data from 66 forest protected areas in the Brazilian Amazon to examine whether RAPPAM scores are associated with success in avoiding deforestation. We find no statistically significant association between avoided deforestation and indicators that reflect preferential targets of conservation investments, including budget, staff, equipment, management plans and stakeholder collaboration. Instead, we find that the absence of unsettled land tenure conflicts is consistently associated strongly with success in reducing deforestation pressures. Our results underscore the importance of tracking and resolving land tenure in protected area management, and lead us to call for more rigorous assessments of existing strategies for assessing and prioritizing management interventions in protected areas. © 2013 IOP Publishing Ltd.","author":[{"dropping-particle":"","family":"Nolte","given":"Christoph","non-dropping-particle":"","parse-names":false,"suffix":""},{"dropping-particle":"","family":"Agrawal","given":"Arun","non-dropping-particle":"","parse-names":false,"suffix":""},{"dropping-particle":"","family":"Barreto","given":"Paulo","non-dropping-particle":"","parse-names":false,"suffix":""}],"container-title":"Environmental Research Letters","id":"ITEM-1","issue":"1","issued":{"date-parts":[["2013"]]},"title":"Setting priorities to avoid deforestation in Amazon protected areas: Are we choosing the right indicators?","type":"article-journal","volume":"8"},"uris":["http://www.mendeley.com/documents/?uuid=fad207a0-473a-4c2a-bced-e5e6bb0c44ad"]},{"id":"ITEM-2","itemData":{"DOI":"10.1111/conl.12049","ISBN":"1223336670","author":[{"dropping-particle":"","family":"Carranza","given":"Tharsila","non-dropping-particle":"","parse-names":false,"suffix":""},{"dropping-particle":"","family":"Balmford","given":"Andrew","non-dropping-particle":"","parse-names":false,"suffix":""},{"dropping-particle":"","family":"Kapos","given":"Valerie","non-dropping-particle":"","parse-names":false,"suffix":""},{"dropping-particle":"","family":"Manica","given":"Andrea","non-dropping-particle":"","parse-names":false,"suffix":""},{"dropping-particle":"","family":"Busch","given":"Jonah","non-dropping-particle":"","parse-names":false,"suffix":""}],"container-title":"Conservation Letters","id":"ITEM-2","issue":"3","issued":{"date-parts":[["2014"]]},"page":"216-223","title":"Protected Area Effectiveness in Reducing Conversion in a Rapidly Vanishing Ecosystem: The Brazilian Cerrado","type":"article-journal","volume":"7"},"uris":["http://www.mendeley.com/documents/?uuid=1f694e5a-8060-4edf-bbe6-badc84f751d0"]}],"mendeley":{"formattedCitation":"(Carranza, Balmford, Kapos, Manica, &amp; Busch, 2014; Christoph Nolte, Agrawal, &amp; Barreto, 2013)","manualFormatting":"(Nolte, Agrawal, &amp; Barreto, 2013)","plainTextFormattedCitation":"(Carranza, Balmford, Kapos, Manica, &amp; Busch, 2014; Christoph Nolte, Agrawal, &amp; Barreto, 2013)","previouslyFormattedCitation":"(Carranza, Balmford, Kapos, Manica, &amp; Busch, 2014; Christoph Nolte, Agrawal, &amp; Barreto, 2013)"},"properties":{"noteIndex":0},"schema":"https://github.com/citation-style-language/schema/raw/master/csl-citation.json"}</w:instrText>
      </w:r>
      <w:r w:rsidR="004F5978" w:rsidRPr="004F5978">
        <w:fldChar w:fldCharType="separate"/>
      </w:r>
      <w:r w:rsidR="004F5978" w:rsidRPr="004F5978">
        <w:rPr>
          <w:noProof/>
        </w:rPr>
        <w:t>(Nolte, Agrawal, &amp; Barreto, 2013)</w:t>
      </w:r>
      <w:r w:rsidR="004F5978" w:rsidRPr="004F5978">
        <w:fldChar w:fldCharType="end"/>
      </w:r>
      <w:r w:rsidR="004F5978" w:rsidRPr="004F5978">
        <w:t xml:space="preserve"> or forest fire mitigation in the broader Amazon basin </w:t>
      </w:r>
      <w:r w:rsidR="004F5978" w:rsidRPr="004F5978">
        <w:fldChar w:fldCharType="begin" w:fldLock="1"/>
      </w:r>
      <w:r w:rsidR="003A24F7">
        <w:instrText>ADDIN CSL_CITATION {"citationItems":[{"id":"ITEM-1","itemData":{"DOI":"10.1111/j.1523-1739.2012.01930.x","ISSN":"08888892","abstract":"Management-effectiveness scores are used widely by donors and implementers of conservation projects to prioritize, track, and evaluate investments in protected areas. However, there is little evidence that these scores actually reflect the capacity of protected areas to deliver conservation outcomes. We examined the relation between indicators of management effectiveness in protected areas and the effectiveness of protected areas in reducing fire occurrence in the Amazon rainforest. We used data collected with the Management Effectiveness Tracking Tool (METT) scorecard, adopted by some of the world's largest conservation organizations to track management characteristics believed to be crucial for protected-area effectiveness. We used the occurrence of forest fires from 2000 through 2010 as a measure of the effect of protected areas on undesired land-cover change in the Amazon basin. We used matching to compare the estimated effect of protected areas with low versus high METT scores on fire occurrence. We also estimated effects of individual protected areas on fire occurrence and explored the relation between these effects and METT scores. The relations between METT scores and effects of protected areas on fire occurrence were weak. Protected areas with higher METT scores in 2005 did not seem to have performed better than protected areas with lower METT scores at reducing fire occurrence over the last 10 years. Further research into the relations between management-effectiveness indicators and conservation outcomes in protected areas seems necessary, and our results show that the careful application of matching methods can be a suitable method for that purpose. © 2012 Society for Conservation Biology.","author":[{"dropping-particle":"","family":"Nolte","given":"Christoph","non-dropping-particle":"","parse-names":false,"suffix":""},{"dropping-particle":"","family":"Agrawal","given":"Arun","non-dropping-particle":"","parse-names":false,"suffix":""}],"container-title":"Conservation Biology","id":"ITEM-1","issue":"1","issued":{"date-parts":[["2013"]]},"page":"155-165","title":"Linking Management Effectiveness Indicators to Observed Effects of Protected Areas on Fire Occurrence in the Amazon Rainforest","type":"article-journal","volume":"27"},"uris":["http://www.mendeley.com/documents/?uuid=5ad29e98-3116-4c31-96f0-595c520cd727"]}],"mendeley":{"formattedCitation":"(Christoph Nolte &amp; Agrawal, 2013)","manualFormatting":"(Nolte &amp; Agrawal, 2013)","plainTextFormattedCitation":"(Christoph Nolte &amp; Agrawal, 2013)","previouslyFormattedCitation":"(Christoph Nolte &amp; Agrawal, 2013)"},"properties":{"noteIndex":0},"schema":"https://github.com/citation-style-language/schema/raw/master/csl-citation.json"}</w:instrText>
      </w:r>
      <w:r w:rsidR="004F5978" w:rsidRPr="004F5978">
        <w:fldChar w:fldCharType="separate"/>
      </w:r>
      <w:r w:rsidR="00EC711B" w:rsidRPr="00EC711B">
        <w:rPr>
          <w:noProof/>
        </w:rPr>
        <w:t>(Nolte &amp; Agrawal, 2013)</w:t>
      </w:r>
      <w:r w:rsidR="004F5978" w:rsidRPr="004F5978">
        <w:fldChar w:fldCharType="end"/>
      </w:r>
      <w:r w:rsidR="004F5978" w:rsidRPr="004F5978">
        <w:t xml:space="preserve">. </w:t>
      </w:r>
      <w:r w:rsidR="00B0791C">
        <w:rPr>
          <w:color w:val="000000" w:themeColor="text1"/>
        </w:rPr>
        <w:t>Additionally, w</w:t>
      </w:r>
      <w:r w:rsidR="00D1025A">
        <w:rPr>
          <w:color w:val="000000" w:themeColor="text1"/>
        </w:rPr>
        <w:t>hile a</w:t>
      </w:r>
      <w:r w:rsidR="00D1025A" w:rsidRPr="004F5978">
        <w:t xml:space="preserve"> few existing impact evaluations have attempted to link assessment scores to conservation outcomes on a global scale (e.g., </w:t>
      </w:r>
      <w:r w:rsidR="00D1025A" w:rsidRPr="004F5978">
        <w:fldChar w:fldCharType="begin" w:fldLock="1"/>
      </w:r>
      <w:r w:rsidR="00D1025A">
        <w:instrText>ADDIN CSL_CITATION {"citationItems":[{"id":"ITEM-1","itemData":{"DOI":"10.1007/s00267-010-9564-5","ISBN":"0364-152X","ISSN":"0364152X","PMID":"20859627","abstract":"We compiled details of over 8000 assessments of protected area management effectiveness across the world and developed a method for analyzing results across diverse assessment methodologies and indicators. Data was compiled and analyzed for over 4000 of these sites. Management of these protected areas varied from weak to effective, with about 40% showing major deficiencies. About 14% of the surveyed areas showed significant deficiencies across many management effectiveness indicators and hence lacked basic requirements to operate effectively. Strongest management factors recorded on average related to establishment of protected areas (legal establishment, design, legislation and boundary marking) and to effectiveness of governance; while the weakest aspects of management included community benefit programs, resourcing (funding reliability and adequacy, staff numbers and facility and equipment maintenance) and management effectiveness evaluation. Estimations of management outcomes, including both environmental values conservation and impact on communities, were positive. We conclude that in spite of inadequate funding and management process, there are indications that protected areas are contributing to biodiversity conservation and community well-being.","author":[{"dropping-particle":"","family":"Leverington","given":"Fiona","non-dropping-particle":"","parse-names":false,"suffix":""},{"dropping-particle":"","family":"Costa","given":"Katia Lemos","non-dropping-particle":"","parse-names":false,"suffix":""},{"dropping-particle":"","family":"Pavese","given":"Helena","non-dropping-particle":"","parse-names":false,"suffix":""},{"dropping-particle":"","family":"Lisle","given":"Allan","non-dropping-particle":"","parse-names":false,"suffix":""},{"dropping-particle":"","family":"Hockings","given":"Marc","non-dropping-particle":"","parse-names":false,"suffix":""}],"container-title":"Environmental Management","id":"ITEM-1","issue":"5","issued":{"date-parts":[["2010"]]},"page":"685-698","title":"A global analysis of protected area management effectiveness","type":"article-journal","volume":"46"},"uris":["http://www.mendeley.com/documents/?uuid=abde824a-e9cd-4d0c-b1dd-941860f47e52"]},{"id":"ITEM-2","itemData":{"DOI":"10.1111/conl.12434","ISSN":"1755263X","abstract":"Protecting important sites is a key strategy for halting the loss of biodiversity. How-ever, our understanding of the relationship between management inputs and biodi-versity outcomes in protected areas (PAs) remains weak. Here, we examine biodiver-sity outcomes using species population trends in PAs derived from the Living Planet Database in relation to management data derived from the Management Effective-ness Tracking Tool (METT) database for 217 population time-series from 73 PAs. We found a positive relationship between our METT-based scores for Capacity and Resources and changes in vertebrate abundance, consistent with the hypothesis that PAs require adequate resourcing to halt biodiversity loss. Additionally, PA age was","author":[{"dropping-particle":"","family":"Geldmann","given":"Jonas","non-dropping-particle":"","parse-names":false,"suffix":""},{"dropping-particle":"","family":"Coad","given":"Lauren","non-dropping-particle":"","parse-names":false,"suffix":""},{"dropping-particle":"","family":"Barnes","given":"Megan D.","non-dropping-particle":"","parse-names":false,"suffix":""},{"dropping-particle":"","family":"Craigie","given":"Ian D.","non-dropping-particle":"","parse-names":false,"suffix":""},{"dropping-particle":"","family":"Woodley","given":"Stephen","non-dropping-particle":"","parse-names":false,"suffix":""},{"dropping-particle":"","family":"Balmford","given":"Andrew","non-dropping-particle":"","parse-names":false,"suffix":""},{"dropping-particle":"","family":"Brooks","given":"Thomas M.","non-dropping-particle":"","parse-names":false,"suffix":""},{"dropping-particle":"","family":"Hockings","given":"Marc","non-dropping-particle":"","parse-names":false,"suffix":""},{"dropping-particle":"","family":"Knights","given":"Kathryn","non-dropping-particle":"","parse-names":false,"suffix":""},{"dropping-particle":"","family":"Mascia","given":"Michael B.","non-dropping-particle":"","parse-names":false,"suffix":""},{"dropping-particle":"","family":"McRae","given":"Louise","non-dropping-particle":"","parse-names":false,"suffix":""},{"dropping-particle":"","family":"Burgess","given":"Neil D.","non-dropping-particle":"","parse-names":false,"suffix":""}],"container-title":"Conservation Letters","id":"ITEM-2","issue":"3","issued":{"date-parts":[["2018"]]},"page":"1-10","title":"A global analysis of management capacity and ecological outcomes in terrestrial protected areas","type":"article-journal","volume":"11"},"uris":["http://www.mendeley.com/documents/?uuid=0b1e6338-5828-45c6-99cc-054c7bdb6adb"]},{"id":"ITEM-3","itemData":{"DOI":"10.1073/pnas.1908221116","author":[{"dropping-particle":"","family":"Geldmann","given":"Jonas","non-dropping-particle":"","parse-names":false,"suffix":""},{"dropping-particle":"","family":"Manica","given":"Andrea","non-dropping-particle":"","parse-names":false,"suffix":""},{"dropping-particle":"","family":"Burgess","given":"Neil D","non-dropping-particle":"","parse-names":false,"suffix":""},{"dropping-particle":"","family":"Coad","given":"Lauren","non-dropping-particle":"","parse-names":false,"suffix":""},{"dropping-particle":"","family":"Balmford","given":"Andrew","non-dropping-particle":"","parse-names":false,"suffix":""}],"container-title":"PNAS","id":"ITEM-3","issue":"46","issued":{"date-parts":[["2019"]]},"page":"23209-23215","title":"A global-level assessment of the effectiveness of protected areas at resisting anthropogenic pressures","type":"article-journal","volume":"116"},"uris":["http://www.mendeley.com/documents/?uuid=cf211d16-6cc4-4411-b6ae-35a7fb16f22d"]}],"mendeley":{"formattedCitation":"(Geldmann et al., 2018; Geldmann, Manica, Burgess, Coad, &amp; Balmford, 2019; Leverington et al., 2010)","manualFormatting":"Geldmann et al., 2018, 2019; Leverington et al., 2010)","plainTextFormattedCitation":"(Geldmann et al., 2018; Geldmann, Manica, Burgess, Coad, &amp; Balmford, 2019; Leverington et al., 2010)","previouslyFormattedCitation":"(Geldmann et al., 2018; Geldmann, Manica, Burgess, Coad, &amp; Balmford, 2019; Leverington et al., 2010)"},"properties":{"noteIndex":0},"schema":"https://github.com/citation-style-language/schema/raw/master/csl-citation.json"}</w:instrText>
      </w:r>
      <w:r w:rsidR="00D1025A" w:rsidRPr="004F5978">
        <w:fldChar w:fldCharType="separate"/>
      </w:r>
      <w:r w:rsidR="00D1025A" w:rsidRPr="004F5978">
        <w:rPr>
          <w:noProof/>
        </w:rPr>
        <w:t>Geldmann et al., 2018, 2019; Leverington et al., 2010)</w:t>
      </w:r>
      <w:r w:rsidR="00D1025A" w:rsidRPr="004F5978">
        <w:fldChar w:fldCharType="end"/>
      </w:r>
      <w:r w:rsidR="00D1025A" w:rsidRPr="004F5978">
        <w:t xml:space="preserve">, national-level evaluations have been largely concentrated in Brazil and the Amazon </w:t>
      </w:r>
      <w:r w:rsidR="0079333A">
        <w:t>b</w:t>
      </w:r>
      <w:r w:rsidR="00D1025A" w:rsidRPr="004F5978">
        <w:t xml:space="preserve">asin </w:t>
      </w:r>
      <w:r w:rsidR="0079333A">
        <w:t>r</w:t>
      </w:r>
      <w:r w:rsidR="00D1025A" w:rsidRPr="004F5978">
        <w:t xml:space="preserve">egion (e.g., </w:t>
      </w:r>
      <w:r w:rsidR="00D1025A" w:rsidRPr="004F5978">
        <w:fldChar w:fldCharType="begin" w:fldLock="1"/>
      </w:r>
      <w:r w:rsidR="004E1DE0">
        <w:instrText>ADDIN CSL_CITATION {"citationItems":[{"id":"ITEM-1","itemData":{"DOI":"10.1088/1748-9326/8/1/015039","ISBN":"1748-9326","ISSN":"17489326","abstract":"Cost-effective protected area networks require that decision makers have sufficient information to allocate investments in ways that generate the greatest positive impacts. With applications in more than 50 countries, the Rapid Assessment and Prioritization of Protected Area Management (RAPPAM) method is arguably the tool used most widely to assist such prioritization. The extent to which its indicators provide useful measures of a protected area's capacity to achieve its conservation objectives, however, has seldom been subject to empirical scrutiny. We use a rich spatial dataset and time series data from 66 forest protected areas in the Brazilian Amazon to examine whether RAPPAM scores are associated with success in avoiding deforestation. We find no statistically significant association between avoided deforestation and indicators that reflect preferential targets of conservation investments, including budget, staff, equipment, management plans and stakeholder collaboration. Instead, we find that the absence of unsettled land tenure conflicts is consistently associated strongly with success in reducing deforestation pressures. Our results underscore the importance of tracking and resolving land tenure in protected area management, and lead us to call for more rigorous assessments of existing strategies for assessing and prioritizing management interventions in protected areas. © 2013 IOP Publishing Ltd.","author":[{"dropping-particle":"","family":"Nolte","given":"Christoph","non-dropping-particle":"","parse-names":false,"suffix":""},{"dropping-particle":"","family":"Agrawal","given":"Arun","non-dropping-particle":"","parse-names":false,"suffix":""},{"dropping-particle":"","family":"Barreto","given":"Paulo","non-dropping-particle":"","parse-names":false,"suffix":""}],"container-title":"Environmental Research Letters","id":"ITEM-1","issue":"1","issued":{"date-parts":[["2013"]]},"title":"Setting priorities to avoid deforestation in Amazon protected areas: Are we choosing the right indicators?","type":"article-journal","volume":"8"},"uris":["http://www.mendeley.com/documents/?uuid=fad207a0-473a-4c2a-bced-e5e6bb0c44ad"]},{"id":"ITEM-2","itemData":{"DOI":"10.1111/conl.12049","ISBN":"1223336670","author":[{"dropping-particle":"","family":"Carranza","given":"Tharsila","non-dropping-particle":"","parse-names":false,"suffix":""},{"dropping-particle":"","family":"Balmford","given":"Andrew","non-dropping-particle":"","parse-names":false,"suffix":""},{"dropping-particle":"","family":"Kapos","given":"Valerie","non-dropping-particle":"","parse-names":false,"suffix":""},{"dropping-particle":"","family":"Manica","given":"Andrea","non-dropping-particle":"","parse-names":false,"suffix":""},{"dropping-particle":"","family":"Busch","given":"Jonah","non-dropping-particle":"","parse-names":false,"suffix":""}],"container-title":"Conservation Letters","id":"ITEM-2","issue":"3","issued":{"date-parts":[["2014"]]},"page":"216-223","title":"Protected Area Effectiveness in Reducing Conversion in a Rapidly Vanishing Ecosystem: The Brazilian Cerrado","type":"article-journal","volume":"7"},"uris":["http://www.mendeley.com/documents/?uuid=1f694e5a-8060-4edf-bbe6-badc84f751d0"]},{"id":"ITEM-3","itemData":{"DOI":"10.1111/j.1523-1739.2012.01930.x","ISSN":"08888892","abstract":"Management-effectiveness scores are used widely by donors and implementers of conservation projects to prioritize, track, and evaluate investments in protected areas. However, there is little evidence that these scores actually reflect the capacity of protected areas to deliver conservation outcomes. We examined the relation between indicators of management effectiveness in protected areas and the effectiveness of protected areas in reducing fire occurrence in the Amazon rainforest. We used data collected with the Management Effectiveness Tracking Tool (METT) scorecard, adopted by some of the world's largest conservation organizations to track management characteristics believed to be crucial for protected-area effectiveness. We used the occurrence of forest fires from 2000 through 2010 as a measure of the effect of protected areas on undesired land-cover change in the Amazon basin. We used matching to compare the estimated effect of protected areas with low versus high METT scores on fire occurrence. We also estimated effects of individual protected areas on fire occurrence and explored the relation between these effects and METT scores. The relations between METT scores and effects of protected areas on fire occurrence were weak. Protected areas with higher METT scores in 2005 did not seem to have performed better than protected areas with lower METT scores at reducing fire occurrence over the last 10 years. Further research into the relations bet</w:instrText>
      </w:r>
      <w:r w:rsidR="004E1DE0" w:rsidRPr="006B2563">
        <w:rPr>
          <w:lang w:val="es-US"/>
        </w:rPr>
        <w:instrText>ween management-effectiveness indicators and conservation outcomes in protected areas seems necessary, and our results show that the careful application of matching methods can be a suitable method for that purpose. © 2012 Society for Conservation Biology.","author":[{"dropping-particle":"","family":"Nolte","given":"Christoph","non-dropping-particle":"","parse-names":false,"suffix":""},{"dropping-particle":"","family":"Agrawal","given":"Arun","non-dropping-particle":"","parse-names":false,"suffix":""}],"container-title":"Conservation Biology","id":"ITEM-3","issue":"1","issued":{"date-parts":[["2013"]]},"page":"155-165","title":"Linking Management Effectiveness Indicators to Observed Effects of Protected Areas on Fire Occurrence in the Amazon Rainforest","type":"article-journal","volume":"27"},"uris":["http://www.mendeley.com/documents/?uuid=5ad29e98-3116-4c31-96f0-595c520cd727"]}],"mendeley":{"formattedCitation":"(Carranza et al., 2014; Christoph Nolte &amp; Agrawal, 2013; Christoph Nolte et al., 2013)","manualFormatting":"Carranza, Balmford, Kapos, Manica, &amp; Busch, 2014; Nolte &amp; Agrawal, 2013; Nolte, Agrawal, &amp; Barreto, 2013)","plainTextFormattedCitation":"(Carranza et al., 2014; Christoph Nolte &amp; Agrawal, 2013; Christoph Nolte et al., 2013)","previouslyFormattedCitation":"(Carranza et al., 2014; Christoph Nolte &amp; Agrawal, 2013; Christoph Nolte et al., 2013)"},"properties":{"noteIndex":0},"schema":"https://github.com/citation-style-language/schema/raw/master/csl-citation.json"}</w:instrText>
      </w:r>
      <w:r w:rsidR="00D1025A" w:rsidRPr="004F5978">
        <w:fldChar w:fldCharType="separate"/>
      </w:r>
      <w:r w:rsidR="00D1025A" w:rsidRPr="004F5978">
        <w:rPr>
          <w:noProof/>
          <w:lang w:val="es-US"/>
        </w:rPr>
        <w:t>Carranza, Balmford, Kapos, Manica, &amp; Busch, 2014; Nolte &amp; Agrawal, 2013; Nolte, Agrawal, &amp; Barreto, 2013)</w:t>
      </w:r>
      <w:r w:rsidR="00D1025A" w:rsidRPr="004F5978">
        <w:fldChar w:fldCharType="end"/>
      </w:r>
      <w:r w:rsidR="00D1025A" w:rsidRPr="004F5978">
        <w:rPr>
          <w:lang w:val="es-US"/>
        </w:rPr>
        <w:t>.</w:t>
      </w:r>
      <w:r w:rsidR="003B02CD">
        <w:rPr>
          <w:lang w:val="es-US"/>
        </w:rPr>
        <w:t xml:space="preserve"> </w:t>
      </w:r>
    </w:p>
    <w:p w14:paraId="5FD76E5E" w14:textId="1DDA0D57" w:rsidR="009A5848" w:rsidRDefault="00AD3C1D" w:rsidP="003E53E3">
      <w:pPr>
        <w:ind w:firstLine="720"/>
      </w:pPr>
      <w:r>
        <w:t>The l</w:t>
      </w:r>
      <w:r w:rsidR="002B4F4F" w:rsidRPr="004F5978">
        <w:t>imited empirical research</w:t>
      </w:r>
      <w:r w:rsidR="002B4F4F">
        <w:t xml:space="preserve"> critically examining the relationship between</w:t>
      </w:r>
      <w:r w:rsidR="004F5978" w:rsidRPr="004F5978">
        <w:t xml:space="preserve"> </w:t>
      </w:r>
      <w:r w:rsidR="002B4F4F" w:rsidRPr="004F5978">
        <w:t>management effectiveness and conservation outcomes</w:t>
      </w:r>
      <w:r w:rsidR="002B4F4F">
        <w:t>, as well as</w:t>
      </w:r>
      <w:r w:rsidR="002B4F4F" w:rsidRPr="004F5978">
        <w:t xml:space="preserve"> </w:t>
      </w:r>
      <w:r w:rsidR="00CC3CD6">
        <w:t xml:space="preserve">the </w:t>
      </w:r>
      <w:r w:rsidR="004F5978" w:rsidRPr="004F5978">
        <w:t xml:space="preserve">importance of </w:t>
      </w:r>
      <w:r w:rsidR="002B4F4F">
        <w:t xml:space="preserve">measuring </w:t>
      </w:r>
      <w:r w:rsidR="00042BFA">
        <w:t>management effectiveness</w:t>
      </w:r>
      <w:r w:rsidR="00042BFA" w:rsidRPr="004F5978">
        <w:t xml:space="preserve"> </w:t>
      </w:r>
      <w:r w:rsidR="002B4F4F">
        <w:t>for</w:t>
      </w:r>
      <w:r w:rsidR="00464F86">
        <w:t xml:space="preserve"> global conservation goals</w:t>
      </w:r>
      <w:r w:rsidR="002B4F4F">
        <w:t xml:space="preserve"> and </w:t>
      </w:r>
      <w:r w:rsidR="004F5978" w:rsidRPr="004F5978">
        <w:t>conservation funding</w:t>
      </w:r>
      <w:r w:rsidR="00464F86">
        <w:t xml:space="preserve">, </w:t>
      </w:r>
      <w:r w:rsidR="004F5978" w:rsidRPr="004F5978">
        <w:t xml:space="preserve">warrants </w:t>
      </w:r>
      <w:r w:rsidR="006137DC">
        <w:t>further</w:t>
      </w:r>
      <w:r w:rsidR="004F5978" w:rsidRPr="004F5978">
        <w:t xml:space="preserve"> investigation. We contribute to this body of evidence by conducting an </w:t>
      </w:r>
      <w:r w:rsidR="00C5006B">
        <w:t xml:space="preserve">evaluation </w:t>
      </w:r>
      <w:r w:rsidR="004F5978" w:rsidRPr="004F5978">
        <w:t xml:space="preserve">of </w:t>
      </w:r>
      <w:r w:rsidR="00C5006B">
        <w:t xml:space="preserve">the impacts of </w:t>
      </w:r>
      <w:r w:rsidR="004F5978" w:rsidRPr="004F5978">
        <w:t xml:space="preserve">management effectiveness </w:t>
      </w:r>
      <w:r w:rsidR="00C5006B">
        <w:t xml:space="preserve">on forest cover loss </w:t>
      </w:r>
      <w:r w:rsidR="004F5978" w:rsidRPr="004F5978">
        <w:t xml:space="preserve">in </w:t>
      </w:r>
      <w:r w:rsidR="00D602EE">
        <w:t>46</w:t>
      </w:r>
      <w:r w:rsidR="004F5978" w:rsidRPr="004F5978">
        <w:t xml:space="preserve"> terrestrial </w:t>
      </w:r>
      <w:r w:rsidR="00695FDC">
        <w:t>PAs</w:t>
      </w:r>
      <w:r w:rsidR="004F5978" w:rsidRPr="004F5978">
        <w:t xml:space="preserve"> in Mexico, a biodiversity hotspot. We link the results of a </w:t>
      </w:r>
      <w:r w:rsidR="00DF415F">
        <w:t xml:space="preserve">standardized </w:t>
      </w:r>
      <w:r w:rsidR="004F5978" w:rsidRPr="004F5978">
        <w:t xml:space="preserve">management effectiveness </w:t>
      </w:r>
      <w:r w:rsidR="00DF415F">
        <w:t>assessment</w:t>
      </w:r>
      <w:r w:rsidR="004F5978" w:rsidRPr="004F5978">
        <w:t xml:space="preserve"> developed by Mexico’s National Commission of Natural </w:t>
      </w:r>
      <w:r w:rsidR="00695FDC">
        <w:t>PAs</w:t>
      </w:r>
      <w:r w:rsidR="004F5978" w:rsidRPr="004F5978">
        <w:t xml:space="preserve"> (CONANP) to forest loss data inside </w:t>
      </w:r>
      <w:r w:rsidR="00695FDC">
        <w:t>PAs</w:t>
      </w:r>
      <w:r w:rsidR="004F5978" w:rsidRPr="004F5978">
        <w:t xml:space="preserve"> and use matching technique</w:t>
      </w:r>
      <w:r w:rsidR="00445BCD">
        <w:t>s</w:t>
      </w:r>
      <w:r w:rsidR="004F5978" w:rsidRPr="004F5978">
        <w:t xml:space="preserve"> to more accurately measure the influence of </w:t>
      </w:r>
      <w:r w:rsidR="0063512A">
        <w:t xml:space="preserve">five different </w:t>
      </w:r>
      <w:r w:rsidR="004F5978" w:rsidRPr="004F5978">
        <w:t>management</w:t>
      </w:r>
      <w:r w:rsidR="00C42829">
        <w:t xml:space="preserve"> dimensions</w:t>
      </w:r>
      <w:r w:rsidR="0063512A">
        <w:t>, as well as an overall management score,</w:t>
      </w:r>
      <w:r w:rsidR="004F5978" w:rsidRPr="004F5978">
        <w:t xml:space="preserve"> on changes in forest cover. </w:t>
      </w:r>
    </w:p>
    <w:p w14:paraId="77A22541" w14:textId="535BF825" w:rsidR="00977E0C" w:rsidRDefault="004F5978" w:rsidP="003E53E3">
      <w:pPr>
        <w:ind w:firstLine="720"/>
        <w:rPr>
          <w:color w:val="000000" w:themeColor="text1"/>
          <w:spacing w:val="3"/>
          <w:shd w:val="clear" w:color="auto" w:fill="FFFFFF"/>
        </w:rPr>
      </w:pPr>
      <w:r w:rsidRPr="004F5978">
        <w:t xml:space="preserve">Mexico provides a unique opportunity to examine the influence of management </w:t>
      </w:r>
      <w:r w:rsidR="004B6DFC">
        <w:t xml:space="preserve">effectiveness </w:t>
      </w:r>
      <w:r w:rsidRPr="004F5978">
        <w:t xml:space="preserve">on </w:t>
      </w:r>
      <w:r w:rsidR="00016B66">
        <w:t>PA</w:t>
      </w:r>
      <w:r w:rsidRPr="004F5978">
        <w:t xml:space="preserve"> performance due to</w:t>
      </w:r>
      <w:r w:rsidR="00C30DC6" w:rsidRPr="00C30DC6">
        <w:t xml:space="preserve"> </w:t>
      </w:r>
      <w:r w:rsidR="00C30DC6" w:rsidRPr="004F5978">
        <w:t xml:space="preserve">recent advances in management </w:t>
      </w:r>
      <w:r w:rsidR="00C30DC6">
        <w:t>effectiveness monitoring across its</w:t>
      </w:r>
      <w:r w:rsidRPr="004F5978">
        <w:t xml:space="preserve"> extensive </w:t>
      </w:r>
      <w:r w:rsidR="00016B66">
        <w:t>PA</w:t>
      </w:r>
      <w:r w:rsidRPr="004F5978">
        <w:t xml:space="preserve"> network</w:t>
      </w:r>
      <w:r w:rsidR="008D50EB">
        <w:t xml:space="preserve">, </w:t>
      </w:r>
      <w:r w:rsidR="008D50EB">
        <w:rPr>
          <w:color w:val="000000" w:themeColor="text1"/>
        </w:rPr>
        <w:t>estimated at</w:t>
      </w:r>
      <w:r w:rsidR="008D50EB" w:rsidRPr="00661402">
        <w:rPr>
          <w:color w:val="000000" w:themeColor="text1"/>
        </w:rPr>
        <w:t xml:space="preserve"> 1</w:t>
      </w:r>
      <w:r w:rsidR="008D50EB">
        <w:rPr>
          <w:color w:val="000000" w:themeColor="text1"/>
        </w:rPr>
        <w:t>4.5</w:t>
      </w:r>
      <w:r w:rsidR="008D50EB" w:rsidRPr="00661402">
        <w:rPr>
          <w:color w:val="000000" w:themeColor="text1"/>
        </w:rPr>
        <w:t>%</w:t>
      </w:r>
      <w:r w:rsidR="008D50EB">
        <w:rPr>
          <w:color w:val="000000" w:themeColor="text1"/>
        </w:rPr>
        <w:t xml:space="preserve"> of terrestrial area and 21.6% of marine area</w:t>
      </w:r>
      <w:r w:rsidR="00977E0C">
        <w:t xml:space="preserve"> </w:t>
      </w:r>
      <w:r w:rsidR="008D50EB">
        <w:rPr>
          <w:color w:val="000000" w:themeColor="text1"/>
        </w:rPr>
        <w:fldChar w:fldCharType="begin" w:fldLock="1"/>
      </w:r>
      <w:r w:rsidR="008D50EB">
        <w:rPr>
          <w:color w:val="000000" w:themeColor="text1"/>
        </w:rPr>
        <w:instrText>ADDIN CSL_CITATION {"citationItems":[{"id":"ITEM-1","itemData":{"URL":"www.protectedplanet.net","author":[{"dropping-particle":"","family":"UNEP-WCMC","given":"","non-dropping-particle":"","parse-names":false,"suffix":""}],"id":"ITEM-1","issued":{"date-parts":[["2020"]]},"title":"Protected Area Profile for Mexico from the World Database of Protected Areas","type":"webpage"},"uris":["http://www.mendeley.com/documents/?uuid=13efc4f0-1168-4686-b85d-9f95fdb05a13"]}],"mendeley":{"formattedCitation":"(UNEP-WCMC, 2020)","plainTextFormattedCitation":"(UNEP-WCMC, 2020)","previouslyFormattedCitation":"(UNEP-WCMC, 2020)"},"properties":{"noteIndex":0},"schema":"https://github.com/citation-style-language/schema/raw/master/csl-citation.json"}</w:instrText>
      </w:r>
      <w:r w:rsidR="008D50EB">
        <w:rPr>
          <w:color w:val="000000" w:themeColor="text1"/>
        </w:rPr>
        <w:fldChar w:fldCharType="separate"/>
      </w:r>
      <w:r w:rsidR="008D50EB" w:rsidRPr="00623F9B">
        <w:rPr>
          <w:noProof/>
          <w:color w:val="000000" w:themeColor="text1"/>
        </w:rPr>
        <w:t>(UNEP-WCMC, 2020)</w:t>
      </w:r>
      <w:r w:rsidR="008D50EB">
        <w:rPr>
          <w:color w:val="000000" w:themeColor="text1"/>
        </w:rPr>
        <w:fldChar w:fldCharType="end"/>
      </w:r>
      <w:r w:rsidRPr="004F5978">
        <w:t xml:space="preserve">. </w:t>
      </w:r>
      <w:r w:rsidR="008D50EB" w:rsidRPr="00661402">
        <w:rPr>
          <w:color w:val="000000" w:themeColor="text1"/>
        </w:rPr>
        <w:t xml:space="preserve">Similar to other regions of the world, </w:t>
      </w:r>
      <w:r w:rsidR="008D50EB">
        <w:rPr>
          <w:color w:val="000000" w:themeColor="text1"/>
        </w:rPr>
        <w:t xml:space="preserve">researchers have found </w:t>
      </w:r>
      <w:r w:rsidR="008D50EB" w:rsidRPr="00661402">
        <w:rPr>
          <w:color w:val="000000" w:themeColor="text1"/>
          <w:spacing w:val="3"/>
          <w:shd w:val="clear" w:color="auto" w:fill="FFFFFF"/>
        </w:rPr>
        <w:t xml:space="preserve">variability in </w:t>
      </w:r>
      <w:r w:rsidR="008D50EB">
        <w:rPr>
          <w:color w:val="000000" w:themeColor="text1"/>
          <w:spacing w:val="3"/>
          <w:shd w:val="clear" w:color="auto" w:fill="FFFFFF"/>
        </w:rPr>
        <w:t xml:space="preserve">the </w:t>
      </w:r>
      <w:r w:rsidR="008D50EB" w:rsidRPr="00661402">
        <w:rPr>
          <w:color w:val="000000" w:themeColor="text1"/>
          <w:spacing w:val="3"/>
          <w:shd w:val="clear" w:color="auto" w:fill="FFFFFF"/>
        </w:rPr>
        <w:t>performance</w:t>
      </w:r>
      <w:r w:rsidR="008D50EB">
        <w:rPr>
          <w:color w:val="000000" w:themeColor="text1"/>
          <w:spacing w:val="3"/>
          <w:shd w:val="clear" w:color="auto" w:fill="FFFFFF"/>
        </w:rPr>
        <w:t xml:space="preserve"> of Mexico’s </w:t>
      </w:r>
      <w:r w:rsidR="00016B66">
        <w:rPr>
          <w:color w:val="000000" w:themeColor="text1"/>
          <w:spacing w:val="3"/>
          <w:shd w:val="clear" w:color="auto" w:fill="FFFFFF"/>
        </w:rPr>
        <w:t>PA</w:t>
      </w:r>
      <w:r w:rsidR="008D50EB" w:rsidRPr="00661402">
        <w:rPr>
          <w:color w:val="000000" w:themeColor="text1"/>
          <w:spacing w:val="3"/>
          <w:shd w:val="clear" w:color="auto" w:fill="FFFFFF"/>
        </w:rPr>
        <w:t xml:space="preserve"> </w:t>
      </w:r>
      <w:r w:rsidR="008D50EB">
        <w:rPr>
          <w:color w:val="000000" w:themeColor="text1"/>
          <w:spacing w:val="3"/>
          <w:shd w:val="clear" w:color="auto" w:fill="FFFFFF"/>
        </w:rPr>
        <w:t xml:space="preserve">network </w:t>
      </w:r>
      <w:r w:rsidR="008D50EB" w:rsidRPr="00661402">
        <w:rPr>
          <w:color w:val="000000" w:themeColor="text1"/>
          <w:spacing w:val="3"/>
          <w:shd w:val="clear" w:color="auto" w:fill="FFFFFF"/>
        </w:rPr>
        <w:fldChar w:fldCharType="begin" w:fldLock="1"/>
      </w:r>
      <w:r w:rsidR="00843401">
        <w:rPr>
          <w:color w:val="000000" w:themeColor="text1"/>
          <w:spacing w:val="3"/>
          <w:shd w:val="clear" w:color="auto" w:fill="FFFFFF"/>
        </w:rPr>
        <w:instrText>ADDIN CSL_CITATION {"citationItems":[{"id":"ITEM-1","itemData":{"DOI":"10.1016/j.gloenvcha.2014.12.004","ISBN":"09593780","ISSN":"09593780","abstract":"Although developing countries have established scores of new protected areas over the past three decades, they often amount to little more than \"paper parks\" that are chronically short of the financial, human, and technical resources needed for effective management. It is not clear whether and how severely under-resourced parks affect deforestation. In principle, they could either stem it by, for example, creating an expectation of future enforcement, or they could spur it by, for example, creating open access regimes. We examine the effect of Mexico's natural protected areas (NPAs) on deforestation from 1993 to 2000, a period when forest clearing was rampant and the vast majority of protected areas had negligible resources or management. We use high-resolution satellite data to measure deforestation and (covariate and propensity score) matching to control for NPAs' nonrandom siting and for spillovers. Our broad finding is that Mexico's paper parks had heterogeneous effects both inside and outside their borders. More specifically, at the national-level, we cannot reject the null hypothesis that NPAs had zero average effect on clearing inside their borders, nor can we reject a similar hypothesis for spillover clearing outside their borders. However, we can detect statistically and economically significant inside- and outside-NPA effects for certain geographic regions. Moreover, these effects have different signs depending on the region. Finally, we find that NPAs with certain characteristics were more effective at stemming deforestation inside their borders, namely, those that were large, new, mixed use, and relatively well-funded. Taken together, these results suggest that paper parks have the potential to either reduce or exacerbate tropical deforestation and highlight the need for further research on the conditions that lead to each outcome.","author":[{"dropping-particle":"","family":"Blackman","given":"Allen","non-dropping-particle":"","parse-names":false,"suffix":""},{"dropping-particle":"","family":"Pfaff","given":"Alexander","non-dropping-particle":"","parse-names":false,"suffix":""},{"dropping-particle":"","family":"Robalino","given":"Juan","non-dropping-particle":"","parse-names":false,"suffix":""}],"container-title":"Global Environmental Change","id":"ITEM-1","issued":{"date-parts":[["2015"]]},"page":"50-61","publisher":"Elsevier Ltd","title":"Paper park performance: Mexico's natural protected areas in the 1990s","type":"article-journal","volume":"31"},"uris":["http://www.mendeley.com/documents/?uuid=a997e4a4-4c14-435a-968e-2d7524d36587"]},{"id":"ITEM-2","itemData":{"abstract":"Frente a los fuertes procesos de cambio derivados de las actividades humanas en los sistemas naturales, las áreas protegidas (AP) se han convertido en el eje principal de la conservación. Sin embargo, se desconoce en la mayoría de los casos si su estableci- miento asegura la representatividad y continuidad de los distintos componentes de la biodiversidad. La evaluación sistemática de la efectividad de las AP se ha desarrollado desde tres diversas perspectivas: la evaluación del diseño, la efectividad del manejo y la integridad ecológica de las AP. Respecto a esta última, existen varios indicadores para determinarla, entre los que se encuentran el estado de conservación, medido en función de los cambios en el uso del suelo y la vegetación (CUSV). En este capítulo, en el contexto del análisis de vacíos y omisiones, se presenta una evaluación de la efectividad de algunas AP de los ámbitos federal, estatal y municipal, para prevenir procesos de CUSV. Se compararon, simultáneamente, las tasas de cambio (1993 y 2002) de la cobertura de vegetación primaria y de superficies antropizadas entre las AP, sus áreas circundantes y las ecorregiones donde se ubican. En la mayor parte de las AP federales y estatales se perdió vegetación primaria y se incrementó la cobertura de superficies transformadas; ello indica que ambos sistemas de AP se encuentran sometidas a una importante presión de CUSV. Los resultados obtenidos en la evalua- ción de la efectividad indican que, en general, más de la mitad de las AP federales y estatales han sido un instrumento efectivo para contener procesos de CUSV, si bien el hecho de que, entre 34 y 43% de las AP federales, y entre 25 y 43% de las estatales, dependiendo del método de análisis, no hayan sido un instrumento efectivo, sugiere que el país enfrenta mayores retos para asegurar la conservación de la biodiversi- dad. Aunque existen restricciones en cuanto a la metodología (excluye el análisis de procesos socioeconómicos y políticos asociados a los de CUSV, entre otros), los resultados constituyen una aportación para la evaluación cuantitativa y sistemática del desempeño del sistema nacional de áreas protegidas en el país, al identificar las AP que requieren una revisión de las estrategias de conservación impulsadas en ellas. Mas 2005 Román-CUesta y martínez-Vilalta 2006 INEGI-Conabio-INE, 2007 Conanp-Co- nabio 2005 Bezaury et al. 2007 (FAO 1996","author":[{"dropping-particle":"","family":"Sánchez-Cordero","given":"Víctor","non-dropping-particle":"","parse-names":false,"suffix":""},{"dropping-particle":"","family":"Figueroa","given":"Fernanda","non-dropping-particle":"","parse-names":false,"suffix":""},{"dropping-particle":"","family":"Illoldi-rangel","given":"Patricia","non-dropping-particle":"","parse-names":false,"suffix":""},{"dropping-particle":"","family":"Linaje","given":"Miguel","non-dropping-particle":"","parse-names":false,"suffix":""}],"container-title":"Planeación para la conservación de la biodiversidad terrestre en México: Retos en un país megadiverso","id":"ITEM-2","issue":"January","issued":{"date-parts":[["2011"]]},"page":"59-86","title":"Efectividad del Sistema de Áreas Protegidas para conservar la vegetación natural","type":"article-journal"},"uris":["http://www.mendeley.com/documents/?uuid=0b0201d8-cf76-4731-941a-b49aea393c42"]},{"id":"ITEM-3","itemData":{"DOI":"10.3390/f8010017","ISSN":"19994907","abstract":"For protected areas (PAs), variation in forest impacts over space-including types of PA-are increasingly well documented, while shifts in impacts over time receive less attention. For Mexico, in the 1990s, PAs effectively were 'paper parks'. Thus, achieving impacts on the forest would require shifts over time in the politics of PA siting and PA implementation. We rigorously analyze the impacts of Mexican PAs on 2000-2005 loss of natural land cover, using matching to reduce location bias caused by typical land-use economics and politics. We find a 3.2% lower loss, on average, due to PAs. Since politics often vary by type of PA, we also show that in Mexico stricter PAs are closer to cities and have greater impact than mixed-use PAs. These shifts in impacts suggest some potential for PAs to conserve forests.","author":[{"dropping-particle":"","family":"Pfaff","given":"Alexander","non-dropping-particle":"","parse-names":false,"suffix":""},{"dropping-particle":"","family":"Santiago-Ávila","given":"Francisco","non-dropping-particle":"","parse-names":false,"suffix":""},{"dropping-particle":"","family":"Joppa","given":"Lucas","non-dropping-particle":"","parse-names":false,"suffix":""}],"container-title":"Forests","id":"ITEM-3","issue":"1","issued":{"date-parts":[["2017"]]},"page":"1-14","title":"Evolving protected-area impacts in Mexico: Political shifts as suggested by impact evaluations","type":"article-journal","volume":"8"},"uris":["http://www.mendeley.com/documents/?uuid=66e44065-e4f0-43cd-af0d-e3d0d39d7618"]},{"id":"ITEM-4","itemData":{"author":[{"dropping-particle":"","family":"Figueroa, Fernanda, Sánchez-Cordero","given":"Víctor","non-dropping-particle":"","parse-names":false,"suffix":""},{"dropping-particle":"","family":"Illoldi-Rangel, Patricia, Linaje","given":"Miguel.","non-dropping-particle":"","parse-names":false,"suffix":""}],"container-title":"Revista Mexicana de Biodiversidad","id":"ITEM-4","issue":"82","issued":{"date-parts":[["2011"]]},"page":"951-963","title":"Evaluación de la efectividad de las áreas protegidas para contener procesos de cambio en el uso del suelo y la vegetación. ¿Un índice es suficiente?","type":"article-journal"},"uris":["http://www.mendeley.com/documents/?uuid=dcaf9fbe-70a4-4d2f-bed7-9ded47cc1b19"]},{"id":"ITEM-5","itemData":{"DOI":"10.1016/j.jeem.2016.11.010","ISSN":"0095-0696","author":[{"dropping-particle":"","family":"Sims","given":"Katharine R E","non-dropping-particle":"","parse-names":false,"suffix":""},{"dropping-particle":"","family":"Alix-Garcia","given":"Jennifer M","non-dropping-particle":"","parse-names":false,"suffix":""}],"container-title":"Journal of Environmental Economics and Management","id":"ITEM-5","issued":{"date-parts":[["2017"]]},"page":"8-28","publisher":"Elsevier Inc.","title":"Parks versus PES: Evaluating direct and incentive-based land conservation in Mexico","type":"article-journal","volume":"86"},"uris":["http://www.mendeley.com/documents/?uuid=382bd6c6-aedc-4520-aac0-405a0b1b4f22"]},{"id":"ITEM-6","itemData":{"DOI":"10.1007/s10531-008-9423-3","author":[{"dropping-particle":"","family":"Figueroa","given":"Fernanda","non-dropping-particle":"","parse-names":false,"suffix":""},{"dropping-</w:instrText>
      </w:r>
      <w:r w:rsidR="00843401" w:rsidRPr="00843401">
        <w:rPr>
          <w:color w:val="000000" w:themeColor="text1"/>
          <w:spacing w:val="3"/>
          <w:shd w:val="clear" w:color="auto" w:fill="FFFFFF"/>
          <w:lang w:val="es-US"/>
        </w:rPr>
        <w:instrText>particle":"","family":"Sanchez-Cordero","given":"Victor","non-dropping-particle":"","parse-names":false,"suffix":""}],"container-title":"Biodiversity and Conservation","id":"ITEM-6","issued":{"date-parts":[["2008"]]},"page":"3223-3240","title":"Effectiveness of natural protected areas to prevent land use and land cover change in Mexico","type":"article-journal","volume":"17"},"uris":["http://www.mendeley.com/documents/?uuid=e25c3bc3-6214-4d12-8cf7-74a020259ead"]}],"mendeley":{"formattedCitation":"(Blackman, Pfaff, &amp; Robalino, 2015; Figueroa, Fernanda, Sánchez-Cordero &amp; Illoldi-Rangel, Patricia, Linaje, 2011; Figueroa &amp; Sanchez-Cordero, 2008; Pfaff, Santiago-Ávila, &amp; Joppa, 2017; Sánchez-Cordero, Figueroa, Illoldi-rangel, &amp; Linaje, 2011; Sims &amp; Alix-Garcia, 2017)","plainTextFormattedCitation":"(Blackman, Pfaff, &amp; Robalino, 2015; Figueroa, Fernanda, Sánchez-Cordero &amp; Illoldi-Rangel, Patricia, Linaje, 2011; Figueroa &amp; Sanchez-Cordero, 2008; Pfaff, Santiago-Ávila, &amp; Joppa, 2017; Sánchez-Cordero, Figueroa, Illoldi-rangel, &amp; Linaje, 2011; Sims &amp; Alix-Garcia, 2017)","previouslyFormattedCitation":"(Blackman, Pfaff, &amp; Robalino, 2015; Figueroa, Fernanda, Sánchez-Cordero &amp; Illoldi-Rangel, Patricia, Linaje, 2011; Figueroa &amp; Sanchez-Cordero, 2008; Pfaff, Santiago-Ávila, &amp; Joppa, 2017; Sánchez-Cordero, Figueroa, Illoldi-rangel, &amp; Linaje, 2011; Sims &amp; Alix-Garcia, 2017)"},"properties":{"noteIndex":0},"schema":"https://github.com/citation-style-language/schema/raw/master/csl-citation.json"}</w:instrText>
      </w:r>
      <w:r w:rsidR="008D50EB" w:rsidRPr="00661402">
        <w:rPr>
          <w:color w:val="000000" w:themeColor="text1"/>
          <w:spacing w:val="3"/>
          <w:shd w:val="clear" w:color="auto" w:fill="FFFFFF"/>
        </w:rPr>
        <w:fldChar w:fldCharType="separate"/>
      </w:r>
      <w:r w:rsidR="002D1C9B" w:rsidRPr="002D1C9B">
        <w:rPr>
          <w:noProof/>
          <w:color w:val="000000" w:themeColor="text1"/>
          <w:spacing w:val="3"/>
          <w:shd w:val="clear" w:color="auto" w:fill="FFFFFF"/>
          <w:lang w:val="es-US"/>
        </w:rPr>
        <w:t>(Blackman, Pfaff, &amp; Robalino, 2015; Figueroa, Fernanda, Sánchez-Cordero &amp; Illoldi-Rangel, Patricia, Linaje, 2011; Figueroa &amp; Sanchez-Cordero, 2008; Pfaff, Santiago-Ávila, &amp; Joppa, 2017; Sánchez-Cordero, Figueroa, Illoldi-rangel, &amp; Linaje, 2011; Sims &amp; Alix-Garcia, 2017)</w:t>
      </w:r>
      <w:r w:rsidR="008D50EB" w:rsidRPr="00661402">
        <w:rPr>
          <w:color w:val="000000" w:themeColor="text1"/>
          <w:spacing w:val="3"/>
          <w:shd w:val="clear" w:color="auto" w:fill="FFFFFF"/>
        </w:rPr>
        <w:fldChar w:fldCharType="end"/>
      </w:r>
      <w:r w:rsidR="008D50EB" w:rsidRPr="00F6492F">
        <w:rPr>
          <w:color w:val="000000" w:themeColor="text1"/>
          <w:lang w:val="es-US"/>
        </w:rPr>
        <w:t xml:space="preserve">. </w:t>
      </w:r>
      <w:r w:rsidR="008D50EB">
        <w:rPr>
          <w:color w:val="000000" w:themeColor="text1"/>
        </w:rPr>
        <w:t>For example</w:t>
      </w:r>
      <w:r w:rsidR="008D50EB" w:rsidRPr="009E1AD3">
        <w:rPr>
          <w:color w:val="000000" w:themeColor="text1"/>
        </w:rPr>
        <w:t xml:space="preserve">, </w:t>
      </w:r>
      <w:r w:rsidR="008D50EB">
        <w:rPr>
          <w:color w:val="000000" w:themeColor="text1"/>
        </w:rPr>
        <w:t xml:space="preserve">when controlling for placement biases, </w:t>
      </w:r>
      <w:r w:rsidR="008D50EB" w:rsidRPr="009E1AD3">
        <w:rPr>
          <w:color w:val="000000" w:themeColor="text1"/>
        </w:rPr>
        <w:t>Blackman et al</w:t>
      </w:r>
      <w:r w:rsidR="008D50EB">
        <w:rPr>
          <w:color w:val="000000" w:themeColor="text1"/>
        </w:rPr>
        <w:t>.</w:t>
      </w:r>
      <w:r w:rsidR="008D50EB" w:rsidRPr="009E1AD3">
        <w:rPr>
          <w:color w:val="000000" w:themeColor="text1"/>
        </w:rPr>
        <w:t xml:space="preserve"> </w:t>
      </w:r>
      <w:r w:rsidR="008D50EB">
        <w:rPr>
          <w:color w:val="000000" w:themeColor="text1"/>
        </w:rPr>
        <w:t>(</w:t>
      </w:r>
      <w:r w:rsidR="008D50EB" w:rsidRPr="009E1AD3">
        <w:rPr>
          <w:color w:val="000000" w:themeColor="text1"/>
        </w:rPr>
        <w:t>2015</w:t>
      </w:r>
      <w:r w:rsidR="008D50EB">
        <w:rPr>
          <w:color w:val="000000" w:themeColor="text1"/>
        </w:rPr>
        <w:t>)</w:t>
      </w:r>
      <w:r w:rsidR="008D50EB" w:rsidRPr="009E1AD3">
        <w:rPr>
          <w:color w:val="000000" w:themeColor="text1"/>
        </w:rPr>
        <w:t xml:space="preserve"> found </w:t>
      </w:r>
      <w:r w:rsidR="00DA20D7">
        <w:rPr>
          <w:color w:val="000000" w:themeColor="text1"/>
        </w:rPr>
        <w:t xml:space="preserve">that </w:t>
      </w:r>
      <w:r w:rsidR="008D50EB">
        <w:rPr>
          <w:color w:val="000000" w:themeColor="text1"/>
        </w:rPr>
        <w:t xml:space="preserve">some </w:t>
      </w:r>
      <w:r w:rsidR="00695FDC">
        <w:rPr>
          <w:color w:val="000000" w:themeColor="text1"/>
        </w:rPr>
        <w:t>PAs</w:t>
      </w:r>
      <w:r w:rsidR="008D50EB">
        <w:rPr>
          <w:color w:val="000000" w:themeColor="text1"/>
        </w:rPr>
        <w:t xml:space="preserve"> experienced more deforestation compared to matched non-protected areas </w:t>
      </w:r>
      <w:r w:rsidR="00C30DC6">
        <w:rPr>
          <w:color w:val="000000" w:themeColor="text1"/>
        </w:rPr>
        <w:t xml:space="preserve">while </w:t>
      </w:r>
      <w:r w:rsidR="008D50EB">
        <w:rPr>
          <w:color w:val="000000" w:themeColor="text1"/>
        </w:rPr>
        <w:t xml:space="preserve">others experienced less, </w:t>
      </w:r>
      <w:r w:rsidR="008D50EB" w:rsidRPr="009E1AD3">
        <w:rPr>
          <w:color w:val="000000" w:themeColor="text1"/>
        </w:rPr>
        <w:t>conclud</w:t>
      </w:r>
      <w:r w:rsidR="008D50EB">
        <w:rPr>
          <w:color w:val="000000" w:themeColor="text1"/>
        </w:rPr>
        <w:t>ing that larger</w:t>
      </w:r>
      <w:r w:rsidR="008D50EB" w:rsidRPr="009E1AD3">
        <w:rPr>
          <w:color w:val="000000" w:themeColor="text1"/>
        </w:rPr>
        <w:t>,</w:t>
      </w:r>
      <w:r w:rsidR="008D50EB">
        <w:rPr>
          <w:color w:val="000000" w:themeColor="text1"/>
        </w:rPr>
        <w:t xml:space="preserve"> newer,</w:t>
      </w:r>
      <w:r w:rsidR="008D50EB" w:rsidRPr="009E1AD3">
        <w:rPr>
          <w:color w:val="000000" w:themeColor="text1"/>
        </w:rPr>
        <w:t xml:space="preserve"> </w:t>
      </w:r>
      <w:r w:rsidR="00DA20D7" w:rsidRPr="009E1AD3">
        <w:rPr>
          <w:color w:val="000000" w:themeColor="text1"/>
        </w:rPr>
        <w:t>mixed</w:t>
      </w:r>
      <w:r w:rsidR="00DA20D7">
        <w:rPr>
          <w:color w:val="000000" w:themeColor="text1"/>
        </w:rPr>
        <w:t>-</w:t>
      </w:r>
      <w:r w:rsidR="008D50EB" w:rsidRPr="009E1AD3">
        <w:rPr>
          <w:color w:val="000000" w:themeColor="text1"/>
        </w:rPr>
        <w:t>use</w:t>
      </w:r>
      <w:r w:rsidR="008D50EB">
        <w:rPr>
          <w:color w:val="000000" w:themeColor="text1"/>
        </w:rPr>
        <w:t xml:space="preserve"> </w:t>
      </w:r>
      <w:r w:rsidR="00695FDC">
        <w:rPr>
          <w:color w:val="000000" w:themeColor="text1"/>
        </w:rPr>
        <w:t>PAs</w:t>
      </w:r>
      <w:r w:rsidR="008D50EB" w:rsidRPr="009E1AD3">
        <w:rPr>
          <w:color w:val="000000" w:themeColor="text1"/>
        </w:rPr>
        <w:t xml:space="preserve"> and </w:t>
      </w:r>
      <w:r w:rsidR="00695FDC">
        <w:rPr>
          <w:color w:val="000000" w:themeColor="text1"/>
        </w:rPr>
        <w:t>PAs</w:t>
      </w:r>
      <w:r w:rsidR="008D50EB">
        <w:rPr>
          <w:color w:val="000000" w:themeColor="text1"/>
        </w:rPr>
        <w:t xml:space="preserve"> with</w:t>
      </w:r>
      <w:r w:rsidR="008D50EB" w:rsidRPr="009E1AD3">
        <w:rPr>
          <w:color w:val="000000" w:themeColor="text1"/>
        </w:rPr>
        <w:t xml:space="preserve"> sufficient fund</w:t>
      </w:r>
      <w:r w:rsidR="008D50EB">
        <w:rPr>
          <w:color w:val="000000" w:themeColor="text1"/>
        </w:rPr>
        <w:t>ing</w:t>
      </w:r>
      <w:r w:rsidR="008D50EB" w:rsidRPr="009E1AD3">
        <w:rPr>
          <w:color w:val="000000" w:themeColor="text1"/>
        </w:rPr>
        <w:t xml:space="preserve"> were more successful at slowing deforestation</w:t>
      </w:r>
      <w:r w:rsidR="008D50EB">
        <w:rPr>
          <w:color w:val="000000" w:themeColor="text1"/>
        </w:rPr>
        <w:t xml:space="preserve">. </w:t>
      </w:r>
      <w:r w:rsidR="008D50EB">
        <w:rPr>
          <w:color w:val="000000" w:themeColor="text1"/>
          <w:spacing w:val="3"/>
          <w:shd w:val="clear" w:color="auto" w:fill="FFFFFF"/>
        </w:rPr>
        <w:t xml:space="preserve">Conversely, Pfaff et al. (2017) found stricter </w:t>
      </w:r>
      <w:r w:rsidR="00695FDC">
        <w:rPr>
          <w:color w:val="000000" w:themeColor="text1"/>
          <w:spacing w:val="3"/>
          <w:shd w:val="clear" w:color="auto" w:fill="FFFFFF"/>
        </w:rPr>
        <w:t>PAs</w:t>
      </w:r>
      <w:r w:rsidR="008D50EB">
        <w:rPr>
          <w:color w:val="000000" w:themeColor="text1"/>
          <w:spacing w:val="3"/>
          <w:shd w:val="clear" w:color="auto" w:fill="FFFFFF"/>
        </w:rPr>
        <w:t xml:space="preserve"> to be more successful at slowing forest loss compared to </w:t>
      </w:r>
      <w:r w:rsidR="00DA20D7">
        <w:rPr>
          <w:color w:val="000000" w:themeColor="text1"/>
          <w:spacing w:val="3"/>
          <w:shd w:val="clear" w:color="auto" w:fill="FFFFFF"/>
        </w:rPr>
        <w:t>mixed-</w:t>
      </w:r>
      <w:r w:rsidR="008D50EB">
        <w:rPr>
          <w:color w:val="000000" w:themeColor="text1"/>
          <w:spacing w:val="3"/>
          <w:shd w:val="clear" w:color="auto" w:fill="FFFFFF"/>
        </w:rPr>
        <w:t xml:space="preserve">use </w:t>
      </w:r>
      <w:r w:rsidR="00695FDC">
        <w:rPr>
          <w:color w:val="000000" w:themeColor="text1"/>
          <w:spacing w:val="3"/>
          <w:shd w:val="clear" w:color="auto" w:fill="FFFFFF"/>
        </w:rPr>
        <w:t>PAs</w:t>
      </w:r>
      <w:r w:rsidR="008D50EB">
        <w:rPr>
          <w:color w:val="000000" w:themeColor="text1"/>
          <w:spacing w:val="3"/>
          <w:shd w:val="clear" w:color="auto" w:fill="FFFFFF"/>
        </w:rPr>
        <w:t xml:space="preserve"> when examining a </w:t>
      </w:r>
      <w:r w:rsidR="00685ED2">
        <w:rPr>
          <w:color w:val="000000" w:themeColor="text1"/>
          <w:spacing w:val="3"/>
          <w:shd w:val="clear" w:color="auto" w:fill="FFFFFF"/>
        </w:rPr>
        <w:t xml:space="preserve">similar </w:t>
      </w:r>
      <w:r w:rsidR="008D50EB">
        <w:rPr>
          <w:color w:val="000000" w:themeColor="text1"/>
          <w:spacing w:val="3"/>
          <w:shd w:val="clear" w:color="auto" w:fill="FFFFFF"/>
        </w:rPr>
        <w:t xml:space="preserve">list of </w:t>
      </w:r>
      <w:r w:rsidR="00695FDC">
        <w:rPr>
          <w:color w:val="000000" w:themeColor="text1"/>
          <w:spacing w:val="3"/>
          <w:shd w:val="clear" w:color="auto" w:fill="FFFFFF"/>
        </w:rPr>
        <w:t>PAs</w:t>
      </w:r>
      <w:r w:rsidR="008D50EB">
        <w:rPr>
          <w:color w:val="000000" w:themeColor="text1"/>
          <w:spacing w:val="3"/>
          <w:shd w:val="clear" w:color="auto" w:fill="FFFFFF"/>
        </w:rPr>
        <w:t xml:space="preserve"> over a </w:t>
      </w:r>
      <w:r w:rsidR="00685ED2">
        <w:rPr>
          <w:color w:val="000000" w:themeColor="text1"/>
          <w:spacing w:val="3"/>
          <w:shd w:val="clear" w:color="auto" w:fill="FFFFFF"/>
        </w:rPr>
        <w:t xml:space="preserve">slightly </w:t>
      </w:r>
      <w:r w:rsidR="008D50EB">
        <w:rPr>
          <w:color w:val="000000" w:themeColor="text1"/>
          <w:spacing w:val="3"/>
          <w:shd w:val="clear" w:color="auto" w:fill="FFFFFF"/>
        </w:rPr>
        <w:t>different time span.</w:t>
      </w:r>
    </w:p>
    <w:p w14:paraId="0EEBD8B8" w14:textId="0FF1E3B9" w:rsidR="009A5848" w:rsidRDefault="007B62F5" w:rsidP="003E53E3">
      <w:pPr>
        <w:ind w:firstLine="720"/>
      </w:pPr>
      <w:r>
        <w:rPr>
          <w:color w:val="000000" w:themeColor="text1"/>
          <w:spacing w:val="3"/>
          <w:shd w:val="clear" w:color="auto" w:fill="FFFFFF"/>
        </w:rPr>
        <w:t xml:space="preserve">Efforts to monitor management effectiveness in Mexico’s </w:t>
      </w:r>
      <w:r w:rsidR="00016B66">
        <w:rPr>
          <w:color w:val="000000" w:themeColor="text1"/>
          <w:spacing w:val="3"/>
          <w:shd w:val="clear" w:color="auto" w:fill="FFFFFF"/>
        </w:rPr>
        <w:t>PA</w:t>
      </w:r>
      <w:r>
        <w:rPr>
          <w:color w:val="000000" w:themeColor="text1"/>
          <w:spacing w:val="3"/>
          <w:shd w:val="clear" w:color="auto" w:fill="FFFFFF"/>
        </w:rPr>
        <w:t xml:space="preserve"> network have been ongoing since 2005 </w:t>
      </w:r>
      <w:r>
        <w:rPr>
          <w:color w:val="000000" w:themeColor="text1"/>
          <w:spacing w:val="3"/>
          <w:shd w:val="clear" w:color="auto" w:fill="FFFFFF"/>
        </w:rPr>
        <w:fldChar w:fldCharType="begin" w:fldLock="1"/>
      </w:r>
      <w:r>
        <w:rPr>
          <w:color w:val="000000" w:themeColor="text1"/>
          <w:spacing w:val="3"/>
          <w:shd w:val="clear" w:color="auto" w:fill="FFFFFF"/>
        </w:rPr>
        <w:instrText>ADDIN CSL_CITATION {"citationItems":[{"id":"ITEM-1","itemData":{"author":[{"dropping-particle":"","family":"Comisión Nacional de Áreas Naturales Protegidas","given":"","non-dropping-particle":"","parse-names":false,"suffix":""}],"id":"ITEM-1","issued":{"date-parts":[["2019"]]},"number-of-pages":"1-24","publisher-place":"México","title":"Documento técnico base del Sistema Permanente de Evaluación e la Efectividad del Manejo de las Áreas Naturales Protegidas Federales","type":"report"},"uris":["http://www.mendeley.com/documents/?uuid=b2717da1-ee7c-48a3-a88f-77da32b43f68"]}],"mendeley":{"formattedCitation":"(Comisión Nacional de Áreas Naturales Protegidas, 2019)","plainTextFormattedCitation":"(Comisión Nacional de Áreas Naturales Protegidas, 2019)","previouslyFormattedCitation":"(Comisión Nacional de Áreas Naturales Protegidas, 2019)"},"properties":{"noteIndex":0},"schema":"https://github.com/citation-style-language/schema/raw/master/csl-citation.json"}</w:instrText>
      </w:r>
      <w:r>
        <w:rPr>
          <w:color w:val="000000" w:themeColor="text1"/>
          <w:spacing w:val="3"/>
          <w:shd w:val="clear" w:color="auto" w:fill="FFFFFF"/>
        </w:rPr>
        <w:fldChar w:fldCharType="separate"/>
      </w:r>
      <w:r w:rsidRPr="00BB2027">
        <w:rPr>
          <w:noProof/>
          <w:color w:val="000000" w:themeColor="text1"/>
          <w:spacing w:val="3"/>
          <w:shd w:val="clear" w:color="auto" w:fill="FFFFFF"/>
        </w:rPr>
        <w:t>(Comisión Nacional de Áreas Naturales Protegidas, 2019)</w:t>
      </w:r>
      <w:r>
        <w:rPr>
          <w:color w:val="000000" w:themeColor="text1"/>
          <w:spacing w:val="3"/>
          <w:shd w:val="clear" w:color="auto" w:fill="FFFFFF"/>
        </w:rPr>
        <w:fldChar w:fldCharType="end"/>
      </w:r>
      <w:r>
        <w:rPr>
          <w:color w:val="000000" w:themeColor="text1"/>
          <w:spacing w:val="3"/>
          <w:shd w:val="clear" w:color="auto" w:fill="FFFFFF"/>
        </w:rPr>
        <w:t>. However, i</w:t>
      </w:r>
      <w:r w:rsidRPr="00D22270">
        <w:rPr>
          <w:color w:val="000000" w:themeColor="text1"/>
          <w:spacing w:val="3"/>
          <w:shd w:val="clear" w:color="auto" w:fill="FFFFFF"/>
        </w:rPr>
        <w:t xml:space="preserve">n 2016, </w:t>
      </w:r>
      <w:r>
        <w:rPr>
          <w:color w:val="000000" w:themeColor="text1"/>
          <w:spacing w:val="3"/>
          <w:shd w:val="clear" w:color="auto" w:fill="FFFFFF"/>
        </w:rPr>
        <w:t>CONANP developed a</w:t>
      </w:r>
      <w:r w:rsidRPr="00D22270">
        <w:rPr>
          <w:color w:val="000000" w:themeColor="text1"/>
          <w:spacing w:val="3"/>
          <w:shd w:val="clear" w:color="auto" w:fill="FFFFFF"/>
        </w:rPr>
        <w:t xml:space="preserve"> new national assessment</w:t>
      </w:r>
      <w:r>
        <w:rPr>
          <w:color w:val="000000" w:themeColor="text1"/>
          <w:spacing w:val="3"/>
          <w:shd w:val="clear" w:color="auto" w:fill="FFFFFF"/>
        </w:rPr>
        <w:t xml:space="preserve"> </w:t>
      </w:r>
      <w:r w:rsidRPr="00D22270">
        <w:rPr>
          <w:color w:val="000000" w:themeColor="text1"/>
          <w:spacing w:val="3"/>
          <w:shd w:val="clear" w:color="auto" w:fill="FFFFFF"/>
        </w:rPr>
        <w:t>(</w:t>
      </w:r>
      <w:r w:rsidRPr="00793131">
        <w:rPr>
          <w:i/>
          <w:iCs/>
          <w:color w:val="000000" w:themeColor="text1"/>
          <w:spacing w:val="3"/>
          <w:shd w:val="clear" w:color="auto" w:fill="FFFFFF"/>
        </w:rPr>
        <w:t>i-efectividad</w:t>
      </w:r>
      <w:r w:rsidRPr="00793131">
        <w:rPr>
          <w:color w:val="000000" w:themeColor="text1"/>
          <w:spacing w:val="3"/>
          <w:shd w:val="clear" w:color="auto" w:fill="FFFFFF"/>
        </w:rPr>
        <w:t xml:space="preserve">, or El </w:t>
      </w:r>
      <w:r w:rsidRPr="00793131">
        <w:t xml:space="preserve">Sistema Permanente de Evaluación de la Efectividad del Manejo de las Áreas Naturales Protegidas </w:t>
      </w:r>
      <w:r w:rsidRPr="00C72119">
        <w:t>Federales de México)</w:t>
      </w:r>
      <w:r w:rsidRPr="00C72119">
        <w:rPr>
          <w:color w:val="000000" w:themeColor="text1"/>
          <w:spacing w:val="3"/>
          <w:shd w:val="clear" w:color="auto" w:fill="FFFFFF"/>
        </w:rPr>
        <w:t xml:space="preserve"> to collect standardized results using indicators from four existing </w:t>
      </w:r>
      <w:r w:rsidR="0000711D" w:rsidRPr="00C72119">
        <w:rPr>
          <w:color w:val="000000" w:themeColor="text1"/>
          <w:spacing w:val="3"/>
          <w:shd w:val="clear" w:color="auto" w:fill="FFFFFF"/>
        </w:rPr>
        <w:t xml:space="preserve">international </w:t>
      </w:r>
      <w:r w:rsidRPr="00C72119">
        <w:rPr>
          <w:color w:val="000000" w:themeColor="text1"/>
          <w:spacing w:val="3"/>
          <w:shd w:val="clear" w:color="auto" w:fill="FFFFFF"/>
        </w:rPr>
        <w:t>PAME evaluation</w:t>
      </w:r>
      <w:r w:rsidR="00932FBE" w:rsidRPr="00C72119">
        <w:rPr>
          <w:color w:val="000000" w:themeColor="text1"/>
          <w:spacing w:val="3"/>
          <w:shd w:val="clear" w:color="auto" w:fill="FFFFFF"/>
        </w:rPr>
        <w:t xml:space="preserve"> frameworks</w:t>
      </w:r>
      <w:r w:rsidRPr="00C72119">
        <w:rPr>
          <w:color w:val="000000" w:themeColor="text1"/>
          <w:spacing w:val="3"/>
          <w:shd w:val="clear" w:color="auto" w:fill="FFFFFF"/>
        </w:rPr>
        <w:t xml:space="preserve">. </w:t>
      </w:r>
      <w:r w:rsidR="004F5978" w:rsidRPr="00C72119">
        <w:t xml:space="preserve">While the role of management effectiveness in </w:t>
      </w:r>
      <w:r w:rsidR="00016B66" w:rsidRPr="00C72119">
        <w:t>PA</w:t>
      </w:r>
      <w:r w:rsidR="004F5978" w:rsidRPr="00C72119">
        <w:t xml:space="preserve"> success</w:t>
      </w:r>
      <w:r w:rsidR="004F5978" w:rsidRPr="004F5978">
        <w:t xml:space="preserve"> has been examined in three marine </w:t>
      </w:r>
      <w:r w:rsidR="00695FDC">
        <w:t>PAs</w:t>
      </w:r>
      <w:r w:rsidR="004F5978" w:rsidRPr="004F5978">
        <w:t xml:space="preserve"> in the Yucat</w:t>
      </w:r>
      <w:r w:rsidR="00F0604D">
        <w:t>a</w:t>
      </w:r>
      <w:r w:rsidR="004F5978" w:rsidRPr="004F5978">
        <w:t>n</w:t>
      </w:r>
      <w:r w:rsidR="00F0604D">
        <w:t xml:space="preserve"> Peninsula</w:t>
      </w:r>
      <w:r w:rsidR="004F5978" w:rsidRPr="004F5978">
        <w:t xml:space="preserve"> </w:t>
      </w:r>
      <w:r w:rsidR="004F5978" w:rsidRPr="004F5978">
        <w:fldChar w:fldCharType="begin" w:fldLock="1"/>
      </w:r>
      <w:r w:rsidR="004E1DE0">
        <w:instrText>ADDIN CSL_CITATION {"citationItems":[{"id":"ITEM-1","itemData":{"DOI":"10.1002/aqc.3323","author":[{"dropping-particle":"","family":"Herrejón","given":"Juan Carlos Robles","non-dropping-particle":"","parse-names":false,"suffix":""},{"dropping-particle":"","family":"Morales-Vela","given":"Benjamín","non-dropping-particle":"","parse-names":false,"suffix":""},{"dropping-particle":"","family":"Ortega-Argueta","given":"Alejandro","non-dropping-particle":"","parse-names":false,"suffix":""},{"dropping-particle":"","family":"Pozo","given":"Carmen","non-dropping-particle":"","parse-names":false,"suffix":""},{"dropping-particle":"","family":"Olivera-Gómez","given":"León David","non-dropping-particle":"","parse-names":false,"suffix":""}],"container-title":"Aquatic Conservation: Marine Freshwater Ecosystems","id":"ITEM-1","issued":{"date-parts":[["2020"]]},"page":"1182-1193","title":"Management effectiveness in marine protected areas for conservation of Antillean manatees on the eastern coast of the Yucatan Peninsula, Mexico","type":"article-journal","volume":"30"},"uris":["http://www.mendeley.com/documents/?uuid=0344eb50-2201-430c-959f-45ac9222cc8f"]}],"mendeley":{"formattedCitation":"(Herrejón, Morales-Vela, Ortega-Argueta, Pozo, &amp; Olivera-Gómez, 2020)","plainTextFormattedCitation":"(Herrejón, Morales-Vela, Ortega-Argueta, Pozo, &amp; Olivera-Gómez, 2020)","previouslyFormattedCitation":"(Herrejón, Morales-Vela, Ortega-Argueta, Pozo, &amp; Olivera-Gómez, 2020)"},"properties":{"noteIndex":0},"schema":"https://github.com/citation-style-language/schema/raw/master/csl-citation.json"}</w:instrText>
      </w:r>
      <w:r w:rsidR="004F5978" w:rsidRPr="004F5978">
        <w:fldChar w:fldCharType="separate"/>
      </w:r>
      <w:r w:rsidR="00EC711B" w:rsidRPr="00EC711B">
        <w:rPr>
          <w:noProof/>
        </w:rPr>
        <w:t>(Herrejón, Morales-Vela, Ortega-Argueta, Pozo, &amp; Olivera-Gómez, 2020)</w:t>
      </w:r>
      <w:r w:rsidR="004F5978" w:rsidRPr="004F5978">
        <w:fldChar w:fldCharType="end"/>
      </w:r>
      <w:r w:rsidR="004F5978" w:rsidRPr="004F5978">
        <w:t xml:space="preserve">, and financial resources </w:t>
      </w:r>
      <w:r w:rsidR="00C30DC6" w:rsidRPr="004F5978">
        <w:t>ha</w:t>
      </w:r>
      <w:r w:rsidR="00C30DC6">
        <w:t>ve</w:t>
      </w:r>
      <w:r w:rsidR="00C30DC6" w:rsidRPr="004F5978">
        <w:t xml:space="preserve"> </w:t>
      </w:r>
      <w:r w:rsidR="004F5978" w:rsidRPr="004F5978">
        <w:t xml:space="preserve">been examined as a driver of outcomes in 56 terrestrial </w:t>
      </w:r>
      <w:r w:rsidR="00695FDC">
        <w:t>PAs</w:t>
      </w:r>
      <w:r w:rsidR="004F5978" w:rsidRPr="004F5978">
        <w:t xml:space="preserve"> across Mexico </w:t>
      </w:r>
      <w:r w:rsidR="004F5978" w:rsidRPr="004F5978">
        <w:fldChar w:fldCharType="begin" w:fldLock="1"/>
      </w:r>
      <w:r w:rsidR="00C62D43">
        <w:instrText>ADDIN CSL_CITATION {"citationItems":[{"id":"ITEM-1","itemData":{"DOI":"10.1016/j.gloenvcha.2014.12.004","ISBN":"09593780","ISSN":"09593780","abstract":"Although developing countries have established scores of new protected areas over the past three decades, they often amount to little more than \"paper parks\" that are chronically short of the financial, human, and technical resources needed for effective management. It is not clear whether and how severely under-resourced parks affect deforestation. In principle, they could either stem it by, for example, creating an expectation of future enforcement, or they could spur it by, for example, creating open access regimes. We examine the effect of Mexico's natural protected areas (NPAs) on deforestation from 1993 to 2000, a period when forest clearing was rampant and the vast majority of protected areas had negligible resources or management. We use high-resolution satellite data to measure deforestation and (covariate and propensity score) matching to control for NPAs' nonrandom siting and for spillovers. Our broad finding is that Mexico's paper parks had heterogeneous effects both inside and outside their borders. More specifically, at the national-level, we cannot reject the null hypothesis that NPAs had zero average effect on clearing inside their borders, nor can we reject a similar hypothesis for spillover clearing outside their borders. However, we can detect statistically and economically significant inside- and outside-NPA effects for certain geographic regions. Moreover, these effects have different signs depending on the region. Finally, we find that NPAs with certain characteristics were more effective at stemming deforestation inside their borders, namely, those that were large, new, mixed use, and relatively well-funded. Taken together, these results suggest that paper parks have the potential to either reduce or exacerbate tropical deforestation and highlight the need for further research on the conditions that lead to each outcome.","author":[{"dropping-particle":"","family":"Blackman","given":"Allen","non-dropping-particle":"","parse-names":false,"suffix":""},{"dropping-particle":"","family":"Pfaff","given":"Alexander","non-dropping-particle":"","parse-names":false,"suffix":""},{"dropping-particle":"","family":"Robalino","given":"Juan","non-dropping-particle":"","parse-names":false,"suffix":""}],"container-title":"Global Environmental Change","id":"ITEM-1","issued":{"date-parts":[["2015"]]},"page":"50-61","publisher":"Elsevier Ltd","title":"Paper park performance: Mexico's natural protected areas in the 1990s","type":"article-journal","volume":"31"},"uris":["http://www.mendeley.com/documents/?uuid=a997e4a4-4c14-435a-968e-2d7524d36587"]}],"mendeley":{"formattedCitation":"(Blackman et al., 2015)","plainTextFormattedCitation":"(Blackman et al., 2015)","previouslyFormattedCitation":"(Blackman et al., 2015)"},"properties":{"noteIndex":0},"schema":"https://github.com/citation-style-language/schema/raw/master/csl-citation.json"}</w:instrText>
      </w:r>
      <w:r w:rsidR="004F5978" w:rsidRPr="004F5978">
        <w:fldChar w:fldCharType="separate"/>
      </w:r>
      <w:r w:rsidR="00C62D43" w:rsidRPr="00C62D43">
        <w:rPr>
          <w:noProof/>
        </w:rPr>
        <w:t>(Blackman et al., 2015)</w:t>
      </w:r>
      <w:r w:rsidR="004F5978" w:rsidRPr="004F5978">
        <w:fldChar w:fldCharType="end"/>
      </w:r>
      <w:r w:rsidR="004F5978" w:rsidRPr="004F5978">
        <w:t xml:space="preserve">, this is the first study to test the influence of </w:t>
      </w:r>
      <w:r w:rsidR="00091F90">
        <w:t>a comprehensive suite of</w:t>
      </w:r>
      <w:r w:rsidR="00091F90" w:rsidRPr="004F5978">
        <w:t xml:space="preserve"> </w:t>
      </w:r>
      <w:r w:rsidR="004F5978" w:rsidRPr="004F5978">
        <w:t xml:space="preserve">management dimensions on </w:t>
      </w:r>
      <w:r w:rsidR="0043705D">
        <w:t xml:space="preserve">conservation outcomes </w:t>
      </w:r>
      <w:r w:rsidR="004F5978" w:rsidRPr="004F5978">
        <w:t>in Mexico</w:t>
      </w:r>
      <w:r w:rsidR="00A12D19">
        <w:t xml:space="preserve"> using the results of CONANP’s recently developed </w:t>
      </w:r>
      <w:r w:rsidR="00A12D19">
        <w:rPr>
          <w:color w:val="000000" w:themeColor="text1"/>
          <w:spacing w:val="3"/>
          <w:shd w:val="clear" w:color="auto" w:fill="FFFFFF"/>
        </w:rPr>
        <w:t>assessment.</w:t>
      </w:r>
      <w:r w:rsidR="00540DF8" w:rsidRPr="00540DF8">
        <w:t xml:space="preserve"> </w:t>
      </w:r>
      <w:r w:rsidR="009A5848">
        <w:t xml:space="preserve">By </w:t>
      </w:r>
      <w:r w:rsidR="009A5848" w:rsidRPr="004F5978">
        <w:t xml:space="preserve">identifying the specific management </w:t>
      </w:r>
      <w:r w:rsidR="009A5848">
        <w:t>factors that have</w:t>
      </w:r>
      <w:r w:rsidR="009A5848" w:rsidRPr="004F5978">
        <w:t xml:space="preserve"> the greatest influence </w:t>
      </w:r>
      <w:r w:rsidR="009A5848">
        <w:t>on</w:t>
      </w:r>
      <w:r w:rsidR="009A5848" w:rsidRPr="004F5978">
        <w:t xml:space="preserve"> conservation outcomes</w:t>
      </w:r>
      <w:r w:rsidR="009A5848">
        <w:t xml:space="preserve">, our results serve to inform </w:t>
      </w:r>
      <w:r w:rsidR="009A5848" w:rsidRPr="004F5978">
        <w:t xml:space="preserve">more efficient </w:t>
      </w:r>
      <w:r w:rsidR="009A5848">
        <w:t xml:space="preserve">investments in </w:t>
      </w:r>
      <w:r w:rsidR="00695FDC">
        <w:t>PAs</w:t>
      </w:r>
      <w:r w:rsidR="009A5848">
        <w:t xml:space="preserve"> </w:t>
      </w:r>
      <w:r w:rsidR="009A5848" w:rsidRPr="004F5978">
        <w:t>to ensure</w:t>
      </w:r>
      <w:r w:rsidR="009A5848">
        <w:t xml:space="preserve"> better</w:t>
      </w:r>
      <w:r w:rsidR="009A5848" w:rsidRPr="004F5978">
        <w:t xml:space="preserve"> protection of global biodiversity</w:t>
      </w:r>
      <w:r w:rsidR="009A5848">
        <w:t>.</w:t>
      </w:r>
    </w:p>
    <w:p w14:paraId="0241F889" w14:textId="77777777" w:rsidR="00D52213" w:rsidRDefault="00D52213" w:rsidP="003E53E3">
      <w:pPr>
        <w:rPr>
          <w:b/>
          <w:bCs/>
        </w:rPr>
      </w:pPr>
      <w:bookmarkStart w:id="3" w:name="_Toc33289894"/>
      <w:bookmarkStart w:id="4" w:name="_Toc29199700"/>
    </w:p>
    <w:p w14:paraId="61D12AF2" w14:textId="751DB701" w:rsidR="008C7F50" w:rsidRPr="00CA33E7" w:rsidRDefault="004705B9" w:rsidP="003E53E3">
      <w:pPr>
        <w:pStyle w:val="ListParagraph"/>
        <w:numPr>
          <w:ilvl w:val="0"/>
          <w:numId w:val="8"/>
        </w:numPr>
        <w:rPr>
          <w:b/>
          <w:bCs/>
        </w:rPr>
      </w:pPr>
      <w:r w:rsidRPr="006E7ECA">
        <w:rPr>
          <w:b/>
          <w:bCs/>
        </w:rPr>
        <w:t>Methods</w:t>
      </w:r>
      <w:bookmarkEnd w:id="3"/>
      <w:r w:rsidRPr="006E7ECA">
        <w:rPr>
          <w:b/>
          <w:bCs/>
        </w:rPr>
        <w:t xml:space="preserve"> </w:t>
      </w:r>
      <w:bookmarkStart w:id="5" w:name="_Toc29199701"/>
      <w:bookmarkStart w:id="6" w:name="_Toc33289895"/>
      <w:bookmarkEnd w:id="4"/>
    </w:p>
    <w:p w14:paraId="50C787C0" w14:textId="09357B02" w:rsidR="00CA33E7" w:rsidRDefault="00DA4EDC" w:rsidP="003E53E3">
      <w:pPr>
        <w:pStyle w:val="ListParagraph"/>
        <w:numPr>
          <w:ilvl w:val="1"/>
          <w:numId w:val="8"/>
        </w:numPr>
        <w:rPr>
          <w:i/>
          <w:iCs/>
        </w:rPr>
      </w:pPr>
      <w:r>
        <w:rPr>
          <w:i/>
          <w:iCs/>
        </w:rPr>
        <w:t xml:space="preserve"> </w:t>
      </w:r>
      <w:r w:rsidR="004705B9" w:rsidRPr="000C57DD">
        <w:rPr>
          <w:i/>
          <w:iCs/>
        </w:rPr>
        <w:t>Data</w:t>
      </w:r>
      <w:bookmarkEnd w:id="5"/>
      <w:r w:rsidR="004705B9" w:rsidRPr="000C57DD">
        <w:rPr>
          <w:i/>
          <w:iCs/>
        </w:rPr>
        <w:t xml:space="preserve"> </w:t>
      </w:r>
      <w:bookmarkEnd w:id="6"/>
    </w:p>
    <w:p w14:paraId="190F4009" w14:textId="42EA8CC2" w:rsidR="00F936A7" w:rsidRPr="00C72119" w:rsidRDefault="00CA33E7" w:rsidP="00F936A7">
      <w:pPr>
        <w:pStyle w:val="CommentText"/>
        <w:spacing w:before="0" w:after="0"/>
        <w:ind w:firstLine="360"/>
        <w:rPr>
          <w:sz w:val="24"/>
          <w:szCs w:val="24"/>
        </w:rPr>
      </w:pPr>
      <w:r w:rsidRPr="00F936A7">
        <w:rPr>
          <w:sz w:val="24"/>
          <w:szCs w:val="24"/>
        </w:rPr>
        <w:t xml:space="preserve">Data extraction was completed using ArcMap 10.7 and data analysis was conducted using R statistical software. </w:t>
      </w:r>
      <w:r w:rsidR="002811BE" w:rsidRPr="00F936A7">
        <w:rPr>
          <w:sz w:val="24"/>
          <w:szCs w:val="24"/>
        </w:rPr>
        <w:t>Similar to Nolte &amp; Agrawal (2012), w</w:t>
      </w:r>
      <w:r w:rsidR="00540DF8" w:rsidRPr="00F936A7">
        <w:rPr>
          <w:sz w:val="24"/>
          <w:szCs w:val="24"/>
        </w:rPr>
        <w:t>e create</w:t>
      </w:r>
      <w:r w:rsidR="005E0A7D" w:rsidRPr="00F936A7">
        <w:rPr>
          <w:sz w:val="24"/>
          <w:szCs w:val="24"/>
        </w:rPr>
        <w:t>d</w:t>
      </w:r>
      <w:r w:rsidR="00540DF8" w:rsidRPr="00F936A7">
        <w:rPr>
          <w:sz w:val="24"/>
          <w:szCs w:val="24"/>
        </w:rPr>
        <w:t xml:space="preserve"> sampling grid cells of 1 km</w:t>
      </w:r>
      <w:r w:rsidR="00540DF8" w:rsidRPr="00F936A7">
        <w:rPr>
          <w:sz w:val="24"/>
          <w:szCs w:val="24"/>
          <w:vertAlign w:val="superscript"/>
        </w:rPr>
        <w:t>2</w:t>
      </w:r>
      <w:r w:rsidR="00540DF8" w:rsidRPr="00F936A7">
        <w:rPr>
          <w:sz w:val="24"/>
          <w:szCs w:val="24"/>
        </w:rPr>
        <w:t xml:space="preserve"> and use</w:t>
      </w:r>
      <w:r w:rsidR="005E0A7D" w:rsidRPr="00F936A7">
        <w:rPr>
          <w:sz w:val="24"/>
          <w:szCs w:val="24"/>
        </w:rPr>
        <w:t>d</w:t>
      </w:r>
      <w:r w:rsidRPr="00F936A7">
        <w:rPr>
          <w:sz w:val="24"/>
          <w:szCs w:val="24"/>
        </w:rPr>
        <w:t xml:space="preserve"> the Global Forest Watch (GFW) forest cover data</w:t>
      </w:r>
      <w:r w:rsidR="00540DF8" w:rsidRPr="00F936A7">
        <w:rPr>
          <w:sz w:val="24"/>
          <w:szCs w:val="24"/>
        </w:rPr>
        <w:t xml:space="preserve"> to </w:t>
      </w:r>
      <w:r w:rsidR="00540DF8" w:rsidRPr="00C72119">
        <w:rPr>
          <w:sz w:val="24"/>
          <w:szCs w:val="24"/>
        </w:rPr>
        <w:t xml:space="preserve">randomly </w:t>
      </w:r>
      <w:r w:rsidRPr="00C72119">
        <w:rPr>
          <w:sz w:val="24"/>
          <w:szCs w:val="24"/>
        </w:rPr>
        <w:t xml:space="preserve">select </w:t>
      </w:r>
      <w:r w:rsidR="00540DF8" w:rsidRPr="00C72119">
        <w:rPr>
          <w:sz w:val="24"/>
          <w:szCs w:val="24"/>
        </w:rPr>
        <w:t>80</w:t>
      </w:r>
      <w:r w:rsidR="0036645A" w:rsidRPr="00C72119">
        <w:rPr>
          <w:sz w:val="24"/>
          <w:szCs w:val="24"/>
        </w:rPr>
        <w:t xml:space="preserve"> </w:t>
      </w:r>
      <w:r w:rsidR="00540DF8" w:rsidRPr="00C72119">
        <w:rPr>
          <w:sz w:val="24"/>
          <w:szCs w:val="24"/>
        </w:rPr>
        <w:t xml:space="preserve">000 </w:t>
      </w:r>
      <w:r w:rsidRPr="00C72119">
        <w:rPr>
          <w:sz w:val="24"/>
          <w:szCs w:val="24"/>
        </w:rPr>
        <w:t>forested grid cells</w:t>
      </w:r>
      <w:r w:rsidR="00540DF8" w:rsidRPr="00C72119">
        <w:rPr>
          <w:sz w:val="24"/>
          <w:szCs w:val="24"/>
        </w:rPr>
        <w:t xml:space="preserve"> </w:t>
      </w:r>
      <w:r w:rsidR="006A6316" w:rsidRPr="00C72119">
        <w:rPr>
          <w:sz w:val="24"/>
          <w:szCs w:val="24"/>
        </w:rPr>
        <w:t xml:space="preserve">across Mexico </w:t>
      </w:r>
      <w:r w:rsidR="00540DF8" w:rsidRPr="00C72119">
        <w:rPr>
          <w:sz w:val="24"/>
          <w:szCs w:val="24"/>
        </w:rPr>
        <w:t>for a computationally feasible final sample</w:t>
      </w:r>
      <w:r w:rsidRPr="00C72119">
        <w:rPr>
          <w:sz w:val="24"/>
          <w:szCs w:val="24"/>
        </w:rPr>
        <w:t xml:space="preserve">. </w:t>
      </w:r>
      <w:r w:rsidR="00F936A7" w:rsidRPr="00C72119">
        <w:rPr>
          <w:sz w:val="24"/>
          <w:szCs w:val="24"/>
        </w:rPr>
        <w:t xml:space="preserve">Due to the distribution of ecoregions across Mexico, many of the grid </w:t>
      </w:r>
      <w:r w:rsidR="00F936A7" w:rsidRPr="00C72119">
        <w:rPr>
          <w:color w:val="000000" w:themeColor="text1"/>
          <w:sz w:val="24"/>
          <w:szCs w:val="24"/>
        </w:rPr>
        <w:t xml:space="preserve">cells </w:t>
      </w:r>
      <w:r w:rsidR="00196143" w:rsidRPr="00C72119">
        <w:rPr>
          <w:color w:val="000000" w:themeColor="text1"/>
          <w:sz w:val="24"/>
          <w:szCs w:val="24"/>
        </w:rPr>
        <w:t xml:space="preserve">included in our analysis </w:t>
      </w:r>
      <w:r w:rsidR="00F936A7" w:rsidRPr="00C72119">
        <w:rPr>
          <w:color w:val="000000" w:themeColor="text1"/>
          <w:sz w:val="24"/>
          <w:szCs w:val="24"/>
        </w:rPr>
        <w:t xml:space="preserve">were concentrated in southern </w:t>
      </w:r>
      <w:r w:rsidR="00F936A7" w:rsidRPr="00C72119">
        <w:rPr>
          <w:sz w:val="24"/>
          <w:szCs w:val="24"/>
        </w:rPr>
        <w:t xml:space="preserve">Mexico. Grid cells in northern Mexico, which is primarily North America </w:t>
      </w:r>
      <w:r w:rsidR="00C31DF3" w:rsidRPr="00C72119">
        <w:rPr>
          <w:sz w:val="24"/>
          <w:szCs w:val="24"/>
        </w:rPr>
        <w:t>D</w:t>
      </w:r>
      <w:r w:rsidR="00F936A7" w:rsidRPr="00C72119">
        <w:rPr>
          <w:sz w:val="24"/>
          <w:szCs w:val="24"/>
        </w:rPr>
        <w:t xml:space="preserve">esert, were more scarce. </w:t>
      </w:r>
    </w:p>
    <w:p w14:paraId="6FAA40B7" w14:textId="2C92990A" w:rsidR="00CA33E7" w:rsidRPr="00C72119" w:rsidRDefault="00540DF8" w:rsidP="003D0F74">
      <w:pPr>
        <w:ind w:firstLine="720"/>
        <w:rPr>
          <w:i/>
          <w:iCs/>
        </w:rPr>
      </w:pPr>
      <w:r w:rsidRPr="00C72119">
        <w:t>The final</w:t>
      </w:r>
      <w:r w:rsidR="00CA33E7" w:rsidRPr="00C72119">
        <w:t xml:space="preserve"> sample </w:t>
      </w:r>
      <w:r w:rsidRPr="00C72119">
        <w:t>consist</w:t>
      </w:r>
      <w:r w:rsidR="005E0A7D" w:rsidRPr="00C72119">
        <w:t>s</w:t>
      </w:r>
      <w:r w:rsidRPr="00C72119">
        <w:t xml:space="preserve"> of </w:t>
      </w:r>
      <w:r w:rsidR="00CA33E7" w:rsidRPr="00C72119">
        <w:t>60</w:t>
      </w:r>
      <w:r w:rsidR="0036645A" w:rsidRPr="00C72119">
        <w:t xml:space="preserve"> </w:t>
      </w:r>
      <w:r w:rsidR="00CA33E7" w:rsidRPr="00C72119">
        <w:t xml:space="preserve">000 cells outside of </w:t>
      </w:r>
      <w:r w:rsidR="00695FDC" w:rsidRPr="00C72119">
        <w:t>PAs</w:t>
      </w:r>
      <w:r w:rsidR="00CA33E7" w:rsidRPr="00C72119">
        <w:t xml:space="preserve"> and 20</w:t>
      </w:r>
      <w:r w:rsidR="0036645A" w:rsidRPr="00C72119">
        <w:t xml:space="preserve"> </w:t>
      </w:r>
      <w:r w:rsidR="00CA33E7" w:rsidRPr="00C72119">
        <w:t xml:space="preserve">000 inside </w:t>
      </w:r>
      <w:r w:rsidR="00695FDC" w:rsidRPr="00C72119">
        <w:t>PAs</w:t>
      </w:r>
      <w:r w:rsidRPr="00C72119">
        <w:t>.</w:t>
      </w:r>
      <w:r w:rsidR="00CA33E7" w:rsidRPr="00C72119">
        <w:t xml:space="preserve"> </w:t>
      </w:r>
      <w:r w:rsidR="00F757A4" w:rsidRPr="00C72119">
        <w:t>Retaining a</w:t>
      </w:r>
      <w:r w:rsidR="004E080F" w:rsidRPr="00C72119">
        <w:t xml:space="preserve"> greater number of cells</w:t>
      </w:r>
      <w:r w:rsidR="00F757A4" w:rsidRPr="00C72119">
        <w:t xml:space="preserve"> outside of </w:t>
      </w:r>
      <w:r w:rsidR="00695FDC" w:rsidRPr="00C72119">
        <w:t>PAs</w:t>
      </w:r>
      <w:r w:rsidR="00C05BD5" w:rsidRPr="00C72119">
        <w:t xml:space="preserve"> increase</w:t>
      </w:r>
      <w:r w:rsidR="00666132" w:rsidRPr="00C72119">
        <w:t>s</w:t>
      </w:r>
      <w:r w:rsidR="00C05BD5" w:rsidRPr="00C72119">
        <w:t xml:space="preserve"> </w:t>
      </w:r>
      <w:r w:rsidR="00666132" w:rsidRPr="00C72119">
        <w:t xml:space="preserve">the </w:t>
      </w:r>
      <w:r w:rsidR="004E080F" w:rsidRPr="00C72119">
        <w:t>probability of strong matches</w:t>
      </w:r>
      <w:r w:rsidR="00196143" w:rsidRPr="00C72119">
        <w:t xml:space="preserve"> with protected cells </w:t>
      </w:r>
      <w:r w:rsidR="00666132" w:rsidRPr="00C72119">
        <w:t>due to a greater variety of control group characteristics</w:t>
      </w:r>
      <w:r w:rsidR="00196143" w:rsidRPr="00C72119">
        <w:t>.</w:t>
      </w:r>
      <w:r w:rsidR="00065A94" w:rsidRPr="00C72119">
        <w:t xml:space="preserve"> </w:t>
      </w:r>
      <w:r w:rsidR="00666132" w:rsidRPr="00C72119">
        <w:t>W</w:t>
      </w:r>
      <w:r w:rsidR="004E080F" w:rsidRPr="00C72119">
        <w:t xml:space="preserve">e found no evidence of spillover effects, </w:t>
      </w:r>
      <w:r w:rsidR="004E080F" w:rsidRPr="00C72119">
        <w:rPr>
          <w:color w:val="000000" w:themeColor="text1"/>
        </w:rPr>
        <w:t xml:space="preserve">or the displacement of deforestation from </w:t>
      </w:r>
      <w:r w:rsidR="00695FDC" w:rsidRPr="00C72119">
        <w:rPr>
          <w:color w:val="000000" w:themeColor="text1"/>
        </w:rPr>
        <w:t>PAs</w:t>
      </w:r>
      <w:r w:rsidR="004E080F" w:rsidRPr="00C72119">
        <w:rPr>
          <w:color w:val="000000" w:themeColor="text1"/>
        </w:rPr>
        <w:t xml:space="preserve"> to adjacent unprotected areas,</w:t>
      </w:r>
      <w:r w:rsidR="004E080F" w:rsidRPr="00C72119">
        <w:t xml:space="preserve"> within a 5km and 10km buffer around each </w:t>
      </w:r>
      <w:r w:rsidR="00016B66" w:rsidRPr="00C72119">
        <w:t>PA</w:t>
      </w:r>
      <w:r w:rsidR="00666132" w:rsidRPr="00C72119">
        <w:t>. T</w:t>
      </w:r>
      <w:r w:rsidR="004E080F" w:rsidRPr="00C72119">
        <w:t>herefore</w:t>
      </w:r>
      <w:r w:rsidR="00F757A4" w:rsidRPr="00C72119">
        <w:t>,</w:t>
      </w:r>
      <w:r w:rsidR="004E080F" w:rsidRPr="00C72119">
        <w:t xml:space="preserve"> </w:t>
      </w:r>
      <w:r w:rsidR="00666132" w:rsidRPr="00C72119">
        <w:t xml:space="preserve">we </w:t>
      </w:r>
      <w:r w:rsidR="004E080F" w:rsidRPr="00C72119">
        <w:t>did not exclude grid cells with</w:t>
      </w:r>
      <w:r w:rsidR="00666132" w:rsidRPr="00C72119">
        <w:t>in</w:t>
      </w:r>
      <w:r w:rsidR="004E080F" w:rsidRPr="00C72119">
        <w:t xml:space="preserve"> a buffer region </w:t>
      </w:r>
      <w:r w:rsidR="00666132" w:rsidRPr="00C72119">
        <w:t xml:space="preserve">of </w:t>
      </w:r>
      <w:r w:rsidR="00695FDC" w:rsidRPr="00C72119">
        <w:t>PAs</w:t>
      </w:r>
      <w:r w:rsidR="00666132" w:rsidRPr="00C72119">
        <w:t xml:space="preserve"> </w:t>
      </w:r>
      <w:r w:rsidR="00065A94" w:rsidRPr="00C72119">
        <w:t xml:space="preserve">in the final sample </w:t>
      </w:r>
      <w:r w:rsidR="00F757A4" w:rsidRPr="00C72119">
        <w:t xml:space="preserve">(Appendix Table </w:t>
      </w:r>
      <w:r w:rsidR="00F32918" w:rsidRPr="00C72119">
        <w:t>1</w:t>
      </w:r>
      <w:r w:rsidR="00F757A4" w:rsidRPr="00C72119">
        <w:t>)</w:t>
      </w:r>
      <w:r w:rsidR="004E080F" w:rsidRPr="00C72119">
        <w:t>.</w:t>
      </w:r>
      <w:r w:rsidR="00596BDD" w:rsidRPr="00C72119">
        <w:t xml:space="preserve"> </w:t>
      </w:r>
    </w:p>
    <w:p w14:paraId="65499C34" w14:textId="70137B37" w:rsidR="009A068E" w:rsidRPr="00C72119" w:rsidRDefault="0049466B" w:rsidP="003E53E3">
      <w:pPr>
        <w:ind w:firstLine="720"/>
      </w:pPr>
      <w:r w:rsidRPr="00C72119">
        <w:t xml:space="preserve">We use </w:t>
      </w:r>
      <w:r w:rsidR="00016B66" w:rsidRPr="00C72119">
        <w:t>PA</w:t>
      </w:r>
      <w:r w:rsidR="00C05256" w:rsidRPr="00C72119">
        <w:t xml:space="preserve"> data </w:t>
      </w:r>
      <w:r w:rsidRPr="00C72119">
        <w:t xml:space="preserve">from the World Database on Protected Areas </w:t>
      </w:r>
      <w:r w:rsidRPr="00C72119">
        <w:fldChar w:fldCharType="begin" w:fldLock="1"/>
      </w:r>
      <w:r w:rsidR="008444C0" w:rsidRPr="00C72119">
        <w:instrText>ADDIN CSL_CITATION {"citationItems":[{"id":"ITEM-1","itemData":{"author":[{"dropping-particle":"","family":"IUCN","given":"","non-dropping-particle":"","parse-names":false,"suffix":""},{"dropping-particle":"","family":"UNEP-WCMC","given":"","non-dropping-particle":"","parse-names":false,"suffix":""}],"id":"ITEM-1","issued":{"date-parts":[["2019"]]},"publisher":"UNEP World Conservation Monitoring Center. Available at: www.protectedplanet.net","publisher-place":"Cambridge (UK)","title":"World Database on Protected Areas (WDPA)","type":"article"},"uris":["http://www.mendeley.com/documents/?uuid=56b1c54b-b59b-4f59-bc50-7242497fecab"]}],"mendeley":{"formattedCitation":"(IUCN &amp; UNEP-WCMC, 2019)","plainTextFormattedCitation":"(IUCN &amp; UNEP-WCMC, 2019)","previouslyFormattedCitation":"(IUCN &amp; UNEP-WCMC, 2019)"},"properties":{"noteIndex":0},"schema":"https://github.com/citation-style-language/schema/raw/master/csl-citation.json"}</w:instrText>
      </w:r>
      <w:r w:rsidRPr="00C72119">
        <w:fldChar w:fldCharType="separate"/>
      </w:r>
      <w:r w:rsidRPr="00C72119">
        <w:rPr>
          <w:noProof/>
        </w:rPr>
        <w:t>(IUCN &amp; UNEP-WCMC, 2019)</w:t>
      </w:r>
      <w:r w:rsidRPr="00C72119">
        <w:fldChar w:fldCharType="end"/>
      </w:r>
      <w:r w:rsidRPr="00C72119">
        <w:t xml:space="preserve"> and the scores of </w:t>
      </w:r>
      <w:r w:rsidR="004705B9" w:rsidRPr="00C72119">
        <w:t>CONANP’s management effectiveness evaluation</w:t>
      </w:r>
      <w:r w:rsidRPr="00C72119">
        <w:t xml:space="preserve"> </w:t>
      </w:r>
      <w:r w:rsidR="004705B9" w:rsidRPr="00C72119">
        <w:t>to test the influence of management effectiveness on performance</w:t>
      </w:r>
      <w:r w:rsidR="00983FE3" w:rsidRPr="00C72119">
        <w:t xml:space="preserve"> in </w:t>
      </w:r>
      <w:r w:rsidR="00A73132" w:rsidRPr="00C72119">
        <w:t xml:space="preserve">all forested </w:t>
      </w:r>
      <w:r w:rsidR="00695FDC" w:rsidRPr="00C72119">
        <w:t>PAs</w:t>
      </w:r>
      <w:r w:rsidR="00A73132" w:rsidRPr="00C72119">
        <w:t xml:space="preserve"> with </w:t>
      </w:r>
      <w:r w:rsidR="00D75C21" w:rsidRPr="00C72119">
        <w:t>scores available</w:t>
      </w:r>
      <w:r w:rsidR="003343FE" w:rsidRPr="00C72119">
        <w:t>. A</w:t>
      </w:r>
      <w:r w:rsidR="00D75C21" w:rsidRPr="00C72119">
        <w:t xml:space="preserve">t the time of </w:t>
      </w:r>
      <w:r w:rsidR="00864BB4" w:rsidRPr="00C72119">
        <w:t>our analysis</w:t>
      </w:r>
      <w:r w:rsidR="003343FE" w:rsidRPr="00C72119">
        <w:t xml:space="preserve">, 76 of the 123 </w:t>
      </w:r>
      <w:r w:rsidR="00695FDC" w:rsidRPr="00C72119">
        <w:t>PAs</w:t>
      </w:r>
      <w:r w:rsidR="003343FE" w:rsidRPr="00C72119">
        <w:t xml:space="preserve"> with existing management plans had </w:t>
      </w:r>
      <w:r w:rsidR="00C31DF3" w:rsidRPr="00C72119">
        <w:t xml:space="preserve">available </w:t>
      </w:r>
      <w:r w:rsidR="003343FE" w:rsidRPr="00C72119">
        <w:t xml:space="preserve">management effectiveness scores. Our sub-sample of the 46 forested </w:t>
      </w:r>
      <w:r w:rsidR="00695FDC" w:rsidRPr="00C72119">
        <w:t>PAs</w:t>
      </w:r>
      <w:r w:rsidR="003343FE" w:rsidRPr="00C72119">
        <w:t xml:space="preserve"> represents 62% of the</w:t>
      </w:r>
      <w:r w:rsidR="00A73132" w:rsidRPr="00C72119">
        <w:t xml:space="preserve"> 76 </w:t>
      </w:r>
      <w:r w:rsidR="00695FDC" w:rsidRPr="00C72119">
        <w:t>PAs</w:t>
      </w:r>
      <w:r w:rsidR="00A73132" w:rsidRPr="00C72119">
        <w:t xml:space="preserve"> with completed evaluations, accounting </w:t>
      </w:r>
      <w:r w:rsidR="00D75C21" w:rsidRPr="00C72119">
        <w:t>for 3</w:t>
      </w:r>
      <w:r w:rsidR="003343FE" w:rsidRPr="00C72119">
        <w:t>7</w:t>
      </w:r>
      <w:r w:rsidR="00D75C21" w:rsidRPr="00C72119">
        <w:t xml:space="preserve">% of all </w:t>
      </w:r>
      <w:r w:rsidR="00695FDC" w:rsidRPr="00C72119">
        <w:t>PAs</w:t>
      </w:r>
      <w:r w:rsidR="00F1341F" w:rsidRPr="00C72119">
        <w:t xml:space="preserve"> with management plans</w:t>
      </w:r>
      <w:r w:rsidR="00983FE3" w:rsidRPr="00C72119">
        <w:t xml:space="preserve"> </w:t>
      </w:r>
      <w:r w:rsidR="00D75C21" w:rsidRPr="00C72119">
        <w:t>in</w:t>
      </w:r>
      <w:r w:rsidR="00983FE3" w:rsidRPr="00C72119">
        <w:t xml:space="preserve"> Mexico (Figure </w:t>
      </w:r>
      <w:r w:rsidR="005556EB" w:rsidRPr="00C72119">
        <w:t>1</w:t>
      </w:r>
      <w:r w:rsidR="00A73D7F" w:rsidRPr="00C72119">
        <w:t>,</w:t>
      </w:r>
      <w:r w:rsidR="00983FE3" w:rsidRPr="00C72119">
        <w:t xml:space="preserve"> full list included in </w:t>
      </w:r>
      <w:r w:rsidR="00375989" w:rsidRPr="00C72119">
        <w:rPr>
          <w:color w:val="000000" w:themeColor="text1"/>
        </w:rPr>
        <w:t>Appendix</w:t>
      </w:r>
      <w:r w:rsidR="00983FE3" w:rsidRPr="00C72119">
        <w:rPr>
          <w:color w:val="000000" w:themeColor="text1"/>
        </w:rPr>
        <w:t xml:space="preserve"> Table </w:t>
      </w:r>
      <w:r w:rsidR="00F32918" w:rsidRPr="00C72119">
        <w:rPr>
          <w:color w:val="000000" w:themeColor="text1"/>
        </w:rPr>
        <w:t>2</w:t>
      </w:r>
      <w:r w:rsidR="00983FE3" w:rsidRPr="00C72119">
        <w:rPr>
          <w:color w:val="000000" w:themeColor="text1"/>
        </w:rPr>
        <w:t>)</w:t>
      </w:r>
      <w:r w:rsidR="004705B9" w:rsidRPr="00C72119">
        <w:t xml:space="preserve">. </w:t>
      </w:r>
    </w:p>
    <w:p w14:paraId="2D2B4C3B" w14:textId="1ED4D059" w:rsidR="00654681" w:rsidRDefault="00E97B10" w:rsidP="003E53E3">
      <w:pPr>
        <w:ind w:firstLine="720"/>
      </w:pPr>
      <w:r w:rsidRPr="00C72119">
        <w:t>The management effectiveness evaluation</w:t>
      </w:r>
      <w:r w:rsidR="00AC4AAC" w:rsidRPr="00C72119">
        <w:t xml:space="preserve">, </w:t>
      </w:r>
      <w:r w:rsidR="00AC4AAC" w:rsidRPr="00C72119">
        <w:rPr>
          <w:color w:val="000000" w:themeColor="text1"/>
        </w:rPr>
        <w:t>like many of the PAME tools,</w:t>
      </w:r>
      <w:r w:rsidRPr="00C72119">
        <w:t xml:space="preserve"> </w:t>
      </w:r>
      <w:r w:rsidR="00AC4AAC" w:rsidRPr="00C72119">
        <w:t>is</w:t>
      </w:r>
      <w:r w:rsidR="00AC4AAC">
        <w:t xml:space="preserve"> </w:t>
      </w:r>
      <w:r w:rsidR="009B62FB">
        <w:t xml:space="preserve">a </w:t>
      </w:r>
      <w:r w:rsidRPr="00B466B4">
        <w:t>self-</w:t>
      </w:r>
      <w:r w:rsidR="00C30DC6">
        <w:t>administered</w:t>
      </w:r>
      <w:r w:rsidR="00C30DC6" w:rsidRPr="00B466B4">
        <w:t xml:space="preserve"> </w:t>
      </w:r>
      <w:r w:rsidRPr="00B466B4">
        <w:t>survey</w:t>
      </w:r>
      <w:r w:rsidR="00AC4AAC">
        <w:t xml:space="preserve"> </w:t>
      </w:r>
      <w:r w:rsidR="00AC4AAC">
        <w:rPr>
          <w:color w:val="000000" w:themeColor="text1"/>
        </w:rPr>
        <w:t xml:space="preserve">and responses are provided </w:t>
      </w:r>
      <w:r w:rsidRPr="00B466B4">
        <w:t>by</w:t>
      </w:r>
      <w:r w:rsidR="00483BFF" w:rsidRPr="00B466B4">
        <w:t xml:space="preserve"> </w:t>
      </w:r>
      <w:r w:rsidR="007E2454" w:rsidRPr="00B466B4">
        <w:t xml:space="preserve">management </w:t>
      </w:r>
      <w:r w:rsidR="00483BFF" w:rsidRPr="00B466B4">
        <w:t>personnel</w:t>
      </w:r>
      <w:r w:rsidR="00AC4AAC">
        <w:t xml:space="preserve">. </w:t>
      </w:r>
      <w:r w:rsidR="00654681">
        <w:t>It c</w:t>
      </w:r>
      <w:r w:rsidR="00654681" w:rsidRPr="00B466B4">
        <w:t>onsists of 48 indicators</w:t>
      </w:r>
      <w:r w:rsidR="00654681">
        <w:t xml:space="preserve"> </w:t>
      </w:r>
      <w:r w:rsidR="00654681" w:rsidRPr="00B466B4">
        <w:t>organized into five management categories</w:t>
      </w:r>
      <w:r w:rsidR="00654681">
        <w:t>,</w:t>
      </w:r>
      <w:r w:rsidR="00654681" w:rsidRPr="00B466B4">
        <w:t xml:space="preserve"> including context and planning, </w:t>
      </w:r>
      <w:r w:rsidR="000342F7">
        <w:t>administration and finance</w:t>
      </w:r>
      <w:r w:rsidR="00654681" w:rsidRPr="00411D97">
        <w:t>, use and benefits, governance and social participation, and management quality</w:t>
      </w:r>
      <w:r w:rsidR="00AD2CE7">
        <w:t>, each category with a score on a scale from 0-100</w:t>
      </w:r>
      <w:r w:rsidR="00654681">
        <w:t xml:space="preserve"> (</w:t>
      </w:r>
      <w:r w:rsidR="001A38FC">
        <w:t>Table 1</w:t>
      </w:r>
      <w:r w:rsidR="00654681">
        <w:t>)</w:t>
      </w:r>
      <w:r w:rsidR="00654681" w:rsidRPr="00411D97">
        <w:t xml:space="preserve">. </w:t>
      </w:r>
      <w:r w:rsidR="00797DC4">
        <w:t xml:space="preserve">We use scores from a one-time response </w:t>
      </w:r>
      <w:r w:rsidR="00483BFF" w:rsidRPr="00B466B4">
        <w:t>in</w:t>
      </w:r>
      <w:r w:rsidRPr="00B466B4">
        <w:t xml:space="preserve"> 201</w:t>
      </w:r>
      <w:r w:rsidR="00B466B4" w:rsidRPr="00B466B4">
        <w:t>7</w:t>
      </w:r>
      <w:r w:rsidR="00983FE3">
        <w:t>.</w:t>
      </w:r>
      <w:r w:rsidR="00744C73">
        <w:t xml:space="preserve"> </w:t>
      </w:r>
    </w:p>
    <w:p w14:paraId="393DBE42" w14:textId="77777777" w:rsidR="00AE4727" w:rsidRDefault="00AE4727" w:rsidP="00AE4727">
      <w:pPr>
        <w:jc w:val="center"/>
        <w:rPr>
          <w:i/>
          <w:iCs/>
        </w:rPr>
      </w:pPr>
    </w:p>
    <w:p w14:paraId="713C006A" w14:textId="77777777" w:rsidR="008200D8" w:rsidRPr="00C61474" w:rsidRDefault="008200D8" w:rsidP="008200D8">
      <w:pPr>
        <w:pStyle w:val="Caption"/>
        <w:keepNext/>
        <w:spacing w:after="120" w:line="240" w:lineRule="auto"/>
        <w:rPr>
          <w:b w:val="0"/>
          <w:bCs w:val="0"/>
          <w:color w:val="000000" w:themeColor="text1"/>
          <w:sz w:val="24"/>
          <w:szCs w:val="24"/>
        </w:rPr>
      </w:pPr>
      <w:r w:rsidRPr="00C61474">
        <w:rPr>
          <w:b w:val="0"/>
          <w:bCs w:val="0"/>
          <w:color w:val="000000" w:themeColor="text1"/>
          <w:sz w:val="24"/>
          <w:szCs w:val="24"/>
        </w:rPr>
        <w:t xml:space="preserve">Table </w:t>
      </w:r>
      <w:r w:rsidRPr="00C61474">
        <w:rPr>
          <w:b w:val="0"/>
          <w:bCs w:val="0"/>
          <w:color w:val="000000" w:themeColor="text1"/>
          <w:sz w:val="24"/>
          <w:szCs w:val="24"/>
        </w:rPr>
        <w:fldChar w:fldCharType="begin"/>
      </w:r>
      <w:r w:rsidRPr="00C61474">
        <w:rPr>
          <w:b w:val="0"/>
          <w:bCs w:val="0"/>
          <w:color w:val="000000" w:themeColor="text1"/>
          <w:sz w:val="24"/>
          <w:szCs w:val="24"/>
        </w:rPr>
        <w:instrText xml:space="preserve"> SEQ Table \* ARABIC </w:instrText>
      </w:r>
      <w:r w:rsidRPr="00C61474">
        <w:rPr>
          <w:b w:val="0"/>
          <w:bCs w:val="0"/>
          <w:color w:val="000000" w:themeColor="text1"/>
          <w:sz w:val="24"/>
          <w:szCs w:val="24"/>
        </w:rPr>
        <w:fldChar w:fldCharType="separate"/>
      </w:r>
      <w:r w:rsidRPr="00C61474">
        <w:rPr>
          <w:b w:val="0"/>
          <w:bCs w:val="0"/>
          <w:noProof/>
          <w:color w:val="000000" w:themeColor="text1"/>
          <w:sz w:val="24"/>
          <w:szCs w:val="24"/>
        </w:rPr>
        <w:t>1</w:t>
      </w:r>
      <w:r w:rsidRPr="00C61474">
        <w:rPr>
          <w:b w:val="0"/>
          <w:bCs w:val="0"/>
          <w:color w:val="000000" w:themeColor="text1"/>
          <w:sz w:val="24"/>
          <w:szCs w:val="24"/>
        </w:rPr>
        <w:fldChar w:fldCharType="end"/>
      </w:r>
      <w:r w:rsidRPr="00C61474">
        <w:rPr>
          <w:b w:val="0"/>
          <w:bCs w:val="0"/>
          <w:color w:val="000000" w:themeColor="text1"/>
          <w:sz w:val="24"/>
          <w:szCs w:val="24"/>
        </w:rPr>
        <w:t xml:space="preserve">: Examples of indicators in the five management categories listed in CONANP's </w:t>
      </w:r>
      <w:r>
        <w:rPr>
          <w:b w:val="0"/>
          <w:bCs w:val="0"/>
          <w:color w:val="000000" w:themeColor="text1"/>
          <w:sz w:val="24"/>
          <w:szCs w:val="24"/>
        </w:rPr>
        <w:t>m</w:t>
      </w:r>
      <w:r w:rsidRPr="00C61474">
        <w:rPr>
          <w:b w:val="0"/>
          <w:bCs w:val="0"/>
          <w:color w:val="000000" w:themeColor="text1"/>
          <w:sz w:val="24"/>
          <w:szCs w:val="24"/>
        </w:rPr>
        <w:t xml:space="preserve">anagement </w:t>
      </w:r>
      <w:r>
        <w:rPr>
          <w:b w:val="0"/>
          <w:bCs w:val="0"/>
          <w:color w:val="000000" w:themeColor="text1"/>
          <w:sz w:val="24"/>
          <w:szCs w:val="24"/>
        </w:rPr>
        <w:t>e</w:t>
      </w:r>
      <w:r w:rsidRPr="00C61474">
        <w:rPr>
          <w:b w:val="0"/>
          <w:bCs w:val="0"/>
          <w:color w:val="000000" w:themeColor="text1"/>
          <w:sz w:val="24"/>
          <w:szCs w:val="24"/>
        </w:rPr>
        <w:t xml:space="preserve">ffectiveness </w:t>
      </w:r>
      <w:r>
        <w:rPr>
          <w:b w:val="0"/>
          <w:bCs w:val="0"/>
          <w:color w:val="000000" w:themeColor="text1"/>
          <w:sz w:val="24"/>
          <w:szCs w:val="24"/>
        </w:rPr>
        <w:t>e</w:t>
      </w:r>
      <w:r w:rsidRPr="00C61474">
        <w:rPr>
          <w:b w:val="0"/>
          <w:bCs w:val="0"/>
          <w:color w:val="000000" w:themeColor="text1"/>
          <w:sz w:val="24"/>
          <w:szCs w:val="24"/>
        </w:rPr>
        <w:t>valuation</w:t>
      </w:r>
      <w:r>
        <w:rPr>
          <w:b w:val="0"/>
          <w:bCs w:val="0"/>
          <w:color w:val="000000" w:themeColor="text1"/>
          <w:sz w:val="24"/>
          <w:szCs w:val="24"/>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20"/>
        <w:gridCol w:w="5930"/>
      </w:tblGrid>
      <w:tr w:rsidR="008200D8" w:rsidRPr="00EC520B" w14:paraId="4F4D3086" w14:textId="77777777" w:rsidTr="007C6BA1">
        <w:tc>
          <w:tcPr>
            <w:tcW w:w="3420" w:type="dxa"/>
            <w:tcBorders>
              <w:top w:val="single" w:sz="12" w:space="0" w:color="auto"/>
              <w:bottom w:val="single" w:sz="12" w:space="0" w:color="auto"/>
            </w:tcBorders>
          </w:tcPr>
          <w:p w14:paraId="25E8C56A" w14:textId="77777777" w:rsidR="008200D8" w:rsidRPr="00EC520B" w:rsidRDefault="008200D8" w:rsidP="007C6BA1">
            <w:pPr>
              <w:spacing w:before="40" w:after="40"/>
              <w:rPr>
                <w:b/>
                <w:bCs/>
                <w:sz w:val="22"/>
                <w:szCs w:val="22"/>
              </w:rPr>
            </w:pPr>
            <w:r w:rsidRPr="00EC520B">
              <w:rPr>
                <w:b/>
                <w:bCs/>
                <w:sz w:val="22"/>
                <w:szCs w:val="22"/>
              </w:rPr>
              <w:t>Category</w:t>
            </w:r>
          </w:p>
        </w:tc>
        <w:tc>
          <w:tcPr>
            <w:tcW w:w="5930" w:type="dxa"/>
            <w:tcBorders>
              <w:top w:val="single" w:sz="12" w:space="0" w:color="auto"/>
              <w:bottom w:val="single" w:sz="12" w:space="0" w:color="auto"/>
            </w:tcBorders>
          </w:tcPr>
          <w:p w14:paraId="6DEA445A" w14:textId="77777777" w:rsidR="008200D8" w:rsidRPr="00EC520B" w:rsidRDefault="008200D8" w:rsidP="007C6BA1">
            <w:pPr>
              <w:spacing w:before="40" w:after="40"/>
              <w:rPr>
                <w:b/>
                <w:bCs/>
                <w:sz w:val="22"/>
                <w:szCs w:val="22"/>
              </w:rPr>
            </w:pPr>
            <w:r w:rsidRPr="00EC520B">
              <w:rPr>
                <w:b/>
                <w:bCs/>
                <w:sz w:val="22"/>
                <w:szCs w:val="22"/>
              </w:rPr>
              <w:t>Indicator Examples</w:t>
            </w:r>
          </w:p>
        </w:tc>
      </w:tr>
      <w:tr w:rsidR="008200D8" w:rsidRPr="00EC520B" w14:paraId="128422DD" w14:textId="77777777" w:rsidTr="007C6BA1">
        <w:tc>
          <w:tcPr>
            <w:tcW w:w="3420" w:type="dxa"/>
            <w:tcBorders>
              <w:top w:val="single" w:sz="12" w:space="0" w:color="auto"/>
              <w:bottom w:val="single" w:sz="2" w:space="0" w:color="auto"/>
            </w:tcBorders>
          </w:tcPr>
          <w:p w14:paraId="5F4B5A05" w14:textId="77777777" w:rsidR="008200D8" w:rsidRPr="00EC520B" w:rsidRDefault="008200D8" w:rsidP="007C6BA1">
            <w:pPr>
              <w:spacing w:before="40" w:after="40"/>
              <w:rPr>
                <w:i/>
                <w:iCs/>
                <w:sz w:val="22"/>
                <w:szCs w:val="22"/>
              </w:rPr>
            </w:pPr>
            <w:r w:rsidRPr="00EC520B">
              <w:rPr>
                <w:i/>
                <w:iCs/>
                <w:sz w:val="22"/>
                <w:szCs w:val="22"/>
              </w:rPr>
              <w:t xml:space="preserve">Context and Planning </w:t>
            </w:r>
          </w:p>
        </w:tc>
        <w:tc>
          <w:tcPr>
            <w:tcW w:w="5930" w:type="dxa"/>
            <w:tcBorders>
              <w:top w:val="single" w:sz="12" w:space="0" w:color="auto"/>
              <w:bottom w:val="single" w:sz="2" w:space="0" w:color="auto"/>
            </w:tcBorders>
          </w:tcPr>
          <w:p w14:paraId="68C96DBF" w14:textId="77777777" w:rsidR="008200D8" w:rsidRPr="00EC520B" w:rsidRDefault="008200D8" w:rsidP="007C6BA1">
            <w:pPr>
              <w:spacing w:before="40" w:after="40"/>
              <w:rPr>
                <w:sz w:val="22"/>
                <w:szCs w:val="22"/>
              </w:rPr>
            </w:pPr>
            <w:r w:rsidRPr="00EC520B">
              <w:rPr>
                <w:sz w:val="22"/>
                <w:szCs w:val="22"/>
              </w:rPr>
              <w:t>Existence of a management plan, work plan, monitoring and evaluation plan, documentation of natural and cultural resources</w:t>
            </w:r>
          </w:p>
        </w:tc>
      </w:tr>
      <w:tr w:rsidR="008200D8" w:rsidRPr="00EC520B" w14:paraId="7AFA73D2" w14:textId="77777777" w:rsidTr="007C6BA1">
        <w:tc>
          <w:tcPr>
            <w:tcW w:w="3420" w:type="dxa"/>
            <w:tcBorders>
              <w:top w:val="single" w:sz="2" w:space="0" w:color="auto"/>
              <w:bottom w:val="single" w:sz="2" w:space="0" w:color="auto"/>
            </w:tcBorders>
          </w:tcPr>
          <w:p w14:paraId="723A3007" w14:textId="77777777" w:rsidR="008200D8" w:rsidRPr="003B5C2F" w:rsidRDefault="008200D8" w:rsidP="007C6BA1">
            <w:pPr>
              <w:spacing w:before="40" w:after="40"/>
              <w:rPr>
                <w:i/>
                <w:iCs/>
                <w:sz w:val="22"/>
                <w:szCs w:val="22"/>
              </w:rPr>
            </w:pPr>
            <w:r w:rsidRPr="003B5C2F">
              <w:rPr>
                <w:i/>
                <w:iCs/>
                <w:sz w:val="22"/>
                <w:szCs w:val="22"/>
              </w:rPr>
              <w:t xml:space="preserve">Administration and Finance </w:t>
            </w:r>
          </w:p>
        </w:tc>
        <w:tc>
          <w:tcPr>
            <w:tcW w:w="5930" w:type="dxa"/>
            <w:tcBorders>
              <w:top w:val="single" w:sz="2" w:space="0" w:color="auto"/>
              <w:bottom w:val="single" w:sz="2" w:space="0" w:color="auto"/>
            </w:tcBorders>
          </w:tcPr>
          <w:p w14:paraId="3D518224" w14:textId="77777777" w:rsidR="008200D8" w:rsidRPr="00EC520B" w:rsidRDefault="008200D8" w:rsidP="007C6BA1">
            <w:pPr>
              <w:spacing w:before="40" w:after="40"/>
              <w:rPr>
                <w:sz w:val="22"/>
                <w:szCs w:val="22"/>
              </w:rPr>
            </w:pPr>
            <w:r w:rsidRPr="00EC520B">
              <w:rPr>
                <w:sz w:val="22"/>
                <w:szCs w:val="22"/>
              </w:rPr>
              <w:t xml:space="preserve">Sufficient </w:t>
            </w:r>
            <w:r>
              <w:rPr>
                <w:sz w:val="22"/>
                <w:szCs w:val="22"/>
              </w:rPr>
              <w:t>financial resources</w:t>
            </w:r>
            <w:r w:rsidRPr="00EC520B">
              <w:rPr>
                <w:sz w:val="22"/>
                <w:szCs w:val="22"/>
              </w:rPr>
              <w:t xml:space="preserve">, human capacity, appropriate equipment </w:t>
            </w:r>
          </w:p>
        </w:tc>
      </w:tr>
      <w:tr w:rsidR="008200D8" w:rsidRPr="00EC520B" w14:paraId="38FAA238" w14:textId="77777777" w:rsidTr="007C6BA1">
        <w:tc>
          <w:tcPr>
            <w:tcW w:w="3420" w:type="dxa"/>
            <w:tcBorders>
              <w:top w:val="single" w:sz="2" w:space="0" w:color="auto"/>
              <w:bottom w:val="single" w:sz="2" w:space="0" w:color="auto"/>
            </w:tcBorders>
          </w:tcPr>
          <w:p w14:paraId="753A29D6" w14:textId="77777777" w:rsidR="008200D8" w:rsidRPr="00EC520B" w:rsidRDefault="008200D8" w:rsidP="007C6BA1">
            <w:pPr>
              <w:spacing w:before="40" w:after="40"/>
              <w:rPr>
                <w:i/>
                <w:iCs/>
                <w:sz w:val="22"/>
                <w:szCs w:val="22"/>
              </w:rPr>
            </w:pPr>
            <w:r w:rsidRPr="00EC520B">
              <w:rPr>
                <w:i/>
                <w:iCs/>
                <w:sz w:val="22"/>
                <w:szCs w:val="22"/>
              </w:rPr>
              <w:t xml:space="preserve">Use and Benefits </w:t>
            </w:r>
          </w:p>
        </w:tc>
        <w:tc>
          <w:tcPr>
            <w:tcW w:w="5930" w:type="dxa"/>
            <w:tcBorders>
              <w:top w:val="single" w:sz="2" w:space="0" w:color="auto"/>
              <w:bottom w:val="single" w:sz="2" w:space="0" w:color="auto"/>
            </w:tcBorders>
          </w:tcPr>
          <w:p w14:paraId="5363DBF8" w14:textId="77777777" w:rsidR="008200D8" w:rsidRPr="00EC520B" w:rsidRDefault="008200D8" w:rsidP="007C6BA1">
            <w:pPr>
              <w:spacing w:before="40" w:after="40"/>
              <w:rPr>
                <w:sz w:val="22"/>
                <w:szCs w:val="22"/>
              </w:rPr>
            </w:pPr>
            <w:r w:rsidRPr="00EC520B">
              <w:rPr>
                <w:sz w:val="22"/>
                <w:szCs w:val="22"/>
              </w:rPr>
              <w:t>Economic benefits, sustainable use or production within the boundary, appropriate infrastructure for use and visitation</w:t>
            </w:r>
          </w:p>
        </w:tc>
      </w:tr>
      <w:tr w:rsidR="008200D8" w:rsidRPr="00EC520B" w14:paraId="25A9BBA3" w14:textId="77777777" w:rsidTr="007C6BA1">
        <w:tc>
          <w:tcPr>
            <w:tcW w:w="3420" w:type="dxa"/>
            <w:tcBorders>
              <w:top w:val="single" w:sz="2" w:space="0" w:color="auto"/>
              <w:bottom w:val="single" w:sz="2" w:space="0" w:color="auto"/>
            </w:tcBorders>
          </w:tcPr>
          <w:p w14:paraId="022E121E" w14:textId="77777777" w:rsidR="008200D8" w:rsidRPr="00EC520B" w:rsidRDefault="008200D8" w:rsidP="007C6BA1">
            <w:pPr>
              <w:spacing w:before="40" w:after="40"/>
              <w:rPr>
                <w:i/>
                <w:iCs/>
                <w:sz w:val="22"/>
                <w:szCs w:val="22"/>
              </w:rPr>
            </w:pPr>
            <w:r w:rsidRPr="00EC520B">
              <w:rPr>
                <w:i/>
                <w:iCs/>
                <w:sz w:val="22"/>
                <w:szCs w:val="22"/>
              </w:rPr>
              <w:t>Governance and Social Participation</w:t>
            </w:r>
          </w:p>
        </w:tc>
        <w:tc>
          <w:tcPr>
            <w:tcW w:w="5930" w:type="dxa"/>
            <w:tcBorders>
              <w:top w:val="single" w:sz="2" w:space="0" w:color="auto"/>
              <w:bottom w:val="single" w:sz="2" w:space="0" w:color="auto"/>
            </w:tcBorders>
          </w:tcPr>
          <w:p w14:paraId="3C79BF39" w14:textId="77777777" w:rsidR="008200D8" w:rsidRPr="00EC520B" w:rsidRDefault="008200D8" w:rsidP="007C6BA1">
            <w:pPr>
              <w:spacing w:before="40" w:after="40"/>
              <w:rPr>
                <w:sz w:val="22"/>
                <w:szCs w:val="22"/>
              </w:rPr>
            </w:pPr>
            <w:r w:rsidRPr="00EC520B">
              <w:rPr>
                <w:sz w:val="22"/>
                <w:szCs w:val="22"/>
              </w:rPr>
              <w:t xml:space="preserve">Recognition and respect of rights of all stakeholders, participation from local communities and neighboring </w:t>
            </w:r>
            <w:r>
              <w:rPr>
                <w:sz w:val="22"/>
                <w:szCs w:val="22"/>
              </w:rPr>
              <w:t xml:space="preserve">resource </w:t>
            </w:r>
            <w:r w:rsidRPr="00EC520B">
              <w:rPr>
                <w:sz w:val="22"/>
                <w:szCs w:val="22"/>
              </w:rPr>
              <w:t xml:space="preserve">users, education and outreach programs  </w:t>
            </w:r>
          </w:p>
        </w:tc>
      </w:tr>
      <w:tr w:rsidR="008200D8" w:rsidRPr="00EC520B" w14:paraId="70D2AD9A" w14:textId="77777777" w:rsidTr="007C6BA1">
        <w:tc>
          <w:tcPr>
            <w:tcW w:w="3420" w:type="dxa"/>
            <w:tcBorders>
              <w:top w:val="single" w:sz="2" w:space="0" w:color="auto"/>
              <w:bottom w:val="single" w:sz="2" w:space="0" w:color="auto"/>
            </w:tcBorders>
          </w:tcPr>
          <w:p w14:paraId="7B902318" w14:textId="77777777" w:rsidR="008200D8" w:rsidRPr="00EC520B" w:rsidRDefault="008200D8" w:rsidP="007C6BA1">
            <w:pPr>
              <w:spacing w:before="40" w:after="40"/>
              <w:rPr>
                <w:i/>
                <w:iCs/>
                <w:sz w:val="22"/>
                <w:szCs w:val="22"/>
              </w:rPr>
            </w:pPr>
            <w:r w:rsidRPr="00EC520B">
              <w:rPr>
                <w:i/>
                <w:iCs/>
                <w:sz w:val="22"/>
                <w:szCs w:val="22"/>
              </w:rPr>
              <w:t xml:space="preserve">Management Quality </w:t>
            </w:r>
          </w:p>
        </w:tc>
        <w:tc>
          <w:tcPr>
            <w:tcW w:w="5930" w:type="dxa"/>
            <w:tcBorders>
              <w:top w:val="single" w:sz="2" w:space="0" w:color="auto"/>
              <w:bottom w:val="single" w:sz="2" w:space="0" w:color="auto"/>
            </w:tcBorders>
          </w:tcPr>
          <w:p w14:paraId="639F497A" w14:textId="77777777" w:rsidR="008200D8" w:rsidRPr="00EC520B" w:rsidRDefault="008200D8" w:rsidP="007C6BA1">
            <w:pPr>
              <w:spacing w:before="40" w:after="40"/>
              <w:rPr>
                <w:sz w:val="22"/>
                <w:szCs w:val="22"/>
              </w:rPr>
            </w:pPr>
            <w:r w:rsidRPr="00EC520B">
              <w:rPr>
                <w:sz w:val="22"/>
                <w:szCs w:val="22"/>
              </w:rPr>
              <w:t xml:space="preserve">Area is managed to objectives, sufficient information </w:t>
            </w:r>
            <w:r>
              <w:rPr>
                <w:sz w:val="22"/>
                <w:szCs w:val="22"/>
              </w:rPr>
              <w:t xml:space="preserve">and </w:t>
            </w:r>
            <w:r w:rsidRPr="00EC520B">
              <w:rPr>
                <w:sz w:val="22"/>
                <w:szCs w:val="22"/>
              </w:rPr>
              <w:t xml:space="preserve">active management strategies are used for threats or endemic species </w:t>
            </w:r>
          </w:p>
        </w:tc>
      </w:tr>
    </w:tbl>
    <w:p w14:paraId="62476A9A" w14:textId="46EE92A2" w:rsidR="00AE4727" w:rsidRDefault="00AE4727" w:rsidP="008200D8">
      <w:pPr>
        <w:rPr>
          <w:i/>
          <w:iCs/>
        </w:rPr>
      </w:pPr>
    </w:p>
    <w:p w14:paraId="484E7246" w14:textId="77777777" w:rsidR="008200D8" w:rsidRDefault="008200D8" w:rsidP="008200D8">
      <w:pPr>
        <w:keepNext/>
      </w:pPr>
      <w:r>
        <w:rPr>
          <w:noProof/>
        </w:rPr>
        <w:drawing>
          <wp:inline distT="0" distB="0" distL="0" distR="0" wp14:anchorId="2A0EC547" wp14:editId="371D2ED0">
            <wp:extent cx="5910606" cy="3904790"/>
            <wp:effectExtent l="0" t="0" r="0" b="0"/>
            <wp:docPr id="1" name="Picture 1"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Map&#10;&#10;Description automatically generated"/>
                    <pic:cNvPicPr/>
                  </pic:nvPicPr>
                  <pic:blipFill rotWithShape="1">
                    <a:blip r:embed="rId10">
                      <a:extLst>
                        <a:ext uri="{28A0092B-C50C-407E-A947-70E740481C1C}">
                          <a14:useLocalDpi xmlns:a14="http://schemas.microsoft.com/office/drawing/2010/main" val="0"/>
                        </a:ext>
                      </a:extLst>
                    </a:blip>
                    <a:srcRect l="3310" t="4181" r="2871" b="15611"/>
                    <a:stretch/>
                  </pic:blipFill>
                  <pic:spPr bwMode="auto">
                    <a:xfrm>
                      <a:off x="0" y="0"/>
                      <a:ext cx="5920193" cy="3911123"/>
                    </a:xfrm>
                    <a:prstGeom prst="rect">
                      <a:avLst/>
                    </a:prstGeom>
                    <a:ln>
                      <a:noFill/>
                    </a:ln>
                    <a:extLst>
                      <a:ext uri="{53640926-AAD7-44D8-BBD7-CCE9431645EC}">
                        <a14:shadowObscured xmlns:a14="http://schemas.microsoft.com/office/drawing/2010/main"/>
                      </a:ext>
                    </a:extLst>
                  </pic:spPr>
                </pic:pic>
              </a:graphicData>
            </a:graphic>
          </wp:inline>
        </w:drawing>
      </w:r>
    </w:p>
    <w:p w14:paraId="0482D414" w14:textId="77777777" w:rsidR="008200D8" w:rsidRPr="00497308" w:rsidRDefault="008200D8" w:rsidP="008200D8">
      <w:pPr>
        <w:rPr>
          <w:color w:val="202124"/>
          <w:sz w:val="20"/>
          <w:szCs w:val="20"/>
          <w:shd w:val="clear" w:color="auto" w:fill="FFFFFF"/>
        </w:rPr>
      </w:pPr>
      <w:r w:rsidRPr="00497308">
        <w:rPr>
          <w:color w:val="000000" w:themeColor="text1"/>
          <w:sz w:val="20"/>
          <w:szCs w:val="20"/>
        </w:rPr>
        <w:t xml:space="preserve">Figure </w:t>
      </w:r>
      <w:r w:rsidRPr="00497308">
        <w:rPr>
          <w:color w:val="000000" w:themeColor="text1"/>
          <w:sz w:val="20"/>
          <w:szCs w:val="20"/>
        </w:rPr>
        <w:fldChar w:fldCharType="begin"/>
      </w:r>
      <w:r w:rsidRPr="00497308">
        <w:rPr>
          <w:color w:val="000000" w:themeColor="text1"/>
          <w:sz w:val="20"/>
          <w:szCs w:val="20"/>
        </w:rPr>
        <w:instrText xml:space="preserve"> SEQ Figure \* ARABIC </w:instrText>
      </w:r>
      <w:r w:rsidRPr="00497308">
        <w:rPr>
          <w:color w:val="000000" w:themeColor="text1"/>
          <w:sz w:val="20"/>
          <w:szCs w:val="20"/>
        </w:rPr>
        <w:fldChar w:fldCharType="separate"/>
      </w:r>
      <w:r w:rsidRPr="00497308">
        <w:rPr>
          <w:noProof/>
          <w:color w:val="000000" w:themeColor="text1"/>
          <w:sz w:val="20"/>
          <w:szCs w:val="20"/>
        </w:rPr>
        <w:t>1</w:t>
      </w:r>
      <w:r w:rsidRPr="00497308">
        <w:rPr>
          <w:color w:val="000000" w:themeColor="text1"/>
          <w:sz w:val="20"/>
          <w:szCs w:val="20"/>
        </w:rPr>
        <w:fldChar w:fldCharType="end"/>
      </w:r>
      <w:r w:rsidRPr="00497308">
        <w:rPr>
          <w:color w:val="000000" w:themeColor="text1"/>
          <w:sz w:val="20"/>
          <w:szCs w:val="20"/>
        </w:rPr>
        <w:t xml:space="preserve">: Map of the 46 protected areas included in the analysis. Management effectiveness subgroup were split at the median (i.e., high management effectiveness score </w:t>
      </w:r>
      <w:r w:rsidRPr="00497308">
        <w:rPr>
          <w:color w:val="202124"/>
          <w:sz w:val="20"/>
          <w:szCs w:val="20"/>
          <w:shd w:val="clear" w:color="auto" w:fill="FFFFFF"/>
        </w:rPr>
        <w:t xml:space="preserve"> ≥ 74 and low management </w:t>
      </w:r>
      <w:r w:rsidRPr="00497308">
        <w:rPr>
          <w:sz w:val="20"/>
          <w:szCs w:val="20"/>
        </w:rPr>
        <w:t xml:space="preserve">effectiveness </w:t>
      </w:r>
      <w:r w:rsidRPr="00497308">
        <w:rPr>
          <w:color w:val="202124"/>
          <w:sz w:val="20"/>
          <w:szCs w:val="20"/>
          <w:shd w:val="clear" w:color="auto" w:fill="FFFFFF"/>
        </w:rPr>
        <w:t xml:space="preserve">score &lt; 74). </w:t>
      </w:r>
    </w:p>
    <w:p w14:paraId="6B45F3A6" w14:textId="2EFE0BD4" w:rsidR="00006FBA" w:rsidRPr="008200D8" w:rsidRDefault="00006FBA" w:rsidP="008200D8">
      <w:pPr>
        <w:rPr>
          <w:i/>
          <w:iCs/>
          <w:color w:val="000000" w:themeColor="text1"/>
        </w:rPr>
      </w:pPr>
    </w:p>
    <w:p w14:paraId="04591170" w14:textId="1AF7CF64" w:rsidR="002B7731" w:rsidRPr="00C72119" w:rsidRDefault="009B79D0" w:rsidP="003E53E3">
      <w:pPr>
        <w:ind w:firstLine="720"/>
        <w:rPr>
          <w:color w:val="000000" w:themeColor="text1"/>
        </w:rPr>
      </w:pPr>
      <w:r>
        <w:rPr>
          <w:color w:val="000000" w:themeColor="text1"/>
        </w:rPr>
        <w:t>For the outcome variable, w</w:t>
      </w:r>
      <w:r w:rsidR="00B1351C">
        <w:rPr>
          <w:color w:val="000000" w:themeColor="text1"/>
        </w:rPr>
        <w:t>e use</w:t>
      </w:r>
      <w:r w:rsidR="00936C73">
        <w:rPr>
          <w:color w:val="000000" w:themeColor="text1"/>
        </w:rPr>
        <w:t xml:space="preserve"> data on </w:t>
      </w:r>
      <w:r w:rsidR="00B702B7">
        <w:rPr>
          <w:color w:val="000000" w:themeColor="text1"/>
        </w:rPr>
        <w:t xml:space="preserve">annual </w:t>
      </w:r>
      <w:r w:rsidR="00936C73">
        <w:rPr>
          <w:color w:val="000000" w:themeColor="text1"/>
        </w:rPr>
        <w:t xml:space="preserve">forest cover </w:t>
      </w:r>
      <w:r w:rsidR="00B702B7">
        <w:rPr>
          <w:color w:val="000000" w:themeColor="text1"/>
        </w:rPr>
        <w:t>loss</w:t>
      </w:r>
      <w:r w:rsidR="00936C73">
        <w:rPr>
          <w:color w:val="000000" w:themeColor="text1"/>
        </w:rPr>
        <w:t xml:space="preserve"> from</w:t>
      </w:r>
      <w:r w:rsidR="00B1351C">
        <w:rPr>
          <w:color w:val="000000" w:themeColor="text1"/>
        </w:rPr>
        <w:t xml:space="preserve"> Global Forest Watch </w:t>
      </w:r>
      <w:r w:rsidR="002A7668">
        <w:rPr>
          <w:color w:val="000000" w:themeColor="text1"/>
        </w:rPr>
        <w:t>(GFW)</w:t>
      </w:r>
      <w:r>
        <w:rPr>
          <w:color w:val="000000" w:themeColor="text1"/>
        </w:rPr>
        <w:t>,</w:t>
      </w:r>
      <w:r w:rsidR="002A7668">
        <w:rPr>
          <w:color w:val="000000" w:themeColor="text1"/>
        </w:rPr>
        <w:t xml:space="preserve"> </w:t>
      </w:r>
      <w:r w:rsidR="00053172">
        <w:rPr>
          <w:color w:val="000000" w:themeColor="text1"/>
        </w:rPr>
        <w:t xml:space="preserve">the most comprehensive </w:t>
      </w:r>
      <w:r>
        <w:rPr>
          <w:color w:val="000000" w:themeColor="text1"/>
        </w:rPr>
        <w:t>high-</w:t>
      </w:r>
      <w:r w:rsidR="00053172">
        <w:rPr>
          <w:color w:val="000000" w:themeColor="text1"/>
        </w:rPr>
        <w:t xml:space="preserve">resolution data </w:t>
      </w:r>
      <w:r w:rsidR="00077880">
        <w:rPr>
          <w:color w:val="000000" w:themeColor="text1"/>
        </w:rPr>
        <w:t xml:space="preserve">available </w:t>
      </w:r>
      <w:r>
        <w:rPr>
          <w:color w:val="000000" w:themeColor="text1"/>
        </w:rPr>
        <w:t>on</w:t>
      </w:r>
      <w:r w:rsidR="00053172">
        <w:rPr>
          <w:color w:val="000000" w:themeColor="text1"/>
        </w:rPr>
        <w:t xml:space="preserve"> </w:t>
      </w:r>
      <w:r w:rsidR="00077880">
        <w:rPr>
          <w:color w:val="000000" w:themeColor="text1"/>
        </w:rPr>
        <w:t xml:space="preserve">global </w:t>
      </w:r>
      <w:r w:rsidR="00053172">
        <w:rPr>
          <w:color w:val="000000" w:themeColor="text1"/>
        </w:rPr>
        <w:t>forest cover</w:t>
      </w:r>
      <w:r>
        <w:rPr>
          <w:color w:val="000000" w:themeColor="text1"/>
        </w:rPr>
        <w:t xml:space="preserve"> </w:t>
      </w:r>
      <w:r w:rsidR="00053172">
        <w:rPr>
          <w:color w:val="000000" w:themeColor="text1"/>
        </w:rPr>
        <w:fldChar w:fldCharType="begin" w:fldLock="1"/>
      </w:r>
      <w:r w:rsidR="00053172">
        <w:rPr>
          <w:color w:val="000000" w:themeColor="text1"/>
        </w:rPr>
        <w:instrText>ADDIN CSL_CITATION {"citationItems":[{"id":"ITEM-1","itemData":{"DOI":"10.1126/science.1244693","ISSN":"0036-8075, 1095-9203","abstract":"Landsat data reveals details of forest losses and gains across the globe on an annual basis from 2000 to 2012.\nLandsat data reveals details of forest losses and gains across the globe on an annual basis from 2000 to 2012.","author":[{"dropping-particle":"","family":"Hansen","given":"M. C.","non-dropping-particle":"","parse-names":false,"suffix":""},{"dropping-particle":"V.","family":"Potapov","given":"P.","non-dropping-particle":"","parse-names":false,"suffix":""},{"dropping-particle":"","family":"Moore","given":"R.","non-dropping-particle":"","parse-names":false,"suffix":""},{"dropping-particle":"","family":"Hancher","given":"M.","non-dropping-particle":"","parse-names":false,"suffix":""},{"dropping-particle":"","family":"Turubanova","given":"S. A.","non-dropping-particle":"","parse-names":false,"suffix":""},{"dropping-particle":"","family":"Tyukavina","given":"A.","non-dropping-particle":"","parse-names":false,"suffix":""},{"dropping-particle":"","family":"Thau","given":"D.","non-dropping-particle":"","parse-names":false,"suffix":""},{"dropping-particle":"V.","family":"Stehman","given":"S.","non-dropping-particle":"","parse-names":false,"suffix":""},{"dropping-particle":"","family":"Goetz","given":"S. J.","non-dropping-particle":"","parse-names":false,"suffix":""},{"dropping-particle":"","family":"Loveland","given":"T. R.","non-dropping-particle":"","parse-names":false,"suffix":""},{"dropping-particle":"","family":"Kommareddy","given":"A.","non-dropping-particle":"","parse-names":false,"suffix":""},{"dropping-particle":"","family":"Egorov","given":"A.","non-dropping-particle":"","parse-names":false,"suffix":""},{"dropping-particle":"","family":"Chini","given":"L.","non-dropping-particle":"","parse-names":false,"suffix":""},{"dropping-particle":"","family":"Justice","given":"C. O.","non-dropping-particle":"","parse-names":false,"suffix":""},{"dropping-particle":"","family":"Townshend","given":"J. R. G.","non-dropping-particle":"","parse-names":false,"suffix":""}],"container-title":"Science","id":"ITEM-1","issue":"6160","issued":{"date-parts":[["2013","11"]]},"language":"en","page":"850-853","title":"High-Resolution Global Maps of 21st-Century Forest Cover Change","type":"article-journal","volume":"342"},"uris":["http://www.mendeley.com/documents/?uuid=5193e1bc-fce0-454c-90e5-968bf12d8151"]}],"mendeley":{"formattedCitation":"(Hansen et al., 2013)","plainTextFormattedCitation":"(Hansen et al., 2013)","previouslyFormattedCitation":"(Hansen et al., 2013)"},"properties":{"noteIndex":0},"schema":"https://github.com/citation-style-language/schema/raw/master/csl-citation.json"}</w:instrText>
      </w:r>
      <w:r w:rsidR="00053172">
        <w:rPr>
          <w:color w:val="000000" w:themeColor="text1"/>
        </w:rPr>
        <w:fldChar w:fldCharType="separate"/>
      </w:r>
      <w:r w:rsidR="00053172" w:rsidRPr="00F74544">
        <w:rPr>
          <w:noProof/>
          <w:color w:val="000000" w:themeColor="text1"/>
        </w:rPr>
        <w:t>(Hansen et al., 2013)</w:t>
      </w:r>
      <w:r w:rsidR="00053172">
        <w:rPr>
          <w:color w:val="000000" w:themeColor="text1"/>
        </w:rPr>
        <w:fldChar w:fldCharType="end"/>
      </w:r>
      <w:r w:rsidR="00053172">
        <w:rPr>
          <w:color w:val="000000" w:themeColor="text1"/>
        </w:rPr>
        <w:t>. We</w:t>
      </w:r>
      <w:r w:rsidR="00B1351C">
        <w:rPr>
          <w:color w:val="000000" w:themeColor="text1"/>
        </w:rPr>
        <w:t xml:space="preserve"> </w:t>
      </w:r>
      <w:r w:rsidR="00077880">
        <w:rPr>
          <w:color w:val="000000" w:themeColor="text1"/>
        </w:rPr>
        <w:t xml:space="preserve">define </w:t>
      </w:r>
      <w:r w:rsidR="00016B66">
        <w:rPr>
          <w:color w:val="000000" w:themeColor="text1"/>
        </w:rPr>
        <w:t>PA</w:t>
      </w:r>
      <w:r w:rsidR="00B1351C">
        <w:rPr>
          <w:color w:val="000000" w:themeColor="text1"/>
        </w:rPr>
        <w:t xml:space="preserve"> </w:t>
      </w:r>
      <w:r w:rsidR="00B1351C" w:rsidRPr="00C72119">
        <w:rPr>
          <w:color w:val="000000" w:themeColor="text1"/>
        </w:rPr>
        <w:t>performance</w:t>
      </w:r>
      <w:r w:rsidR="00053172" w:rsidRPr="00C72119">
        <w:rPr>
          <w:color w:val="000000" w:themeColor="text1"/>
        </w:rPr>
        <w:t xml:space="preserve"> as</w:t>
      </w:r>
      <w:r w:rsidR="005D0225" w:rsidRPr="00C72119">
        <w:rPr>
          <w:color w:val="000000" w:themeColor="text1"/>
        </w:rPr>
        <w:t xml:space="preserve"> </w:t>
      </w:r>
      <w:r w:rsidR="007C3F51" w:rsidRPr="00C72119">
        <w:rPr>
          <w:color w:val="000000" w:themeColor="text1"/>
        </w:rPr>
        <w:t xml:space="preserve">forest loss </w:t>
      </w:r>
      <w:r w:rsidR="007D31CC" w:rsidRPr="00C72119">
        <w:rPr>
          <w:color w:val="000000" w:themeColor="text1"/>
        </w:rPr>
        <w:t>between</w:t>
      </w:r>
      <w:r w:rsidR="007C3F51" w:rsidRPr="00C72119">
        <w:rPr>
          <w:color w:val="000000" w:themeColor="text1"/>
        </w:rPr>
        <w:t xml:space="preserve"> </w:t>
      </w:r>
      <w:r w:rsidR="005D0225" w:rsidRPr="00C72119">
        <w:rPr>
          <w:color w:val="000000" w:themeColor="text1"/>
        </w:rPr>
        <w:t>201</w:t>
      </w:r>
      <w:r w:rsidR="00116305" w:rsidRPr="00C72119">
        <w:rPr>
          <w:color w:val="000000" w:themeColor="text1"/>
        </w:rPr>
        <w:t>7</w:t>
      </w:r>
      <w:r w:rsidR="001A329F" w:rsidRPr="00C72119">
        <w:rPr>
          <w:color w:val="000000" w:themeColor="text1"/>
        </w:rPr>
        <w:t>-201</w:t>
      </w:r>
      <w:r w:rsidR="00116305" w:rsidRPr="00C72119">
        <w:rPr>
          <w:color w:val="000000" w:themeColor="text1"/>
        </w:rPr>
        <w:t>9</w:t>
      </w:r>
      <w:r w:rsidR="00077880" w:rsidRPr="00C72119">
        <w:rPr>
          <w:color w:val="000000" w:themeColor="text1"/>
        </w:rPr>
        <w:t>, a</w:t>
      </w:r>
      <w:r w:rsidRPr="00C72119">
        <w:rPr>
          <w:color w:val="000000" w:themeColor="text1"/>
        </w:rPr>
        <w:t>ssum</w:t>
      </w:r>
      <w:r w:rsidR="00077880" w:rsidRPr="00C72119">
        <w:rPr>
          <w:color w:val="000000" w:themeColor="text1"/>
        </w:rPr>
        <w:t>ing</w:t>
      </w:r>
      <w:r w:rsidR="00697CD4" w:rsidRPr="00C72119">
        <w:rPr>
          <w:color w:val="000000" w:themeColor="text1"/>
        </w:rPr>
        <w:t xml:space="preserve"> that management </w:t>
      </w:r>
      <w:r w:rsidRPr="00C72119">
        <w:rPr>
          <w:color w:val="000000" w:themeColor="text1"/>
        </w:rPr>
        <w:t xml:space="preserve">effectiveness </w:t>
      </w:r>
      <w:r w:rsidR="00697CD4" w:rsidRPr="00C72119">
        <w:rPr>
          <w:color w:val="000000" w:themeColor="text1"/>
        </w:rPr>
        <w:t xml:space="preserve">did not change </w:t>
      </w:r>
      <w:r w:rsidR="009F0BBA" w:rsidRPr="00C72119">
        <w:rPr>
          <w:color w:val="000000" w:themeColor="text1"/>
        </w:rPr>
        <w:t xml:space="preserve">significantly </w:t>
      </w:r>
      <w:r w:rsidR="00697CD4" w:rsidRPr="00C72119">
        <w:rPr>
          <w:color w:val="000000" w:themeColor="text1"/>
        </w:rPr>
        <w:t xml:space="preserve">in the two years </w:t>
      </w:r>
      <w:r w:rsidR="00C55F75" w:rsidRPr="00C72119">
        <w:rPr>
          <w:color w:val="000000" w:themeColor="text1"/>
        </w:rPr>
        <w:t>after</w:t>
      </w:r>
      <w:r w:rsidR="001E1847" w:rsidRPr="00C72119">
        <w:rPr>
          <w:color w:val="000000" w:themeColor="text1"/>
        </w:rPr>
        <w:t xml:space="preserve"> the </w:t>
      </w:r>
      <w:r w:rsidR="00077880" w:rsidRPr="00C72119">
        <w:rPr>
          <w:color w:val="000000" w:themeColor="text1"/>
        </w:rPr>
        <w:t xml:space="preserve">CONANP </w:t>
      </w:r>
      <w:r w:rsidR="00697CD4" w:rsidRPr="00C72119">
        <w:rPr>
          <w:color w:val="000000" w:themeColor="text1"/>
        </w:rPr>
        <w:t xml:space="preserve">assessment </w:t>
      </w:r>
      <w:r w:rsidR="00C55F75" w:rsidRPr="00C72119">
        <w:rPr>
          <w:color w:val="000000" w:themeColor="text1"/>
        </w:rPr>
        <w:t>was</w:t>
      </w:r>
      <w:r w:rsidR="00697CD4" w:rsidRPr="00C72119">
        <w:rPr>
          <w:color w:val="000000" w:themeColor="text1"/>
        </w:rPr>
        <w:t xml:space="preserve"> conducted. </w:t>
      </w:r>
      <w:r w:rsidR="00550B61" w:rsidRPr="00C72119">
        <w:rPr>
          <w:color w:val="000000" w:themeColor="text1"/>
        </w:rPr>
        <w:t xml:space="preserve">Additionally, we recognize that changes in forest cover </w:t>
      </w:r>
      <w:r w:rsidR="00AB754A" w:rsidRPr="00C72119">
        <w:rPr>
          <w:color w:val="000000" w:themeColor="text1"/>
        </w:rPr>
        <w:t xml:space="preserve">from </w:t>
      </w:r>
      <w:r w:rsidR="00550B61" w:rsidRPr="00C72119">
        <w:rPr>
          <w:color w:val="000000" w:themeColor="text1"/>
        </w:rPr>
        <w:t xml:space="preserve">2017-2019 may </w:t>
      </w:r>
      <w:r w:rsidR="00EA6308" w:rsidRPr="00C72119">
        <w:rPr>
          <w:color w:val="000000" w:themeColor="text1"/>
        </w:rPr>
        <w:t xml:space="preserve">also </w:t>
      </w:r>
      <w:r w:rsidR="00550B61" w:rsidRPr="00C72119">
        <w:rPr>
          <w:color w:val="000000" w:themeColor="text1"/>
        </w:rPr>
        <w:t xml:space="preserve">be due to management </w:t>
      </w:r>
      <w:r w:rsidR="00864BB4" w:rsidRPr="00C72119">
        <w:rPr>
          <w:color w:val="000000" w:themeColor="text1"/>
        </w:rPr>
        <w:t xml:space="preserve">characteristics </w:t>
      </w:r>
      <w:r w:rsidR="00550B61" w:rsidRPr="00C72119">
        <w:rPr>
          <w:color w:val="000000" w:themeColor="text1"/>
        </w:rPr>
        <w:t>that predate 2017, for which we have no reliable data to test.</w:t>
      </w:r>
    </w:p>
    <w:p w14:paraId="6D7D17CD" w14:textId="2444EBBB" w:rsidR="00905C85" w:rsidRPr="005F6A4D" w:rsidRDefault="00864BB4" w:rsidP="003E53E3">
      <w:pPr>
        <w:ind w:firstLine="720"/>
        <w:rPr>
          <w:color w:val="000000" w:themeColor="text1"/>
        </w:rPr>
      </w:pPr>
      <w:r w:rsidRPr="00C72119">
        <w:t>W</w:t>
      </w:r>
      <w:r w:rsidR="006D0448" w:rsidRPr="00C72119">
        <w:t xml:space="preserve">e include socio-economic, ecological and climatological variables in our analysis to control for confounding </w:t>
      </w:r>
      <w:r w:rsidR="001D6DCC" w:rsidRPr="00C72119">
        <w:t>factors</w:t>
      </w:r>
      <w:r w:rsidRPr="00C72119">
        <w:t xml:space="preserve">, similar to prior </w:t>
      </w:r>
      <w:r w:rsidR="00016B66" w:rsidRPr="00C72119">
        <w:t>PA</w:t>
      </w:r>
      <w:r w:rsidRPr="00C72119">
        <w:t xml:space="preserve"> evaluations (e.g., </w:t>
      </w:r>
      <w:r w:rsidRPr="00C72119">
        <w:fldChar w:fldCharType="begin" w:fldLock="1"/>
      </w:r>
      <w:r w:rsidRPr="00C72119">
        <w:instrText>ADDIN CSL_CITATION {"citationItems":[{"id":"ITEM-1","itemData":{"DOI":"10.1016/j.gloenvcha.2014.12.004","ISBN":"09593780","ISSN":"09593780","abstract":"Although developing countries have established scores of new protected areas over the past three decades, they often amount to little more than \"paper parks\" that are chronically short of the financial, human, and technical resources needed for effective management. It is not clear whether and how severely under-resourced parks affect deforestation. In principle, they could either stem it by, for example, creating an expectation of future enforcement, or they could spur it by, for example, creating open access regimes. We examine the effect of Mexico's natural protected areas (NPAs) on deforestation from 1993 to 2000, a period when forest clearing was rampant and the vast majority of protected areas had negligible resources or management. We use high-resolution satellite data to measure deforestation and (covariate and propensity score) matching to control for NPAs' nonrandom siting and for spillovers. Our broad finding is that Mexico's paper parks had heterogeneous effects both inside and outside their borders. More specifically, at the national-level, we cannot reject the null hypothesis that NPAs had zero average effect on clearing inside their borders, nor can we reject a similar hypothesis for spillover clearing outside their borders. However, we can detect statistically and economically significant inside- and outside-NPA effects for certain geographic regions. Moreover, these effects have different signs depending on the region. Finally, we find that NPAs with certain characteristics were more effective at stemming deforestation inside their borders, namely, those that were large, new, mixed use, and relatively well-funded. Taken together, these results suggest that paper parks have the potential to either reduce or exacerbate tropical deforestation and highlight the need for further research on the conditions that lead to each outcome.","author":[{"dropping-particle":"","family":"Blackman","given":"Allen","non-dropping-particle":"","parse-names":false,"suffix":""},{"dropping-particle":"","family":"Pfaff","given":"Alexander","non-dropping-particle":"","parse-names":false,"suffix":""},{"dropping-particle":"","family":"Robalino","given":"Juan","non-dropping-particle":"","parse-names":false,"suffix":""}],"container-title":"Global Environmental Change","id":"ITEM-1","issued":{"date-parts":[["2015"]]},"page":"50-61","publisher":"Elsevier Ltd","title":"Paper park performance: Mexico's natural protected areas in the 1990s","type":"article-journal","volume":"31"},"uris":["http://www.mendeley.com/documents/?uuid=a997e4a4-4c14-435a-968e-2d7524d36587"]},{"id":"ITEM-2","itemData":{"DOI":"10.1111/j.1523-1739.2012.01930.x","ISSN":"08888892","abstract":"Management-effectiveness scores are used widely by donors and implementers of conservation projects to prioritize, track, and evaluate investments in protected areas. However, there is little evidence that these scores actually reflect the capacity of protected areas to deliver conservation outcomes. We examined the relation between indicators of management effectiveness in protected areas and the effectiveness of protected areas in reducing fire occurrence in the Amazon rainforest. We used data collected with the Management Effectiveness Tracking Tool (METT) scorecard, adopted by some of the world's largest conservation organizations to track management characteristics believed to be crucial for protected-area effectiveness. We used the occurrence of forest fires from 2000 through 2010 as a measure of the effect of protected areas on undesired land-cover change in the Amazon basin. We used matching to compare the estimated effect of protected areas with low versus high METT scores on fire occurrence. We also estimated effects of individual protected areas on fire occurrence and explored the relation between these effects and METT scores. The relations between METT scores and effects of protected areas on fire occurrence were weak. Protected areas with higher METT scores in 2005 did not seem to have performed better than protected areas with lower METT scores at reducing fire occurrence over the last 10 years. Further research into the relations between management-effectiveness indicators and conservation outcomes in protected areas seems necessary, and our results show that the careful application of matching methods can be a suitable method for that purpose. © 2012 Society for Conservation Biology.","author":[{"dropping-particle":"","family":"Nolte","given":"Christoph","non-dropping-particle":"","parse-names":false,"suffix":""},{"dropping-particle":"","family":"Agrawal","given":"Arun","non-dropping-particle":"","parse-names":false,"suffix":""}],"container-title":"Conservation Biology","id":"ITEM-2","issue":"1","issued":{"date-parts":[["2013"]]},"page":"155-165","title":"Linking Management Effectiveness Indicators to Observed Effects of Protected Areas on Fire Occurrence in the Amazon Rainforest","type":"article-journal","volume":"27"},"uris":["http://www.mendeley.com/documents/?uuid=5ad29e98-3116-4c31-96f0-595c520cd727"]},{"id":"ITEM-3","itemData":{"DOI":"10.3390/f8010017","ISSN":"19994907","abstract":"For protected areas (PAs), variation in forest impacts over space-including types of PA-are increasingly well documented, while shifts in impacts over time receive less attention. For Mexico, in the 1990s, PAs effectively were 'paper parks'. Thus, achieving impacts on the forest would require shifts over time in the politics of PA siting and PA implementation. We rigorously analyze the impacts of Mexican PAs on 2000-2005 loss of natural land cover, using matching to reduce location bias caused by typical land-use economics and politics. We find a 3.2% lower loss, on average, due to PAs. Since politics often vary by type of PA, we also show that in Mexico stricter PAs are closer to cities and have greater impact than mixed-use PAs. These shifts in impacts suggest some potential for PAs to conserve forests.","author":[{"dropping-particle":"","family":"Pfaff","given":"Alexander","non-dropping-particle":"","parse-names":false,"suffix":""},{"dropping-particle":"","family":"Santiago-Ávila","given":"Francisco","non-dropping-particle":"","parse-names":false,"suffix":""},{"dropping-particle":"","family":"Joppa","given":"Lucas","non-dropping-particle":"","parse-names":false,"suffix":""}],"container-title":"Forests","id":"ITEM-3","issue":"1","issued":{"date-parts":[["2017"]]},"page":"1-14","title":"Evolving protected-area impacts in Mexico: Political shifts as suggested by impact evaluations","type":"article-journal","volume":"8"},"uris":["http://www.mendeley.com/documents/?uuid=66e44065-e4f0-43cd-af0d-e3d0d39d7618"]}],"mendeley":{"formattedCitation":"(Blackman et al., 2015; Christoph Nolte &amp; Agrawal, 2013; Pfaff et al., 2017)","manualFormatting":"Blackman et al., 2015; Nolte &amp; Agrawal, 2013; Pfaff et al., 2017)","plainTextFormattedCitation":"(Blackman et al., 2015; Christoph Nolte &amp; Agrawal, 2013; Pfaff et al., 2017)","previouslyFormattedCitation":"(Blackman et al., 2015; Christoph Nolte &amp; Agrawal, 2013; Pfaff et al., 2017)"},"properties":{"noteIndex":0},"schema":"https://github.com/citation-style-language/schema/raw/master/csl-citation.json"}</w:instrText>
      </w:r>
      <w:r w:rsidRPr="00C72119">
        <w:fldChar w:fldCharType="separate"/>
      </w:r>
      <w:r w:rsidRPr="00C72119">
        <w:rPr>
          <w:noProof/>
        </w:rPr>
        <w:t>Blackman et al., 2015; Nolte &amp; Agrawal, 2013; Pfaff et al., 2017)</w:t>
      </w:r>
      <w:r w:rsidRPr="00C72119">
        <w:fldChar w:fldCharType="end"/>
      </w:r>
      <w:r w:rsidRPr="00C72119">
        <w:t xml:space="preserve"> and due to the significant differences found in the subgroups of our analysis (e.g., </w:t>
      </w:r>
      <w:r w:rsidR="00016B66" w:rsidRPr="00C72119">
        <w:t>PA</w:t>
      </w:r>
      <w:r w:rsidRPr="00C72119">
        <w:t xml:space="preserve"> and unprotected area)</w:t>
      </w:r>
      <w:r w:rsidR="006D0448" w:rsidRPr="00C72119">
        <w:t xml:space="preserve">. </w:t>
      </w:r>
      <w:r w:rsidR="006D0448" w:rsidRPr="00C72119">
        <w:rPr>
          <w:color w:val="000000" w:themeColor="text1"/>
        </w:rPr>
        <w:t>These variables include</w:t>
      </w:r>
      <w:r w:rsidR="00452008" w:rsidRPr="00C72119">
        <w:rPr>
          <w:color w:val="000000" w:themeColor="text1"/>
        </w:rPr>
        <w:t xml:space="preserve"> </w:t>
      </w:r>
      <w:r w:rsidR="004705B9" w:rsidRPr="00C72119">
        <w:rPr>
          <w:color w:val="000000" w:themeColor="text1"/>
        </w:rPr>
        <w:t xml:space="preserve">elevation, slope, </w:t>
      </w:r>
      <w:r w:rsidR="00452008" w:rsidRPr="00C72119">
        <w:rPr>
          <w:color w:val="000000" w:themeColor="text1"/>
        </w:rPr>
        <w:t>distance to roads,</w:t>
      </w:r>
      <w:r w:rsidR="004705B9" w:rsidRPr="00C72119">
        <w:rPr>
          <w:color w:val="000000" w:themeColor="text1"/>
        </w:rPr>
        <w:t xml:space="preserve"> </w:t>
      </w:r>
      <w:r w:rsidR="00452008" w:rsidRPr="00C72119">
        <w:rPr>
          <w:color w:val="000000" w:themeColor="text1"/>
        </w:rPr>
        <w:t>road density, distance to urban centers</w:t>
      </w:r>
      <w:r w:rsidR="00452008" w:rsidRPr="005F6A4D">
        <w:rPr>
          <w:color w:val="000000" w:themeColor="text1"/>
        </w:rPr>
        <w:t>, population density, average temperature, rainfall</w:t>
      </w:r>
      <w:r w:rsidR="004705B9" w:rsidRPr="005F6A4D">
        <w:rPr>
          <w:color w:val="000000" w:themeColor="text1"/>
        </w:rPr>
        <w:t xml:space="preserve">, and </w:t>
      </w:r>
      <w:r w:rsidR="00452008" w:rsidRPr="008976AC">
        <w:rPr>
          <w:i/>
          <w:iCs/>
          <w:color w:val="000000" w:themeColor="text1"/>
        </w:rPr>
        <w:t>ejido</w:t>
      </w:r>
      <w:r w:rsidR="001816B6">
        <w:rPr>
          <w:color w:val="000000" w:themeColor="text1"/>
        </w:rPr>
        <w:t xml:space="preserve"> (communal)</w:t>
      </w:r>
      <w:r w:rsidR="00452008" w:rsidRPr="005F6A4D">
        <w:rPr>
          <w:color w:val="000000" w:themeColor="text1"/>
        </w:rPr>
        <w:t xml:space="preserve"> land tenure</w:t>
      </w:r>
      <w:r w:rsidR="00F7141E">
        <w:rPr>
          <w:color w:val="000000" w:themeColor="text1"/>
        </w:rPr>
        <w:t xml:space="preserve"> </w:t>
      </w:r>
      <w:bookmarkStart w:id="7" w:name="_Toc29199702"/>
      <w:r w:rsidR="00F7141E">
        <w:rPr>
          <w:color w:val="000000" w:themeColor="text1"/>
        </w:rPr>
        <w:t>(</w:t>
      </w:r>
      <w:r w:rsidR="009F3CBA">
        <w:rPr>
          <w:color w:val="000000" w:themeColor="text1"/>
        </w:rPr>
        <w:t xml:space="preserve">list of data sources included in </w:t>
      </w:r>
      <w:r w:rsidR="00375989">
        <w:rPr>
          <w:color w:val="000000" w:themeColor="text1"/>
        </w:rPr>
        <w:t>Appendix</w:t>
      </w:r>
      <w:r w:rsidR="001C508C">
        <w:rPr>
          <w:color w:val="000000" w:themeColor="text1"/>
        </w:rPr>
        <w:t xml:space="preserve"> Table </w:t>
      </w:r>
      <w:r w:rsidR="00F32918">
        <w:rPr>
          <w:color w:val="000000" w:themeColor="text1"/>
        </w:rPr>
        <w:t>3</w:t>
      </w:r>
      <w:r w:rsidR="001C508C">
        <w:rPr>
          <w:color w:val="000000" w:themeColor="text1"/>
        </w:rPr>
        <w:t>).</w:t>
      </w:r>
      <w:r w:rsidR="009A068E">
        <w:rPr>
          <w:color w:val="000000" w:themeColor="text1"/>
        </w:rPr>
        <w:t xml:space="preserve"> </w:t>
      </w:r>
      <w:r w:rsidR="00FE347B">
        <w:rPr>
          <w:color w:val="000000" w:themeColor="text1"/>
        </w:rPr>
        <w:t xml:space="preserve"> </w:t>
      </w:r>
    </w:p>
    <w:p w14:paraId="17EA04CC" w14:textId="25039E0E" w:rsidR="00752581" w:rsidRDefault="001D6DCC" w:rsidP="003E53E3">
      <w:pPr>
        <w:ind w:firstLine="720"/>
        <w:rPr>
          <w:color w:val="000000" w:themeColor="text1"/>
        </w:rPr>
      </w:pPr>
      <w:r>
        <w:rPr>
          <w:color w:val="000000" w:themeColor="text1"/>
        </w:rPr>
        <w:t xml:space="preserve">Prior </w:t>
      </w:r>
      <w:r w:rsidR="009A066F" w:rsidRPr="005F6A4D">
        <w:rPr>
          <w:color w:val="000000" w:themeColor="text1"/>
        </w:rPr>
        <w:t xml:space="preserve">evaluations have found </w:t>
      </w:r>
      <w:r w:rsidR="00217DB8" w:rsidRPr="005F6A4D">
        <w:rPr>
          <w:color w:val="000000" w:themeColor="text1"/>
        </w:rPr>
        <w:t xml:space="preserve">distance to roads and road density </w:t>
      </w:r>
      <w:r w:rsidR="00067DBB">
        <w:rPr>
          <w:color w:val="000000" w:themeColor="text1"/>
        </w:rPr>
        <w:t>to have a</w:t>
      </w:r>
      <w:r w:rsidR="00217DB8" w:rsidRPr="005F6A4D">
        <w:rPr>
          <w:color w:val="000000" w:themeColor="text1"/>
        </w:rPr>
        <w:t xml:space="preserve"> negative influence on </w:t>
      </w:r>
      <w:r w:rsidR="00905C85" w:rsidRPr="005F6A4D">
        <w:rPr>
          <w:color w:val="000000" w:themeColor="text1"/>
        </w:rPr>
        <w:t>forest conservation</w:t>
      </w:r>
      <w:r w:rsidR="00217DB8" w:rsidRPr="005F6A4D">
        <w:rPr>
          <w:color w:val="000000" w:themeColor="text1"/>
        </w:rPr>
        <w:t xml:space="preserve"> outcomes due to roads</w:t>
      </w:r>
      <w:r w:rsidR="00CE1414">
        <w:rPr>
          <w:color w:val="000000" w:themeColor="text1"/>
        </w:rPr>
        <w:t xml:space="preserve"> </w:t>
      </w:r>
      <w:r w:rsidR="00217DB8" w:rsidRPr="005F6A4D">
        <w:rPr>
          <w:color w:val="000000" w:themeColor="text1"/>
        </w:rPr>
        <w:t xml:space="preserve">increasing </w:t>
      </w:r>
      <w:r w:rsidR="00905C85" w:rsidRPr="005F6A4D">
        <w:rPr>
          <w:color w:val="000000" w:themeColor="text1"/>
        </w:rPr>
        <w:t>access and opportunities</w:t>
      </w:r>
      <w:r w:rsidR="00217DB8" w:rsidRPr="005F6A4D">
        <w:rPr>
          <w:color w:val="000000" w:themeColor="text1"/>
        </w:rPr>
        <w:t xml:space="preserve"> </w:t>
      </w:r>
      <w:r w:rsidR="00905C85" w:rsidRPr="005F6A4D">
        <w:rPr>
          <w:color w:val="000000" w:themeColor="text1"/>
        </w:rPr>
        <w:t>for extraction of forest</w:t>
      </w:r>
      <w:r w:rsidR="00217DB8" w:rsidRPr="005F6A4D">
        <w:rPr>
          <w:color w:val="000000" w:themeColor="text1"/>
        </w:rPr>
        <w:t xml:space="preserve"> resources</w:t>
      </w:r>
      <w:r w:rsidR="006F6EFB">
        <w:rPr>
          <w:color w:val="000000" w:themeColor="text1"/>
        </w:rPr>
        <w:t xml:space="preserve"> </w:t>
      </w:r>
      <w:r w:rsidR="006F6EFB">
        <w:rPr>
          <w:color w:val="000000" w:themeColor="text1"/>
        </w:rPr>
        <w:fldChar w:fldCharType="begin" w:fldLock="1"/>
      </w:r>
      <w:r w:rsidR="006B2563">
        <w:rPr>
          <w:color w:val="000000" w:themeColor="text1"/>
        </w:rPr>
        <w:instrText>ADDIN CSL_CITATION {"citationItems":[{"id":"ITEM-1","itemData":{"DOI":"10.1016/j.ecolecon.2017.02.018","ISSN":"09218009","abstract":"Using a remotely sensed pixel data set, we develop a multilevel model and propensity score weighting with multilevel data to assess the impact of protected areas on deforestation in the Brazilian Amazon. These techniques allow taking into account location bias, contextual bias and the dependence of spatial units. Our results show that the hierarchical structure of the database matters and should be considered in the assessment of protected areas effectiveness. Our results also suggest that protected areas have slowed down deforestation between 2005 and 2009, whatever the type of governance. The effectiveness of protected areas differs according to socioeconomic and environmental variables measured at municipal level. For instance, indigenous protected areas are found to be marginally more efficient than sustainable use areas and integral use areas. Protected Areas that were more recently implemented are also found to avoid more deforestation than older ones. This corroborates the idea that recently created protected areas in the Brazilian Amazon have a greater agricultural potential.","author":[{"dropping-particle":"","family":"Kere","given":"Eric Nazindigouba","non-dropping-particle":"","parse-names":false,"suffix":""},{"dropping-particle":"","family":"Choumert","given":"Johanna","non-dropping-particle":"","parse-names":false,"suffix":""},{"dropping-particle":"","family":"Combes Motel","given":"Pascale","non-dropping-particle":"","parse-names":false,"suffix":""},{"dropping-particle":"","family":"Combes","given":"Jean Louis","non-dropping-particle":"","parse-names":false,"suffix":""},{"dropping-particle":"","family":"Santoni","given":"Olivier","non-dropping-particle":"","parse-names":false,"suffix":""},{"dropping-particle":"","family":"Schwartz","given":"Sonia","non-dropping-particle":"","parse-names":false,"suffix":""}],"container-title":"Ecological Economics","id":"ITEM-1","issue":"2017","issued":{"date-parts":[["2017"]]},"page":"148-158","publisher":"Elsevier B.V.","title":"Addressing Contextual and Location Biases in the Assessment of Protected Areas Effectiveness on Deforestation in the Brazilian Amazônia","type":"article-journal","volume":"136"},"uris":["http://www.mendeley.com/documents/?uuid=56b8bb81-be7c-49c8-be95-55646bfac00e"]},{"id":"ITEM-2","itemData":{"author":[{"dropping-particle":"","family":"Oliveira","given":"Paulo J C","non-dropping-particle":"","parse-names":false,"suffix":""},{"dropping-particle":"","family":"Asner","given":"Gregory P","non-dropping-particle":"","parse-names":false,"suffix":""},{"dropping-particle":"","family":"Knapp","given":"David E","non-dropping-particle":"","parse-names":false,"suffix":""},{"dropping-particle":"","family":"Almeyda","given":"Angélica","non-dropping-particle":"","parse-names":false,"suffix":""},{"dropping-particle":"","family":"Galván-gildemeister","given":"Ricardo","non-dropping-particle":"","parse-names":false,"suffix":""},{"dropping-particle":"","family":"Keene","given":"Sam","non-dropping-particle":"","parse-names":false,"suffix":""},{"dropping-particle":"","family":"Raybin","given":"Rebecca F","non-dropping-particle":"","parse-names":false,"suffix":""},{"dropping-particle":"","family":"Smith","given":"Richard C","non-dropping-particle":"","parse-names":false,"suffix":""}],"container-title":"Science","id":"ITEM-2","issued":{"date-parts":[["2007"]]},"page":"1233-1237","title":"Land-use Allocation Protected the Peruvian Amazon","type":"article-journal","volume":"317"},"uris":["http://www.mendeley.com/documents/?uuid=24ccc179-9b8d-4e37-8d72-84f238d32f46"]},{"id":"ITEM-3","itemData":{"DOI":"10.1371/journal.pone.0008273","ISSN":"19326203","abstract":"Background: About an eighth of the earth's land surface is in protected areas (hereafter \"PAs\"), most created during the 20th century. Natural landscapes are critical for species persistence and PAs can play a major role in conservation and in climate policy. Such contributions may be harder than expected to implement if new PAs are constrained to the same kinds of locations that PAs currently occupy. Methodology/Principal Findings: Quantitatively extending the perception that PAs occupy \"rock and ice\", we show that across 147 nations PA networks are biased towards places that are unlikely to face land conversion pressures even in the absence of protection. We test each country's PA network for bias in elevation, slope, distances to roads and cities, and suitability for agriculture. Further, within each country's set of PAs, we also ask if the level of protection is biased in these ways. We find that the significant majority of national PA networks are biased to higher elevations, steeper slopes and greater distances to roads and cities. Also, within a country, PAs with higher protection status are more biased than are the PAs with lower protection statuses. Conclusions/Significance: In sum, PAs are biased towards where they can least prevent land conversion (even if they offer perfect protection). These globally comprehensive results exte</w:instrText>
      </w:r>
      <w:r w:rsidR="006B2563" w:rsidRPr="00A80CE9">
        <w:rPr>
          <w:color w:val="000000" w:themeColor="text1"/>
          <w:lang w:val="es-US"/>
        </w:rPr>
        <w:instrText>nd findings from nation-level analyses. They imply that siting rules such as the Convention on Biological Diversity's 2010 Target [to protect 10% of all ecoregions] might raise PA impacts if applied at the country level. In light of the potential for global carbon-based payments for avoided deforestation or REDD, these results suggest that attention to threat could improve outcomes from the creation and management of PAs. © 2009 Joppa, Pfaff.","author":[{"dropping-particle":"","family":"Joppa","given":"Lucas N.","non-dropping-particle":"","parse-names":false,"suffix":""},{"dropping-particle":"","family":"Pfaff","given":"Alexander","non-dropping-particle":"","parse-names":false,"suffix":""}],"container-title":"PLoS ONE","id":"ITEM-3","issue":"12","issued":{"date-parts":[["2009"]]},"page":"1-6","title":"High and far: Biases in the location of protected areas","type":"article-journal","volume":"4"},"uris":["http://www.mendeley.com/documents/?uuid=c3fd47df-6ebf-4853-9460-9db0afe80bec"]}],"mendeley":{"formattedCitation":"(Joppa &amp; Pfaff, 2009; Kere et al., 2017; Oliveira et al., 2007)","manualFormatting":"(e.g., Joppa &amp; Pfaff, 2009; Kere et al., 2017; Oliveira et al., 2007)","plainTextFormattedCitation":"(Joppa &amp; Pfaff, 2009; Kere et al., 2017; Oliveira et al., 2007)","previouslyFormattedCitation":"(Joppa &amp; Pfaff, 2009; Kere et al., 2017; Oliveira et al., 2007)"},"properties":{"noteIndex":0},"schema":"https://github.com/citation-style-language/schema/raw/master/csl-citation.json"}</w:instrText>
      </w:r>
      <w:r w:rsidR="006F6EFB">
        <w:rPr>
          <w:color w:val="000000" w:themeColor="text1"/>
        </w:rPr>
        <w:fldChar w:fldCharType="separate"/>
      </w:r>
      <w:r w:rsidR="002C0590" w:rsidRPr="00067DBB">
        <w:rPr>
          <w:noProof/>
          <w:color w:val="000000" w:themeColor="text1"/>
          <w:lang w:val="es-US"/>
        </w:rPr>
        <w:t>(</w:t>
      </w:r>
      <w:r w:rsidR="00067DBB" w:rsidRPr="00067DBB">
        <w:rPr>
          <w:noProof/>
          <w:color w:val="000000" w:themeColor="text1"/>
          <w:lang w:val="es-US"/>
        </w:rPr>
        <w:t>e.g.,</w:t>
      </w:r>
      <w:r w:rsidR="00067DBB">
        <w:rPr>
          <w:noProof/>
          <w:color w:val="000000" w:themeColor="text1"/>
          <w:lang w:val="es-US"/>
        </w:rPr>
        <w:t xml:space="preserve"> </w:t>
      </w:r>
      <w:r w:rsidR="002C0590" w:rsidRPr="00067DBB">
        <w:rPr>
          <w:noProof/>
          <w:color w:val="000000" w:themeColor="text1"/>
          <w:lang w:val="es-US"/>
        </w:rPr>
        <w:t>Joppa &amp; Pfaff, 2009; Kere et al., 2017; Oliveira et al., 2007)</w:t>
      </w:r>
      <w:r w:rsidR="006F6EFB">
        <w:rPr>
          <w:color w:val="000000" w:themeColor="text1"/>
        </w:rPr>
        <w:fldChar w:fldCharType="end"/>
      </w:r>
      <w:r w:rsidR="00217DB8" w:rsidRPr="00067DBB">
        <w:rPr>
          <w:color w:val="000000" w:themeColor="text1"/>
          <w:lang w:val="es-US"/>
        </w:rPr>
        <w:t>.</w:t>
      </w:r>
      <w:r w:rsidR="009A066F" w:rsidRPr="00067DBB">
        <w:rPr>
          <w:color w:val="000000" w:themeColor="text1"/>
          <w:lang w:val="es-US"/>
        </w:rPr>
        <w:t xml:space="preserve"> </w:t>
      </w:r>
      <w:r w:rsidR="00905C85">
        <w:rPr>
          <w:color w:val="000000" w:themeColor="text1"/>
        </w:rPr>
        <w:t xml:space="preserve">Slope and elevation have been linked to agricultural and urban development suitability, similar to temperature and rainfall </w:t>
      </w:r>
      <w:r w:rsidR="00AB0496">
        <w:rPr>
          <w:color w:val="000000" w:themeColor="text1"/>
        </w:rPr>
        <w:fldChar w:fldCharType="begin" w:fldLock="1"/>
      </w:r>
      <w:r w:rsidR="006B2563">
        <w:rPr>
          <w:color w:val="000000" w:themeColor="text1"/>
        </w:rPr>
        <w:instrText>ADDIN CSL_CITATION {"citationItems":[{"id":"ITEM-1","itemData":{"DOI":"10.1016/j.ecolecon.2015.01.009","ISSN":"09218009","abstract":"Although protected areas, or \"parks\", are among the leading policy tools used to stem tropical deforestation, rigorous evaluations of their effectiveness-that is, evaluations that control for their tendency to be sited in remote areas with relatively little deforestation-have only recently begun to appear. Important open questions concern the link between the stringency of protection and park effectiveness. How do mixed-use parks that allow sustainable extractive activities perform relative to strictly protected parks? And what types of mixed-use management perform best? In addressing these questions, it is particularly important to control for nonrandom siting, since different management regimes tend to be sited in areas with different preexisting characteristics. To date, most rigorous studies of this issue have focused on scores of parks in one or multiple countries, a strategy that in principle could be undermined by unobserved park heterogeneity. This paper uses high-resolution 2001-2006 land cover data derived from satellite images along with statistical techniques that control for nonrandom siting to examine the relative effectiveness of strict and various mixed-use protection strategies in a single large park: the two-million-hectare Maya Biosphere Reserve in Guatemala. Our results comport with the emerging consensus that on the whole, mixed-use protection in this park has been more effective in stemming deforestation than strict protection because of the performance of forest concessions within the multiple-use zone. However, we also find that mixed-use protection has had smaller, more heterogeneous effects than indicated by simple methods that do not control for nonrandom siting.","author":[{"dropping-particle":"","family":"Blackman","given":"Allen","non-dropping-particle":"","parse-names":false,"suffix":""}],"container-title":"Ecological Economics","id":"ITEM-1","issued":{"date-parts":[["2015"]]},"note":"mulitple use zones are more effectiv at deterring deforestation than core MBR. \n\nlooked at multiple use zone with and without concessions and then with different types of concessions (local residents, non-locals, new residents and industry). local and non-local performed better \n\n\nIn addition, it relies on land cover change data de- rived from remote sensing images (Blackman, 2013). Not surprisingly, studies using this approach typically find that parks are less effective at preventing deforestation than past studies suggest (Joppa and Pfaff, 2010).","page":"14-24","publisher":"Elsevier B.V.","title":"Strict versus mixed-use protected areas: Guatemala's Maya Biosphere Reserve","type":"article-journal","volume":"112"},"uris":["http://www.mendeley.com/documents/?uuid=602d2654-6518-4576-b9fe-a62f5d5326aa"]},{"id":"ITEM-2","itemData":{"DOI":"10.1371/journal.pone.0008273","ISSN":"19326203","abstract":"Background: About an eighth of the earth's land surface is in protected areas (hereafter \"PAs\"), most created during the 20th century. Natural landscapes are critical for species persistence and PAs can play a major role in conservation and in climate policy. Such contributions may be harder than expected to implement if new PAs are constrained to the same kinds of locations that PAs currently occupy. Methodology/Principal Findings: Quantitatively extending the perception that PAs occupy \"rock and ice\", we show that across 147 nations PA networks are biased towards places that are unlikely to face land conversion pressures even in the absence of protection. We test each country's PA network for bias in elevation, slope, distances to roads and cities, and suitability for agriculture. Further, within each country's set of PAs, we also ask if the level of protection is biased in these ways. We find that the significant majority of national PA networks are biased to higher elevations, steeper slopes and greater distances to roads and cities. Also, within a country, PAs with higher protection status are more biased than are the PAs with lower protection statuses. Conclusions/Significance: In sum, PAs are biased towards where they can least prevent land conversion (even if they offer perfect protection). These globally comprehensive results extend findings from nation-level analyses. They imply that siting rules such as the Convention on Biological Diversity's 2010 Target [to protect 10% of all ecoregions] might raise PA impacts if applied at the country level. In light of the potential for global carbon-based payments for avoided deforestation or REDD, these results suggest that attention to threat could improve outcomes from the creation and management of PAs. © 2009 Joppa, Pfaff.","author":[{"dropping-particle":"","family":"Joppa","given":"Lucas N.","non-dropping-particle":"","parse-names":false,"suffix":""},{"dropping-particle":"","family":"Pfaff","given":"Alexander","non-dropping-particle":"","parse-names":false,"suffix":""}],"container-title":"PLoS ONE","id":"ITEM-2","issue":"12","issued":{"date-parts":[["2009"]]},"page":"1-6","title":"High and far: Biases in the location of protected areas","type":"article-journal","volume":"4"},"uris":["http://www.mendeley.com/documents/?uuid=c3fd47df-6ebf-4853-9460-9db0afe80bec"]},{"id":"ITEM-3","itemData":{"DOI":"10.1111/j.1523-1739.2012.01930.x","ISSN":"08888892","abstract":"Management-effectiveness scores are used widely by donors and implementers of conservation projects to prioritize, track, and evaluate investments in protected areas. However, there is little evidence that these scores actually reflect the capacity of protected areas to deliver conservation outcomes. We examined the relation between indicators of management effectiveness in protected areas and the effectiveness of protected areas in reducing fire occurrence in the Amazon rainforest. We used data collected with the Management Effectiveness Tracking Tool (METT) scorecard, adopted by some of the world's largest conservation organizations to track management characteristics believed to be crucial for protected-area effectiveness. We used the occurrence of forest fires from 2000 through 2010 as a measure of the effect of protected areas on undesired land-cover change in the Amazon basin. We used matching to compare the estimated effect of protected areas with low versus high METT scores on fire occurrence. We also estimated effects of individual protected areas on fire occurrence and explored the relation between these effects and METT scores. The relations between METT scores and effects of protected areas on fire occurrence were weak. Protected areas with higher METT scores in 2005 did not seem to have performed better than protected areas with lower METT scores at reducing fire occurrence over the last 10 years. Further research into the relations between management-effectiveness indicators and conservation outcomes in protected areas seems necessary, and our results show that the careful application of matching methods can be a suitable method for that purpose. © 2012 Society for Conservation Biology.","author":[{"dropping-particle":"","family":"Nolte","given":"Christoph","non-dropping-particle":"","parse-names":false,"suffix":""},{"dropping-particle":"","family":"Agrawal","given":"Arun","non-dropping-particle":"","parse-names":false,"suffix":""}],"container-title":"Conservation Biology","id":"ITEM-3","issue":"1","issued":{"date-parts":[["2013"]]},"page":"155-165","title":"Linking Management Effectiveness Indicators to Observed Effects of Protected Areas on Fire Occurrence in the Amazon Rainforest","type":"article-journal","volume":"27"},"uris":["http://www.mendeley.com/documents/?uuid=5ad29e98-3116-4c31-96f0-595c520cd727"]}],"mendeley":{"formattedCitation":"(Blackman, 2015; Joppa &amp; Pfaff, 2009; Christoph Nolte &amp; Agrawal, 2013)","manualFormatting":"(e.g., Blackman, 2015; Lucas N. Joppa &amp; Pfaff, 2009; Christoph Nolte &amp; Agrawal, 2013)","plainTextFormattedCitation":"(Blackman, 2015; Joppa &amp; Pfaff, 2009; Christoph Nolte &amp; Agrawal, 2013)","previouslyFormattedCitation":"(Blackman, 2015; Joppa &amp; Pfaff, 2009; Christoph Nolte &amp; Agrawal, 2013)"},"properties":{"noteIndex":0},"schema":"https://github.com/citation-style-language/schema/raw/master/csl-citation.json"}</w:instrText>
      </w:r>
      <w:r w:rsidR="00AB0496">
        <w:rPr>
          <w:color w:val="000000" w:themeColor="text1"/>
        </w:rPr>
        <w:fldChar w:fldCharType="separate"/>
      </w:r>
      <w:r w:rsidR="00843401" w:rsidRPr="00843401">
        <w:rPr>
          <w:noProof/>
          <w:color w:val="000000" w:themeColor="text1"/>
        </w:rPr>
        <w:t>(</w:t>
      </w:r>
      <w:r w:rsidR="00A41A6B">
        <w:rPr>
          <w:noProof/>
          <w:color w:val="000000" w:themeColor="text1"/>
        </w:rPr>
        <w:t xml:space="preserve">e.g., </w:t>
      </w:r>
      <w:r w:rsidR="00843401" w:rsidRPr="00843401">
        <w:rPr>
          <w:noProof/>
          <w:color w:val="000000" w:themeColor="text1"/>
        </w:rPr>
        <w:t>Blackman, 2015; Lucas N. Joppa &amp; Pfaff, 2009; Christoph Nolte &amp; Agrawal, 2013)</w:t>
      </w:r>
      <w:r w:rsidR="00AB0496">
        <w:rPr>
          <w:color w:val="000000" w:themeColor="text1"/>
        </w:rPr>
        <w:fldChar w:fldCharType="end"/>
      </w:r>
      <w:r w:rsidR="00905C85">
        <w:rPr>
          <w:color w:val="000000" w:themeColor="text1"/>
        </w:rPr>
        <w:t xml:space="preserve">. Flatter areas and more favorable weather conditions can increase </w:t>
      </w:r>
      <w:r>
        <w:rPr>
          <w:color w:val="000000" w:themeColor="text1"/>
        </w:rPr>
        <w:t>forest clearing</w:t>
      </w:r>
      <w:r w:rsidR="00905C85">
        <w:rPr>
          <w:color w:val="000000" w:themeColor="text1"/>
        </w:rPr>
        <w:t xml:space="preserve"> for agricultural production or other development. </w:t>
      </w:r>
      <w:r w:rsidR="005F6A4D">
        <w:rPr>
          <w:color w:val="000000" w:themeColor="text1"/>
        </w:rPr>
        <w:t xml:space="preserve">Proximity to urban areas and higher </w:t>
      </w:r>
      <w:r w:rsidR="005F6A4D">
        <w:rPr>
          <w:color w:val="000000" w:themeColor="text1"/>
        </w:rPr>
        <w:lastRenderedPageBreak/>
        <w:t>population density can increase deforestation due to space and resources needed</w:t>
      </w:r>
      <w:r w:rsidR="00CE1414">
        <w:rPr>
          <w:color w:val="000000" w:themeColor="text1"/>
        </w:rPr>
        <w:t xml:space="preserve"> to support the human population</w:t>
      </w:r>
      <w:r w:rsidR="00E8379C">
        <w:rPr>
          <w:color w:val="000000" w:themeColor="text1"/>
        </w:rPr>
        <w:t>,</w:t>
      </w:r>
      <w:r w:rsidR="006F6EFB">
        <w:rPr>
          <w:color w:val="000000" w:themeColor="text1"/>
        </w:rPr>
        <w:t xml:space="preserve"> </w:t>
      </w:r>
      <w:r w:rsidR="005F6A4D">
        <w:rPr>
          <w:color w:val="000000" w:themeColor="text1"/>
        </w:rPr>
        <w:t>as well as market integration opportunities</w:t>
      </w:r>
      <w:r w:rsidR="00AB0496">
        <w:rPr>
          <w:color w:val="000000" w:themeColor="text1"/>
        </w:rPr>
        <w:t xml:space="preserve"> </w:t>
      </w:r>
      <w:r w:rsidR="00AB0496">
        <w:rPr>
          <w:color w:val="000000" w:themeColor="text1"/>
        </w:rPr>
        <w:fldChar w:fldCharType="begin" w:fldLock="1"/>
      </w:r>
      <w:r w:rsidR="00EC711B">
        <w:rPr>
          <w:color w:val="000000" w:themeColor="text1"/>
        </w:rPr>
        <w:instrText>ADDIN CSL_CITATION {"citationItems":[{"id":"ITEM-1","itemData":{"DOI":"10.1111/j.1523-1739.2012.01930.x","ISSN":"08888892","abstract":"Management-effectiveness scores are used widely by donors and implementers of conservation projects to prioritize, track, and evaluate investments in protected areas. However, there is little evidence that these scores actually reflect the capacity of protected areas to deliver conservation outcomes. We examined the relation between indicators of management effectiveness in protected areas and the effectiveness of protected areas in reducing fire occurrence in the Amazon rainforest. We used data collected with the Management Effectiveness Tracking Tool (METT) scorecard, adopted by some of the world's largest conservation organizations to track management characteristics believed to be crucial for protected-area effectiveness. We used the occurrence of forest fires from 2000 through 2010 as a measure of the effect of protected areas on undesired land-cover change in the Amazon basin. We used matching to compare the estimated effect of protected areas with low versus high METT scores on fire occurrence. We also estimated effects of individual protected areas on fire occurrence and explored the relation between these effects and METT scores. The relations between METT scores and effects of protected areas on fire occurrence were weak. Protected areas with higher METT scores in 2005 did not seem to have performed better than protected areas with lower METT scores at reducing fire occurrence over the last 10 years. Further research into the relations between management-effectiveness indicators and conservation outcomes in protected areas seems necessary, and our results show that the careful application of matching methods can be a suitable method for that purpose. © 2012 Society for Conservation Biology.","author":[{"dropping-particle":"","family":"Nolte","given":"Christoph","non-dropping-particle":"","parse-names":false,"suffix":""},{"dropping-particle":"","family":"Agrawal","given":"Arun","non-dropping-particle":"","parse-names":false,"suffix":""}],"container-title":"Conservation Biology","id":"ITEM-1","issue":"1","issued":{"date-parts":[["2013"]]},"page":"155-165","title":"Linking Management Effectiveness Indicators to Observed Effects of Protected Areas on Fire Occurrence in the Amazon Rainforest","type":"article-journal","volume":"27"},"uris":["http://www.mendeley.com/documents/?uuid=5ad29e98-3116-4c31-96f0-595c520cd727"]},{"id":"ITEM-2","itemData":{"DOI":"10.1016/j.biocon.2019.108299","ISSN":"0006-3207","author":[{"dropping-particle":"","family":"Leberger","given":"Roxanne","non-dropping-particle":"","parse-names":false,"suffix":""},{"dropping-particle":"","family":"Rosa","given":"Isabel M D","non-dropping-particle":"","parse-names":false,"suffix":""},{"dropping-particle":"","family":"Guerra","given":"Carlos A","non-dropping-particle":"","parse-names":false,"suffix":""},{"dropping-particle":"","family":"Wolf","given":"Florian","non-dropping-particle":"","parse-names":false,"suffix":""},{"dropping-particle":"","family":"Pereira","given":"Henrique M","non-dropping-particle":"","parse-names":false,"suffix":""}],"container-title":"Biological Conservation","id":"ITEM-2","issued":{"date-parts":[["2019"]]},"publisher":"Elsevier","title":"Global patterns of forest loss across IUCN categories of protected areas","type":"article-journal"},"uris":["http://www.mendeley.com/documents/?uuid=96f30a97-133c-4fea-bd28-2f784b81bcc6"]},{"id":"ITEM-3","itemData":{"DOI":"10.1038/nature24295","ISSN":"14764687","abstract":"© 2017 Macmillan Publishers Limited, part of Springer Nature. All rights reserved. Halting global biodiversity loss is central to the Convention on Biological Diversity and United Nations Sustainable Development Goals, but success to date has been very limited. A critical determinant of success in achieving these goals is the financing that is committed to maintaining biodiversity; however, financing decisions are hindered by considerable uncertainty over the likely impact of any conservation investment. For greater effectiveness, we need an evidence-based model that shows how conservation spending quantitatively reduces the rate of biodiversity loss. Here we demonstrate such a model, and empirically quantify how conservation investment between 1996 and 2008 reduced biodiversity loss in 109 countries (signatories to the Convention on Biological Diversity and Sustainable Development Goals), by a median average of 29% per country. We also show that biodiversity changes in signatory countries can be predicted with high accuracy, using a dual model that balances the effects of conservation investment against those of economic, agricultural and population growth (human development pressures). Decision-makers can use this model to forecast the improvement that any proposed biodiversity budget would achieve under various scenarios of human development pressure, and then compare these forecasts to any chosen policy target. We find that the impact of spending decreases as human development pressures grow, which implies that funding may need to increase over time. The model offers a flexible tool for balancing the Sustainable Development Goals of human development and maintaining biodiversity, by predicting the dynamic changes in conservation finance that will be needed as human development proceeds.","author":[{"dropping-particle":"","family":"Waldron","given":"Anthony","non-dropping-particle":"","parse-names":false,"suffix":""},{"dropping-particle":"","family":"Miller","given":"Daniel C.","non-dropping-particle":"","parse-names":false,"suffix":""},{"dropping-particle":"","family":"Redding","given":"Dave","non-dropping-particle":"","parse-names":false,"suffix":""},{"dropping-particle":"","family":"Mooers","given":"Arne","non-dropping-particle":"","parse-names":false,"suffix":""},{"dropping-particle":"","family":"Kuhn","given":"Tyler S.","non-dropping-particle":"","parse-names":false,"suffix":""},{"dropping-particle":"","family":"Nibbelink","given":"Nate","non-dropping-particle":"","parse-names":false,"suffix":""},{"dropping-particle":"","family":"Roberts","given":"J. Timmons","non-dropping-particle":"","parse-names":false,"suffix":""},{"dropping-particle":"","family":"Tobias","given":"Joseph A.","non-dropping-particle":"","parse-names":false,"suffix":""},{"dropping-particle":"","family":"Gittleman","given":"John L.","non-dropping-particle":"","parse-names":false,"suffix":""}],"container-title":"Nature","id":"ITEM-3","issue":"7680","issued":{"date-parts":[["2017"]]},"page":"364-367","publisher":"Nature Publishing Group","title":"Reductions in global biodiversity loss predicted from conservation spending","type":"article-journal","volume":"551"},"uris":["http://www.mendeley.com/documents/?uuid=1df2ef2e-0a2b-407c-a235-ad7841ab25ac"]}],"mendeley":{"formattedCitation":"(Leberger, Rosa, Guerra, Wolf, &amp; Pereira, 2019; Christoph Nolte &amp; Agrawal, 2013; Waldron et al., 2017)","manualFormatting":"(e.g., Leberger et al., 2019; Nolte &amp; Agrawal, 2013; Waldron et al., 2017)","plainTextFormattedCitation":"(Leberger, Rosa, Guerra, Wolf, &amp; Pereira, 2019; Christoph Nolte &amp; Agrawal, 2013; Waldron et al., 2017)","previouslyFormattedCitation":"(Leberger, Rosa, Guerra, Wolf, &amp; Pereira, 2019; Christoph Nolte &amp; Agrawal, 2013; Waldron et al., 2017)"},"properties":{"noteIndex":0},"schema":"https://github.com/citation-style-language/schema/raw/master/csl-citation.json"}</w:instrText>
      </w:r>
      <w:r w:rsidR="00AB0496">
        <w:rPr>
          <w:color w:val="000000" w:themeColor="text1"/>
        </w:rPr>
        <w:fldChar w:fldCharType="separate"/>
      </w:r>
      <w:r w:rsidR="00370CE8" w:rsidRPr="00370CE8">
        <w:rPr>
          <w:noProof/>
          <w:color w:val="000000" w:themeColor="text1"/>
        </w:rPr>
        <w:t>(</w:t>
      </w:r>
      <w:r w:rsidR="00EA2452">
        <w:rPr>
          <w:noProof/>
          <w:color w:val="000000" w:themeColor="text1"/>
        </w:rPr>
        <w:t xml:space="preserve">e.g., </w:t>
      </w:r>
      <w:r w:rsidR="00370CE8" w:rsidRPr="00370CE8">
        <w:rPr>
          <w:noProof/>
          <w:color w:val="000000" w:themeColor="text1"/>
        </w:rPr>
        <w:t>Leberger et al., 2019; Nolte &amp; Agrawal, 2013; Waldron et al., 2017)</w:t>
      </w:r>
      <w:r w:rsidR="00AB0496">
        <w:rPr>
          <w:color w:val="000000" w:themeColor="text1"/>
        </w:rPr>
        <w:fldChar w:fldCharType="end"/>
      </w:r>
      <w:r w:rsidR="005F6A4D">
        <w:rPr>
          <w:color w:val="000000" w:themeColor="text1"/>
        </w:rPr>
        <w:t xml:space="preserve">. </w:t>
      </w:r>
      <w:r w:rsidR="00EA2452">
        <w:rPr>
          <w:color w:val="000000" w:themeColor="text1"/>
        </w:rPr>
        <w:t xml:space="preserve">Finally, </w:t>
      </w:r>
      <w:r w:rsidR="001816B6">
        <w:rPr>
          <w:color w:val="000000" w:themeColor="text1"/>
        </w:rPr>
        <w:t xml:space="preserve">land </w:t>
      </w:r>
      <w:r w:rsidR="00554E4B">
        <w:rPr>
          <w:color w:val="000000" w:themeColor="text1"/>
        </w:rPr>
        <w:t xml:space="preserve">tenure has been found to influence conservation outcomes, </w:t>
      </w:r>
      <w:r w:rsidR="00C62D43">
        <w:rPr>
          <w:color w:val="000000" w:themeColor="text1"/>
        </w:rPr>
        <w:t>with</w:t>
      </w:r>
      <w:r w:rsidR="00554E4B">
        <w:rPr>
          <w:color w:val="000000" w:themeColor="text1"/>
        </w:rPr>
        <w:t xml:space="preserve"> </w:t>
      </w:r>
      <w:r w:rsidR="00C62D43">
        <w:rPr>
          <w:color w:val="000000" w:themeColor="text1"/>
        </w:rPr>
        <w:t xml:space="preserve">some </w:t>
      </w:r>
      <w:r w:rsidR="00554E4B">
        <w:rPr>
          <w:color w:val="000000" w:themeColor="text1"/>
        </w:rPr>
        <w:t xml:space="preserve">community-owned forests </w:t>
      </w:r>
      <w:r w:rsidR="00C62D43">
        <w:rPr>
          <w:color w:val="000000" w:themeColor="text1"/>
        </w:rPr>
        <w:t xml:space="preserve">producing </w:t>
      </w:r>
      <w:r w:rsidR="00554E4B">
        <w:rPr>
          <w:color w:val="000000" w:themeColor="text1"/>
        </w:rPr>
        <w:t xml:space="preserve">better outcomes </w:t>
      </w:r>
      <w:r w:rsidR="00C66172">
        <w:rPr>
          <w:color w:val="000000" w:themeColor="text1"/>
        </w:rPr>
        <w:t>than</w:t>
      </w:r>
      <w:r w:rsidR="00C62D43">
        <w:rPr>
          <w:color w:val="000000" w:themeColor="text1"/>
        </w:rPr>
        <w:t xml:space="preserve"> </w:t>
      </w:r>
      <w:r w:rsidR="00695FDC">
        <w:rPr>
          <w:color w:val="000000" w:themeColor="text1"/>
        </w:rPr>
        <w:t>PAs</w:t>
      </w:r>
      <w:r w:rsidR="00C62D43">
        <w:rPr>
          <w:color w:val="000000" w:themeColor="text1"/>
        </w:rPr>
        <w:t xml:space="preserve"> </w:t>
      </w:r>
      <w:r w:rsidR="00C62D43">
        <w:rPr>
          <w:color w:val="000000" w:themeColor="text1"/>
        </w:rPr>
        <w:fldChar w:fldCharType="begin" w:fldLock="1"/>
      </w:r>
      <w:r w:rsidR="004E1DE0">
        <w:rPr>
          <w:color w:val="000000" w:themeColor="text1"/>
        </w:rPr>
        <w:instrText>ADDIN CSL_CITATION {"citationItems":[{"id":"ITEM-1","itemData":{"DOI":"10.1016/j.foreco.2011.05.034","ISBN":"0378-1127","ISSN":"03781127","PMID":"21516884","abstract":"This paper assesses the role of protected and community managed forests for the long term maintenance of forest cover in the tropics. Through a meta-analysis of published case-studies, we compare land use/cover change data for these two broad types of forest management and assess their performance in maintaining forest cover. Case studies included 40 protected areas and 33 community managed forests from the peer reviewed literature. A statistical comparison of annual deforestation rates and a Qualitative Comparative Analysis were conducted. We found that as a whole, community managed forests presented lower and less variable annual deforestation rates than protected forests. We consider that a more resilient and robust forest conservation strategy should encompass a regional vision with different land use types in which social and economic needs of local inhabitants, as well as tenure rights and local capacities, are recognized. Further research for understanding institutional arrangements that derive from local governance in favor of tropical forest conservation is recommended. ?? 2012 Elsevier B.V..","author":[{"dropping-particle":"","family":"Porter-Bolland","given":"Luciana","non-dropping-particle":"","parse-names":false,"suffix":""},{"dropping-particle":"","family":"Ellis","given":"Edward A.","non-dropping-particle":"","parse-names":false,"suffix":""},{"dropping-particle":"","family":"Guariguata","given":"Manuel R.","non-dropping-particle":"","parse-names":false,"suffix":""},{"dropping-particle":"","family":"Ruiz-Mallén","given":"Isabel","non-dropping-particle":"","parse-names":false,"suffix":""},{"dropping-particle":"","family":"Negrete-Yankelevich","given":"Simoneta","non-dropping-particle":"","parse-names":false,"suffix":""},{"dropping-particle":"","family":"Reyes-García","given":"Victoria","non-dropping-particle":"","parse-names":false,"suffix":""}],"container-title":"Forest Ecology and Management","id":"ITEM-1","issued":{"date-parts":[["2012"]]},"page":"6-17","publisher":"Elsevier B.V.","title":"Community managed forests and forest protected areas: An assessment of their conservation effectiveness across the tropics","type":"article-journal","volume":"268"},"uris":["http://www.mendeley.com/documents/?uuid=ee491118-abbf-4b1e-90ec-2794fad146a2"]},{"id":"ITEM-2","itemData":{"ISBN":"9789688178416","author":[{"dropping-particle":"","family":"Durán-Medina","given":"Elvira","non-dropping-particle":"","parse-names":false,"suffix":""},{"dropping-particle":"","family":"Mas","given":"</w:instrText>
      </w:r>
      <w:r w:rsidR="004E1DE0" w:rsidRPr="006B2563">
        <w:rPr>
          <w:color w:val="000000" w:themeColor="text1"/>
          <w:lang w:val="es-US"/>
        </w:rPr>
        <w:instrText>Jean François","non-dropping-particle":"","parse-names":false,"suffix":""},{"dropping-particle":"","family":"Velázquez","given":"Alejandro","non-dropping-particle":"","parse-names":false,"suffix":""}],"container-title":"The Community Forests of Mexico: Managing for Sustainable Landscapes","editor":[{"dropping-particle":"","family":"Bray","given":"David","non-dropping-particle":"","parse-names":false,"suffix":""},{"dropping-particle":"","family":"Merino","given":"Leticia","non-dropping-particle":"","parse-names":false,"suffix":""},{"dropping-particle":"","family":"Barry","given":"Deborah","non-dropping-particle":"","parse-names":false,"suffix":""}],"id":"ITEM-2","issued":{"date-parts":[["2005"]]},"publisher":"INE-SEMARNAT","publisher-place":"Mexico City, MX","title":"Land use/cover change in community-based forest management regions and protected areas in Mexico","type":"chapter"},"uris":["http://www.mendeley.com/documents/?uuid=9ab9a0c3-904b-49be-9d7b-371bf4d2f976"]}],"mendeley":{"formattedCitation":"(Durán-Medina, Mas, &amp; Velázquez, 2005; Porter-Bolland et al., 2012)","manualFormatting":"(e.g., Durán-Medina, Mas, &amp; Velázquez, 2005; Porter-Bolland et al., 2012)","plainTextFormattedCitation":"(Durán-Medina, Mas, &amp; Velázquez, 2005; Porter-Bolland et al., 2012)","previouslyFormattedCitation":"(Durán-Medina, Mas, &amp; Velázquez, 2005; Porter-Bolland et al., 2012)"},"properties":{"noteIndex":0},"schema":"https://github.com/citation-style-language/schema/raw/master/csl-citation.json"}</w:instrText>
      </w:r>
      <w:r w:rsidR="00C62D43">
        <w:rPr>
          <w:color w:val="000000" w:themeColor="text1"/>
        </w:rPr>
        <w:fldChar w:fldCharType="separate"/>
      </w:r>
      <w:r w:rsidR="00C62D43" w:rsidRPr="00C62D43">
        <w:rPr>
          <w:noProof/>
          <w:color w:val="000000" w:themeColor="text1"/>
          <w:lang w:val="es-US"/>
        </w:rPr>
        <w:t>(e.g., Durán-Medina, Mas, &amp; Velázquez, 2005; Porter-Bolland et al., 2012)</w:t>
      </w:r>
      <w:r w:rsidR="00C62D43">
        <w:rPr>
          <w:color w:val="000000" w:themeColor="text1"/>
        </w:rPr>
        <w:fldChar w:fldCharType="end"/>
      </w:r>
      <w:r w:rsidR="00554E4B" w:rsidRPr="00C62D43">
        <w:rPr>
          <w:color w:val="000000" w:themeColor="text1"/>
          <w:lang w:val="es-US"/>
        </w:rPr>
        <w:t>.</w:t>
      </w:r>
      <w:r w:rsidR="00697413" w:rsidRPr="00C62D43">
        <w:rPr>
          <w:color w:val="000000" w:themeColor="text1"/>
          <w:lang w:val="es-US"/>
        </w:rPr>
        <w:t xml:space="preserve"> </w:t>
      </w:r>
      <w:r w:rsidR="00697413">
        <w:rPr>
          <w:color w:val="000000" w:themeColor="text1"/>
        </w:rPr>
        <w:t>W</w:t>
      </w:r>
      <w:r w:rsidR="00554E4B">
        <w:rPr>
          <w:color w:val="000000" w:themeColor="text1"/>
        </w:rPr>
        <w:t>e controlled for tenure in our analysi</w:t>
      </w:r>
      <w:r w:rsidR="00697413">
        <w:rPr>
          <w:color w:val="000000" w:themeColor="text1"/>
        </w:rPr>
        <w:t xml:space="preserve">s due to the </w:t>
      </w:r>
      <w:bookmarkStart w:id="8" w:name="_Toc33289896"/>
      <w:r w:rsidR="001816B6">
        <w:rPr>
          <w:color w:val="000000" w:themeColor="text1"/>
        </w:rPr>
        <w:t xml:space="preserve">substantial </w:t>
      </w:r>
      <w:r w:rsidR="008976AC">
        <w:rPr>
          <w:color w:val="000000" w:themeColor="text1"/>
        </w:rPr>
        <w:t>overlap</w:t>
      </w:r>
      <w:r w:rsidR="001816B6">
        <w:rPr>
          <w:color w:val="000000" w:themeColor="text1"/>
        </w:rPr>
        <w:t xml:space="preserve"> of </w:t>
      </w:r>
      <w:r w:rsidR="001816B6">
        <w:rPr>
          <w:i/>
          <w:iCs/>
          <w:color w:val="000000" w:themeColor="text1"/>
        </w:rPr>
        <w:t>ejidos</w:t>
      </w:r>
      <w:r w:rsidR="001816B6">
        <w:rPr>
          <w:color w:val="000000" w:themeColor="text1"/>
        </w:rPr>
        <w:t xml:space="preserve"> </w:t>
      </w:r>
      <w:r w:rsidR="008976AC">
        <w:rPr>
          <w:color w:val="000000" w:themeColor="text1"/>
        </w:rPr>
        <w:t>and</w:t>
      </w:r>
      <w:r w:rsidR="001816B6">
        <w:rPr>
          <w:color w:val="000000" w:themeColor="text1"/>
        </w:rPr>
        <w:t xml:space="preserve"> </w:t>
      </w:r>
      <w:r w:rsidR="00695FDC">
        <w:rPr>
          <w:color w:val="000000" w:themeColor="text1"/>
        </w:rPr>
        <w:t>PAs</w:t>
      </w:r>
      <w:r w:rsidR="008976AC">
        <w:rPr>
          <w:color w:val="000000" w:themeColor="text1"/>
        </w:rPr>
        <w:t xml:space="preserve"> in Mexico</w:t>
      </w:r>
      <w:r w:rsidR="00B2345C">
        <w:rPr>
          <w:color w:val="000000" w:themeColor="text1"/>
        </w:rPr>
        <w:t>.</w:t>
      </w:r>
    </w:p>
    <w:p w14:paraId="50863C5D" w14:textId="77777777" w:rsidR="00E82749" w:rsidRDefault="00E82749" w:rsidP="003E53E3">
      <w:pPr>
        <w:rPr>
          <w:i/>
          <w:iCs/>
        </w:rPr>
      </w:pPr>
    </w:p>
    <w:p w14:paraId="3FA37252" w14:textId="7D26FAD6" w:rsidR="004705B9" w:rsidRDefault="00156A2D" w:rsidP="003E53E3">
      <w:pPr>
        <w:pStyle w:val="ListParagraph"/>
        <w:numPr>
          <w:ilvl w:val="1"/>
          <w:numId w:val="8"/>
        </w:numPr>
        <w:rPr>
          <w:i/>
          <w:iCs/>
        </w:rPr>
      </w:pPr>
      <w:r>
        <w:rPr>
          <w:i/>
          <w:iCs/>
        </w:rPr>
        <w:t xml:space="preserve"> </w:t>
      </w:r>
      <w:r w:rsidR="004705B9" w:rsidRPr="006E7ECA">
        <w:rPr>
          <w:i/>
          <w:iCs/>
        </w:rPr>
        <w:t>Data Analysis</w:t>
      </w:r>
      <w:bookmarkEnd w:id="7"/>
      <w:bookmarkEnd w:id="8"/>
      <w:r w:rsidR="004705B9" w:rsidRPr="006E7ECA">
        <w:rPr>
          <w:i/>
          <w:iCs/>
        </w:rPr>
        <w:t xml:space="preserve"> </w:t>
      </w:r>
    </w:p>
    <w:p w14:paraId="1E9851A5" w14:textId="324D65F5" w:rsidR="00612773" w:rsidRDefault="005409B2" w:rsidP="003E53E3">
      <w:pPr>
        <w:ind w:firstLine="720"/>
      </w:pPr>
      <w:r>
        <w:t xml:space="preserve">To accurately measure causal effect relative to a counterfactual, impact evaluation design is needed to account for hidden biases in intervention placement </w:t>
      </w:r>
      <w:r>
        <w:fldChar w:fldCharType="begin" w:fldLock="1"/>
      </w:r>
      <w:r w:rsidR="006B2563">
        <w:instrText>ADDIN CSL_CITATION {"citationItems":[{"id":"ITEM-1","itemData":{"DOI":"10.1111/conl.12180","author":[{"dropping-particle":"","family":"Baylis","given":"Kathy","non-dropping-particle":"","parse-names":false,"suffix":""},{"dropping-particle":"","family":"Honey-Roses","given":"Jordi","non-dropping-particle":"","parse-names":false,"suffix":""},{"dropping-particle":"","family":"Borner","given":"Jan","non-dropping-particle":"","parse-names":false,"suffix":""},{"dropping-particle":"","family":"Corbera","given":"Esteve","non-dropping-particle":"","parse-names":false,"suffix":""},{"dropping-particle":"","family":"Ezzine-de-Blas","given":"Driss","non-dropping-particle":"","parse-names":false,"suffix":""},{"dropping-particle":"","family":"Ferraro","given":"Paul J","non-dropping-particle":"","parse-names":false,"suffix":""},{"dropping-particle":"","family":"Lapeyre","given":"Renaud","non-dropping-particle":"","parse-names":false,"suffix":""},{"dropping-particle":"","family":"Persson","given":"U Martin","non-dropping-particle":"","parse-names":false,"suffix":""},{"dropping-particle":"","family":"Pfaff","given":"Alex","non-dropping-particle":"","parse-names":false,"suffix":""},{"dropping-particle":"","family":"Wunder","given":"Sven","non-dropping-particle":"","parse-names":false,"suffix":""}],"container-title":"Conservation Letters","id":"ITEM-1","issue":"1","issued":{"date-parts":[["2016"]]},"page":"58-64","title":"Mainstreaming Impact Evaluation in Nature Conservation","type":"article-journal","volume":"9"},"uris":["http://www.mendeley.com/documents/?uuid=52f3ed4d-7e8b-4474-915a-7f615a3e5303"]}],"mendeley":{"formattedCitation":"(Baylis et al., 2016)","plainTextFormattedCitation":"(Baylis et al., 2016)","previouslyFormattedCitation":"(Baylis et al., 2016)"},"properties":{"noteIndex":0},"schema":"https://github.com/citation-style-language/schema/raw/master/csl-citation.json"}</w:instrText>
      </w:r>
      <w:r>
        <w:fldChar w:fldCharType="separate"/>
      </w:r>
      <w:r w:rsidR="006B2563" w:rsidRPr="006B2563">
        <w:rPr>
          <w:noProof/>
        </w:rPr>
        <w:t>(Baylis et al., 2016)</w:t>
      </w:r>
      <w:r>
        <w:fldChar w:fldCharType="end"/>
      </w:r>
      <w:r>
        <w:t xml:space="preserve">. </w:t>
      </w:r>
      <w:r>
        <w:rPr>
          <w:color w:val="000000" w:themeColor="text1"/>
        </w:rPr>
        <w:t>Matching</w:t>
      </w:r>
      <w:r w:rsidRPr="00681A46">
        <w:rPr>
          <w:color w:val="000000" w:themeColor="text1"/>
        </w:rPr>
        <w:t xml:space="preserve"> is </w:t>
      </w:r>
      <w:r w:rsidR="001816B6">
        <w:rPr>
          <w:color w:val="000000" w:themeColor="text1"/>
        </w:rPr>
        <w:t>one</w:t>
      </w:r>
      <w:r w:rsidR="001816B6" w:rsidRPr="00681A46">
        <w:rPr>
          <w:color w:val="000000" w:themeColor="text1"/>
        </w:rPr>
        <w:t xml:space="preserve"> </w:t>
      </w:r>
      <w:r w:rsidRPr="00681A46">
        <w:rPr>
          <w:color w:val="000000" w:themeColor="text1"/>
        </w:rPr>
        <w:t xml:space="preserve">approach used to control for </w:t>
      </w:r>
      <w:r w:rsidR="0020189C">
        <w:rPr>
          <w:color w:val="000000" w:themeColor="text1"/>
        </w:rPr>
        <w:t>such</w:t>
      </w:r>
      <w:r w:rsidR="0020189C" w:rsidRPr="00681A46">
        <w:rPr>
          <w:color w:val="000000" w:themeColor="text1"/>
        </w:rPr>
        <w:t xml:space="preserve"> </w:t>
      </w:r>
      <w:r w:rsidRPr="00681A46">
        <w:rPr>
          <w:color w:val="000000" w:themeColor="text1"/>
        </w:rPr>
        <w:t>biases</w:t>
      </w:r>
      <w:r w:rsidR="0020189C">
        <w:rPr>
          <w:color w:val="000000" w:themeColor="text1"/>
        </w:rPr>
        <w:t>,</w:t>
      </w:r>
      <w:r w:rsidRPr="00681A46">
        <w:rPr>
          <w:color w:val="000000" w:themeColor="text1"/>
        </w:rPr>
        <w:t xml:space="preserve"> </w:t>
      </w:r>
      <w:r>
        <w:rPr>
          <w:color w:val="000000" w:themeColor="text1"/>
        </w:rPr>
        <w:t>and</w:t>
      </w:r>
      <w:r w:rsidRPr="00681A46">
        <w:rPr>
          <w:color w:val="000000" w:themeColor="text1"/>
        </w:rPr>
        <w:t xml:space="preserve"> can help account for non-randomly </w:t>
      </w:r>
      <w:r w:rsidR="00C270D2" w:rsidRPr="00681A46">
        <w:rPr>
          <w:color w:val="000000" w:themeColor="text1"/>
        </w:rPr>
        <w:t xml:space="preserve">assigned treatment groups by increasing similarities among predictive variables, or </w:t>
      </w:r>
      <w:r w:rsidR="00C270D2">
        <w:rPr>
          <w:color w:val="000000" w:themeColor="text1"/>
        </w:rPr>
        <w:t xml:space="preserve">observable </w:t>
      </w:r>
      <w:r w:rsidR="00C270D2" w:rsidRPr="00681A46">
        <w:rPr>
          <w:color w:val="000000" w:themeColor="text1"/>
        </w:rPr>
        <w:t xml:space="preserve">covariates, within treatment and non-treatment </w:t>
      </w:r>
      <w:r w:rsidR="00D1305B">
        <w:rPr>
          <w:color w:val="000000" w:themeColor="text1"/>
        </w:rPr>
        <w:t xml:space="preserve">groups </w:t>
      </w:r>
      <w:r w:rsidR="00D1305B">
        <w:rPr>
          <w:color w:val="000000" w:themeColor="text1"/>
        </w:rPr>
        <w:fldChar w:fldCharType="begin" w:fldLock="1"/>
      </w:r>
      <w:r w:rsidR="006B2563">
        <w:rPr>
          <w:color w:val="000000" w:themeColor="text1"/>
        </w:rPr>
        <w:instrText>ADDIN CSL_CITATION {"citationItems":[{"id":"ITEM-1","itemData":{"DOI":"10.1080/00273171.2011.568786","author":[{"dropping-particle":"","family":"Austin","given":"Peter C","non-dropping-particle":"","parse-names":false,"suffix":""}],"container-title":"Mutivariate Behavioral Research","id":"ITEM-1","issued":{"date-parts":[["2011"]]},"page":"399-424","title":"An Introduction to Propensity Score Methods for Reducing the Effects of Confounding in Observational Studies","type":"article-journal","volume":"46"},"uris":["http://www.mendeley.com/documents/?uuid=92c6caa5-34f2-4524-8af6-f8a13de0b56c"]},{"id":"ITEM-2","itemData":{"DOI":"10.1111/cobi.13448","author":[{"dropping-particle":"","family":"Schleicher","given":"Judith","non-dropping-particle":"","parse-names":false,"suffix":""},{"dropping-particle":"","family":"Eklund","given":"Johanna","non-dropping-particle":"","parse-names":false,"suffix":""},{"dropping-particle":"","family":"Barnes","given":"Megan D","non-dropping-particle":"","parse-names":false,"suffix":""},{"dropping-particle":"","family":"Geldmann","given":"Jonas","non-dropping-particle":"","parse-names":false,"suffix":""},{"dropping-particle":"","family":"Oldekop","given":"Johan A","non-dropping-particle":"","parse-names":false,"suffix":""},{"dropping-particle":"","family":"Jones","given":"Julia P G","non-dropping-particle":"","parse-names":false,"suffix":""}],"container-title":"Conservation Biology","id":"ITEM-2","issue":"3","issued":{"date-parts":[["2019"]]},"page":"538-549","title":"Statistical matching for conservation science","type":"article-journal","volume":"34"},"uris":["http://www.mendeley.com/documents/?uuid=84956bab-b5c6-4c0d-a051-00d3516ff7a7"]},{"id":"ITEM-3","itemData":{"DOI":"10.1214/09-STS313.Matching","author":[{"dropping-particle":"","family":"Stuart","given":"Elizabeth A","non-dropping-particle":"","parse-names":false,"suffix":""}],"container-title":"Stat Science","id":"ITEM-3","issue":"1","issued":{"date-parts":[["2010"]]},"page":"1-21","title":"Matching methods for causal inference: A review and a look forward","type":"article-journal","volume":"25"},"uris":["http://www.mendeley.com/documents/?uuid=3f2ee257-152a-4ffd-97d1-c334b4cc1cf2"]}],"mendeley":{"formattedCitation":"(Austin, 2011; Schleicher et al., 2019; Stuart, 2010)","plainTextFormattedCitation":"(Austin, 2011; Schleicher et al., 2019; Stuart, 2010)","previouslyFormattedCitation":"(Austin, 2011; Schleicher et al., 2019; Stuart, 2010)"},"properties":{"noteIndex":0},"schema":"https://github.com/citation-style-language/schema/raw/master/csl-citation.json"}</w:instrText>
      </w:r>
      <w:r w:rsidR="00D1305B">
        <w:rPr>
          <w:color w:val="000000" w:themeColor="text1"/>
        </w:rPr>
        <w:fldChar w:fldCharType="separate"/>
      </w:r>
      <w:r w:rsidR="00D1305B" w:rsidRPr="00D1305B">
        <w:rPr>
          <w:noProof/>
          <w:color w:val="000000" w:themeColor="text1"/>
        </w:rPr>
        <w:t>(Austin, 2011; Schleicher et al., 2019; Stuart, 2010)</w:t>
      </w:r>
      <w:r w:rsidR="00D1305B">
        <w:rPr>
          <w:color w:val="000000" w:themeColor="text1"/>
        </w:rPr>
        <w:fldChar w:fldCharType="end"/>
      </w:r>
      <w:r w:rsidRPr="00681A46">
        <w:rPr>
          <w:color w:val="000000" w:themeColor="text1"/>
        </w:rPr>
        <w:t>.</w:t>
      </w:r>
      <w:r>
        <w:rPr>
          <w:color w:val="000000" w:themeColor="text1"/>
        </w:rPr>
        <w:t xml:space="preserve"> </w:t>
      </w:r>
      <w:r w:rsidR="00425A30">
        <w:rPr>
          <w:color w:val="000000" w:themeColor="text1"/>
        </w:rPr>
        <w:t>W</w:t>
      </w:r>
      <w:r w:rsidR="003E40A9" w:rsidRPr="003158FA">
        <w:rPr>
          <w:color w:val="000000" w:themeColor="text1"/>
        </w:rPr>
        <w:t>e</w:t>
      </w:r>
      <w:r w:rsidRPr="003158FA">
        <w:rPr>
          <w:color w:val="000000" w:themeColor="text1"/>
        </w:rPr>
        <w:t xml:space="preserve"> </w:t>
      </w:r>
      <w:r w:rsidR="001E0131">
        <w:rPr>
          <w:color w:val="000000" w:themeColor="text1"/>
        </w:rPr>
        <w:t>implement</w:t>
      </w:r>
      <w:r w:rsidR="001E0131" w:rsidRPr="003158FA">
        <w:rPr>
          <w:color w:val="000000" w:themeColor="text1"/>
        </w:rPr>
        <w:t xml:space="preserve"> </w:t>
      </w:r>
      <w:r w:rsidRPr="003158FA">
        <w:rPr>
          <w:color w:val="000000" w:themeColor="text1"/>
        </w:rPr>
        <w:t xml:space="preserve">matching </w:t>
      </w:r>
      <w:r w:rsidR="00425A30">
        <w:t>f</w:t>
      </w:r>
      <w:r w:rsidR="00425A30" w:rsidRPr="003158FA">
        <w:t>ollowing the best practices outlined by Schleicher et al</w:t>
      </w:r>
      <w:r w:rsidR="004250FC">
        <w:t>.</w:t>
      </w:r>
      <w:r w:rsidR="00425A30" w:rsidRPr="003158FA">
        <w:t xml:space="preserve"> (2019)</w:t>
      </w:r>
      <w:r w:rsidRPr="003158FA">
        <w:t xml:space="preserve">. </w:t>
      </w:r>
    </w:p>
    <w:p w14:paraId="1E7E7656" w14:textId="7ECBA07E" w:rsidR="00FE1431" w:rsidRDefault="00FE1431" w:rsidP="003E53E3">
      <w:pPr>
        <w:ind w:firstLine="720"/>
      </w:pPr>
      <w:r>
        <w:t xml:space="preserve">Prior to </w:t>
      </w:r>
      <w:r w:rsidR="000C293F">
        <w:t>matching</w:t>
      </w:r>
      <w:r>
        <w:t>, we examined correlation coefficients between all socioeconomic, ecological</w:t>
      </w:r>
      <w:r w:rsidR="0020189C">
        <w:t>,</w:t>
      </w:r>
      <w:r>
        <w:t xml:space="preserve"> and climatological covariates to minimize potential multicollinearity and maximize model fit</w:t>
      </w:r>
      <w:r w:rsidR="00982708">
        <w:t xml:space="preserve"> (</w:t>
      </w:r>
      <w:r w:rsidR="00375989">
        <w:t>Appendix</w:t>
      </w:r>
      <w:r w:rsidR="00982708">
        <w:t xml:space="preserve"> Table </w:t>
      </w:r>
      <w:r w:rsidR="00F32918">
        <w:t>4</w:t>
      </w:r>
      <w:r w:rsidR="00982708">
        <w:t>)</w:t>
      </w:r>
      <w:r>
        <w:t>. We select</w:t>
      </w:r>
      <w:r w:rsidR="009E7486">
        <w:t>ed</w:t>
      </w:r>
      <w:r>
        <w:t xml:space="preserve"> six covariates </w:t>
      </w:r>
      <w:r w:rsidR="00E805AD">
        <w:t xml:space="preserve">that were not highly correlated and </w:t>
      </w:r>
      <w:r>
        <w:t xml:space="preserve">that </w:t>
      </w:r>
      <w:r w:rsidR="009E7486">
        <w:t xml:space="preserve">were </w:t>
      </w:r>
      <w:r>
        <w:t xml:space="preserve">significant predictors of </w:t>
      </w:r>
      <w:r w:rsidR="00E805AD">
        <w:t xml:space="preserve">both </w:t>
      </w:r>
      <w:r>
        <w:t xml:space="preserve">forest loss and </w:t>
      </w:r>
      <w:r w:rsidR="00016B66">
        <w:t>PA</w:t>
      </w:r>
      <w:r w:rsidR="00E805AD">
        <w:t xml:space="preserve"> status</w:t>
      </w:r>
      <w:r w:rsidR="009E7486">
        <w:t xml:space="preserve"> </w:t>
      </w:r>
      <w:r>
        <w:t>(</w:t>
      </w:r>
      <w:r w:rsidR="00375989">
        <w:t>Appendix</w:t>
      </w:r>
      <w:r>
        <w:t xml:space="preserve"> Table </w:t>
      </w:r>
      <w:r w:rsidR="00F32918">
        <w:t>5</w:t>
      </w:r>
      <w:r>
        <w:t>)</w:t>
      </w:r>
      <w:r w:rsidR="00E805AD">
        <w:t>. The final six covariates used in matching included</w:t>
      </w:r>
      <w:r>
        <w:t xml:space="preserve"> elevation, slope, urban distance, road distance, average yearly rainfall, and </w:t>
      </w:r>
      <w:r w:rsidRPr="009910A9">
        <w:rPr>
          <w:i/>
          <w:iCs/>
        </w:rPr>
        <w:t>ejido</w:t>
      </w:r>
      <w:r>
        <w:t xml:space="preserve"> tenure.</w:t>
      </w:r>
    </w:p>
    <w:p w14:paraId="1D05571C" w14:textId="46C65C30" w:rsidR="00D56A8B" w:rsidRPr="00612773" w:rsidRDefault="00445BCD" w:rsidP="003E53E3">
      <w:pPr>
        <w:ind w:firstLine="720"/>
      </w:pPr>
      <w:r>
        <w:t>We</w:t>
      </w:r>
      <w:r w:rsidR="00215F40">
        <w:t xml:space="preserve"> </w:t>
      </w:r>
      <w:r>
        <w:t>use</w:t>
      </w:r>
      <w:r w:rsidR="00B234EA">
        <w:t>d</w:t>
      </w:r>
      <w:r>
        <w:t xml:space="preserve"> </w:t>
      </w:r>
      <w:r w:rsidR="00C25CF7">
        <w:t>two</w:t>
      </w:r>
      <w:r w:rsidR="005409B2">
        <w:t xml:space="preserve"> matching algorithms</w:t>
      </w:r>
      <w:r w:rsidR="00D56A8B">
        <w:t xml:space="preserve"> to match protected and unprotected cells</w:t>
      </w:r>
      <w:r w:rsidR="009E5B5B">
        <w:t>:</w:t>
      </w:r>
      <w:r w:rsidR="00C25CF7">
        <w:t xml:space="preserve"> </w:t>
      </w:r>
      <w:r w:rsidR="00C25CF7" w:rsidRPr="00425971">
        <w:rPr>
          <w:color w:val="000000" w:themeColor="text1"/>
        </w:rPr>
        <w:t>Propensity Score Matching and Mahalanobis Distance Matching</w:t>
      </w:r>
      <w:r w:rsidR="00D56A8B">
        <w:rPr>
          <w:color w:val="000000" w:themeColor="text1"/>
        </w:rPr>
        <w:t>. We use</w:t>
      </w:r>
      <w:r w:rsidR="00B234EA">
        <w:rPr>
          <w:color w:val="000000" w:themeColor="text1"/>
        </w:rPr>
        <w:t>d</w:t>
      </w:r>
      <w:r w:rsidR="00D56A8B">
        <w:rPr>
          <w:color w:val="000000" w:themeColor="text1"/>
        </w:rPr>
        <w:t xml:space="preserve"> a one-to-one matching without replacement for both algorithms and test</w:t>
      </w:r>
      <w:r w:rsidR="00B234EA">
        <w:rPr>
          <w:color w:val="000000" w:themeColor="text1"/>
        </w:rPr>
        <w:t>ed</w:t>
      </w:r>
      <w:r w:rsidR="00D56A8B">
        <w:rPr>
          <w:color w:val="000000" w:themeColor="text1"/>
        </w:rPr>
        <w:t xml:space="preserve"> a caliper of 0.2 standard deviations and 0.1 standard deviation</w:t>
      </w:r>
      <w:r w:rsidR="0020189C">
        <w:rPr>
          <w:color w:val="000000" w:themeColor="text1"/>
        </w:rPr>
        <w:t>s</w:t>
      </w:r>
      <w:r w:rsidR="00D56A8B">
        <w:rPr>
          <w:color w:val="000000" w:themeColor="text1"/>
        </w:rPr>
        <w:t xml:space="preserve"> when necessary to improve match quality </w:t>
      </w:r>
      <w:r w:rsidR="00D56A8B" w:rsidRPr="00EF7B0B">
        <w:rPr>
          <w:color w:val="000000" w:themeColor="text1"/>
        </w:rPr>
        <w:fldChar w:fldCharType="begin" w:fldLock="1"/>
      </w:r>
      <w:r w:rsidR="00D56A8B">
        <w:rPr>
          <w:color w:val="000000" w:themeColor="text1"/>
        </w:rPr>
        <w:instrText>ADDIN CSL_CITATION {"citationItems":[{"id":"ITEM-1","itemData":{"author":[{"dropping-particle":"","family":"Imbens","given":"Guido W","non-dropping-particle":"","parse-names":false,"suffix":""},{"dropping-particle":"","family":"Rubin","given":"Donald B","non-dropping-particle":"","parse-names":false,"suffix":""}],"id":"ITEM-1","issued":{"date-parts":[["2015"]]},"publisher":"Cambridge University Press","publisher-place":"New York, NY","title":"Causal Inference for Statistics, Social, and Biomedical Sciences","type":"book"},"uris":["http://www.mendeley.com/documents/?uuid=788d9ac5-44bd-4c62-87f8-ec5b28010509"]},{"id":"ITEM-2","itemData":{"DOI":"10.1214/09-STS313.Matching","author":[{"dropping-particle":"","family":"Stuart","given":"Elizabeth A","non-dropping-particle":"","parse-names":false,"suffix":""}],"container-title":"Stat Science","id":"ITEM-2","issue":"1","issued":{"date-parts":[["2010"]]},"page":"1-21","title":"Matching methods for causal inference: A review and a look forward","type":"article-journal","volume":"25"},"uris":["http://www.mendeley.com/documents/?uuid=3f2ee257-152a-4ffd-97d1-c334b4cc1cf2"]}],"mendeley":{"formattedCitation":"(Imbens &amp; Rubin, 2015; Stuart, 2010)","plainTextFormattedCitation":"(Imbens &amp; Rubin, 2015; Stuart, 2010)","previouslyFormattedCitation":"(Imbens &amp; Rubin, 2015; Stuart, 2010)"},"properties":{"noteIndex":0},"schema":"https://github.com/citation-style-language/schema/raw/master/csl-citation.json"}</w:instrText>
      </w:r>
      <w:r w:rsidR="00D56A8B" w:rsidRPr="00EF7B0B">
        <w:rPr>
          <w:color w:val="000000" w:themeColor="text1"/>
        </w:rPr>
        <w:fldChar w:fldCharType="separate"/>
      </w:r>
      <w:r w:rsidR="00D56A8B" w:rsidRPr="00F230ED">
        <w:rPr>
          <w:noProof/>
          <w:color w:val="000000" w:themeColor="text1"/>
        </w:rPr>
        <w:t>(Imbens &amp; Rubin, 2015; Stuart, 2010)</w:t>
      </w:r>
      <w:r w:rsidR="00D56A8B" w:rsidRPr="00EF7B0B">
        <w:rPr>
          <w:color w:val="000000" w:themeColor="text1"/>
        </w:rPr>
        <w:fldChar w:fldCharType="end"/>
      </w:r>
      <w:r w:rsidR="00D56A8B" w:rsidRPr="00EF7B0B">
        <w:rPr>
          <w:color w:val="000000" w:themeColor="text1"/>
        </w:rPr>
        <w:t>.</w:t>
      </w:r>
      <w:r w:rsidR="00D56A8B">
        <w:rPr>
          <w:color w:val="000000" w:themeColor="text1"/>
        </w:rPr>
        <w:t xml:space="preserve"> We </w:t>
      </w:r>
      <w:r w:rsidR="00D56A8B">
        <w:t>evaluate</w:t>
      </w:r>
      <w:r w:rsidR="008249D4">
        <w:t>d</w:t>
      </w:r>
      <w:r w:rsidR="00D56A8B">
        <w:t xml:space="preserve"> the quality of each match by calculating the standardized bias (SB</w:t>
      </w:r>
      <w:r w:rsidR="007153C6">
        <w:t>)</w:t>
      </w:r>
      <w:r w:rsidR="00D56A8B">
        <w:t xml:space="preserve"> and </w:t>
      </w:r>
      <w:r w:rsidR="005409B2">
        <w:t>examin</w:t>
      </w:r>
      <w:r w:rsidR="003E40A9">
        <w:t>e</w:t>
      </w:r>
      <w:r w:rsidR="008249D4">
        <w:t>d</w:t>
      </w:r>
      <w:r w:rsidR="005409B2">
        <w:t xml:space="preserve"> potential biases from omitted variables </w:t>
      </w:r>
      <w:r w:rsidR="006B42B3">
        <w:t>using</w:t>
      </w:r>
      <w:r w:rsidR="006850B1">
        <w:t xml:space="preserve"> Rosenbaum bounds </w:t>
      </w:r>
      <w:r w:rsidR="00CB6907">
        <w:rPr>
          <w:color w:val="000000" w:themeColor="text1"/>
        </w:rPr>
        <w:t>sensitivity test (</w:t>
      </w:r>
      <w:r w:rsidR="00CB6907">
        <w:t>Γ</w:t>
      </w:r>
      <w:r w:rsidR="00CB6907">
        <w:rPr>
          <w:color w:val="000000" w:themeColor="text1"/>
        </w:rPr>
        <w:t>)</w:t>
      </w:r>
      <w:r w:rsidR="00D60200">
        <w:rPr>
          <w:color w:val="000000" w:themeColor="text1"/>
        </w:rPr>
        <w:t>, a measure of the amount of change in a confounding factor required to undermine the statistical significance of the treatment effect</w:t>
      </w:r>
      <w:r w:rsidR="00CB6907">
        <w:rPr>
          <w:color w:val="000000" w:themeColor="text1"/>
        </w:rPr>
        <w:t xml:space="preserve"> </w:t>
      </w:r>
      <w:r w:rsidR="00CB6907">
        <w:rPr>
          <w:color w:val="000000" w:themeColor="text1"/>
        </w:rPr>
        <w:fldChar w:fldCharType="begin" w:fldLock="1"/>
      </w:r>
      <w:r w:rsidR="00CB6907">
        <w:rPr>
          <w:color w:val="000000" w:themeColor="text1"/>
        </w:rPr>
        <w:instrText>ADDIN CSL_CITATION {"citationItems":[{"id":"ITEM-1","itemData":{"author":[{"dropping-particle":"","family":"Rosenbaum","given":"Paul R","non-dropping-particle":"","parse-names":false,"suffix":""}],"container-title":"Observational Studies","id":"ITEM-1","issued":{"date-parts":[["2002"]]},"page":"71-104","publisher":"Springer","publisher-place":"New York, NY","title":"Overt bias in observational studies","type":"chapter"},"uris":["http://www.mendeley.com/documents/?uuid=10a01e23-0ccc-403f-b3d9-5236987da3bd"]}],"mendeley":{"formattedCitation":"(Rosenbaum, 2002)","plainTextFormattedCitation":"(Rosenbaum, 2002)","previouslyFormattedCitation":"(Rosenbaum, 2002)"},"properties":{"noteIndex":0},"schema":"https://github.com/citation-style-language/schema/raw/master/csl-citation.json"}</w:instrText>
      </w:r>
      <w:r w:rsidR="00CB6907">
        <w:rPr>
          <w:color w:val="000000" w:themeColor="text1"/>
        </w:rPr>
        <w:fldChar w:fldCharType="separate"/>
      </w:r>
      <w:r w:rsidR="00CB6907" w:rsidRPr="008444C0">
        <w:rPr>
          <w:noProof/>
          <w:color w:val="000000" w:themeColor="text1"/>
        </w:rPr>
        <w:t>(Rosenbaum, 2002)</w:t>
      </w:r>
      <w:r w:rsidR="00CB6907">
        <w:rPr>
          <w:color w:val="000000" w:themeColor="text1"/>
        </w:rPr>
        <w:fldChar w:fldCharType="end"/>
      </w:r>
      <w:r w:rsidR="00D56A8B">
        <w:rPr>
          <w:color w:val="000000" w:themeColor="text1"/>
        </w:rPr>
        <w:t xml:space="preserve">. </w:t>
      </w:r>
    </w:p>
    <w:p w14:paraId="16904D3B" w14:textId="5DA8A174" w:rsidR="00603796" w:rsidRDefault="00C165EB" w:rsidP="003E53E3">
      <w:pPr>
        <w:ind w:firstLine="720"/>
      </w:pPr>
      <w:r>
        <w:t xml:space="preserve">The influence of management effectiveness on </w:t>
      </w:r>
      <w:r w:rsidR="00016B66">
        <w:t>PA</w:t>
      </w:r>
      <w:r>
        <w:t xml:space="preserve"> outcomes was measured by </w:t>
      </w:r>
      <w:r w:rsidR="00250A03">
        <w:t xml:space="preserve">(1) </w:t>
      </w:r>
      <w:r>
        <w:t xml:space="preserve">calculating average treatment effect (ATE) across </w:t>
      </w:r>
      <w:r w:rsidR="00E457C8">
        <w:t>matched management</w:t>
      </w:r>
      <w:r>
        <w:t xml:space="preserve"> subgroups and </w:t>
      </w:r>
      <w:r w:rsidR="00250A03">
        <w:t xml:space="preserve">(2) </w:t>
      </w:r>
      <w:r>
        <w:t xml:space="preserve">using an interaction term in a general linear regression model. </w:t>
      </w:r>
      <w:r w:rsidR="00AF1C73">
        <w:t xml:space="preserve">For </w:t>
      </w:r>
      <w:r w:rsidR="00FD29A8">
        <w:t xml:space="preserve">the subgroup </w:t>
      </w:r>
      <w:r w:rsidR="00AF1C73">
        <w:t>analysis, let D</w:t>
      </w:r>
      <w:r w:rsidR="00AF1C73" w:rsidRPr="00BB10F9">
        <w:rPr>
          <w:vertAlign w:val="subscript"/>
        </w:rPr>
        <w:t>h</w:t>
      </w:r>
      <w:r w:rsidR="00AF1C73">
        <w:rPr>
          <w:vertAlign w:val="subscript"/>
        </w:rPr>
        <w:t>e</w:t>
      </w:r>
      <w:r w:rsidR="00AF1C73">
        <w:t>=1 if the grid cell has a high management effectiveness score and equal to 0 if unprotected and D</w:t>
      </w:r>
      <w:r w:rsidR="00AF1C73" w:rsidRPr="00437FB2">
        <w:rPr>
          <w:vertAlign w:val="subscript"/>
        </w:rPr>
        <w:t>l</w:t>
      </w:r>
      <w:r w:rsidR="00AF1C73">
        <w:rPr>
          <w:vertAlign w:val="subscript"/>
        </w:rPr>
        <w:t>e</w:t>
      </w:r>
      <w:r w:rsidR="00AF1C73">
        <w:t xml:space="preserve">=1 if the grid cell has a low management effectiveness score and 0 if unprotected. </w:t>
      </w:r>
      <w:r w:rsidR="00C27AD5" w:rsidRPr="001B718F">
        <w:t xml:space="preserve">The median management effectiveness score was used </w:t>
      </w:r>
      <w:r w:rsidR="00B3197B" w:rsidRPr="001B718F">
        <w:t xml:space="preserve">as the cutoff between high and low </w:t>
      </w:r>
      <w:r w:rsidR="003855CC" w:rsidRPr="001B718F">
        <w:t xml:space="preserve">management </w:t>
      </w:r>
      <w:r w:rsidR="00B3197B" w:rsidRPr="001B718F">
        <w:t>effectiveness</w:t>
      </w:r>
      <w:r w:rsidR="003855CC" w:rsidRPr="001B718F">
        <w:t xml:space="preserve"> </w:t>
      </w:r>
      <w:r w:rsidR="00695FDC">
        <w:t>PAs</w:t>
      </w:r>
      <w:r w:rsidR="0041211F" w:rsidRPr="001B718F">
        <w:t>.</w:t>
      </w:r>
      <w:r w:rsidR="0041211F">
        <w:t xml:space="preserve"> </w:t>
      </w:r>
      <w:r w:rsidR="00437FB2">
        <w:t xml:space="preserve">Y is the continuous forest loss between 2017-2019. </w:t>
      </w:r>
      <w:r w:rsidR="00191CF4">
        <w:t>After selecting the most balanced match</w:t>
      </w:r>
      <w:r w:rsidR="00725939">
        <w:t xml:space="preserve"> for each subgroup</w:t>
      </w:r>
      <w:r w:rsidR="00191CF4">
        <w:t>, we calculate</w:t>
      </w:r>
      <w:r w:rsidR="003855CC">
        <w:t>d</w:t>
      </w:r>
      <w:r w:rsidR="00191CF4">
        <w:t xml:space="preserve"> ATE </w:t>
      </w:r>
      <w:r w:rsidR="00191CF4" w:rsidRPr="00475A5E">
        <w:rPr>
          <w:color w:val="000000" w:themeColor="text1"/>
        </w:rPr>
        <w:t>as the difference in mean outcomes between treatment and control cells</w:t>
      </w:r>
      <w:r>
        <w:rPr>
          <w:color w:val="000000" w:themeColor="text1"/>
        </w:rPr>
        <w:t xml:space="preserve">, or </w:t>
      </w:r>
      <w:r w:rsidRPr="00C165EB">
        <w:rPr>
          <w:color w:val="000000" w:themeColor="text1"/>
        </w:rPr>
        <w:t>[</w:t>
      </w:r>
      <w:r w:rsidR="00374D6C" w:rsidRPr="00374D6C">
        <w:t>Σ</w:t>
      </w:r>
      <w:r w:rsidR="00374D6C" w:rsidRPr="00C165EB">
        <w:rPr>
          <w:shd w:val="clear" w:color="auto" w:fill="FFFFFF"/>
        </w:rPr>
        <w:t xml:space="preserve"> </w:t>
      </w:r>
      <w:r w:rsidRPr="00C165EB">
        <w:rPr>
          <w:shd w:val="clear" w:color="auto" w:fill="FFFFFF"/>
        </w:rPr>
        <w:t>(Y|D</w:t>
      </w:r>
      <w:r w:rsidR="00BB10F9" w:rsidRPr="00BB10F9">
        <w:rPr>
          <w:vertAlign w:val="subscript"/>
        </w:rPr>
        <w:t>h</w:t>
      </w:r>
      <w:r w:rsidRPr="00C165EB">
        <w:rPr>
          <w:shd w:val="clear" w:color="auto" w:fill="FFFFFF"/>
          <w:vertAlign w:val="subscript"/>
        </w:rPr>
        <w:t>e</w:t>
      </w:r>
      <w:r w:rsidRPr="00C165EB">
        <w:rPr>
          <w:shd w:val="clear" w:color="auto" w:fill="FFFFFF"/>
        </w:rPr>
        <w:t>=1)-</w:t>
      </w:r>
      <w:r w:rsidR="00374D6C" w:rsidRPr="00374D6C">
        <w:t>Σ</w:t>
      </w:r>
      <w:r w:rsidRPr="00C165EB">
        <w:rPr>
          <w:shd w:val="clear" w:color="auto" w:fill="FFFFFF"/>
        </w:rPr>
        <w:t>(Y|D</w:t>
      </w:r>
      <w:r w:rsidR="00BB10F9" w:rsidRPr="00BB10F9">
        <w:rPr>
          <w:vertAlign w:val="subscript"/>
        </w:rPr>
        <w:t>h</w:t>
      </w:r>
      <w:r w:rsidRPr="00C165EB">
        <w:rPr>
          <w:shd w:val="clear" w:color="auto" w:fill="FFFFFF"/>
          <w:vertAlign w:val="subscript"/>
        </w:rPr>
        <w:t>e</w:t>
      </w:r>
      <w:r w:rsidRPr="00C165EB">
        <w:rPr>
          <w:shd w:val="clear" w:color="auto" w:fill="FFFFFF"/>
        </w:rPr>
        <w:t xml:space="preserve">=0)] and </w:t>
      </w:r>
      <w:r w:rsidRPr="00C165EB">
        <w:rPr>
          <w:color w:val="000000" w:themeColor="text1"/>
        </w:rPr>
        <w:t>[</w:t>
      </w:r>
      <w:r w:rsidR="00374D6C" w:rsidRPr="00374D6C">
        <w:t>Σ</w:t>
      </w:r>
      <w:r w:rsidRPr="00C165EB">
        <w:rPr>
          <w:shd w:val="clear" w:color="auto" w:fill="FFFFFF"/>
        </w:rPr>
        <w:t>(Y|D</w:t>
      </w:r>
      <w:r w:rsidRPr="00C165EB">
        <w:rPr>
          <w:shd w:val="clear" w:color="auto" w:fill="FFFFFF"/>
          <w:vertAlign w:val="subscript"/>
        </w:rPr>
        <w:t>le</w:t>
      </w:r>
      <w:r w:rsidRPr="00C165EB">
        <w:rPr>
          <w:shd w:val="clear" w:color="auto" w:fill="FFFFFF"/>
        </w:rPr>
        <w:t>=1)-</w:t>
      </w:r>
      <w:r w:rsidR="00374D6C" w:rsidRPr="00374D6C">
        <w:t>Σ</w:t>
      </w:r>
      <w:r w:rsidRPr="00C165EB">
        <w:rPr>
          <w:shd w:val="clear" w:color="auto" w:fill="FFFFFF"/>
        </w:rPr>
        <w:t>(Y|D</w:t>
      </w:r>
      <w:r w:rsidRPr="00C165EB">
        <w:rPr>
          <w:shd w:val="clear" w:color="auto" w:fill="FFFFFF"/>
          <w:vertAlign w:val="subscript"/>
        </w:rPr>
        <w:t>le</w:t>
      </w:r>
      <w:r w:rsidRPr="00C165EB">
        <w:rPr>
          <w:shd w:val="clear" w:color="auto" w:fill="FFFFFF"/>
        </w:rPr>
        <w:t>=0)]</w:t>
      </w:r>
      <w:r w:rsidR="00513657">
        <w:rPr>
          <w:shd w:val="clear" w:color="auto" w:fill="FFFFFF"/>
        </w:rPr>
        <w:t>, using t-tests</w:t>
      </w:r>
      <w:r w:rsidR="00191CF4" w:rsidRPr="00C165EB">
        <w:t>.</w:t>
      </w:r>
      <w:r w:rsidR="00191CF4">
        <w:t xml:space="preserve"> </w:t>
      </w:r>
    </w:p>
    <w:p w14:paraId="05C35F09" w14:textId="0EA0B6A4" w:rsidR="00176758" w:rsidRDefault="004B0521" w:rsidP="003E53E3">
      <w:pPr>
        <w:ind w:firstLine="720"/>
      </w:pPr>
      <w:r>
        <w:t xml:space="preserve">To account for </w:t>
      </w:r>
      <w:r w:rsidR="0041211F">
        <w:t xml:space="preserve">possible </w:t>
      </w:r>
      <w:r>
        <w:t>remaining imbalances, w</w:t>
      </w:r>
      <w:r w:rsidR="00655BA4">
        <w:t xml:space="preserve">e </w:t>
      </w:r>
      <w:r w:rsidR="0041211F">
        <w:t xml:space="preserve">also </w:t>
      </w:r>
      <w:r w:rsidR="00926F60">
        <w:t>examine</w:t>
      </w:r>
      <w:r w:rsidR="003855CC">
        <w:t>d</w:t>
      </w:r>
      <w:r w:rsidR="00926F60">
        <w:t xml:space="preserve"> the significance of the treatment effect </w:t>
      </w:r>
      <w:r w:rsidR="007179FD">
        <w:t xml:space="preserve">for each matched group </w:t>
      </w:r>
      <w:r w:rsidR="00926F60">
        <w:t xml:space="preserve">using a </w:t>
      </w:r>
      <w:r w:rsidR="00865B19">
        <w:t>multivariate linear regression</w:t>
      </w:r>
      <w:r w:rsidR="00725939">
        <w:t xml:space="preserve">, which </w:t>
      </w:r>
      <w:r w:rsidR="003855CC">
        <w:t xml:space="preserve">included </w:t>
      </w:r>
      <w:r w:rsidR="00725939">
        <w:t xml:space="preserve">the six covariates </w:t>
      </w:r>
      <w:r w:rsidR="003855CC">
        <w:t xml:space="preserve">used in matching </w:t>
      </w:r>
      <w:r w:rsidR="00725939">
        <w:t>as independent variables</w:t>
      </w:r>
      <w:r w:rsidR="00865B19">
        <w:t>.</w:t>
      </w:r>
      <w:r w:rsidR="00E5587B">
        <w:t xml:space="preserve"> </w:t>
      </w:r>
      <w:r w:rsidR="007179FD">
        <w:t>Specifically</w:t>
      </w:r>
      <w:r w:rsidR="00E5587B">
        <w:t>, we regress</w:t>
      </w:r>
      <w:r w:rsidR="003855CC">
        <w:t>ed</w:t>
      </w:r>
      <w:r w:rsidR="00E5587B">
        <w:t xml:space="preserve"> </w:t>
      </w:r>
      <w:r w:rsidR="00A00ABC">
        <w:t xml:space="preserve">the binary </w:t>
      </w:r>
      <w:r w:rsidR="00E5587B">
        <w:t>treatment dummy variable</w:t>
      </w:r>
      <w:r w:rsidR="00A00ABC">
        <w:t>s (</w:t>
      </w:r>
      <w:r w:rsidR="00A00ABC" w:rsidRPr="00A168F4">
        <w:rPr>
          <w:i/>
          <w:iCs/>
        </w:rPr>
        <w:t>D</w:t>
      </w:r>
      <w:r w:rsidR="00BB10F9" w:rsidRPr="00550ED0">
        <w:rPr>
          <w:i/>
          <w:iCs/>
          <w:vertAlign w:val="subscript"/>
        </w:rPr>
        <w:t>h</w:t>
      </w:r>
      <w:r w:rsidR="00A00ABC" w:rsidRPr="00A168F4">
        <w:rPr>
          <w:i/>
          <w:iCs/>
          <w:vertAlign w:val="subscript"/>
        </w:rPr>
        <w:t>e</w:t>
      </w:r>
      <w:r w:rsidR="00A00ABC">
        <w:t xml:space="preserve"> and </w:t>
      </w:r>
      <w:r w:rsidR="00A00ABC" w:rsidRPr="00A168F4">
        <w:rPr>
          <w:i/>
          <w:iCs/>
        </w:rPr>
        <w:t>D</w:t>
      </w:r>
      <w:r w:rsidR="00A00ABC" w:rsidRPr="00A168F4">
        <w:rPr>
          <w:i/>
          <w:iCs/>
          <w:vertAlign w:val="subscript"/>
        </w:rPr>
        <w:t>le</w:t>
      </w:r>
      <w:r w:rsidR="00A00ABC" w:rsidRPr="00A00ABC">
        <w:t>)</w:t>
      </w:r>
      <w:r w:rsidR="00E5587B">
        <w:t xml:space="preserve"> and </w:t>
      </w:r>
      <w:r w:rsidR="00452EFB">
        <w:t xml:space="preserve">the </w:t>
      </w:r>
      <w:r w:rsidR="00E632F1">
        <w:t xml:space="preserve">six </w:t>
      </w:r>
      <w:r w:rsidR="00E5587B">
        <w:t xml:space="preserve">covariates </w:t>
      </w:r>
      <w:r w:rsidR="00452EFB">
        <w:t xml:space="preserve">outlined above </w:t>
      </w:r>
      <w:r w:rsidR="00E632F1">
        <w:t>(</w:t>
      </w:r>
      <w:r w:rsidR="00A168F4" w:rsidRPr="00A168F4">
        <w:rPr>
          <w:i/>
          <w:iCs/>
          <w:color w:val="000000"/>
          <w:shd w:val="clear" w:color="auto" w:fill="FFFFFF"/>
        </w:rPr>
        <w:t>CoVar</w:t>
      </w:r>
      <w:r w:rsidR="00E632F1" w:rsidRPr="004B0521">
        <w:rPr>
          <w:color w:val="000000"/>
          <w:shd w:val="clear" w:color="auto" w:fill="FFFFFF"/>
        </w:rPr>
        <w:t>)</w:t>
      </w:r>
      <w:r w:rsidR="00E632F1">
        <w:rPr>
          <w:i/>
          <w:iCs/>
          <w:color w:val="000000"/>
          <w:shd w:val="clear" w:color="auto" w:fill="FFFFFF"/>
        </w:rPr>
        <w:t xml:space="preserve"> </w:t>
      </w:r>
      <w:r w:rsidR="00E5587B">
        <w:t xml:space="preserve">on </w:t>
      </w:r>
      <w:r w:rsidR="00A00ABC">
        <w:t>Y</w:t>
      </w:r>
      <w:r w:rsidR="00387583">
        <w:t xml:space="preserve">, </w:t>
      </w:r>
      <w:r w:rsidR="0041211F">
        <w:t>as</w:t>
      </w:r>
      <w:r w:rsidR="00387583">
        <w:t xml:space="preserve"> </w:t>
      </w:r>
      <w:r w:rsidR="0041211F">
        <w:t>follows</w:t>
      </w:r>
      <w:r w:rsidR="00387583">
        <w:t>:</w:t>
      </w:r>
      <w:r w:rsidR="00E5587B">
        <w:t xml:space="preserve"> </w:t>
      </w:r>
    </w:p>
    <w:p w14:paraId="31DC7D95" w14:textId="77777777" w:rsidR="00156A2D" w:rsidRPr="00C72119" w:rsidRDefault="0052583F" w:rsidP="003E53E3">
      <w:pPr>
        <w:rPr>
          <w:i/>
          <w:iCs/>
          <w:color w:val="000000" w:themeColor="text1"/>
          <w:shd w:val="clear" w:color="auto" w:fill="FFFFFF"/>
          <w:lang w:val="es-US"/>
        </w:rPr>
      </w:pPr>
      <w:r w:rsidRPr="00C72119">
        <w:rPr>
          <w:i/>
          <w:iCs/>
          <w:color w:val="000000"/>
          <w:shd w:val="clear" w:color="auto" w:fill="FFFFFF"/>
          <w:lang w:val="es-US"/>
        </w:rPr>
        <w:t xml:space="preserve">Equation 1: </w:t>
      </w:r>
      <w:r w:rsidR="00833931" w:rsidRPr="00C72119">
        <w:rPr>
          <w:i/>
          <w:iCs/>
          <w:color w:val="000000"/>
          <w:shd w:val="clear" w:color="auto" w:fill="FFFFFF"/>
          <w:lang w:val="es-US"/>
        </w:rPr>
        <w:t xml:space="preserve">Y = </w:t>
      </w:r>
      <w:r w:rsidR="00833931" w:rsidRPr="00C72119">
        <w:rPr>
          <w:i/>
          <w:iCs/>
        </w:rPr>
        <w:t>β</w:t>
      </w:r>
      <w:r w:rsidR="00833931" w:rsidRPr="00C72119">
        <w:rPr>
          <w:i/>
          <w:iCs/>
          <w:color w:val="000000"/>
          <w:shd w:val="clear" w:color="auto" w:fill="FFFFFF"/>
          <w:vertAlign w:val="subscript"/>
          <w:lang w:val="es-US"/>
        </w:rPr>
        <w:t>0</w:t>
      </w:r>
      <w:r w:rsidR="00833931" w:rsidRPr="00C72119">
        <w:rPr>
          <w:i/>
          <w:iCs/>
          <w:color w:val="000000"/>
          <w:shd w:val="clear" w:color="auto" w:fill="FFFFFF"/>
          <w:lang w:val="es-US"/>
        </w:rPr>
        <w:t xml:space="preserve">+ </w:t>
      </w:r>
      <w:r w:rsidR="00833931" w:rsidRPr="00C72119">
        <w:rPr>
          <w:i/>
          <w:iCs/>
        </w:rPr>
        <w:t>β</w:t>
      </w:r>
      <w:r w:rsidR="00833931" w:rsidRPr="00C72119">
        <w:rPr>
          <w:i/>
          <w:iCs/>
          <w:color w:val="000000"/>
          <w:shd w:val="clear" w:color="auto" w:fill="FFFFFF"/>
          <w:vertAlign w:val="subscript"/>
          <w:lang w:val="es-US"/>
        </w:rPr>
        <w:t xml:space="preserve"> 1</w:t>
      </w:r>
      <w:r w:rsidR="00833931" w:rsidRPr="00C72119">
        <w:rPr>
          <w:i/>
          <w:iCs/>
          <w:color w:val="000000"/>
          <w:shd w:val="clear" w:color="auto" w:fill="FFFFFF"/>
          <w:lang w:val="es-US"/>
        </w:rPr>
        <w:t>D</w:t>
      </w:r>
      <w:r w:rsidR="00833931" w:rsidRPr="00C72119">
        <w:rPr>
          <w:i/>
          <w:iCs/>
          <w:color w:val="000000"/>
          <w:shd w:val="clear" w:color="auto" w:fill="FFFFFF"/>
          <w:vertAlign w:val="subscript"/>
          <w:lang w:val="es-US"/>
        </w:rPr>
        <w:t>he</w:t>
      </w:r>
      <w:r w:rsidR="00833931" w:rsidRPr="00C72119">
        <w:rPr>
          <w:i/>
          <w:iCs/>
          <w:color w:val="000000" w:themeColor="text1"/>
          <w:shd w:val="clear" w:color="auto" w:fill="FFFFFF"/>
          <w:lang w:val="es-US"/>
        </w:rPr>
        <w:t xml:space="preserve">+ </w:t>
      </w:r>
      <w:r w:rsidR="00833931" w:rsidRPr="00C72119">
        <w:rPr>
          <w:i/>
          <w:iCs/>
          <w:color w:val="000000" w:themeColor="text1"/>
        </w:rPr>
        <w:t>β</w:t>
      </w:r>
      <w:r w:rsidR="00833931" w:rsidRPr="00C72119">
        <w:rPr>
          <w:i/>
          <w:iCs/>
          <w:color w:val="000000" w:themeColor="text1"/>
          <w:shd w:val="clear" w:color="auto" w:fill="FFFFFF"/>
          <w:vertAlign w:val="subscript"/>
          <w:lang w:val="es-US"/>
        </w:rPr>
        <w:t xml:space="preserve"> 2</w:t>
      </w:r>
      <w:r w:rsidR="00833931" w:rsidRPr="00C72119">
        <w:rPr>
          <w:i/>
          <w:iCs/>
          <w:color w:val="000000" w:themeColor="text1"/>
          <w:shd w:val="clear" w:color="auto" w:fill="FFFFFF"/>
          <w:lang w:val="es-US"/>
        </w:rPr>
        <w:t>CoVar1+</w:t>
      </w:r>
      <w:r w:rsidR="00833931" w:rsidRPr="00C72119" w:rsidDel="00833931">
        <w:rPr>
          <w:i/>
          <w:iCs/>
          <w:color w:val="000000" w:themeColor="text1"/>
          <w:lang w:val="es-US"/>
        </w:rPr>
        <w:t xml:space="preserve"> </w:t>
      </w:r>
      <w:r w:rsidR="00833931" w:rsidRPr="00C72119">
        <w:rPr>
          <w:i/>
          <w:iCs/>
          <w:color w:val="000000" w:themeColor="text1"/>
          <w:shd w:val="clear" w:color="auto" w:fill="FFFFFF"/>
          <w:lang w:val="es-US"/>
        </w:rPr>
        <w:t xml:space="preserve">…+ </w:t>
      </w:r>
      <w:r w:rsidR="00833931" w:rsidRPr="00C72119">
        <w:rPr>
          <w:i/>
          <w:iCs/>
          <w:color w:val="000000" w:themeColor="text1"/>
        </w:rPr>
        <w:t>β</w:t>
      </w:r>
      <w:r w:rsidR="00833931" w:rsidRPr="00C72119">
        <w:rPr>
          <w:i/>
          <w:iCs/>
          <w:color w:val="000000" w:themeColor="text1"/>
          <w:shd w:val="clear" w:color="auto" w:fill="FFFFFF"/>
          <w:vertAlign w:val="subscript"/>
          <w:lang w:val="es-US"/>
        </w:rPr>
        <w:t xml:space="preserve"> 7</w:t>
      </w:r>
      <w:r w:rsidR="00833931" w:rsidRPr="00C72119">
        <w:rPr>
          <w:i/>
          <w:iCs/>
          <w:color w:val="000000" w:themeColor="text1"/>
          <w:shd w:val="clear" w:color="auto" w:fill="FFFFFF"/>
          <w:lang w:val="es-US"/>
        </w:rPr>
        <w:t xml:space="preserve">CoVar6+U </w:t>
      </w:r>
    </w:p>
    <w:p w14:paraId="3D45C293" w14:textId="1BFC58E5" w:rsidR="00833931" w:rsidRPr="00C72119" w:rsidRDefault="00833931" w:rsidP="003E53E3">
      <w:pPr>
        <w:rPr>
          <w:i/>
          <w:iCs/>
          <w:color w:val="000000" w:themeColor="text1"/>
          <w:shd w:val="clear" w:color="auto" w:fill="FFFFFF"/>
        </w:rPr>
      </w:pPr>
      <w:r w:rsidRPr="00C72119">
        <w:rPr>
          <w:color w:val="000000" w:themeColor="text1"/>
          <w:shd w:val="clear" w:color="auto" w:fill="FFFFFF"/>
        </w:rPr>
        <w:t xml:space="preserve">for the high management </w:t>
      </w:r>
      <w:r w:rsidR="000D50A9" w:rsidRPr="00C72119">
        <w:rPr>
          <w:color w:val="000000" w:themeColor="text1"/>
          <w:shd w:val="clear" w:color="auto" w:fill="FFFFFF"/>
        </w:rPr>
        <w:t xml:space="preserve">effectiveness </w:t>
      </w:r>
      <w:r w:rsidRPr="00C72119">
        <w:rPr>
          <w:color w:val="000000" w:themeColor="text1"/>
          <w:shd w:val="clear" w:color="auto" w:fill="FFFFFF"/>
        </w:rPr>
        <w:t>subgroup</w:t>
      </w:r>
      <w:r w:rsidRPr="00C72119">
        <w:rPr>
          <w:i/>
          <w:iCs/>
          <w:color w:val="000000" w:themeColor="text1"/>
          <w:shd w:val="clear" w:color="auto" w:fill="FFFFFF"/>
        </w:rPr>
        <w:t xml:space="preserve"> </w:t>
      </w:r>
      <w:r w:rsidRPr="00C72119">
        <w:rPr>
          <w:color w:val="000000" w:themeColor="text1"/>
          <w:shd w:val="clear" w:color="auto" w:fill="FFFFFF"/>
        </w:rPr>
        <w:t xml:space="preserve">and </w:t>
      </w:r>
    </w:p>
    <w:p w14:paraId="7C1A4C1D" w14:textId="3E08AD8C" w:rsidR="00952965" w:rsidRPr="00C72119" w:rsidRDefault="0052583F" w:rsidP="003E53E3">
      <w:pPr>
        <w:rPr>
          <w:i/>
          <w:iCs/>
          <w:color w:val="000000" w:themeColor="text1"/>
          <w:shd w:val="clear" w:color="auto" w:fill="FFFFFF"/>
        </w:rPr>
      </w:pPr>
      <w:r w:rsidRPr="00C72119">
        <w:rPr>
          <w:i/>
          <w:iCs/>
          <w:color w:val="000000"/>
          <w:shd w:val="clear" w:color="auto" w:fill="FFFFFF"/>
        </w:rPr>
        <w:t xml:space="preserve">Equation 2: </w:t>
      </w:r>
      <w:r w:rsidR="00833931" w:rsidRPr="00C72119">
        <w:rPr>
          <w:i/>
          <w:iCs/>
          <w:color w:val="000000"/>
          <w:shd w:val="clear" w:color="auto" w:fill="FFFFFF"/>
        </w:rPr>
        <w:t xml:space="preserve">Y = </w:t>
      </w:r>
      <w:r w:rsidR="00833931" w:rsidRPr="00C72119">
        <w:rPr>
          <w:i/>
          <w:iCs/>
        </w:rPr>
        <w:t>β</w:t>
      </w:r>
      <w:r w:rsidR="00833931" w:rsidRPr="00C72119">
        <w:rPr>
          <w:i/>
          <w:iCs/>
          <w:color w:val="000000"/>
          <w:shd w:val="clear" w:color="auto" w:fill="FFFFFF"/>
          <w:vertAlign w:val="subscript"/>
        </w:rPr>
        <w:t>0</w:t>
      </w:r>
      <w:r w:rsidR="00833931" w:rsidRPr="00C72119">
        <w:rPr>
          <w:i/>
          <w:iCs/>
          <w:color w:val="000000"/>
          <w:shd w:val="clear" w:color="auto" w:fill="FFFFFF"/>
        </w:rPr>
        <w:t>+</w:t>
      </w:r>
      <w:r w:rsidR="00833931" w:rsidRPr="00C72119">
        <w:rPr>
          <w:i/>
          <w:iCs/>
        </w:rPr>
        <w:t>β</w:t>
      </w:r>
      <w:r w:rsidR="00833931" w:rsidRPr="00C72119">
        <w:rPr>
          <w:i/>
          <w:iCs/>
          <w:color w:val="000000"/>
          <w:shd w:val="clear" w:color="auto" w:fill="FFFFFF"/>
          <w:vertAlign w:val="subscript"/>
        </w:rPr>
        <w:t xml:space="preserve"> 1</w:t>
      </w:r>
      <w:r w:rsidR="00833931" w:rsidRPr="00C72119">
        <w:rPr>
          <w:i/>
          <w:iCs/>
          <w:color w:val="000000"/>
          <w:shd w:val="clear" w:color="auto" w:fill="FFFFFF"/>
        </w:rPr>
        <w:t>D</w:t>
      </w:r>
      <w:r w:rsidR="00833931" w:rsidRPr="00C72119">
        <w:rPr>
          <w:i/>
          <w:iCs/>
          <w:color w:val="000000"/>
          <w:shd w:val="clear" w:color="auto" w:fill="FFFFFF"/>
          <w:vertAlign w:val="subscript"/>
        </w:rPr>
        <w:t>le</w:t>
      </w:r>
      <w:r w:rsidR="00833931" w:rsidRPr="00C72119">
        <w:rPr>
          <w:i/>
          <w:iCs/>
          <w:color w:val="000000" w:themeColor="text1"/>
          <w:shd w:val="clear" w:color="auto" w:fill="FFFFFF"/>
        </w:rPr>
        <w:t xml:space="preserve">+ </w:t>
      </w:r>
      <w:r w:rsidR="00833931" w:rsidRPr="00C72119">
        <w:rPr>
          <w:i/>
          <w:iCs/>
          <w:color w:val="000000" w:themeColor="text1"/>
        </w:rPr>
        <w:t>β</w:t>
      </w:r>
      <w:r w:rsidR="00833931" w:rsidRPr="00C72119">
        <w:rPr>
          <w:i/>
          <w:iCs/>
          <w:color w:val="000000" w:themeColor="text1"/>
          <w:shd w:val="clear" w:color="auto" w:fill="FFFFFF"/>
          <w:vertAlign w:val="subscript"/>
        </w:rPr>
        <w:t xml:space="preserve"> 2</w:t>
      </w:r>
      <w:r w:rsidR="00833931" w:rsidRPr="00C72119">
        <w:rPr>
          <w:i/>
          <w:iCs/>
          <w:color w:val="000000" w:themeColor="text1"/>
          <w:shd w:val="clear" w:color="auto" w:fill="FFFFFF"/>
        </w:rPr>
        <w:t>CoVar1+</w:t>
      </w:r>
      <w:r w:rsidR="00833931" w:rsidRPr="00C72119" w:rsidDel="00833931">
        <w:rPr>
          <w:i/>
          <w:iCs/>
          <w:color w:val="000000" w:themeColor="text1"/>
        </w:rPr>
        <w:t xml:space="preserve"> </w:t>
      </w:r>
      <w:r w:rsidR="00833931" w:rsidRPr="00C72119">
        <w:rPr>
          <w:i/>
          <w:iCs/>
          <w:color w:val="000000" w:themeColor="text1"/>
          <w:shd w:val="clear" w:color="auto" w:fill="FFFFFF"/>
        </w:rPr>
        <w:t>…+</w:t>
      </w:r>
      <w:r w:rsidR="00833931" w:rsidRPr="00C72119">
        <w:rPr>
          <w:i/>
          <w:iCs/>
          <w:color w:val="000000" w:themeColor="text1"/>
        </w:rPr>
        <w:t xml:space="preserve"> β</w:t>
      </w:r>
      <w:r w:rsidR="00833931" w:rsidRPr="00C72119">
        <w:rPr>
          <w:i/>
          <w:iCs/>
          <w:color w:val="000000" w:themeColor="text1"/>
          <w:shd w:val="clear" w:color="auto" w:fill="FFFFFF"/>
          <w:vertAlign w:val="subscript"/>
        </w:rPr>
        <w:t xml:space="preserve"> 7</w:t>
      </w:r>
      <w:r w:rsidR="00833931" w:rsidRPr="00C72119">
        <w:rPr>
          <w:i/>
          <w:iCs/>
          <w:color w:val="000000" w:themeColor="text1"/>
          <w:shd w:val="clear" w:color="auto" w:fill="FFFFFF"/>
        </w:rPr>
        <w:t xml:space="preserve">CoVar6+U </w:t>
      </w:r>
    </w:p>
    <w:p w14:paraId="38465459" w14:textId="269160BF" w:rsidR="00833931" w:rsidRPr="00C72119" w:rsidRDefault="00833931" w:rsidP="003E53E3">
      <w:r w:rsidRPr="00C72119">
        <w:rPr>
          <w:color w:val="000000" w:themeColor="text1"/>
          <w:shd w:val="clear" w:color="auto" w:fill="FFFFFF"/>
        </w:rPr>
        <w:lastRenderedPageBreak/>
        <w:t>for the low management</w:t>
      </w:r>
      <w:r w:rsidR="000D50A9" w:rsidRPr="00C72119">
        <w:rPr>
          <w:color w:val="000000" w:themeColor="text1"/>
          <w:shd w:val="clear" w:color="auto" w:fill="FFFFFF"/>
        </w:rPr>
        <w:t xml:space="preserve"> </w:t>
      </w:r>
      <w:r w:rsidR="000D50A9" w:rsidRPr="00C72119">
        <w:t>effectiveness</w:t>
      </w:r>
      <w:r w:rsidRPr="00C72119">
        <w:rPr>
          <w:color w:val="000000" w:themeColor="text1"/>
          <w:shd w:val="clear" w:color="auto" w:fill="FFFFFF"/>
        </w:rPr>
        <w:t xml:space="preserve"> subgroup.</w:t>
      </w:r>
      <w:r w:rsidRPr="00C72119">
        <w:t xml:space="preserve"> </w:t>
      </w:r>
    </w:p>
    <w:p w14:paraId="5F84AB7B" w14:textId="635FDB0A" w:rsidR="00156A2D" w:rsidRPr="00C72119" w:rsidRDefault="00E525A7" w:rsidP="003E53E3">
      <w:r w:rsidRPr="00C72119">
        <w:rPr>
          <w:color w:val="000000"/>
          <w:shd w:val="clear" w:color="auto" w:fill="FFFFFF"/>
        </w:rPr>
        <w:t xml:space="preserve">We </w:t>
      </w:r>
      <w:r w:rsidR="00454B30" w:rsidRPr="00C72119">
        <w:rPr>
          <w:color w:val="000000"/>
          <w:shd w:val="clear" w:color="auto" w:fill="FFFFFF"/>
        </w:rPr>
        <w:t>use</w:t>
      </w:r>
      <w:r w:rsidR="003855CC" w:rsidRPr="00C72119">
        <w:rPr>
          <w:color w:val="000000"/>
          <w:shd w:val="clear" w:color="auto" w:fill="FFFFFF"/>
        </w:rPr>
        <w:t>d</w:t>
      </w:r>
      <w:r w:rsidRPr="00C72119">
        <w:rPr>
          <w:color w:val="000000"/>
          <w:shd w:val="clear" w:color="auto" w:fill="FFFFFF"/>
        </w:rPr>
        <w:t xml:space="preserve"> robust standard errors, </w:t>
      </w:r>
      <w:r w:rsidRPr="00C72119">
        <w:rPr>
          <w:i/>
          <w:iCs/>
          <w:color w:val="000000"/>
          <w:shd w:val="clear" w:color="auto" w:fill="FFFFFF"/>
        </w:rPr>
        <w:t>U</w:t>
      </w:r>
      <w:r w:rsidRPr="00C72119">
        <w:rPr>
          <w:color w:val="000000"/>
          <w:shd w:val="clear" w:color="auto" w:fill="FFFFFF"/>
          <w:vertAlign w:val="subscript"/>
        </w:rPr>
        <w:t xml:space="preserve">,  </w:t>
      </w:r>
      <w:r w:rsidR="00952965" w:rsidRPr="00C72119">
        <w:rPr>
          <w:color w:val="000000"/>
          <w:shd w:val="clear" w:color="auto" w:fill="FFFFFF"/>
        </w:rPr>
        <w:t>in both regressions a</w:t>
      </w:r>
      <w:r w:rsidRPr="00C72119">
        <w:rPr>
          <w:color w:val="000000"/>
          <w:shd w:val="clear" w:color="auto" w:fill="FFFFFF"/>
        </w:rPr>
        <w:t>fter finding evidence of heteroscedasticity</w:t>
      </w:r>
      <w:r w:rsidR="00A168F4" w:rsidRPr="00C72119">
        <w:rPr>
          <w:color w:val="000000"/>
          <w:shd w:val="clear" w:color="auto" w:fill="FFFFFF"/>
        </w:rPr>
        <w:t xml:space="preserve"> among the residuals</w:t>
      </w:r>
      <w:r w:rsidRPr="00C72119">
        <w:rPr>
          <w:color w:val="000000"/>
          <w:shd w:val="clear" w:color="auto" w:fill="FFFFFF"/>
        </w:rPr>
        <w:t xml:space="preserve"> using a Breusch-Pagan tes</w:t>
      </w:r>
      <w:r w:rsidR="00743852" w:rsidRPr="00C72119">
        <w:rPr>
          <w:color w:val="000000"/>
          <w:shd w:val="clear" w:color="auto" w:fill="FFFFFF"/>
        </w:rPr>
        <w:t>t</w:t>
      </w:r>
      <w:r w:rsidR="00664A54" w:rsidRPr="00C72119">
        <w:rPr>
          <w:color w:val="000000"/>
          <w:shd w:val="clear" w:color="auto" w:fill="FFFFFF"/>
        </w:rPr>
        <w:t xml:space="preserve">. </w:t>
      </w:r>
    </w:p>
    <w:p w14:paraId="09C1D86D" w14:textId="247E1390" w:rsidR="00361144" w:rsidRPr="00D820D2" w:rsidRDefault="003F1B9A" w:rsidP="003E53E3">
      <w:pPr>
        <w:ind w:firstLine="720"/>
        <w:rPr>
          <w:color w:val="000000" w:themeColor="text1"/>
        </w:rPr>
      </w:pPr>
      <w:r w:rsidRPr="00C72119">
        <w:t>Second, we use</w:t>
      </w:r>
      <w:r w:rsidR="003855CC" w:rsidRPr="00C72119">
        <w:t>d</w:t>
      </w:r>
      <w:r w:rsidRPr="00C72119">
        <w:t xml:space="preserve"> </w:t>
      </w:r>
      <w:r w:rsidR="003855CC" w:rsidRPr="00C72119">
        <w:t xml:space="preserve">an interaction term </w:t>
      </w:r>
      <w:r w:rsidR="00E917E9" w:rsidRPr="00C72119">
        <w:t>in</w:t>
      </w:r>
      <w:r w:rsidR="00743B55" w:rsidRPr="00C72119">
        <w:t xml:space="preserve"> a</w:t>
      </w:r>
      <w:r w:rsidR="00E917E9" w:rsidRPr="00C72119">
        <w:t xml:space="preserve"> multivariate linear regression to test for a moderating effect of management effectiveness</w:t>
      </w:r>
      <w:r w:rsidR="00E917E9">
        <w:t xml:space="preserve">. While both subgroup analysis and interaction effects are used to test for moderating effects in impact evaluation, the use of an interaction term allows for more variation in the moderator compared to a subgroup approach </w:t>
      </w:r>
      <w:r w:rsidR="00E917E9">
        <w:fldChar w:fldCharType="begin" w:fldLock="1"/>
      </w:r>
      <w:r w:rsidR="00E917E9">
        <w:instrText>ADDIN CSL_CITATION {"citationItems":[{"id":"ITEM-1","itemData":{"DOI":"10.1016/bs.hesenv.2018.09.001","ISSN":"1574-0099","author":[{"dropping-particle":"","family":"Sills","given":"Erin O","non-dropping-particle":"","parse-names":false,"suffix":""},{"dropping-particle":"","family":"Jones","given":"Kelly","non-dropping-particle":"","parse-names":false,"suffix":""}],"container-title":"Handbook of Environmental Economics","id":"ITEM-1","issued":{"date-parts":[["2018"]]},"note":"mostly in Latin America (Soares-Filho et al., 2010; Andam et al., 2013; Nolte et al., 2013; Pfaff et al., 2014, 2015; Blackman et al., 2015; Blackman, 2015; Miranda et al., 2016;Kereetal., 2017) with many fewer studies in Africa and Asia (Bowker et al., 2017; Miteva et al., 2015b; Shah and Baylis, 2015;Sims, 2010) or pan-tropical (Nelson and Chomitz, 2011). Many of the study authors conclude that either multiple use or indigenous territories are most effective at reducing deforestation\n\n\noutcome (Vincent,\n2016), reflecting the increasing availability of remote sensing data (Blackman, 2013).\nThose studies have confirmed that PAs in countries such as Brazil (Pfaff et al., 2014),\nChile (Arriagada et al., 2016), Ecuador (Cuenca et al., 2016), and Peru (Miranda et\nal., 2016) (but only in some time periods in Mexico according to Blackman et al.,\n2015 and Pfaff et al., 2017) reduce deforestation on average, while also emphasizing\nvariation across different types of PAs (see Section 3.2).","number-of-pages":"395-437","publisher":"Elsevier B.V.","title":"Chapter 9 - Causal inference in environmental conservation: The role of institutions","type":"book","volume":"4"},"uris":["http://www.mendeley.com/documents/?uuid=27fabc14-363f-4ecf-8488-d32637eba877"]}],"mendeley":{"formattedCitation":"(Sills &amp; Jones, 2018)","plainTextFormattedCitation":"(Sills &amp; Jones, 2018)","previouslyFormattedCitation":"(Sills &amp; Jones, 2018)"},"properties":{"noteIndex":0},"schema":"https://github.com/citation-style-language/schema/raw/master/csl-citation.json"}</w:instrText>
      </w:r>
      <w:r w:rsidR="00E917E9">
        <w:fldChar w:fldCharType="separate"/>
      </w:r>
      <w:r w:rsidR="00E917E9" w:rsidRPr="00544A60">
        <w:rPr>
          <w:noProof/>
        </w:rPr>
        <w:t>(Sills &amp; Jones, 2018)</w:t>
      </w:r>
      <w:r w:rsidR="00E917E9">
        <w:fldChar w:fldCharType="end"/>
      </w:r>
      <w:r w:rsidR="00E917E9">
        <w:t xml:space="preserve">. </w:t>
      </w:r>
      <w:r w:rsidR="008A271A">
        <w:t>T</w:t>
      </w:r>
      <w:r w:rsidR="0083180A">
        <w:t xml:space="preserve">he moderating effect of management effectiveness </w:t>
      </w:r>
      <w:r w:rsidR="00685DA3">
        <w:t xml:space="preserve">in this analysis </w:t>
      </w:r>
      <w:r w:rsidR="008A271A">
        <w:t xml:space="preserve">is estimated </w:t>
      </w:r>
      <w:r w:rsidR="008C75B4">
        <w:t>as</w:t>
      </w:r>
      <w:r w:rsidR="00B51EF6">
        <w:t xml:space="preserve"> </w:t>
      </w:r>
      <w:r w:rsidR="008C75B4">
        <w:t>follows</w:t>
      </w:r>
      <w:r w:rsidR="00326D2B">
        <w:rPr>
          <w:color w:val="000000" w:themeColor="text1"/>
        </w:rPr>
        <w:t>:</w:t>
      </w:r>
    </w:p>
    <w:p w14:paraId="572274CD" w14:textId="3AF430B1" w:rsidR="00B51EF6" w:rsidRPr="003C296A" w:rsidRDefault="0052583F" w:rsidP="003E53E3">
      <w:pPr>
        <w:rPr>
          <w:i/>
          <w:iCs/>
          <w:color w:val="000000" w:themeColor="text1"/>
          <w:shd w:val="clear" w:color="auto" w:fill="FFFFFF"/>
          <w:vertAlign w:val="subscript"/>
        </w:rPr>
      </w:pPr>
      <w:r w:rsidRPr="0052583F">
        <w:rPr>
          <w:i/>
          <w:iCs/>
          <w:color w:val="000000"/>
          <w:shd w:val="clear" w:color="auto" w:fill="FFFFFF"/>
        </w:rPr>
        <w:t xml:space="preserve">Equation 3: </w:t>
      </w:r>
      <w:r w:rsidR="00A05405" w:rsidRPr="0052583F">
        <w:rPr>
          <w:i/>
          <w:iCs/>
          <w:color w:val="000000" w:themeColor="text1"/>
          <w:shd w:val="clear" w:color="auto" w:fill="FFFFFF"/>
        </w:rPr>
        <w:t xml:space="preserve">Y = </w:t>
      </w:r>
      <w:r w:rsidR="00A05405" w:rsidRPr="00D820D2">
        <w:rPr>
          <w:i/>
          <w:iCs/>
          <w:color w:val="000000" w:themeColor="text1"/>
        </w:rPr>
        <w:t>β</w:t>
      </w:r>
      <w:r w:rsidR="00A05405" w:rsidRPr="0052583F">
        <w:rPr>
          <w:i/>
          <w:iCs/>
          <w:color w:val="000000" w:themeColor="text1"/>
          <w:shd w:val="clear" w:color="auto" w:fill="FFFFFF"/>
          <w:vertAlign w:val="subscript"/>
        </w:rPr>
        <w:t>0</w:t>
      </w:r>
      <w:r w:rsidR="00361144" w:rsidRPr="0052583F">
        <w:rPr>
          <w:i/>
          <w:iCs/>
          <w:color w:val="000000" w:themeColor="text1"/>
          <w:shd w:val="clear" w:color="auto" w:fill="FFFFFF"/>
          <w:vertAlign w:val="subscript"/>
        </w:rPr>
        <w:t xml:space="preserve"> </w:t>
      </w:r>
      <w:r w:rsidR="00A05405" w:rsidRPr="0052583F">
        <w:rPr>
          <w:i/>
          <w:iCs/>
          <w:color w:val="000000" w:themeColor="text1"/>
          <w:shd w:val="clear" w:color="auto" w:fill="FFFFFF"/>
        </w:rPr>
        <w:t>+</w:t>
      </w:r>
      <w:r w:rsidR="00361144" w:rsidRPr="0052583F">
        <w:rPr>
          <w:i/>
          <w:iCs/>
          <w:color w:val="000000" w:themeColor="text1"/>
          <w:shd w:val="clear" w:color="auto" w:fill="FFFFFF"/>
        </w:rPr>
        <w:t xml:space="preserve"> </w:t>
      </w:r>
      <w:r w:rsidR="00A05405" w:rsidRPr="00D820D2">
        <w:rPr>
          <w:i/>
          <w:iCs/>
          <w:color w:val="000000" w:themeColor="text1"/>
        </w:rPr>
        <w:t>β</w:t>
      </w:r>
      <w:r w:rsidR="00A05405" w:rsidRPr="0052583F">
        <w:rPr>
          <w:i/>
          <w:iCs/>
          <w:color w:val="000000" w:themeColor="text1"/>
          <w:shd w:val="clear" w:color="auto" w:fill="FFFFFF"/>
          <w:vertAlign w:val="subscript"/>
        </w:rPr>
        <w:t xml:space="preserve"> </w:t>
      </w:r>
      <w:r w:rsidR="00387583" w:rsidRPr="0052583F">
        <w:rPr>
          <w:i/>
          <w:iCs/>
          <w:color w:val="000000" w:themeColor="text1"/>
          <w:shd w:val="clear" w:color="auto" w:fill="FFFFFF"/>
          <w:vertAlign w:val="subscript"/>
        </w:rPr>
        <w:t>1</w:t>
      </w:r>
      <w:r w:rsidR="00A05405" w:rsidRPr="0052583F">
        <w:rPr>
          <w:i/>
          <w:iCs/>
          <w:color w:val="000000" w:themeColor="text1"/>
          <w:shd w:val="clear" w:color="auto" w:fill="FFFFFF"/>
        </w:rPr>
        <w:t>(</w:t>
      </w:r>
      <w:r w:rsidR="00442EFE" w:rsidRPr="0052583F">
        <w:rPr>
          <w:i/>
          <w:iCs/>
          <w:color w:val="000000" w:themeColor="text1"/>
          <w:shd w:val="clear" w:color="auto" w:fill="FFFFFF"/>
        </w:rPr>
        <w:t>PA</w:t>
      </w:r>
      <w:r w:rsidR="00361144" w:rsidRPr="0052583F">
        <w:rPr>
          <w:i/>
          <w:iCs/>
          <w:color w:val="000000" w:themeColor="text1"/>
          <w:shd w:val="clear" w:color="auto" w:fill="FFFFFF"/>
        </w:rPr>
        <w:t xml:space="preserve"> </w:t>
      </w:r>
      <w:r w:rsidR="00A05405" w:rsidRPr="0052583F">
        <w:rPr>
          <w:i/>
          <w:iCs/>
          <w:color w:val="000000" w:themeColor="text1"/>
          <w:shd w:val="clear" w:color="auto" w:fill="FFFFFF"/>
        </w:rPr>
        <w:t>* D</w:t>
      </w:r>
      <w:r w:rsidR="00B51EF6" w:rsidRPr="0052583F">
        <w:rPr>
          <w:i/>
          <w:iCs/>
          <w:color w:val="000000" w:themeColor="text1"/>
          <w:shd w:val="clear" w:color="auto" w:fill="FFFFFF"/>
          <w:vertAlign w:val="subscript"/>
        </w:rPr>
        <w:t>c</w:t>
      </w:r>
      <w:r w:rsidR="00A05405" w:rsidRPr="0052583F">
        <w:rPr>
          <w:i/>
          <w:iCs/>
          <w:color w:val="000000" w:themeColor="text1"/>
          <w:shd w:val="clear" w:color="auto" w:fill="FFFFFF"/>
        </w:rPr>
        <w:t>)</w:t>
      </w:r>
      <w:r w:rsidR="00361144" w:rsidRPr="0052583F">
        <w:rPr>
          <w:i/>
          <w:iCs/>
          <w:color w:val="000000" w:themeColor="text1"/>
          <w:shd w:val="clear" w:color="auto" w:fill="FFFFFF"/>
        </w:rPr>
        <w:t xml:space="preserve"> </w:t>
      </w:r>
      <w:r w:rsidR="00A05405" w:rsidRPr="0052583F">
        <w:rPr>
          <w:i/>
          <w:iCs/>
          <w:color w:val="000000" w:themeColor="text1"/>
          <w:shd w:val="clear" w:color="auto" w:fill="FFFFFF"/>
        </w:rPr>
        <w:t>+</w:t>
      </w:r>
      <w:r w:rsidR="00361144" w:rsidRPr="0052583F">
        <w:rPr>
          <w:i/>
          <w:iCs/>
          <w:color w:val="000000" w:themeColor="text1"/>
          <w:shd w:val="clear" w:color="auto" w:fill="FFFFFF"/>
        </w:rPr>
        <w:t xml:space="preserve"> </w:t>
      </w:r>
      <w:r w:rsidR="00A05405" w:rsidRPr="00D820D2">
        <w:rPr>
          <w:i/>
          <w:iCs/>
          <w:color w:val="000000" w:themeColor="text1"/>
        </w:rPr>
        <w:t>β</w:t>
      </w:r>
      <w:r w:rsidR="00A05405" w:rsidRPr="0052583F">
        <w:rPr>
          <w:i/>
          <w:iCs/>
          <w:color w:val="000000" w:themeColor="text1"/>
          <w:shd w:val="clear" w:color="auto" w:fill="FFFFFF"/>
          <w:vertAlign w:val="subscript"/>
        </w:rPr>
        <w:t xml:space="preserve"> </w:t>
      </w:r>
      <w:r w:rsidR="007F1371" w:rsidRPr="0052583F">
        <w:rPr>
          <w:i/>
          <w:iCs/>
          <w:color w:val="000000" w:themeColor="text1"/>
          <w:shd w:val="clear" w:color="auto" w:fill="FFFFFF"/>
          <w:vertAlign w:val="subscript"/>
        </w:rPr>
        <w:t>2</w:t>
      </w:r>
      <w:r w:rsidR="00810FD3" w:rsidRPr="0052583F">
        <w:rPr>
          <w:i/>
          <w:iCs/>
          <w:color w:val="000000" w:themeColor="text1"/>
          <w:shd w:val="clear" w:color="auto" w:fill="FFFFFF"/>
        </w:rPr>
        <w:t>C</w:t>
      </w:r>
      <w:r w:rsidR="002D712F" w:rsidRPr="0052583F">
        <w:rPr>
          <w:i/>
          <w:iCs/>
          <w:color w:val="000000" w:themeColor="text1"/>
          <w:shd w:val="clear" w:color="auto" w:fill="FFFFFF"/>
        </w:rPr>
        <w:t>oVar</w:t>
      </w:r>
      <w:r w:rsidR="00810FD3" w:rsidRPr="0052583F">
        <w:rPr>
          <w:i/>
          <w:iCs/>
          <w:color w:val="000000" w:themeColor="text1"/>
          <w:shd w:val="clear" w:color="auto" w:fill="FFFFFF"/>
        </w:rPr>
        <w:t>1</w:t>
      </w:r>
      <w:r w:rsidR="00361144" w:rsidRPr="0052583F">
        <w:rPr>
          <w:i/>
          <w:iCs/>
          <w:color w:val="000000" w:themeColor="text1"/>
          <w:shd w:val="clear" w:color="auto" w:fill="FFFFFF"/>
        </w:rPr>
        <w:t xml:space="preserve"> </w:t>
      </w:r>
      <w:r w:rsidR="00A05405" w:rsidRPr="0052583F">
        <w:rPr>
          <w:i/>
          <w:iCs/>
          <w:color w:val="000000" w:themeColor="text1"/>
          <w:shd w:val="clear" w:color="auto" w:fill="FFFFFF"/>
        </w:rPr>
        <w:t>+</w:t>
      </w:r>
      <w:r w:rsidR="00361144" w:rsidRPr="0052583F">
        <w:rPr>
          <w:i/>
          <w:iCs/>
          <w:color w:val="000000" w:themeColor="text1"/>
          <w:shd w:val="clear" w:color="auto" w:fill="FFFFFF"/>
        </w:rPr>
        <w:t xml:space="preserve"> </w:t>
      </w:r>
      <w:r w:rsidR="000232FD" w:rsidRPr="0052583F">
        <w:rPr>
          <w:i/>
          <w:iCs/>
          <w:color w:val="000000" w:themeColor="text1"/>
          <w:shd w:val="clear" w:color="auto" w:fill="FFFFFF"/>
        </w:rPr>
        <w:t>…</w:t>
      </w:r>
      <w:r w:rsidR="00361144" w:rsidRPr="0052583F">
        <w:rPr>
          <w:i/>
          <w:iCs/>
          <w:color w:val="000000" w:themeColor="text1"/>
          <w:shd w:val="clear" w:color="auto" w:fill="FFFFFF"/>
        </w:rPr>
        <w:t xml:space="preserve"> </w:t>
      </w:r>
      <w:r w:rsidR="000232FD" w:rsidRPr="003C296A">
        <w:rPr>
          <w:i/>
          <w:iCs/>
          <w:color w:val="000000" w:themeColor="text1"/>
          <w:shd w:val="clear" w:color="auto" w:fill="FFFFFF"/>
        </w:rPr>
        <w:t>+</w:t>
      </w:r>
      <w:r w:rsidR="000232FD" w:rsidRPr="003C296A">
        <w:rPr>
          <w:i/>
          <w:iCs/>
          <w:color w:val="000000" w:themeColor="text1"/>
        </w:rPr>
        <w:t xml:space="preserve"> </w:t>
      </w:r>
      <w:r w:rsidR="000232FD" w:rsidRPr="00E632F1">
        <w:rPr>
          <w:i/>
          <w:iCs/>
          <w:color w:val="000000" w:themeColor="text1"/>
        </w:rPr>
        <w:t>β</w:t>
      </w:r>
      <w:r w:rsidR="000232FD" w:rsidRPr="003C296A">
        <w:rPr>
          <w:i/>
          <w:iCs/>
          <w:color w:val="000000" w:themeColor="text1"/>
          <w:shd w:val="clear" w:color="auto" w:fill="FFFFFF"/>
          <w:vertAlign w:val="subscript"/>
        </w:rPr>
        <w:t xml:space="preserve"> 7</w:t>
      </w:r>
      <w:r w:rsidR="000232FD" w:rsidRPr="003C296A">
        <w:rPr>
          <w:i/>
          <w:iCs/>
          <w:color w:val="000000" w:themeColor="text1"/>
          <w:shd w:val="clear" w:color="auto" w:fill="FFFFFF"/>
        </w:rPr>
        <w:t>CoVar6</w:t>
      </w:r>
      <w:r w:rsidR="00361144" w:rsidRPr="003C296A">
        <w:rPr>
          <w:i/>
          <w:iCs/>
          <w:color w:val="000000" w:themeColor="text1"/>
          <w:shd w:val="clear" w:color="auto" w:fill="FFFFFF"/>
        </w:rPr>
        <w:t xml:space="preserve"> </w:t>
      </w:r>
      <w:r w:rsidR="000232FD" w:rsidRPr="003C296A">
        <w:rPr>
          <w:i/>
          <w:iCs/>
          <w:color w:val="000000" w:themeColor="text1"/>
          <w:shd w:val="clear" w:color="auto" w:fill="FFFFFF"/>
        </w:rPr>
        <w:t>+</w:t>
      </w:r>
      <w:r w:rsidR="00361144" w:rsidRPr="003C296A">
        <w:rPr>
          <w:i/>
          <w:iCs/>
          <w:color w:val="000000" w:themeColor="text1"/>
          <w:shd w:val="clear" w:color="auto" w:fill="FFFFFF"/>
        </w:rPr>
        <w:t xml:space="preserve"> </w:t>
      </w:r>
      <w:r w:rsidR="000232FD" w:rsidRPr="003C296A">
        <w:rPr>
          <w:i/>
          <w:iCs/>
          <w:color w:val="000000" w:themeColor="text1"/>
          <w:shd w:val="clear" w:color="auto" w:fill="FFFFFF"/>
        </w:rPr>
        <w:t>U</w:t>
      </w:r>
      <w:r w:rsidR="00E917E9">
        <w:rPr>
          <w:i/>
          <w:iCs/>
          <w:color w:val="000000" w:themeColor="text1"/>
          <w:shd w:val="clear" w:color="auto" w:fill="FFFFFF"/>
        </w:rPr>
        <w:t>,</w:t>
      </w:r>
    </w:p>
    <w:p w14:paraId="3CF8CC1F" w14:textId="1A5D5D93" w:rsidR="009E1C5E" w:rsidRDefault="00FE1431" w:rsidP="003E53E3">
      <w:r>
        <w:t xml:space="preserve">where </w:t>
      </w:r>
      <w:r w:rsidR="00442EFE" w:rsidRPr="00442EFE">
        <w:rPr>
          <w:i/>
          <w:iCs/>
          <w:color w:val="000000" w:themeColor="text1"/>
          <w:shd w:val="clear" w:color="auto" w:fill="FFFFFF"/>
        </w:rPr>
        <w:t>PA</w:t>
      </w:r>
      <w:r w:rsidR="00442EFE" w:rsidRPr="00A05405" w:rsidDel="00442EFE">
        <w:rPr>
          <w:color w:val="000000"/>
          <w:shd w:val="clear" w:color="auto" w:fill="FFFFFF"/>
        </w:rPr>
        <w:t xml:space="preserve"> </w:t>
      </w:r>
      <w:r w:rsidR="007F1371">
        <w:rPr>
          <w:color w:val="000000" w:themeColor="text1"/>
        </w:rPr>
        <w:t xml:space="preserve">is </w:t>
      </w:r>
      <w:r w:rsidR="007F1371">
        <w:rPr>
          <w:color w:val="000000"/>
          <w:shd w:val="clear" w:color="auto" w:fill="FFFFFF"/>
        </w:rPr>
        <w:t>a treatment dummy variable</w:t>
      </w:r>
      <w:r w:rsidR="00D234A6">
        <w:rPr>
          <w:color w:val="000000"/>
          <w:shd w:val="clear" w:color="auto" w:fill="FFFFFF"/>
        </w:rPr>
        <w:t xml:space="preserve"> </w:t>
      </w:r>
      <w:r>
        <w:rPr>
          <w:color w:val="000000"/>
          <w:shd w:val="clear" w:color="auto" w:fill="FFFFFF"/>
        </w:rPr>
        <w:t>equal to 1</w:t>
      </w:r>
      <w:r w:rsidR="007F1371">
        <w:rPr>
          <w:color w:val="000000"/>
          <w:shd w:val="clear" w:color="auto" w:fill="FFFFFF"/>
        </w:rPr>
        <w:t xml:space="preserve"> if the cell is within a </w:t>
      </w:r>
      <w:r w:rsidR="00016B66">
        <w:rPr>
          <w:color w:val="000000"/>
          <w:shd w:val="clear" w:color="auto" w:fill="FFFFFF"/>
        </w:rPr>
        <w:t>PA</w:t>
      </w:r>
      <w:r w:rsidR="007F1371">
        <w:rPr>
          <w:color w:val="000000"/>
          <w:shd w:val="clear" w:color="auto" w:fill="FFFFFF"/>
        </w:rPr>
        <w:t xml:space="preserve"> and 0 if else</w:t>
      </w:r>
      <w:r w:rsidR="00E917E9">
        <w:rPr>
          <w:color w:val="000000"/>
          <w:shd w:val="clear" w:color="auto" w:fill="FFFFFF"/>
        </w:rPr>
        <w:t xml:space="preserve"> and </w:t>
      </w:r>
      <w:r w:rsidR="00E917E9" w:rsidRPr="00B9058F">
        <w:t>D</w:t>
      </w:r>
      <w:r w:rsidR="00E917E9" w:rsidRPr="00B9058F">
        <w:rPr>
          <w:vertAlign w:val="subscript"/>
        </w:rPr>
        <w:t>c</w:t>
      </w:r>
      <w:r w:rsidR="00E917E9">
        <w:rPr>
          <w:vertAlign w:val="subscript"/>
        </w:rPr>
        <w:t xml:space="preserve"> </w:t>
      </w:r>
      <w:r w:rsidR="00E917E9">
        <w:t>is a continuous management effectiveness score. We estimated the above regression separately for each of the five management categories, as well as for the overall management score</w:t>
      </w:r>
      <w:r w:rsidR="00B51EF6">
        <w:rPr>
          <w:color w:val="000000"/>
          <w:shd w:val="clear" w:color="auto" w:fill="FFFFFF"/>
        </w:rPr>
        <w:t>.</w:t>
      </w:r>
      <w:r w:rsidR="00AB42C5">
        <w:rPr>
          <w:color w:val="000000"/>
          <w:shd w:val="clear" w:color="auto" w:fill="FFFFFF"/>
        </w:rPr>
        <w:t xml:space="preserve"> </w:t>
      </w:r>
      <w:r w:rsidR="00454B30">
        <w:rPr>
          <w:color w:val="000000"/>
          <w:shd w:val="clear" w:color="auto" w:fill="FFFFFF"/>
        </w:rPr>
        <w:t>We use</w:t>
      </w:r>
      <w:r w:rsidR="00952965">
        <w:rPr>
          <w:color w:val="000000"/>
          <w:shd w:val="clear" w:color="auto" w:fill="FFFFFF"/>
        </w:rPr>
        <w:t>d</w:t>
      </w:r>
      <w:r w:rsidR="007A1569">
        <w:rPr>
          <w:color w:val="000000"/>
          <w:shd w:val="clear" w:color="auto" w:fill="FFFFFF"/>
        </w:rPr>
        <w:t xml:space="preserve"> </w:t>
      </w:r>
      <w:r w:rsidR="00454B30">
        <w:rPr>
          <w:color w:val="000000"/>
          <w:shd w:val="clear" w:color="auto" w:fill="FFFFFF"/>
        </w:rPr>
        <w:t xml:space="preserve">robust </w:t>
      </w:r>
      <w:r w:rsidR="00454B30" w:rsidRPr="00B701F9">
        <w:rPr>
          <w:color w:val="000000"/>
          <w:shd w:val="clear" w:color="auto" w:fill="FFFFFF"/>
        </w:rPr>
        <w:t>standard errors</w:t>
      </w:r>
      <w:r w:rsidR="00454B30">
        <w:rPr>
          <w:color w:val="000000"/>
          <w:shd w:val="clear" w:color="auto" w:fill="FFFFFF"/>
        </w:rPr>
        <w:t xml:space="preserve">, </w:t>
      </w:r>
      <w:r w:rsidR="007A1569">
        <w:rPr>
          <w:color w:val="000000"/>
          <w:shd w:val="clear" w:color="auto" w:fill="FFFFFF"/>
        </w:rPr>
        <w:t xml:space="preserve">U, </w:t>
      </w:r>
      <w:r w:rsidR="00072E4C" w:rsidRPr="00B701F9">
        <w:rPr>
          <w:color w:val="000000"/>
          <w:shd w:val="clear" w:color="auto" w:fill="FFFFFF"/>
        </w:rPr>
        <w:t xml:space="preserve">after </w:t>
      </w:r>
      <w:r w:rsidR="00B701F9">
        <w:rPr>
          <w:color w:val="000000"/>
          <w:shd w:val="clear" w:color="auto" w:fill="FFFFFF"/>
        </w:rPr>
        <w:t xml:space="preserve">finding evidence of </w:t>
      </w:r>
      <w:r w:rsidR="00072E4C" w:rsidRPr="00B701F9">
        <w:rPr>
          <w:color w:val="000000"/>
          <w:shd w:val="clear" w:color="auto" w:fill="FFFFFF"/>
        </w:rPr>
        <w:t>heteroscedasticity</w:t>
      </w:r>
      <w:r w:rsidR="009E1C5E">
        <w:t xml:space="preserve"> and the </w:t>
      </w:r>
      <w:r w:rsidR="007A62AD">
        <w:t>same six covariates</w:t>
      </w:r>
      <w:r w:rsidR="00D234A6">
        <w:t xml:space="preserve"> listed above</w:t>
      </w:r>
      <w:r w:rsidR="007A62AD">
        <w:t xml:space="preserve"> </w:t>
      </w:r>
      <w:r w:rsidR="00454B30">
        <w:t xml:space="preserve">are included </w:t>
      </w:r>
      <w:r w:rsidR="007A62AD">
        <w:t xml:space="preserve">in </w:t>
      </w:r>
      <w:r w:rsidR="002E7E18">
        <w:t>each</w:t>
      </w:r>
      <w:r w:rsidR="007A62AD">
        <w:t xml:space="preserve"> </w:t>
      </w:r>
      <w:r w:rsidR="0074780B">
        <w:t>interaction</w:t>
      </w:r>
      <w:r w:rsidR="00D234A6">
        <w:t xml:space="preserve"> </w:t>
      </w:r>
      <w:r w:rsidR="007A62AD">
        <w:t xml:space="preserve">model. </w:t>
      </w:r>
    </w:p>
    <w:p w14:paraId="3345FD76" w14:textId="41448E28" w:rsidR="00D56A8B" w:rsidRPr="00E50E11" w:rsidRDefault="005753B9" w:rsidP="003E53E3">
      <w:pPr>
        <w:ind w:firstLine="720"/>
        <w:rPr>
          <w:color w:val="000000" w:themeColor="text1"/>
          <w:shd w:val="clear" w:color="auto" w:fill="FFFFFF"/>
        </w:rPr>
      </w:pPr>
      <w:r>
        <w:t>Additionally, t</w:t>
      </w:r>
      <w:r w:rsidR="007B29E7">
        <w:t xml:space="preserve">o test the robustness of </w:t>
      </w:r>
      <w:r w:rsidR="005C2DCE">
        <w:t>the interaction models</w:t>
      </w:r>
      <w:r w:rsidR="007B29E7">
        <w:t>, we create</w:t>
      </w:r>
      <w:r w:rsidR="00952965">
        <w:t>d</w:t>
      </w:r>
      <w:r w:rsidR="007B29E7">
        <w:t xml:space="preserve"> a binary dependent variable from the continuous percent forest loss, Y, where </w:t>
      </w:r>
      <w:r w:rsidR="007B29E7" w:rsidRPr="007B29E7">
        <w:rPr>
          <w:color w:val="000000" w:themeColor="text1"/>
          <w:shd w:val="clear" w:color="auto" w:fill="FFFFFF"/>
        </w:rPr>
        <w:t>Y</w:t>
      </w:r>
      <w:r w:rsidR="007B29E7" w:rsidRPr="007B29E7">
        <w:rPr>
          <w:color w:val="000000" w:themeColor="text1"/>
          <w:shd w:val="clear" w:color="auto" w:fill="FFFFFF"/>
          <w:vertAlign w:val="subscript"/>
        </w:rPr>
        <w:t>b</w:t>
      </w:r>
      <w:r w:rsidR="007B29E7" w:rsidRPr="007B29E7">
        <w:rPr>
          <w:color w:val="000000" w:themeColor="text1"/>
          <w:shd w:val="clear" w:color="auto" w:fill="FFFFFF"/>
        </w:rPr>
        <w:t>=</w:t>
      </w:r>
      <w:r w:rsidR="007B29E7">
        <w:rPr>
          <w:color w:val="000000" w:themeColor="text1"/>
          <w:shd w:val="clear" w:color="auto" w:fill="FFFFFF"/>
        </w:rPr>
        <w:t xml:space="preserve">1 for any loss and </w:t>
      </w:r>
      <w:r w:rsidR="007B29E7" w:rsidRPr="007B29E7">
        <w:rPr>
          <w:color w:val="000000" w:themeColor="text1"/>
          <w:shd w:val="clear" w:color="auto" w:fill="FFFFFF"/>
        </w:rPr>
        <w:t>Y</w:t>
      </w:r>
      <w:r w:rsidR="007B29E7" w:rsidRPr="007B29E7">
        <w:rPr>
          <w:color w:val="000000" w:themeColor="text1"/>
          <w:shd w:val="clear" w:color="auto" w:fill="FFFFFF"/>
          <w:vertAlign w:val="subscript"/>
        </w:rPr>
        <w:t>b</w:t>
      </w:r>
      <w:r w:rsidR="007B29E7">
        <w:rPr>
          <w:color w:val="000000" w:themeColor="text1"/>
          <w:shd w:val="clear" w:color="auto" w:fill="FFFFFF"/>
        </w:rPr>
        <w:t xml:space="preserve">=0 for no forest loss. </w:t>
      </w:r>
      <w:r w:rsidR="00D03D71">
        <w:rPr>
          <w:color w:val="000000" w:themeColor="text1"/>
          <w:shd w:val="clear" w:color="auto" w:fill="FFFFFF"/>
        </w:rPr>
        <w:t>A logit regression and a constructed</w:t>
      </w:r>
      <w:r w:rsidR="00953649">
        <w:rPr>
          <w:color w:val="000000" w:themeColor="text1"/>
          <w:shd w:val="clear" w:color="auto" w:fill="FFFFFF"/>
        </w:rPr>
        <w:t xml:space="preserve"> binary variable can be used </w:t>
      </w:r>
      <w:r w:rsidR="00D03D71">
        <w:rPr>
          <w:color w:val="000000" w:themeColor="text1"/>
          <w:shd w:val="clear" w:color="auto" w:fill="FFFFFF"/>
        </w:rPr>
        <w:t xml:space="preserve">to test the </w:t>
      </w:r>
      <w:r w:rsidR="00953649">
        <w:rPr>
          <w:color w:val="000000" w:themeColor="text1"/>
          <w:shd w:val="clear" w:color="auto" w:fill="FFFFFF"/>
        </w:rPr>
        <w:t xml:space="preserve">robustness </w:t>
      </w:r>
      <w:r w:rsidR="00D03D71">
        <w:rPr>
          <w:color w:val="000000" w:themeColor="text1"/>
          <w:shd w:val="clear" w:color="auto" w:fill="FFFFFF"/>
        </w:rPr>
        <w:t>of linear regression results</w:t>
      </w:r>
      <w:r w:rsidR="00953649">
        <w:rPr>
          <w:color w:val="000000" w:themeColor="text1"/>
          <w:shd w:val="clear" w:color="auto" w:fill="FFFFFF"/>
        </w:rPr>
        <w:t xml:space="preserve"> when </w:t>
      </w:r>
      <w:r w:rsidR="00E67DED">
        <w:rPr>
          <w:color w:val="000000" w:themeColor="text1"/>
          <w:shd w:val="clear" w:color="auto" w:fill="FFFFFF"/>
        </w:rPr>
        <w:t xml:space="preserve">continuous </w:t>
      </w:r>
      <w:r w:rsidR="00953649">
        <w:rPr>
          <w:color w:val="000000" w:themeColor="text1"/>
          <w:shd w:val="clear" w:color="auto" w:fill="FFFFFF"/>
        </w:rPr>
        <w:t xml:space="preserve">data </w:t>
      </w:r>
      <w:r w:rsidR="00E67DED">
        <w:rPr>
          <w:color w:val="000000" w:themeColor="text1"/>
          <w:shd w:val="clear" w:color="auto" w:fill="FFFFFF"/>
        </w:rPr>
        <w:t>contains a large number of zeros, and is thus severely</w:t>
      </w:r>
      <w:r w:rsidR="00953649">
        <w:rPr>
          <w:color w:val="000000" w:themeColor="text1"/>
          <w:shd w:val="clear" w:color="auto" w:fill="FFFFFF"/>
        </w:rPr>
        <w:t xml:space="preserve"> skewed </w:t>
      </w:r>
      <w:r w:rsidR="00E67DED">
        <w:rPr>
          <w:color w:val="000000" w:themeColor="text1"/>
          <w:shd w:val="clear" w:color="auto" w:fill="FFFFFF"/>
        </w:rPr>
        <w:t xml:space="preserve">to the right </w:t>
      </w:r>
      <w:r w:rsidR="00953649">
        <w:rPr>
          <w:color w:val="000000" w:themeColor="text1"/>
          <w:shd w:val="clear" w:color="auto" w:fill="FFFFFF"/>
        </w:rPr>
        <w:fldChar w:fldCharType="begin" w:fldLock="1"/>
      </w:r>
      <w:r w:rsidR="000C3BE5">
        <w:rPr>
          <w:color w:val="000000" w:themeColor="text1"/>
          <w:shd w:val="clear" w:color="auto" w:fill="FFFFFF"/>
        </w:rPr>
        <w:instrText>ADDIN CSL_CITATION {"citationItems":[{"id":"ITEM-1","itemData":{"DOI":"10.1086/701235","author":[{"dropping-particle":"","family":"Boulton","given":"Aaron J.","non-dropping-particle":"","parse-names":false,"suffix":""},{"dropping-particle":"","family":"Williford","given":"Anne","non-dropping-particle":"","parse-names":false,"suffix":""}],"container-title":"Journal of the Society for Social Work and Research","id":"ITEM-1","issue":"4","issued":{"date-parts":[["2018"]]},"page":"721-740","title":"Analyzing Skewed Continuous Outcomes With Many Zeros: A Tutorial for Social Work and Youth Prevention Science Researchers","type":"article-journal","volume":"9"},"uris":["http://www.mendeley.com/documents/?uuid=02ea19fd-e9e4-4e04-8f13-1709498319d6"]}],"mendeley":{"formattedCitation":"(Boulton &amp; Williford, 2018)","plainTextFormattedCitation":"(Boulton &amp; Williford, 2018)","previouslyFormattedCitation":"(Boulton &amp; Williford, 2018)"},"properties":{"noteIndex":0},"schema":"https://github.com/citation-style-language/schema/raw/master/csl-citation.json"}</w:instrText>
      </w:r>
      <w:r w:rsidR="00953649">
        <w:rPr>
          <w:color w:val="000000" w:themeColor="text1"/>
          <w:shd w:val="clear" w:color="auto" w:fill="FFFFFF"/>
        </w:rPr>
        <w:fldChar w:fldCharType="separate"/>
      </w:r>
      <w:r w:rsidR="00953649" w:rsidRPr="00953649">
        <w:rPr>
          <w:noProof/>
          <w:color w:val="000000" w:themeColor="text1"/>
          <w:shd w:val="clear" w:color="auto" w:fill="FFFFFF"/>
        </w:rPr>
        <w:t>(Boulton &amp; Williford, 2018)</w:t>
      </w:r>
      <w:r w:rsidR="00953649">
        <w:rPr>
          <w:color w:val="000000" w:themeColor="text1"/>
          <w:shd w:val="clear" w:color="auto" w:fill="FFFFFF"/>
        </w:rPr>
        <w:fldChar w:fldCharType="end"/>
      </w:r>
      <w:r w:rsidR="00953649">
        <w:rPr>
          <w:color w:val="000000" w:themeColor="text1"/>
          <w:shd w:val="clear" w:color="auto" w:fill="FFFFFF"/>
        </w:rPr>
        <w:t xml:space="preserve">. </w:t>
      </w:r>
      <w:r w:rsidR="007B29E7">
        <w:rPr>
          <w:color w:val="000000" w:themeColor="text1"/>
          <w:shd w:val="clear" w:color="auto" w:fill="FFFFFF"/>
        </w:rPr>
        <w:t xml:space="preserve">We </w:t>
      </w:r>
      <w:r w:rsidR="00B636A0">
        <w:rPr>
          <w:color w:val="000000" w:themeColor="text1"/>
          <w:shd w:val="clear" w:color="auto" w:fill="FFFFFF"/>
        </w:rPr>
        <w:t>therefore</w:t>
      </w:r>
      <w:r w:rsidR="007B29E7">
        <w:rPr>
          <w:color w:val="000000" w:themeColor="text1"/>
          <w:shd w:val="clear" w:color="auto" w:fill="FFFFFF"/>
        </w:rPr>
        <w:t xml:space="preserve"> examine</w:t>
      </w:r>
      <w:r>
        <w:rPr>
          <w:color w:val="000000" w:themeColor="text1"/>
          <w:shd w:val="clear" w:color="auto" w:fill="FFFFFF"/>
        </w:rPr>
        <w:t>d</w:t>
      </w:r>
      <w:r w:rsidR="007B29E7">
        <w:rPr>
          <w:color w:val="000000" w:themeColor="text1"/>
          <w:shd w:val="clear" w:color="auto" w:fill="FFFFFF"/>
        </w:rPr>
        <w:t xml:space="preserve"> the moderating effect of each management score using Y</w:t>
      </w:r>
      <w:r w:rsidR="007B29E7" w:rsidRPr="007B29E7">
        <w:rPr>
          <w:color w:val="000000" w:themeColor="text1"/>
          <w:shd w:val="clear" w:color="auto" w:fill="FFFFFF"/>
          <w:vertAlign w:val="subscript"/>
        </w:rPr>
        <w:t>b</w:t>
      </w:r>
      <w:r w:rsidR="007B29E7">
        <w:rPr>
          <w:color w:val="000000" w:themeColor="text1"/>
          <w:shd w:val="clear" w:color="auto" w:fill="FFFFFF"/>
        </w:rPr>
        <w:t xml:space="preserve"> as the dependent variable in a logit regression model</w:t>
      </w:r>
      <w:r w:rsidR="006C143B">
        <w:rPr>
          <w:color w:val="000000" w:themeColor="text1"/>
          <w:shd w:val="clear" w:color="auto" w:fill="FFFFFF"/>
        </w:rPr>
        <w:t xml:space="preserve"> similar to </w:t>
      </w:r>
      <w:r w:rsidR="0052583F">
        <w:rPr>
          <w:color w:val="000000" w:themeColor="text1"/>
          <w:shd w:val="clear" w:color="auto" w:fill="FFFFFF"/>
        </w:rPr>
        <w:t>equation 3</w:t>
      </w:r>
      <w:r w:rsidR="007B29E7">
        <w:rPr>
          <w:color w:val="000000" w:themeColor="text1"/>
          <w:shd w:val="clear" w:color="auto" w:fill="FFFFFF"/>
        </w:rPr>
        <w:t>.</w:t>
      </w:r>
      <w:r w:rsidR="00E50E11">
        <w:t xml:space="preserve"> W</w:t>
      </w:r>
      <w:r w:rsidR="00D56A8B">
        <w:t>e test</w:t>
      </w:r>
      <w:r>
        <w:t>ed</w:t>
      </w:r>
      <w:r w:rsidR="00D56A8B">
        <w:t xml:space="preserve"> for spatial autocorrelation using Moran’s I </w:t>
      </w:r>
      <w:r w:rsidR="000156AE">
        <w:t>using the residuals of each interaction model</w:t>
      </w:r>
      <w:r w:rsidR="00895406">
        <w:t xml:space="preserve"> </w:t>
      </w:r>
      <w:r w:rsidR="00D56A8B">
        <w:fldChar w:fldCharType="begin" w:fldLock="1"/>
      </w:r>
      <w:r w:rsidR="00D56A8B">
        <w:instrText>ADDIN CSL_CITATION {"citationItems":[{"id":"ITEM-1","itemData":{"DOI":"10.1111/cobi.13522","author":[{"dropping-particle":"","family":"Negret","given":"Pablo Jose","non-dropping-particle":"","parse-names":false,"suffix":""},{"dropping-particle":"Di","family":"Marco","given":"Moreno","non-dropping-particle":"","parse-names":false,"suffix":""},{"dropping-particle":"","family":"Sonter","given":"Laura J","non-dropping-particle":"","parse-names":false,"suffix":""},{"dropping-particle":"","family":"Rhodes","given":"Jonathan","non-dropping-particle":"","parse-names":false,"suffix":""},{"dropping-particle":"","family":"Possingham","given":"Hugh P","non-dropping-particle":"","parse-names":false,"suffix":""},{"dropping-particle":"","family":"Maron","given":"Martine","non-dropping-particle":"","parse-names":false,"suffix":""}],"container-title":"Conservation Biology","id":"ITEM-1","issue":"0","issued":{"date-parts":[["2020"]]},"page":"1-11","title":"Effects of spatial autocorrelation and sampling design on estimates of protected area effectiveness","type":"article-journal","volume":"00"},"uris":["http://www.mendeley.com/documents/?uuid=ba3a88e0-ad9e-4d29-acfc-2d7044e71af0"]},{"id":"ITEM-2","itemData":{"author":[{"dropping-particle":"","family":"Legendre","given":"Pierre","non-dropping-particle":"","parse-names":false,"suffix":""}],"container-title":"Ecology","id":"ITEM-2","issue":"6","issued":{"date-parts":[["1993"]]},"page":"1659-1673","title":"Spatial autocorrelation: Trouble or new paradigm?","type":"article-journal","volume":"74"},"uris":["http://www.mendeley.com/documents/?uuid=df9a25ff-e2b8-487a-8269-2af2a2f93083"]}],"mendeley":{"formattedCitation":"(Legendre, 1993; Negret et al., 2020)","plainTextFormattedCitation":"(Legendre, 1993; Negret et al., 2020)","previouslyFormattedCitation":"(Legendre, 1993; Negret et al., 2020)"},"properties":{"noteIndex":0},"schema":"https://github.com/citation-style-language/schema/raw/master/csl-citation.json"}</w:instrText>
      </w:r>
      <w:r w:rsidR="00D56A8B">
        <w:fldChar w:fldCharType="separate"/>
      </w:r>
      <w:r w:rsidR="00D56A8B" w:rsidRPr="00E94D73">
        <w:rPr>
          <w:noProof/>
        </w:rPr>
        <w:t>(Legendre, 1993; Negret et al., 2020)</w:t>
      </w:r>
      <w:r w:rsidR="00D56A8B">
        <w:fldChar w:fldCharType="end"/>
      </w:r>
      <w:r w:rsidR="00D56A8B">
        <w:t xml:space="preserve">. </w:t>
      </w:r>
    </w:p>
    <w:p w14:paraId="7C06BF46" w14:textId="77777777" w:rsidR="009D03A6" w:rsidRDefault="009D03A6" w:rsidP="003E53E3">
      <w:pPr>
        <w:rPr>
          <w:b/>
          <w:bCs/>
        </w:rPr>
      </w:pPr>
      <w:bookmarkStart w:id="9" w:name="_Toc33289897"/>
      <w:bookmarkStart w:id="10" w:name="_Toc29199703"/>
    </w:p>
    <w:p w14:paraId="64981D42" w14:textId="0F669C0E" w:rsidR="009A1D67" w:rsidRPr="00C72119" w:rsidRDefault="009A1D67" w:rsidP="003E53E3">
      <w:pPr>
        <w:pStyle w:val="ListParagraph"/>
        <w:numPr>
          <w:ilvl w:val="0"/>
          <w:numId w:val="8"/>
        </w:numPr>
        <w:rPr>
          <w:b/>
          <w:bCs/>
        </w:rPr>
      </w:pPr>
      <w:r w:rsidRPr="00C72119">
        <w:rPr>
          <w:b/>
          <w:bCs/>
        </w:rPr>
        <w:t xml:space="preserve">Results </w:t>
      </w:r>
    </w:p>
    <w:p w14:paraId="3AA76B88" w14:textId="2BCB9A23" w:rsidR="009A1D67" w:rsidRPr="00C72119" w:rsidRDefault="006B677B" w:rsidP="003E53E3">
      <w:pPr>
        <w:ind w:firstLine="720"/>
      </w:pPr>
      <w:r w:rsidRPr="00C72119">
        <w:t>The 20</w:t>
      </w:r>
      <w:r w:rsidR="00493CE0" w:rsidRPr="00C72119">
        <w:t xml:space="preserve"> </w:t>
      </w:r>
      <w:r w:rsidRPr="00C72119">
        <w:t xml:space="preserve">000 </w:t>
      </w:r>
      <w:r w:rsidR="00016B66" w:rsidRPr="00C72119">
        <w:t>PA</w:t>
      </w:r>
      <w:r w:rsidRPr="00C72119">
        <w:t xml:space="preserve"> grid cells </w:t>
      </w:r>
      <w:r w:rsidR="00493CE0" w:rsidRPr="00C72119">
        <w:t xml:space="preserve">were </w:t>
      </w:r>
      <w:r w:rsidR="00A005B0" w:rsidRPr="00C72119">
        <w:t xml:space="preserve">located </w:t>
      </w:r>
      <w:r w:rsidRPr="00C72119">
        <w:t xml:space="preserve">within </w:t>
      </w:r>
      <w:r w:rsidR="00EB01D2" w:rsidRPr="00C72119">
        <w:t>46</w:t>
      </w:r>
      <w:r w:rsidR="009A1D67" w:rsidRPr="00C72119">
        <w:t xml:space="preserve"> </w:t>
      </w:r>
      <w:r w:rsidR="00695FDC" w:rsidRPr="00C72119">
        <w:t>PAs</w:t>
      </w:r>
      <w:r w:rsidR="00983FE3" w:rsidRPr="00C72119">
        <w:t xml:space="preserve"> </w:t>
      </w:r>
      <w:r w:rsidR="00493CE0" w:rsidRPr="00C72119">
        <w:t xml:space="preserve">that </w:t>
      </w:r>
      <w:r w:rsidR="00983FE3" w:rsidRPr="00C72119">
        <w:t xml:space="preserve">were </w:t>
      </w:r>
      <w:r w:rsidR="003A5BC3" w:rsidRPr="00C72119">
        <w:t xml:space="preserve">all </w:t>
      </w:r>
      <w:r w:rsidR="00983FE3" w:rsidRPr="00C72119">
        <w:t>established before 2010 and a</w:t>
      </w:r>
      <w:r w:rsidR="009A1D67" w:rsidRPr="00C72119">
        <w:t xml:space="preserve">ges ranged from </w:t>
      </w:r>
      <w:r w:rsidR="007C62E7" w:rsidRPr="00C72119">
        <w:t xml:space="preserve">11 </w:t>
      </w:r>
      <w:r w:rsidR="009A1D67" w:rsidRPr="00C72119">
        <w:t xml:space="preserve">to 83 years. The </w:t>
      </w:r>
      <w:r w:rsidR="007C0AD2" w:rsidRPr="00C72119">
        <w:t>areas</w:t>
      </w:r>
      <w:r w:rsidR="009A1D67" w:rsidRPr="00C72119">
        <w:t xml:space="preserve"> represented </w:t>
      </w:r>
      <w:r w:rsidR="00151ECA" w:rsidRPr="00C72119">
        <w:t xml:space="preserve">five </w:t>
      </w:r>
      <w:r w:rsidR="00016B66" w:rsidRPr="00C72119">
        <w:t>PA</w:t>
      </w:r>
      <w:r w:rsidR="007C0AD2" w:rsidRPr="00C72119">
        <w:t xml:space="preserve"> types</w:t>
      </w:r>
      <w:r w:rsidR="009A1D67" w:rsidRPr="00C72119">
        <w:t>: Biosphere Reserves</w:t>
      </w:r>
      <w:r w:rsidR="00626FAE" w:rsidRPr="00C72119">
        <w:t xml:space="preserve"> (IUCN </w:t>
      </w:r>
      <w:r w:rsidR="007C0AD2" w:rsidRPr="00C72119">
        <w:t>C</w:t>
      </w:r>
      <w:r w:rsidR="00626FAE" w:rsidRPr="00C72119">
        <w:t>ategory Ia and VI</w:t>
      </w:r>
      <w:r w:rsidR="00E801D2" w:rsidRPr="00C72119">
        <w:t>; 72%</w:t>
      </w:r>
      <w:r w:rsidR="00626FAE" w:rsidRPr="00C72119">
        <w:t>)</w:t>
      </w:r>
      <w:r w:rsidR="009A1D67" w:rsidRPr="00C72119">
        <w:t>, National Parks</w:t>
      </w:r>
      <w:r w:rsidR="00626FAE" w:rsidRPr="00C72119">
        <w:t xml:space="preserve"> (IUCN </w:t>
      </w:r>
      <w:r w:rsidR="007C0AD2" w:rsidRPr="00C72119">
        <w:t>C</w:t>
      </w:r>
      <w:r w:rsidR="00626FAE" w:rsidRPr="00C72119">
        <w:t>ategory II</w:t>
      </w:r>
      <w:r w:rsidR="00E801D2" w:rsidRPr="00C72119">
        <w:t>; 6%</w:t>
      </w:r>
      <w:r w:rsidR="00626FAE" w:rsidRPr="00C72119">
        <w:t>)</w:t>
      </w:r>
      <w:r w:rsidR="009A1D67" w:rsidRPr="00C72119">
        <w:t xml:space="preserve">, </w:t>
      </w:r>
      <w:r w:rsidR="00184039" w:rsidRPr="00C72119">
        <w:t>National Monuments (IUCN Category III</w:t>
      </w:r>
      <w:r w:rsidR="00E801D2" w:rsidRPr="00C72119">
        <w:t xml:space="preserve">; </w:t>
      </w:r>
      <w:r w:rsidR="008B0FE2" w:rsidRPr="00C72119">
        <w:t>&lt;</w:t>
      </w:r>
      <w:r w:rsidR="00E801D2" w:rsidRPr="00C72119">
        <w:t>1%</w:t>
      </w:r>
      <w:r w:rsidR="00184039" w:rsidRPr="00C72119">
        <w:t xml:space="preserve">), </w:t>
      </w:r>
      <w:r w:rsidR="007C0AD2" w:rsidRPr="00C72119">
        <w:t>Flora and Fauna Protection Areas (IUCN Category VI</w:t>
      </w:r>
      <w:r w:rsidR="00E801D2" w:rsidRPr="00C72119">
        <w:t>; 17%</w:t>
      </w:r>
      <w:r w:rsidR="007C0AD2" w:rsidRPr="00C72119">
        <w:t xml:space="preserve">) </w:t>
      </w:r>
      <w:r w:rsidR="009A1D67" w:rsidRPr="00C72119">
        <w:t>and Natural Resource Protection Areas</w:t>
      </w:r>
      <w:r w:rsidR="00184039" w:rsidRPr="00C72119">
        <w:t xml:space="preserve"> (IUCN Category VI</w:t>
      </w:r>
      <w:r w:rsidR="00E801D2" w:rsidRPr="00C72119">
        <w:t>; &lt;1%</w:t>
      </w:r>
      <w:r w:rsidR="00184039" w:rsidRPr="00C72119">
        <w:t>)</w:t>
      </w:r>
      <w:r w:rsidR="009A1D67" w:rsidRPr="00C72119">
        <w:t xml:space="preserve">. </w:t>
      </w:r>
    </w:p>
    <w:p w14:paraId="3FFBFEF5" w14:textId="77777777" w:rsidR="00C355F4" w:rsidRPr="00C72119" w:rsidRDefault="00C355F4" w:rsidP="003E53E3">
      <w:pPr>
        <w:ind w:firstLine="720"/>
      </w:pPr>
    </w:p>
    <w:p w14:paraId="60292265" w14:textId="2388FBB9" w:rsidR="009A1D67" w:rsidRPr="00C72119" w:rsidRDefault="00E42706" w:rsidP="003E53E3">
      <w:pPr>
        <w:pStyle w:val="ListParagraph"/>
        <w:numPr>
          <w:ilvl w:val="1"/>
          <w:numId w:val="8"/>
        </w:numPr>
        <w:rPr>
          <w:i/>
          <w:iCs/>
        </w:rPr>
      </w:pPr>
      <w:r w:rsidRPr="00C72119">
        <w:rPr>
          <w:i/>
          <w:iCs/>
        </w:rPr>
        <w:t xml:space="preserve"> </w:t>
      </w:r>
      <w:r w:rsidR="009A1D67" w:rsidRPr="00C72119">
        <w:rPr>
          <w:i/>
          <w:iCs/>
        </w:rPr>
        <w:t xml:space="preserve">Management Scores </w:t>
      </w:r>
    </w:p>
    <w:p w14:paraId="2519690A" w14:textId="5CF9BBBF" w:rsidR="009A1D67" w:rsidRPr="001B718F" w:rsidRDefault="009A1D67" w:rsidP="002D6C24">
      <w:pPr>
        <w:ind w:firstLine="720"/>
        <w:rPr>
          <w:highlight w:val="yellow"/>
        </w:rPr>
      </w:pPr>
      <w:r w:rsidRPr="00C72119">
        <w:t xml:space="preserve">Management scores in all categories varied across the </w:t>
      </w:r>
      <w:r w:rsidR="006515A4" w:rsidRPr="00C72119">
        <w:t xml:space="preserve">46 </w:t>
      </w:r>
      <w:r w:rsidR="00695FDC" w:rsidRPr="00C72119">
        <w:t>PAs</w:t>
      </w:r>
      <w:r w:rsidRPr="00C72119">
        <w:t xml:space="preserve"> (</w:t>
      </w:r>
      <w:r w:rsidR="006015EC" w:rsidRPr="00C72119">
        <w:rPr>
          <w:color w:val="000000" w:themeColor="text1"/>
        </w:rPr>
        <w:fldChar w:fldCharType="begin"/>
      </w:r>
      <w:r w:rsidR="006015EC" w:rsidRPr="00C72119">
        <w:rPr>
          <w:color w:val="000000" w:themeColor="text1"/>
        </w:rPr>
        <w:instrText xml:space="preserve"> REF _Ref50913319  \* MERGEFORMAT </w:instrText>
      </w:r>
      <w:r w:rsidR="006015EC" w:rsidRPr="00C72119">
        <w:rPr>
          <w:color w:val="000000" w:themeColor="text1"/>
        </w:rPr>
        <w:fldChar w:fldCharType="separate"/>
      </w:r>
      <w:r w:rsidR="00C9684F" w:rsidRPr="00C72119">
        <w:rPr>
          <w:color w:val="000000" w:themeColor="text1"/>
        </w:rPr>
        <w:t xml:space="preserve">Figure </w:t>
      </w:r>
      <w:r w:rsidR="00C9684F" w:rsidRPr="00C72119">
        <w:rPr>
          <w:noProof/>
          <w:color w:val="000000" w:themeColor="text1"/>
        </w:rPr>
        <w:t>2</w:t>
      </w:r>
      <w:r w:rsidR="006015EC" w:rsidRPr="00C72119">
        <w:rPr>
          <w:noProof/>
          <w:color w:val="000000" w:themeColor="text1"/>
        </w:rPr>
        <w:fldChar w:fldCharType="end"/>
      </w:r>
      <w:r w:rsidRPr="00C72119">
        <w:t xml:space="preserve">). </w:t>
      </w:r>
      <w:r w:rsidR="009C2004" w:rsidRPr="00C72119">
        <w:t>Using the median</w:t>
      </w:r>
      <w:r w:rsidR="00951BCB" w:rsidRPr="00C72119">
        <w:t xml:space="preserve"> </w:t>
      </w:r>
      <w:r w:rsidR="002D6C24" w:rsidRPr="00C72119">
        <w:t xml:space="preserve">score </w:t>
      </w:r>
      <w:r w:rsidR="00951BCB" w:rsidRPr="00C72119">
        <w:t xml:space="preserve">of </w:t>
      </w:r>
      <w:r w:rsidR="00146BEE" w:rsidRPr="00C72119">
        <w:t xml:space="preserve">the </w:t>
      </w:r>
      <w:r w:rsidR="009F73A0" w:rsidRPr="00C72119">
        <w:t>2</w:t>
      </w:r>
      <w:r w:rsidR="00951BCB" w:rsidRPr="00C72119">
        <w:t>0 000</w:t>
      </w:r>
      <w:r w:rsidR="009C2004" w:rsidRPr="00C72119">
        <w:t xml:space="preserve"> </w:t>
      </w:r>
      <w:r w:rsidR="00951BCB" w:rsidRPr="00C72119">
        <w:t>grid cel</w:t>
      </w:r>
      <w:r w:rsidR="009F73A0" w:rsidRPr="00C72119">
        <w:t xml:space="preserve">ls inside </w:t>
      </w:r>
      <w:r w:rsidR="00695FDC" w:rsidRPr="00C72119">
        <w:t>PAs</w:t>
      </w:r>
      <w:r w:rsidR="00951BCB" w:rsidRPr="00C72119">
        <w:t xml:space="preserve"> </w:t>
      </w:r>
      <w:r w:rsidR="000A3520" w:rsidRPr="00C72119">
        <w:t>to</w:t>
      </w:r>
      <w:r w:rsidR="009C2004" w:rsidRPr="00C72119">
        <w:t xml:space="preserve"> create high</w:t>
      </w:r>
      <w:r w:rsidR="009C2004">
        <w:t xml:space="preserve"> and low subgroups</w:t>
      </w:r>
      <w:r w:rsidR="000A3520">
        <w:t>, 34</w:t>
      </w:r>
      <w:r w:rsidR="007D0C4C">
        <w:t xml:space="preserve"> </w:t>
      </w:r>
      <w:r w:rsidR="00695FDC">
        <w:t>PAs</w:t>
      </w:r>
      <w:r>
        <w:t xml:space="preserve"> </w:t>
      </w:r>
      <w:r w:rsidR="007D0C4C">
        <w:t>fell within the low</w:t>
      </w:r>
      <w:r>
        <w:t xml:space="preserve"> overall </w:t>
      </w:r>
      <w:r w:rsidR="007D0C4C">
        <w:t xml:space="preserve">effectiveness </w:t>
      </w:r>
      <w:r>
        <w:t xml:space="preserve">score </w:t>
      </w:r>
      <w:r w:rsidR="007D0C4C">
        <w:t>category (&lt; 74) and</w:t>
      </w:r>
      <w:r>
        <w:t xml:space="preserve"> 1</w:t>
      </w:r>
      <w:r w:rsidR="007D0C4C">
        <w:t>2</w:t>
      </w:r>
      <w:r>
        <w:t xml:space="preserve"> </w:t>
      </w:r>
      <w:r w:rsidR="00695FDC">
        <w:t>PAs</w:t>
      </w:r>
      <w:r>
        <w:t xml:space="preserve"> </w:t>
      </w:r>
      <w:r w:rsidR="007D0C4C">
        <w:t>were in the high</w:t>
      </w:r>
      <w:r>
        <w:t xml:space="preserve"> overall </w:t>
      </w:r>
      <w:r w:rsidR="007D0C4C">
        <w:t>effectiveness category (&gt;74)</w:t>
      </w:r>
      <w:r>
        <w:t xml:space="preserve">. No </w:t>
      </w:r>
      <w:r w:rsidR="00016B66">
        <w:t>PA</w:t>
      </w:r>
      <w:r>
        <w:t xml:space="preserve"> had an overall management score of less than 40. Across the five management categories, </w:t>
      </w:r>
      <w:r w:rsidR="00695FDC">
        <w:t>PAs</w:t>
      </w:r>
      <w:r>
        <w:t xml:space="preserve"> scored highest </w:t>
      </w:r>
      <w:r w:rsidR="00361144">
        <w:t xml:space="preserve">on </w:t>
      </w:r>
      <w:r w:rsidR="00136092">
        <w:t>g</w:t>
      </w:r>
      <w:r>
        <w:t xml:space="preserve">overnance and </w:t>
      </w:r>
      <w:r w:rsidR="00136092">
        <w:t>s</w:t>
      </w:r>
      <w:r>
        <w:t xml:space="preserve">ocial </w:t>
      </w:r>
      <w:r w:rsidR="00136092">
        <w:t>p</w:t>
      </w:r>
      <w:r>
        <w:t xml:space="preserve">articipation </w:t>
      </w:r>
      <w:r w:rsidR="00556155">
        <w:t xml:space="preserve">and </w:t>
      </w:r>
      <w:r w:rsidR="00361144">
        <w:t xml:space="preserve">lowest on </w:t>
      </w:r>
      <w:r w:rsidR="00556155">
        <w:t>a</w:t>
      </w:r>
      <w:r>
        <w:t>dministration</w:t>
      </w:r>
      <w:r w:rsidR="00361144">
        <w:t xml:space="preserve"> and financ</w:t>
      </w:r>
      <w:r w:rsidR="008A6CED">
        <w:t>e</w:t>
      </w:r>
      <w:r>
        <w:t xml:space="preserve"> </w:t>
      </w:r>
      <w:r w:rsidR="00361144">
        <w:t>(</w:t>
      </w:r>
      <w:r w:rsidR="00556155">
        <w:t xml:space="preserve">Figure </w:t>
      </w:r>
      <w:r w:rsidR="00414F9C">
        <w:t>2</w:t>
      </w:r>
      <w:r w:rsidR="00361144">
        <w:t>)</w:t>
      </w:r>
      <w:r w:rsidR="00556155">
        <w:t>.</w:t>
      </w:r>
    </w:p>
    <w:p w14:paraId="23C2857F" w14:textId="0C3AA0A1" w:rsidR="00AE4727" w:rsidRDefault="00AE4727" w:rsidP="00AE4727"/>
    <w:p w14:paraId="5F67DC5E" w14:textId="77777777" w:rsidR="000B5BA0" w:rsidRDefault="000B5BA0" w:rsidP="000B5BA0">
      <w:pPr>
        <w:keepNext/>
      </w:pPr>
      <w:r>
        <w:rPr>
          <w:noProof/>
          <w:color w:val="FF0000"/>
        </w:rPr>
        <w:lastRenderedPageBreak/>
        <w:drawing>
          <wp:inline distT="0" distB="0" distL="0" distR="0" wp14:anchorId="2FDA2EA6" wp14:editId="5E2CCB87">
            <wp:extent cx="4236995" cy="2465798"/>
            <wp:effectExtent l="0" t="0" r="5080" b="0"/>
            <wp:docPr id="3" name="Picture 3" descr="Chart, box and whisk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box and whisker chart&#10;&#10;Description automatically generated"/>
                    <pic:cNvPicPr/>
                  </pic:nvPicPr>
                  <pic:blipFill rotWithShape="1">
                    <a:blip r:embed="rId11" cstate="print">
                      <a:extLst>
                        <a:ext uri="{28A0092B-C50C-407E-A947-70E740481C1C}">
                          <a14:useLocalDpi xmlns:a14="http://schemas.microsoft.com/office/drawing/2010/main" val="0"/>
                        </a:ext>
                      </a:extLst>
                    </a:blip>
                    <a:srcRect l="4129"/>
                    <a:stretch/>
                  </pic:blipFill>
                  <pic:spPr bwMode="auto">
                    <a:xfrm>
                      <a:off x="0" y="0"/>
                      <a:ext cx="4300812" cy="2502938"/>
                    </a:xfrm>
                    <a:prstGeom prst="rect">
                      <a:avLst/>
                    </a:prstGeom>
                    <a:ln>
                      <a:noFill/>
                    </a:ln>
                    <a:extLst>
                      <a:ext uri="{53640926-AAD7-44D8-BBD7-CCE9431645EC}">
                        <a14:shadowObscured xmlns:a14="http://schemas.microsoft.com/office/drawing/2010/main"/>
                      </a:ext>
                    </a:extLst>
                  </pic:spPr>
                </pic:pic>
              </a:graphicData>
            </a:graphic>
          </wp:inline>
        </w:drawing>
      </w:r>
    </w:p>
    <w:p w14:paraId="2E7DEC2C" w14:textId="77777777" w:rsidR="000B5BA0" w:rsidRPr="00497308" w:rsidRDefault="000B5BA0" w:rsidP="000B5BA0">
      <w:pPr>
        <w:pStyle w:val="Caption"/>
        <w:spacing w:before="100" w:after="0" w:line="240" w:lineRule="auto"/>
        <w:rPr>
          <w:b w:val="0"/>
          <w:bCs w:val="0"/>
          <w:color w:val="000000" w:themeColor="text1"/>
          <w:sz w:val="20"/>
          <w:szCs w:val="20"/>
        </w:rPr>
      </w:pPr>
      <w:r w:rsidRPr="00497308">
        <w:rPr>
          <w:b w:val="0"/>
          <w:bCs w:val="0"/>
          <w:color w:val="000000" w:themeColor="text1"/>
          <w:sz w:val="20"/>
          <w:szCs w:val="20"/>
        </w:rPr>
        <w:t xml:space="preserve">Figure </w:t>
      </w:r>
      <w:r w:rsidRPr="00497308">
        <w:rPr>
          <w:b w:val="0"/>
          <w:bCs w:val="0"/>
          <w:color w:val="000000" w:themeColor="text1"/>
          <w:sz w:val="20"/>
          <w:szCs w:val="20"/>
        </w:rPr>
        <w:fldChar w:fldCharType="begin"/>
      </w:r>
      <w:r w:rsidRPr="00497308">
        <w:rPr>
          <w:b w:val="0"/>
          <w:bCs w:val="0"/>
          <w:color w:val="000000" w:themeColor="text1"/>
          <w:sz w:val="20"/>
          <w:szCs w:val="20"/>
        </w:rPr>
        <w:instrText xml:space="preserve"> SEQ Figure \* ARABIC </w:instrText>
      </w:r>
      <w:r w:rsidRPr="00497308">
        <w:rPr>
          <w:b w:val="0"/>
          <w:bCs w:val="0"/>
          <w:color w:val="000000" w:themeColor="text1"/>
          <w:sz w:val="20"/>
          <w:szCs w:val="20"/>
        </w:rPr>
        <w:fldChar w:fldCharType="separate"/>
      </w:r>
      <w:r w:rsidRPr="00497308">
        <w:rPr>
          <w:b w:val="0"/>
          <w:bCs w:val="0"/>
          <w:noProof/>
          <w:color w:val="000000" w:themeColor="text1"/>
          <w:sz w:val="20"/>
          <w:szCs w:val="20"/>
        </w:rPr>
        <w:t>2</w:t>
      </w:r>
      <w:r w:rsidRPr="00497308">
        <w:rPr>
          <w:b w:val="0"/>
          <w:bCs w:val="0"/>
          <w:color w:val="000000" w:themeColor="text1"/>
          <w:sz w:val="20"/>
          <w:szCs w:val="20"/>
        </w:rPr>
        <w:fldChar w:fldCharType="end"/>
      </w:r>
      <w:r w:rsidRPr="00497308">
        <w:rPr>
          <w:b w:val="0"/>
          <w:bCs w:val="0"/>
          <w:color w:val="000000" w:themeColor="text1"/>
          <w:sz w:val="20"/>
          <w:szCs w:val="20"/>
        </w:rPr>
        <w:t xml:space="preserve">: Distribution of scores for each management category and the overall score from the grid cells in the 46 protected areas. </w:t>
      </w:r>
    </w:p>
    <w:p w14:paraId="4030F371" w14:textId="77777777" w:rsidR="000B5BA0" w:rsidRDefault="000B5BA0" w:rsidP="00AE4727"/>
    <w:p w14:paraId="1FD349C6" w14:textId="614C082F" w:rsidR="009A1D67" w:rsidRPr="00AB0849" w:rsidRDefault="009A1D67" w:rsidP="003E53E3">
      <w:pPr>
        <w:pStyle w:val="ListParagraph"/>
        <w:numPr>
          <w:ilvl w:val="1"/>
          <w:numId w:val="8"/>
        </w:numPr>
        <w:rPr>
          <w:i/>
          <w:iCs/>
        </w:rPr>
      </w:pPr>
      <w:r w:rsidRPr="00AB0849">
        <w:rPr>
          <w:i/>
          <w:iCs/>
        </w:rPr>
        <w:t>Covariates</w:t>
      </w:r>
      <w:r w:rsidR="00ED7998" w:rsidRPr="00AB0849">
        <w:rPr>
          <w:i/>
          <w:iCs/>
        </w:rPr>
        <w:t xml:space="preserve"> and Matching</w:t>
      </w:r>
    </w:p>
    <w:p w14:paraId="07C1FEB6" w14:textId="65E5BF69" w:rsidR="009A1D67" w:rsidRPr="001877E5" w:rsidRDefault="009A1D67" w:rsidP="003E53E3">
      <w:r>
        <w:tab/>
      </w:r>
      <w:r w:rsidRPr="001877E5">
        <w:t xml:space="preserve">The socioeconomic, ecological and climatological covariates varied greatly across protected and unprotected cells, as well as high and low management </w:t>
      </w:r>
      <w:r w:rsidR="000D50A9" w:rsidRPr="001877E5">
        <w:t xml:space="preserve">effectiveness </w:t>
      </w:r>
      <w:r w:rsidR="00016B66" w:rsidRPr="001877E5">
        <w:t>PA</w:t>
      </w:r>
      <w:r w:rsidR="003A5BC3" w:rsidRPr="001877E5">
        <w:t xml:space="preserve"> </w:t>
      </w:r>
      <w:r w:rsidRPr="001877E5">
        <w:t>cells (</w:t>
      </w:r>
      <w:r w:rsidR="003F09D3" w:rsidRPr="001877E5">
        <w:t xml:space="preserve">Figure 3, </w:t>
      </w:r>
      <w:r w:rsidR="00375989" w:rsidRPr="001877E5">
        <w:rPr>
          <w:noProof/>
          <w:color w:val="000000" w:themeColor="text1"/>
        </w:rPr>
        <w:t>Appendix</w:t>
      </w:r>
      <w:r w:rsidR="00610B9A" w:rsidRPr="001877E5">
        <w:rPr>
          <w:noProof/>
          <w:color w:val="000000" w:themeColor="text1"/>
        </w:rPr>
        <w:t xml:space="preserve"> Table 6</w:t>
      </w:r>
      <w:r w:rsidRPr="001877E5">
        <w:t xml:space="preserve">). </w:t>
      </w:r>
      <w:r w:rsidR="00C259DF" w:rsidRPr="001877E5">
        <w:t>A t-test found</w:t>
      </w:r>
      <w:r w:rsidR="00743B55" w:rsidRPr="001877E5">
        <w:t xml:space="preserve"> that</w:t>
      </w:r>
      <w:r w:rsidR="00C259DF" w:rsidRPr="001877E5">
        <w:t xml:space="preserve"> </w:t>
      </w:r>
      <w:r w:rsidRPr="001877E5">
        <w:t xml:space="preserve">cells </w:t>
      </w:r>
      <w:r w:rsidR="00C259DF" w:rsidRPr="001877E5">
        <w:t xml:space="preserve">within </w:t>
      </w:r>
      <w:r w:rsidR="00695FDC" w:rsidRPr="001877E5">
        <w:t>PAs</w:t>
      </w:r>
      <w:r w:rsidRPr="001877E5">
        <w:t xml:space="preserve"> </w:t>
      </w:r>
      <w:r w:rsidR="00361144" w:rsidRPr="001877E5">
        <w:t xml:space="preserve">tend to be </w:t>
      </w:r>
      <w:r w:rsidRPr="001877E5">
        <w:t xml:space="preserve">at </w:t>
      </w:r>
      <w:r w:rsidR="00765F7F" w:rsidRPr="001877E5">
        <w:t xml:space="preserve">higher </w:t>
      </w:r>
      <w:r w:rsidRPr="001877E5">
        <w:t>elevations</w:t>
      </w:r>
      <w:r w:rsidR="00E40622" w:rsidRPr="001877E5">
        <w:t xml:space="preserve"> </w:t>
      </w:r>
      <w:r w:rsidR="00E40622" w:rsidRPr="001877E5">
        <w:rPr>
          <w:i/>
          <w:iCs/>
        </w:rPr>
        <w:t>(p&lt;.001)</w:t>
      </w:r>
      <w:r w:rsidR="00B84287" w:rsidRPr="001877E5">
        <w:t xml:space="preserve">, </w:t>
      </w:r>
      <w:r w:rsidR="00361144" w:rsidRPr="001877E5">
        <w:t xml:space="preserve">with </w:t>
      </w:r>
      <w:r w:rsidR="00765F7F" w:rsidRPr="001877E5">
        <w:t xml:space="preserve">lower </w:t>
      </w:r>
      <w:r w:rsidR="00C259DF" w:rsidRPr="001877E5">
        <w:t>slopes</w:t>
      </w:r>
      <w:r w:rsidR="00E40622" w:rsidRPr="001877E5">
        <w:t xml:space="preserve"> </w:t>
      </w:r>
      <w:r w:rsidR="00E40622" w:rsidRPr="001877E5">
        <w:rPr>
          <w:i/>
          <w:iCs/>
        </w:rPr>
        <w:t>(p&lt;.0001)</w:t>
      </w:r>
      <w:r w:rsidR="00C259DF" w:rsidRPr="001877E5">
        <w:t>,</w:t>
      </w:r>
      <w:r w:rsidR="00453160" w:rsidRPr="001877E5">
        <w:t xml:space="preserve"> </w:t>
      </w:r>
      <w:r w:rsidR="00765F7F" w:rsidRPr="001877E5">
        <w:t xml:space="preserve">further from </w:t>
      </w:r>
      <w:r w:rsidR="00C259DF" w:rsidRPr="001877E5">
        <w:t xml:space="preserve">urban areas </w:t>
      </w:r>
      <w:r w:rsidR="00E40622" w:rsidRPr="001877E5">
        <w:rPr>
          <w:i/>
          <w:iCs/>
        </w:rPr>
        <w:t xml:space="preserve">(p&lt;.0001) </w:t>
      </w:r>
      <w:r w:rsidR="00C259DF" w:rsidRPr="001877E5">
        <w:t>and roads</w:t>
      </w:r>
      <w:r w:rsidR="00E40622" w:rsidRPr="001877E5">
        <w:t xml:space="preserve"> </w:t>
      </w:r>
      <w:r w:rsidR="00E40622" w:rsidRPr="001877E5">
        <w:rPr>
          <w:i/>
          <w:iCs/>
        </w:rPr>
        <w:t>(p&lt;.0001)</w:t>
      </w:r>
      <w:r w:rsidR="00C259DF" w:rsidRPr="001877E5">
        <w:t xml:space="preserve">, and </w:t>
      </w:r>
      <w:r w:rsidR="00361144" w:rsidRPr="001877E5">
        <w:t xml:space="preserve">with </w:t>
      </w:r>
      <w:r w:rsidR="00765F7F" w:rsidRPr="001877E5">
        <w:t xml:space="preserve">lower </w:t>
      </w:r>
      <w:r w:rsidR="00C259DF" w:rsidRPr="001877E5">
        <w:t>road density</w:t>
      </w:r>
      <w:r w:rsidR="00E40622" w:rsidRPr="001877E5">
        <w:rPr>
          <w:i/>
          <w:iCs/>
        </w:rPr>
        <w:t xml:space="preserve"> (p&lt;.0001)</w:t>
      </w:r>
      <w:r w:rsidR="00C259DF" w:rsidRPr="001877E5">
        <w:t xml:space="preserve">. They were also found to have </w:t>
      </w:r>
      <w:r w:rsidR="00765F7F" w:rsidRPr="001877E5">
        <w:t xml:space="preserve">lower </w:t>
      </w:r>
      <w:r w:rsidR="00C259DF" w:rsidRPr="001877E5">
        <w:t xml:space="preserve">temperatures and a </w:t>
      </w:r>
      <w:r w:rsidR="00765F7F" w:rsidRPr="001877E5">
        <w:t xml:space="preserve">lower </w:t>
      </w:r>
      <w:r w:rsidR="00C259DF" w:rsidRPr="001877E5">
        <w:t xml:space="preserve">amount of rainfall, as well as a </w:t>
      </w:r>
      <w:r w:rsidR="00765F7F" w:rsidRPr="001877E5">
        <w:t xml:space="preserve">lower </w:t>
      </w:r>
      <w:r w:rsidR="00D71DDF" w:rsidRPr="001877E5">
        <w:t>percentage</w:t>
      </w:r>
      <w:r w:rsidR="00C259DF" w:rsidRPr="001877E5">
        <w:t xml:space="preserve"> of </w:t>
      </w:r>
      <w:r w:rsidR="00C259DF" w:rsidRPr="001877E5">
        <w:rPr>
          <w:i/>
          <w:iCs/>
        </w:rPr>
        <w:t>ejido</w:t>
      </w:r>
      <w:r w:rsidR="00C259DF" w:rsidRPr="001877E5">
        <w:t xml:space="preserve"> tenure</w:t>
      </w:r>
      <w:r w:rsidR="00E40622" w:rsidRPr="001877E5">
        <w:t xml:space="preserve"> </w:t>
      </w:r>
      <w:r w:rsidR="00E40622" w:rsidRPr="001877E5">
        <w:rPr>
          <w:i/>
          <w:iCs/>
        </w:rPr>
        <w:t>(p&lt;.0001</w:t>
      </w:r>
      <w:r w:rsidR="00C63C55" w:rsidRPr="001877E5">
        <w:rPr>
          <w:i/>
          <w:iCs/>
        </w:rPr>
        <w:t xml:space="preserve"> </w:t>
      </w:r>
      <w:r w:rsidR="00C63C55" w:rsidRPr="001877E5">
        <w:t>for all</w:t>
      </w:r>
      <w:r w:rsidR="00DF31AC" w:rsidRPr="001877E5">
        <w:t xml:space="preserve"> covariates</w:t>
      </w:r>
      <w:r w:rsidR="00E40622" w:rsidRPr="001877E5">
        <w:t>)</w:t>
      </w:r>
      <w:r w:rsidRPr="001877E5">
        <w:t xml:space="preserve">. </w:t>
      </w:r>
    </w:p>
    <w:p w14:paraId="26CFCB8C" w14:textId="7E491D20" w:rsidR="00AE4727" w:rsidRPr="001877E5" w:rsidRDefault="00AE4727" w:rsidP="003E53E3"/>
    <w:p w14:paraId="081151C9" w14:textId="77777777" w:rsidR="000B5BA0" w:rsidRDefault="000B5BA0" w:rsidP="000B5BA0">
      <w:pPr>
        <w:keepNext/>
      </w:pPr>
      <w:r>
        <w:rPr>
          <w:noProof/>
        </w:rPr>
        <w:drawing>
          <wp:inline distT="0" distB="0" distL="0" distR="0" wp14:anchorId="6467A3FA" wp14:editId="39B7B0C0">
            <wp:extent cx="5344933" cy="3226086"/>
            <wp:effectExtent l="0" t="0" r="1905" b="0"/>
            <wp:docPr id="4" name="Picture 4" descr="A picture containing box and whisk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box and whisker chart&#10;&#10;Description automatically generated"/>
                    <pic:cNvPicPr/>
                  </pic:nvPicPr>
                  <pic:blipFill rotWithShape="1">
                    <a:blip r:embed="rId12" cstate="print">
                      <a:extLst>
                        <a:ext uri="{28A0092B-C50C-407E-A947-70E740481C1C}">
                          <a14:useLocalDpi xmlns:a14="http://schemas.microsoft.com/office/drawing/2010/main" val="0"/>
                        </a:ext>
                      </a:extLst>
                    </a:blip>
                    <a:srcRect l="1828" t="5451" b="2342"/>
                    <a:stretch/>
                  </pic:blipFill>
                  <pic:spPr bwMode="auto">
                    <a:xfrm>
                      <a:off x="0" y="0"/>
                      <a:ext cx="5371200" cy="3241940"/>
                    </a:xfrm>
                    <a:prstGeom prst="rect">
                      <a:avLst/>
                    </a:prstGeom>
                    <a:ln>
                      <a:noFill/>
                    </a:ln>
                    <a:extLst>
                      <a:ext uri="{53640926-AAD7-44D8-BBD7-CCE9431645EC}">
                        <a14:shadowObscured xmlns:a14="http://schemas.microsoft.com/office/drawing/2010/main"/>
                      </a:ext>
                    </a:extLst>
                  </pic:spPr>
                </pic:pic>
              </a:graphicData>
            </a:graphic>
          </wp:inline>
        </w:drawing>
      </w:r>
    </w:p>
    <w:p w14:paraId="55EF5FFE" w14:textId="23A688F4" w:rsidR="00AE4727" w:rsidRPr="00497308" w:rsidRDefault="000B5BA0" w:rsidP="000B5BA0">
      <w:pPr>
        <w:pStyle w:val="Caption"/>
        <w:spacing w:line="240" w:lineRule="auto"/>
        <w:rPr>
          <w:b w:val="0"/>
          <w:bCs w:val="0"/>
          <w:sz w:val="20"/>
          <w:szCs w:val="20"/>
        </w:rPr>
      </w:pPr>
      <w:r w:rsidRPr="00497308">
        <w:rPr>
          <w:b w:val="0"/>
          <w:bCs w:val="0"/>
          <w:color w:val="000000" w:themeColor="text1"/>
          <w:sz w:val="20"/>
          <w:szCs w:val="20"/>
        </w:rPr>
        <w:t xml:space="preserve">Figure </w:t>
      </w:r>
      <w:r w:rsidRPr="00497308">
        <w:rPr>
          <w:b w:val="0"/>
          <w:bCs w:val="0"/>
          <w:color w:val="000000" w:themeColor="text1"/>
          <w:sz w:val="20"/>
          <w:szCs w:val="20"/>
        </w:rPr>
        <w:fldChar w:fldCharType="begin"/>
      </w:r>
      <w:r w:rsidRPr="00497308">
        <w:rPr>
          <w:b w:val="0"/>
          <w:bCs w:val="0"/>
          <w:color w:val="000000" w:themeColor="text1"/>
          <w:sz w:val="20"/>
          <w:szCs w:val="20"/>
        </w:rPr>
        <w:instrText xml:space="preserve"> SEQ Figure \* ARABIC </w:instrText>
      </w:r>
      <w:r w:rsidRPr="00497308">
        <w:rPr>
          <w:b w:val="0"/>
          <w:bCs w:val="0"/>
          <w:color w:val="000000" w:themeColor="text1"/>
          <w:sz w:val="20"/>
          <w:szCs w:val="20"/>
        </w:rPr>
        <w:fldChar w:fldCharType="separate"/>
      </w:r>
      <w:r w:rsidRPr="00497308">
        <w:rPr>
          <w:b w:val="0"/>
          <w:bCs w:val="0"/>
          <w:noProof/>
          <w:color w:val="000000" w:themeColor="text1"/>
          <w:sz w:val="20"/>
          <w:szCs w:val="20"/>
        </w:rPr>
        <w:t>3</w:t>
      </w:r>
      <w:r w:rsidRPr="00497308">
        <w:rPr>
          <w:b w:val="0"/>
          <w:bCs w:val="0"/>
          <w:color w:val="000000" w:themeColor="text1"/>
          <w:sz w:val="20"/>
          <w:szCs w:val="20"/>
        </w:rPr>
        <w:fldChar w:fldCharType="end"/>
      </w:r>
      <w:r w:rsidRPr="00497308">
        <w:rPr>
          <w:b w:val="0"/>
          <w:bCs w:val="0"/>
          <w:color w:val="000000" w:themeColor="text1"/>
          <w:sz w:val="20"/>
          <w:szCs w:val="20"/>
        </w:rPr>
        <w:t>: Boxplots displaying the variation in covariates across high and low management effectiveness subgroups and unprotected cells.</w:t>
      </w:r>
    </w:p>
    <w:p w14:paraId="5F57923D" w14:textId="77777777" w:rsidR="00AE4727" w:rsidRPr="001877E5" w:rsidRDefault="00AE4727" w:rsidP="003E53E3">
      <w:pPr>
        <w:ind w:firstLine="720"/>
      </w:pPr>
    </w:p>
    <w:p w14:paraId="4C71082F" w14:textId="0FE46905" w:rsidR="00C93D2B" w:rsidRPr="00E65E72" w:rsidRDefault="00C93D2B" w:rsidP="003E53E3">
      <w:pPr>
        <w:ind w:firstLine="720"/>
      </w:pPr>
      <w:r w:rsidRPr="001877E5">
        <w:t>Cells in low management</w:t>
      </w:r>
      <w:r w:rsidR="000D50A9" w:rsidRPr="001877E5">
        <w:t xml:space="preserve"> effectiveness</w:t>
      </w:r>
      <w:r w:rsidRPr="001877E5">
        <w:t xml:space="preserve"> </w:t>
      </w:r>
      <w:r w:rsidR="00695FDC" w:rsidRPr="001877E5">
        <w:t>PAs</w:t>
      </w:r>
      <w:r w:rsidRPr="001877E5">
        <w:t xml:space="preserve"> were located at higher elevations with steeper slopes and closer to roads and urban areas compared to high management </w:t>
      </w:r>
      <w:r w:rsidR="000D50A9" w:rsidRPr="001877E5">
        <w:t xml:space="preserve">effectiveness </w:t>
      </w:r>
      <w:r w:rsidR="00695FDC" w:rsidRPr="001877E5">
        <w:t>PAs</w:t>
      </w:r>
      <w:r w:rsidR="00850CFE" w:rsidRPr="001877E5">
        <w:t xml:space="preserve"> (</w:t>
      </w:r>
      <w:r w:rsidR="00375989" w:rsidRPr="001877E5">
        <w:t>Appendix</w:t>
      </w:r>
      <w:r w:rsidR="00850CFE" w:rsidRPr="001877E5">
        <w:t xml:space="preserve"> Table 6)</w:t>
      </w:r>
      <w:r w:rsidRPr="001877E5">
        <w:t>. They were also found to have a higher population density and road</w:t>
      </w:r>
      <w:r w:rsidRPr="00E65E72">
        <w:t xml:space="preserve"> density, contained a higher percentage of ejido tenure, as well as less rainfall and lower temperatures on average (</w:t>
      </w:r>
      <w:r w:rsidRPr="00E65E72">
        <w:rPr>
          <w:i/>
          <w:iCs/>
        </w:rPr>
        <w:t xml:space="preserve">p&lt;.0001 </w:t>
      </w:r>
      <w:r w:rsidRPr="00E65E72">
        <w:t>for all covariates).</w:t>
      </w:r>
    </w:p>
    <w:p w14:paraId="3A8A03E7" w14:textId="58E37C2C" w:rsidR="00C93D2B" w:rsidRDefault="00C93D2B" w:rsidP="003E53E3">
      <w:pPr>
        <w:ind w:firstLine="720"/>
        <w:rPr>
          <w:color w:val="000000" w:themeColor="text1"/>
        </w:rPr>
      </w:pPr>
      <w:r w:rsidRPr="00E65E72">
        <w:t xml:space="preserve">The </w:t>
      </w:r>
      <w:r w:rsidRPr="001877E5">
        <w:t xml:space="preserve">significant differences in covariates posed a challenge for well-balanced matches, with high management </w:t>
      </w:r>
      <w:r w:rsidR="000D50A9" w:rsidRPr="001877E5">
        <w:t xml:space="preserve">effectiveness </w:t>
      </w:r>
      <w:r w:rsidRPr="001877E5">
        <w:t xml:space="preserve">being more challenging to match with unprotected cells than low management. </w:t>
      </w:r>
      <w:r w:rsidR="00160D9C" w:rsidRPr="001877E5">
        <w:t>Thus, w</w:t>
      </w:r>
      <w:r w:rsidRPr="001877E5">
        <w:t>e used</w:t>
      </w:r>
      <w:r w:rsidRPr="00E65E72">
        <w:t xml:space="preserve"> a caliper in all </w:t>
      </w:r>
      <w:r w:rsidR="00016B66">
        <w:t>PA</w:t>
      </w:r>
      <w:r w:rsidR="0052583F">
        <w:t xml:space="preserve"> </w:t>
      </w:r>
      <w:r w:rsidRPr="00E65E72">
        <w:t xml:space="preserve">matches to improve match balance. </w:t>
      </w:r>
      <w:r w:rsidRPr="00E65E72">
        <w:rPr>
          <w:color w:val="000000" w:themeColor="text1"/>
        </w:rPr>
        <w:t xml:space="preserve">We present the results from the best matching algorithms </w:t>
      </w:r>
      <w:r w:rsidR="00DA4B4E">
        <w:rPr>
          <w:color w:val="000000" w:themeColor="text1"/>
        </w:rPr>
        <w:t xml:space="preserve">below </w:t>
      </w:r>
      <w:r w:rsidRPr="00E65E72">
        <w:rPr>
          <w:color w:val="000000" w:themeColor="text1"/>
        </w:rPr>
        <w:t>(</w:t>
      </w:r>
      <w:r w:rsidR="00DA4B4E">
        <w:rPr>
          <w:color w:val="000000" w:themeColor="text1"/>
        </w:rPr>
        <w:t xml:space="preserve">see </w:t>
      </w:r>
      <w:r w:rsidR="00375989">
        <w:rPr>
          <w:color w:val="000000" w:themeColor="text1"/>
        </w:rPr>
        <w:t>Appendix</w:t>
      </w:r>
      <w:r w:rsidR="00D84537" w:rsidRPr="00E65E72">
        <w:rPr>
          <w:color w:val="000000" w:themeColor="text1"/>
        </w:rPr>
        <w:t xml:space="preserve"> Table 7</w:t>
      </w:r>
      <w:r w:rsidR="00DA4B4E">
        <w:rPr>
          <w:color w:val="000000" w:themeColor="text1"/>
        </w:rPr>
        <w:t xml:space="preserve"> and </w:t>
      </w:r>
      <w:r w:rsidR="00375989">
        <w:rPr>
          <w:color w:val="000000" w:themeColor="text1"/>
        </w:rPr>
        <w:t>Appendix</w:t>
      </w:r>
      <w:r w:rsidR="00DA4B4E" w:rsidRPr="00E65E72">
        <w:rPr>
          <w:color w:val="000000" w:themeColor="text1"/>
        </w:rPr>
        <w:t xml:space="preserve"> Table 8</w:t>
      </w:r>
      <w:r w:rsidR="00DA4B4E">
        <w:rPr>
          <w:color w:val="000000" w:themeColor="text1"/>
        </w:rPr>
        <w:t xml:space="preserve"> for </w:t>
      </w:r>
      <w:r w:rsidR="00D84537" w:rsidRPr="00E65E72">
        <w:rPr>
          <w:color w:val="000000" w:themeColor="text1"/>
        </w:rPr>
        <w:t>summaries</w:t>
      </w:r>
      <w:r w:rsidR="00DA4B4E">
        <w:rPr>
          <w:color w:val="000000" w:themeColor="text1"/>
        </w:rPr>
        <w:t xml:space="preserve"> of all matching algorithms tested and the associated </w:t>
      </w:r>
      <w:r w:rsidR="0096512F">
        <w:rPr>
          <w:color w:val="000000" w:themeColor="text1"/>
        </w:rPr>
        <w:t>post-matching balance</w:t>
      </w:r>
      <w:r w:rsidRPr="00E65E72">
        <w:rPr>
          <w:color w:val="000000" w:themeColor="text1"/>
        </w:rPr>
        <w:t>).</w:t>
      </w:r>
      <w:r>
        <w:rPr>
          <w:color w:val="000000" w:themeColor="text1"/>
        </w:rPr>
        <w:t xml:space="preserve"> </w:t>
      </w:r>
    </w:p>
    <w:p w14:paraId="7CEA0DA3" w14:textId="77777777" w:rsidR="000D5BC8" w:rsidRPr="000D5BC8" w:rsidRDefault="000D5BC8" w:rsidP="003E53E3">
      <w:pPr>
        <w:ind w:firstLine="720"/>
        <w:rPr>
          <w:color w:val="000000" w:themeColor="text1"/>
        </w:rPr>
      </w:pPr>
    </w:p>
    <w:p w14:paraId="0CC4809C" w14:textId="5AADF3EF" w:rsidR="0085084E" w:rsidRPr="00F25095" w:rsidRDefault="00E42706" w:rsidP="003E53E3">
      <w:pPr>
        <w:pStyle w:val="ListParagraph"/>
        <w:numPr>
          <w:ilvl w:val="1"/>
          <w:numId w:val="8"/>
        </w:numPr>
        <w:rPr>
          <w:i/>
          <w:iCs/>
        </w:rPr>
      </w:pPr>
      <w:r>
        <w:rPr>
          <w:i/>
          <w:iCs/>
        </w:rPr>
        <w:t xml:space="preserve"> </w:t>
      </w:r>
      <w:r w:rsidR="009A1D67" w:rsidRPr="00F25095">
        <w:rPr>
          <w:i/>
          <w:iCs/>
        </w:rPr>
        <w:t xml:space="preserve">Average Treatment Effect </w:t>
      </w:r>
      <w:r w:rsidR="00191BC1" w:rsidRPr="00F25095">
        <w:rPr>
          <w:i/>
          <w:iCs/>
        </w:rPr>
        <w:t>Estimates</w:t>
      </w:r>
    </w:p>
    <w:p w14:paraId="3E4FE7C0" w14:textId="0862029E" w:rsidR="003A422E" w:rsidRPr="00F25095" w:rsidRDefault="00191BC1" w:rsidP="003E53E3">
      <w:pPr>
        <w:pStyle w:val="ListParagraph"/>
        <w:rPr>
          <w:i/>
          <w:iCs/>
        </w:rPr>
      </w:pPr>
      <w:r w:rsidRPr="00F25095">
        <w:rPr>
          <w:i/>
          <w:iCs/>
        </w:rPr>
        <w:t>3.3.1 Subgroup</w:t>
      </w:r>
      <w:r w:rsidR="003A422E" w:rsidRPr="00F25095">
        <w:rPr>
          <w:i/>
          <w:iCs/>
        </w:rPr>
        <w:t xml:space="preserve"> analysis</w:t>
      </w:r>
    </w:p>
    <w:p w14:paraId="15BB60F5" w14:textId="14DE5CBD" w:rsidR="00CF2B3B" w:rsidRPr="00F25095" w:rsidRDefault="000671CF" w:rsidP="00CF2B3B">
      <w:pPr>
        <w:ind w:firstLine="720"/>
        <w:rPr>
          <w:color w:val="000000" w:themeColor="text1"/>
        </w:rPr>
      </w:pPr>
      <w:r w:rsidRPr="00F25095">
        <w:rPr>
          <w:color w:val="000000" w:themeColor="text1"/>
        </w:rPr>
        <w:t>B</w:t>
      </w:r>
      <w:r w:rsidR="009A1D67" w:rsidRPr="00F25095">
        <w:rPr>
          <w:color w:val="000000" w:themeColor="text1"/>
        </w:rPr>
        <w:t xml:space="preserve">oth high and low </w:t>
      </w:r>
      <w:r w:rsidR="00513657" w:rsidRPr="00F25095">
        <w:rPr>
          <w:color w:val="000000" w:themeColor="text1"/>
        </w:rPr>
        <w:t xml:space="preserve">management effectiveness </w:t>
      </w:r>
      <w:r w:rsidR="00695FDC" w:rsidRPr="00F25095">
        <w:rPr>
          <w:color w:val="000000" w:themeColor="text1"/>
        </w:rPr>
        <w:t>PAs</w:t>
      </w:r>
      <w:r w:rsidR="00513657" w:rsidRPr="00F25095">
        <w:rPr>
          <w:color w:val="000000" w:themeColor="text1"/>
        </w:rPr>
        <w:t xml:space="preserve"> </w:t>
      </w:r>
      <w:r w:rsidR="009A1D67" w:rsidRPr="00F25095">
        <w:rPr>
          <w:color w:val="000000" w:themeColor="text1"/>
        </w:rPr>
        <w:t>experienced significantly less deforestation than their matched control</w:t>
      </w:r>
      <w:r w:rsidR="00A942B7" w:rsidRPr="00F25095">
        <w:rPr>
          <w:color w:val="000000" w:themeColor="text1"/>
        </w:rPr>
        <w:t>s</w:t>
      </w:r>
      <w:r w:rsidR="009A1D67" w:rsidRPr="00F25095">
        <w:rPr>
          <w:color w:val="000000" w:themeColor="text1"/>
        </w:rPr>
        <w:t xml:space="preserve"> </w:t>
      </w:r>
      <w:r w:rsidR="00F71292" w:rsidRPr="00F25095">
        <w:rPr>
          <w:color w:val="000000" w:themeColor="text1"/>
        </w:rPr>
        <w:t xml:space="preserve">using </w:t>
      </w:r>
      <w:r w:rsidR="000F2755" w:rsidRPr="00F25095">
        <w:rPr>
          <w:color w:val="000000" w:themeColor="text1"/>
        </w:rPr>
        <w:t>post-matching</w:t>
      </w:r>
      <w:r w:rsidR="00F71292" w:rsidRPr="00F25095">
        <w:rPr>
          <w:color w:val="000000" w:themeColor="text1"/>
        </w:rPr>
        <w:t xml:space="preserve"> t-tests </w:t>
      </w:r>
      <w:r w:rsidR="009A1D67" w:rsidRPr="00F25095">
        <w:rPr>
          <w:color w:val="000000" w:themeColor="text1"/>
        </w:rPr>
        <w:t>(</w:t>
      </w:r>
      <w:r w:rsidR="00375989" w:rsidRPr="00F25095">
        <w:rPr>
          <w:color w:val="000000" w:themeColor="text1"/>
        </w:rPr>
        <w:t>Appendix</w:t>
      </w:r>
      <w:r w:rsidR="00547F4A" w:rsidRPr="00F25095">
        <w:rPr>
          <w:color w:val="000000" w:themeColor="text1"/>
        </w:rPr>
        <w:t xml:space="preserve"> Table 9</w:t>
      </w:r>
      <w:r w:rsidR="009A1D67" w:rsidRPr="00F25095">
        <w:rPr>
          <w:color w:val="000000" w:themeColor="text1"/>
        </w:rPr>
        <w:t xml:space="preserve">). </w:t>
      </w:r>
      <w:r w:rsidR="00CF2B3B" w:rsidRPr="00F25095">
        <w:rPr>
          <w:color w:val="000000" w:themeColor="text1"/>
        </w:rPr>
        <w:t>While high management effectiveness areas were found to have experienced more forest loss than low management effectiveness areas in absolute terms, the average treatment effect (relative to control cells) was significantly greater in high management effectiveness areas</w:t>
      </w:r>
      <w:r w:rsidR="008F5803" w:rsidRPr="00F25095">
        <w:rPr>
          <w:color w:val="000000" w:themeColor="text1"/>
        </w:rPr>
        <w:t xml:space="preserve"> (Figure 4)</w:t>
      </w:r>
      <w:r w:rsidR="00CF2B3B" w:rsidRPr="00F25095">
        <w:rPr>
          <w:color w:val="000000" w:themeColor="text1"/>
        </w:rPr>
        <w:t xml:space="preserve">. </w:t>
      </w:r>
      <w:r w:rsidR="002D6C24" w:rsidRPr="00F25095">
        <w:rPr>
          <w:color w:val="000000" w:themeColor="text1"/>
        </w:rPr>
        <w:t xml:space="preserve">These findings suggest that high management effectiveness </w:t>
      </w:r>
      <w:r w:rsidR="00695FDC" w:rsidRPr="00F25095">
        <w:rPr>
          <w:color w:val="000000" w:themeColor="text1"/>
        </w:rPr>
        <w:t>PAs</w:t>
      </w:r>
      <w:r w:rsidR="002D6C24" w:rsidRPr="00F25095">
        <w:rPr>
          <w:color w:val="000000" w:themeColor="text1"/>
        </w:rPr>
        <w:t xml:space="preserve"> face greater threats of deforestation, on average, compared to low management effectiveness </w:t>
      </w:r>
      <w:r w:rsidR="00695FDC" w:rsidRPr="00F25095">
        <w:rPr>
          <w:color w:val="000000" w:themeColor="text1"/>
        </w:rPr>
        <w:t>PAs</w:t>
      </w:r>
      <w:r w:rsidR="002D6C24" w:rsidRPr="00F25095">
        <w:rPr>
          <w:color w:val="000000" w:themeColor="text1"/>
        </w:rPr>
        <w:t xml:space="preserve"> </w:t>
      </w:r>
      <w:r w:rsidR="004F159A" w:rsidRPr="00F25095">
        <w:rPr>
          <w:color w:val="000000" w:themeColor="text1"/>
        </w:rPr>
        <w:t>due</w:t>
      </w:r>
      <w:r w:rsidR="002D6C24" w:rsidRPr="00F25095">
        <w:rPr>
          <w:color w:val="000000" w:themeColor="text1"/>
        </w:rPr>
        <w:t xml:space="preserve"> </w:t>
      </w:r>
      <w:r w:rsidR="004F159A" w:rsidRPr="00F25095">
        <w:rPr>
          <w:color w:val="000000" w:themeColor="text1"/>
        </w:rPr>
        <w:t>t</w:t>
      </w:r>
      <w:r w:rsidR="009A6C2A" w:rsidRPr="00F25095">
        <w:rPr>
          <w:color w:val="000000" w:themeColor="text1"/>
        </w:rPr>
        <w:t>o</w:t>
      </w:r>
      <w:r w:rsidR="002D6C24" w:rsidRPr="00F25095">
        <w:rPr>
          <w:color w:val="000000" w:themeColor="text1"/>
        </w:rPr>
        <w:t xml:space="preserve"> placement characteristics </w:t>
      </w:r>
      <w:r w:rsidR="00FA01D3" w:rsidRPr="00F25095">
        <w:rPr>
          <w:color w:val="000000" w:themeColor="text1"/>
        </w:rPr>
        <w:t xml:space="preserve">but </w:t>
      </w:r>
      <w:r w:rsidR="002D6C24" w:rsidRPr="00F25095">
        <w:rPr>
          <w:color w:val="000000" w:themeColor="text1"/>
        </w:rPr>
        <w:t xml:space="preserve">that high management effectiveness areas are </w:t>
      </w:r>
      <w:r w:rsidR="004F159A" w:rsidRPr="00F25095">
        <w:rPr>
          <w:color w:val="000000" w:themeColor="text1"/>
        </w:rPr>
        <w:t xml:space="preserve">deterring a greater portion of those threats overall. </w:t>
      </w:r>
    </w:p>
    <w:p w14:paraId="60E8F0BE" w14:textId="0547274D" w:rsidR="00E85ACC" w:rsidRPr="00F25095" w:rsidRDefault="009A1D67" w:rsidP="003E53E3">
      <w:pPr>
        <w:ind w:firstLine="720"/>
        <w:rPr>
          <w:b/>
          <w:bCs/>
        </w:rPr>
      </w:pPr>
      <w:r w:rsidRPr="00F25095">
        <w:rPr>
          <w:color w:val="000000" w:themeColor="text1"/>
        </w:rPr>
        <w:t xml:space="preserve">The average percent </w:t>
      </w:r>
      <w:r w:rsidRPr="00F25095">
        <w:t xml:space="preserve">loss </w:t>
      </w:r>
      <w:r w:rsidR="00CD33DF" w:rsidRPr="00F25095">
        <w:t>between 2017-2019</w:t>
      </w:r>
      <w:r w:rsidR="0020224F" w:rsidRPr="00F25095">
        <w:t xml:space="preserve"> </w:t>
      </w:r>
      <w:r w:rsidRPr="00F25095">
        <w:t xml:space="preserve">in high </w:t>
      </w:r>
      <w:r w:rsidR="00E052D1" w:rsidRPr="00F25095">
        <w:t xml:space="preserve">overall </w:t>
      </w:r>
      <w:r w:rsidRPr="00F25095">
        <w:t xml:space="preserve">management cells was </w:t>
      </w:r>
      <w:r w:rsidR="00D52106" w:rsidRPr="00F25095">
        <w:t>1.19</w:t>
      </w:r>
      <w:r w:rsidRPr="00F25095">
        <w:t xml:space="preserve"> compared to </w:t>
      </w:r>
      <w:r w:rsidR="00D52106" w:rsidRPr="00F25095">
        <w:t>3</w:t>
      </w:r>
      <w:r w:rsidR="00A05720" w:rsidRPr="00F25095">
        <w:t>.</w:t>
      </w:r>
      <w:r w:rsidR="00D52106" w:rsidRPr="00F25095">
        <w:t>30</w:t>
      </w:r>
      <w:r w:rsidRPr="00F25095">
        <w:t xml:space="preserve"> in </w:t>
      </w:r>
      <w:r w:rsidR="007E2264" w:rsidRPr="00F25095">
        <w:t xml:space="preserve">the </w:t>
      </w:r>
      <w:r w:rsidRPr="00F25095">
        <w:t>matched unprotected cells (</w:t>
      </w:r>
      <w:r w:rsidRPr="00F25095">
        <w:rPr>
          <w:i/>
          <w:iCs/>
        </w:rPr>
        <w:t>p &lt;.0001)</w:t>
      </w:r>
      <w:r w:rsidR="00E8231B" w:rsidRPr="00F25095">
        <w:rPr>
          <w:i/>
          <w:iCs/>
        </w:rPr>
        <w:t>,</w:t>
      </w:r>
      <w:r w:rsidR="00E8231B" w:rsidRPr="00F25095">
        <w:t xml:space="preserve"> and 0.46 </w:t>
      </w:r>
      <w:r w:rsidRPr="00F25095">
        <w:t xml:space="preserve">in low </w:t>
      </w:r>
      <w:r w:rsidR="00E052D1" w:rsidRPr="00F25095">
        <w:t xml:space="preserve">overall </w:t>
      </w:r>
      <w:r w:rsidRPr="00F25095">
        <w:t xml:space="preserve">management cells </w:t>
      </w:r>
      <w:r w:rsidR="007E2264" w:rsidRPr="00F25095">
        <w:t>compared to</w:t>
      </w:r>
      <w:r w:rsidRPr="00F25095">
        <w:t xml:space="preserve"> </w:t>
      </w:r>
      <w:r w:rsidR="00D52106" w:rsidRPr="00F25095">
        <w:t>1.05</w:t>
      </w:r>
      <w:r w:rsidRPr="00F25095">
        <w:t xml:space="preserve"> in </w:t>
      </w:r>
      <w:r w:rsidR="007E2264" w:rsidRPr="00F25095">
        <w:t xml:space="preserve">the </w:t>
      </w:r>
      <w:r w:rsidRPr="00F25095">
        <w:t>matched unprotected cells (</w:t>
      </w:r>
      <w:r w:rsidRPr="00F25095">
        <w:rPr>
          <w:i/>
          <w:iCs/>
        </w:rPr>
        <w:t xml:space="preserve">p&lt;.0001). </w:t>
      </w:r>
      <w:r w:rsidRPr="00F25095">
        <w:t>Similar</w:t>
      </w:r>
      <w:r w:rsidR="001C2765" w:rsidRPr="00F25095">
        <w:t xml:space="preserve">ly, average forest loss in the high and low matches of each </w:t>
      </w:r>
      <w:r w:rsidR="00505C75" w:rsidRPr="00F25095">
        <w:t xml:space="preserve">of the five </w:t>
      </w:r>
      <w:r w:rsidR="001C2765" w:rsidRPr="00F25095">
        <w:t>management categor</w:t>
      </w:r>
      <w:r w:rsidR="00505C75" w:rsidRPr="00F25095">
        <w:t>ies</w:t>
      </w:r>
      <w:r w:rsidR="001C2765" w:rsidRPr="00F25095">
        <w:t xml:space="preserve"> was significantly less than their matched control</w:t>
      </w:r>
      <w:r w:rsidR="00DC192C" w:rsidRPr="00F25095">
        <w:t xml:space="preserve"> group</w:t>
      </w:r>
      <w:r w:rsidR="001C2765" w:rsidRPr="00F25095">
        <w:t>.</w:t>
      </w:r>
      <w:r w:rsidR="00D06820" w:rsidRPr="00F25095">
        <w:t xml:space="preserve"> </w:t>
      </w:r>
    </w:p>
    <w:p w14:paraId="2EE2DFA9" w14:textId="14BB7FEE" w:rsidR="004E0712" w:rsidRPr="00F25095" w:rsidRDefault="00AE400A" w:rsidP="003E53E3">
      <w:pPr>
        <w:ind w:firstLine="720"/>
      </w:pPr>
      <w:r w:rsidRPr="00F25095">
        <w:t>Although</w:t>
      </w:r>
      <w:r w:rsidR="004703C6" w:rsidRPr="00F25095">
        <w:t xml:space="preserve"> low management </w:t>
      </w:r>
      <w:r w:rsidR="000D50A9" w:rsidRPr="00F25095">
        <w:t xml:space="preserve">effectiveness </w:t>
      </w:r>
      <w:r w:rsidR="004703C6" w:rsidRPr="00F25095">
        <w:t xml:space="preserve">cells experienced less deforestation than high management </w:t>
      </w:r>
      <w:r w:rsidR="000D50A9" w:rsidRPr="00F25095">
        <w:t xml:space="preserve">effectiveness </w:t>
      </w:r>
      <w:r w:rsidR="004703C6" w:rsidRPr="00F25095">
        <w:t xml:space="preserve">cells in </w:t>
      </w:r>
      <w:r w:rsidRPr="00F25095">
        <w:t>all</w:t>
      </w:r>
      <w:r w:rsidR="004703C6" w:rsidRPr="00F25095">
        <w:t xml:space="preserve"> categories</w:t>
      </w:r>
      <w:r w:rsidR="00DC1FB3" w:rsidRPr="00F25095">
        <w:t xml:space="preserve"> </w:t>
      </w:r>
      <w:r w:rsidR="004703C6" w:rsidRPr="00F25095">
        <w:t xml:space="preserve">except for context and planning and </w:t>
      </w:r>
      <w:r w:rsidR="000342F7" w:rsidRPr="00F25095">
        <w:t>administration and finance</w:t>
      </w:r>
      <w:r w:rsidRPr="00F25095">
        <w:t>, a Wilcoxon Rank Sum test found the ATE to be significantly higher</w:t>
      </w:r>
      <w:r w:rsidRPr="00DB4954">
        <w:t xml:space="preserve"> </w:t>
      </w:r>
      <w:r>
        <w:t xml:space="preserve">in </w:t>
      </w:r>
      <w:r w:rsidRPr="00DB4954">
        <w:t xml:space="preserve">the </w:t>
      </w:r>
      <w:r>
        <w:t>high subgroups of the overall management scores</w:t>
      </w:r>
      <w:r w:rsidRPr="00DB4954">
        <w:t xml:space="preserve"> </w:t>
      </w:r>
      <w:r>
        <w:t>(</w:t>
      </w:r>
      <w:r>
        <w:rPr>
          <w:i/>
          <w:iCs/>
        </w:rPr>
        <w:t xml:space="preserve">p </w:t>
      </w:r>
      <w:r w:rsidRPr="005B2426">
        <w:t>&lt;.00</w:t>
      </w:r>
      <w:r>
        <w:t>0</w:t>
      </w:r>
      <w:r w:rsidRPr="005B2426">
        <w:t>1)</w:t>
      </w:r>
      <w:r>
        <w:t>, context and planning (</w:t>
      </w:r>
      <w:r>
        <w:rPr>
          <w:i/>
          <w:iCs/>
        </w:rPr>
        <w:t xml:space="preserve">p </w:t>
      </w:r>
      <w:r w:rsidRPr="005B2426">
        <w:t>&lt;.0</w:t>
      </w:r>
      <w:r>
        <w:t>0</w:t>
      </w:r>
      <w:r w:rsidRPr="005B2426">
        <w:t>01),</w:t>
      </w:r>
      <w:r>
        <w:t xml:space="preserve"> use and benefits (</w:t>
      </w:r>
      <w:r>
        <w:rPr>
          <w:i/>
          <w:iCs/>
        </w:rPr>
        <w:t xml:space="preserve">p </w:t>
      </w:r>
      <w:r w:rsidRPr="005B2426">
        <w:t>&lt;.0001),</w:t>
      </w:r>
      <w:r>
        <w:t xml:space="preserve"> governance and social </w:t>
      </w:r>
      <w:r w:rsidRPr="00F25095">
        <w:t>participation (</w:t>
      </w:r>
      <w:r w:rsidRPr="00F25095">
        <w:rPr>
          <w:i/>
          <w:iCs/>
        </w:rPr>
        <w:t xml:space="preserve">p </w:t>
      </w:r>
      <w:r w:rsidRPr="00F25095">
        <w:t>&lt;.0001)</w:t>
      </w:r>
      <w:r w:rsidRPr="00F25095">
        <w:rPr>
          <w:i/>
          <w:iCs/>
        </w:rPr>
        <w:t xml:space="preserve">, </w:t>
      </w:r>
      <w:r w:rsidRPr="00F25095">
        <w:t>and management quality (</w:t>
      </w:r>
      <w:r w:rsidRPr="00F25095">
        <w:rPr>
          <w:i/>
          <w:iCs/>
        </w:rPr>
        <w:t xml:space="preserve">p </w:t>
      </w:r>
      <w:r w:rsidRPr="00F25095">
        <w:t>&lt;.0001)</w:t>
      </w:r>
      <w:r w:rsidRPr="00F25095">
        <w:rPr>
          <w:i/>
          <w:iCs/>
        </w:rPr>
        <w:t xml:space="preserve"> </w:t>
      </w:r>
      <w:r w:rsidRPr="00F25095">
        <w:t xml:space="preserve">compared to the ATE of the low management </w:t>
      </w:r>
      <w:r w:rsidR="000D50A9" w:rsidRPr="00F25095">
        <w:t xml:space="preserve">effectiveness </w:t>
      </w:r>
      <w:r w:rsidRPr="00F25095">
        <w:t>subgroups</w:t>
      </w:r>
      <w:r w:rsidR="00963EFD" w:rsidRPr="00F25095">
        <w:t xml:space="preserve"> (</w:t>
      </w:r>
      <w:r w:rsidR="005E5DA9" w:rsidRPr="00F25095">
        <w:t xml:space="preserve">Figure </w:t>
      </w:r>
      <w:r w:rsidR="00102386" w:rsidRPr="00F25095">
        <w:t>4</w:t>
      </w:r>
      <w:r w:rsidR="00963EFD" w:rsidRPr="00F25095">
        <w:t>)</w:t>
      </w:r>
      <w:r w:rsidRPr="00F25095">
        <w:t>. The ATE of the low administration</w:t>
      </w:r>
      <w:r w:rsidR="00A50375" w:rsidRPr="00F25095">
        <w:t xml:space="preserve"> </w:t>
      </w:r>
      <w:r w:rsidRPr="00F25095">
        <w:t>subgroup was highe</w:t>
      </w:r>
      <w:r w:rsidR="000F67B7" w:rsidRPr="00F25095">
        <w:t xml:space="preserve">r </w:t>
      </w:r>
      <w:r w:rsidR="004E0712" w:rsidRPr="00F25095">
        <w:t>that of the high subgroup (low: -1.23, high: -0.73), however, no statistical significance was found.</w:t>
      </w:r>
    </w:p>
    <w:p w14:paraId="1E8F05B6" w14:textId="120E0923" w:rsidR="00AE4727" w:rsidRPr="00F25095" w:rsidRDefault="00AE4727" w:rsidP="00AE4727">
      <w:pPr>
        <w:ind w:firstLine="720"/>
        <w:jc w:val="center"/>
        <w:rPr>
          <w:i/>
          <w:iCs/>
        </w:rPr>
      </w:pPr>
    </w:p>
    <w:p w14:paraId="6AA53F9E" w14:textId="77777777" w:rsidR="00497308" w:rsidRDefault="00497308" w:rsidP="00497308">
      <w:pPr>
        <w:keepNext/>
      </w:pPr>
      <w:r>
        <w:rPr>
          <w:noProof/>
        </w:rPr>
        <w:lastRenderedPageBreak/>
        <w:drawing>
          <wp:inline distT="0" distB="0" distL="0" distR="0" wp14:anchorId="245AE1A5" wp14:editId="6A7AC114">
            <wp:extent cx="5451894" cy="3037764"/>
            <wp:effectExtent l="0" t="0" r="0" b="0"/>
            <wp:docPr id="9" name="Picture 9" descr="Chart, box and whisk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box and whisker chart&#10;&#10;Description automatically generated"/>
                    <pic:cNvPicPr/>
                  </pic:nvPicPr>
                  <pic:blipFill rotWithShape="1">
                    <a:blip r:embed="rId13" cstate="print">
                      <a:extLst>
                        <a:ext uri="{28A0092B-C50C-407E-A947-70E740481C1C}">
                          <a14:useLocalDpi xmlns:a14="http://schemas.microsoft.com/office/drawing/2010/main" val="0"/>
                        </a:ext>
                      </a:extLst>
                    </a:blip>
                    <a:srcRect l="4011"/>
                    <a:stretch/>
                  </pic:blipFill>
                  <pic:spPr bwMode="auto">
                    <a:xfrm>
                      <a:off x="0" y="0"/>
                      <a:ext cx="5465509" cy="3045350"/>
                    </a:xfrm>
                    <a:prstGeom prst="rect">
                      <a:avLst/>
                    </a:prstGeom>
                    <a:ln>
                      <a:noFill/>
                    </a:ln>
                    <a:extLst>
                      <a:ext uri="{53640926-AAD7-44D8-BBD7-CCE9431645EC}">
                        <a14:shadowObscured xmlns:a14="http://schemas.microsoft.com/office/drawing/2010/main"/>
                      </a:ext>
                    </a:extLst>
                  </pic:spPr>
                </pic:pic>
              </a:graphicData>
            </a:graphic>
          </wp:inline>
        </w:drawing>
      </w:r>
    </w:p>
    <w:p w14:paraId="608689A1" w14:textId="77777777" w:rsidR="00497308" w:rsidRPr="00497308" w:rsidRDefault="00497308" w:rsidP="00497308">
      <w:pPr>
        <w:rPr>
          <w:color w:val="000000" w:themeColor="text1"/>
          <w:sz w:val="20"/>
          <w:szCs w:val="20"/>
        </w:rPr>
      </w:pPr>
      <w:r w:rsidRPr="00497308">
        <w:rPr>
          <w:color w:val="000000" w:themeColor="text1"/>
          <w:sz w:val="20"/>
          <w:szCs w:val="20"/>
        </w:rPr>
        <w:t xml:space="preserve">Figure </w:t>
      </w:r>
      <w:r w:rsidRPr="00497308">
        <w:rPr>
          <w:color w:val="000000" w:themeColor="text1"/>
          <w:sz w:val="20"/>
          <w:szCs w:val="20"/>
        </w:rPr>
        <w:fldChar w:fldCharType="begin"/>
      </w:r>
      <w:r w:rsidRPr="00497308">
        <w:rPr>
          <w:color w:val="000000" w:themeColor="text1"/>
          <w:sz w:val="20"/>
          <w:szCs w:val="20"/>
        </w:rPr>
        <w:instrText xml:space="preserve"> SEQ Figure \* ARABIC </w:instrText>
      </w:r>
      <w:r w:rsidRPr="00497308">
        <w:rPr>
          <w:color w:val="000000" w:themeColor="text1"/>
          <w:sz w:val="20"/>
          <w:szCs w:val="20"/>
        </w:rPr>
        <w:fldChar w:fldCharType="separate"/>
      </w:r>
      <w:r w:rsidRPr="00497308">
        <w:rPr>
          <w:noProof/>
          <w:color w:val="000000" w:themeColor="text1"/>
          <w:sz w:val="20"/>
          <w:szCs w:val="20"/>
        </w:rPr>
        <w:t>4</w:t>
      </w:r>
      <w:r w:rsidRPr="00497308">
        <w:rPr>
          <w:color w:val="000000" w:themeColor="text1"/>
          <w:sz w:val="20"/>
          <w:szCs w:val="20"/>
        </w:rPr>
        <w:fldChar w:fldCharType="end"/>
      </w:r>
      <w:r w:rsidRPr="00497308">
        <w:rPr>
          <w:color w:val="000000" w:themeColor="text1"/>
          <w:sz w:val="20"/>
          <w:szCs w:val="20"/>
        </w:rPr>
        <w:t>: Bar chart and error terms of average treatment effects (ATE), calculated as the difference in average forest loss in the treatment group and the control. Statistical significance was estimated using Wilcoxon Rank Sum analysis (p&lt;.0001***, p&lt;.001**, p&lt;.01*).</w:t>
      </w:r>
    </w:p>
    <w:p w14:paraId="6341DCF8" w14:textId="77777777" w:rsidR="00AE4727" w:rsidRPr="00F25095" w:rsidRDefault="00AE4727" w:rsidP="003E53E3">
      <w:pPr>
        <w:ind w:firstLine="720"/>
      </w:pPr>
    </w:p>
    <w:p w14:paraId="76CEEEA1" w14:textId="253F380E" w:rsidR="0097352B" w:rsidRPr="00F25095" w:rsidRDefault="00CE1E38" w:rsidP="003E53E3">
      <w:pPr>
        <w:ind w:firstLine="720"/>
      </w:pPr>
      <w:r w:rsidRPr="00F25095">
        <w:t xml:space="preserve">The </w:t>
      </w:r>
      <w:r w:rsidR="009A1D67" w:rsidRPr="00F25095">
        <w:t>post-match linear regression</w:t>
      </w:r>
      <w:r w:rsidR="00393ED5" w:rsidRPr="00F25095">
        <w:t xml:space="preserve"> model</w:t>
      </w:r>
      <w:r w:rsidR="00452F89" w:rsidRPr="00F25095">
        <w:t xml:space="preserve">, used to </w:t>
      </w:r>
      <w:r w:rsidRPr="00F25095">
        <w:t xml:space="preserve">control for remaining </w:t>
      </w:r>
      <w:r w:rsidR="009A1D67" w:rsidRPr="00F25095">
        <w:t>imbalances in covariates</w:t>
      </w:r>
      <w:r w:rsidR="00452F89" w:rsidRPr="00F25095">
        <w:t>,</w:t>
      </w:r>
      <w:r w:rsidR="009A1D67" w:rsidRPr="00F25095">
        <w:t xml:space="preserve"> </w:t>
      </w:r>
      <w:r w:rsidR="00452F89" w:rsidRPr="00F25095">
        <w:t>found</w:t>
      </w:r>
      <w:r w:rsidRPr="00F25095">
        <w:t xml:space="preserve"> that </w:t>
      </w:r>
      <w:r w:rsidR="009A1D67" w:rsidRPr="00F25095">
        <w:t xml:space="preserve">both high and low management </w:t>
      </w:r>
      <w:r w:rsidR="000D50A9" w:rsidRPr="00F25095">
        <w:t xml:space="preserve">effectiveness </w:t>
      </w:r>
      <w:r w:rsidR="00695FDC" w:rsidRPr="00F25095">
        <w:t>PAs</w:t>
      </w:r>
      <w:r w:rsidRPr="00F25095">
        <w:t xml:space="preserve"> </w:t>
      </w:r>
      <w:r w:rsidR="009A1D67" w:rsidRPr="00F25095">
        <w:t>significantly reduce deforestation in all models (</w:t>
      </w:r>
      <w:r w:rsidR="009A1D67" w:rsidRPr="00F25095">
        <w:rPr>
          <w:i/>
          <w:iCs/>
        </w:rPr>
        <w:t xml:space="preserve">p </w:t>
      </w:r>
      <w:r w:rsidR="009A1D67" w:rsidRPr="00F25095">
        <w:t xml:space="preserve">&lt;.0001) </w:t>
      </w:r>
      <w:fldSimple w:instr=" REF _Ref50913771  \* MERGEFORMAT ">
        <w:r w:rsidR="00AE400A" w:rsidRPr="00F25095">
          <w:t>(</w:t>
        </w:r>
        <w:r w:rsidR="00C9684F" w:rsidRPr="00F25095">
          <w:t>Table</w:t>
        </w:r>
        <w:r w:rsidR="00C9684F" w:rsidRPr="00F25095">
          <w:rPr>
            <w:noProof/>
          </w:rPr>
          <w:t xml:space="preserve"> </w:t>
        </w:r>
        <w:r w:rsidR="005F498C" w:rsidRPr="00F25095">
          <w:rPr>
            <w:noProof/>
          </w:rPr>
          <w:t>2</w:t>
        </w:r>
      </w:fldSimple>
      <w:r w:rsidR="0094614D" w:rsidRPr="00F25095">
        <w:t xml:space="preserve">, full model results in </w:t>
      </w:r>
      <w:r w:rsidR="00375989" w:rsidRPr="00F25095">
        <w:t>Appendix</w:t>
      </w:r>
      <w:r w:rsidR="0094614D" w:rsidRPr="00F25095">
        <w:t xml:space="preserve"> Table </w:t>
      </w:r>
      <w:r w:rsidR="00BF2454" w:rsidRPr="00F25095">
        <w:t>1</w:t>
      </w:r>
      <w:r w:rsidR="001D1C9F" w:rsidRPr="00F25095">
        <w:t>0</w:t>
      </w:r>
      <w:r w:rsidR="0094614D" w:rsidRPr="00F25095">
        <w:t xml:space="preserve"> and </w:t>
      </w:r>
      <w:r w:rsidR="00BF2454" w:rsidRPr="00F25095">
        <w:t>1</w:t>
      </w:r>
      <w:r w:rsidR="001D1C9F" w:rsidRPr="00F25095">
        <w:t>1</w:t>
      </w:r>
      <w:r w:rsidR="00A21567" w:rsidRPr="00F25095">
        <w:t xml:space="preserve">). </w:t>
      </w:r>
      <w:r w:rsidR="009E7293" w:rsidRPr="00F25095">
        <w:t>Across</w:t>
      </w:r>
      <w:r w:rsidR="00A50375" w:rsidRPr="00F25095">
        <w:t xml:space="preserve"> all management categories</w:t>
      </w:r>
      <w:r w:rsidR="00A21567" w:rsidRPr="00F25095">
        <w:t>,</w:t>
      </w:r>
      <w:r w:rsidR="00A50375" w:rsidRPr="00F25095">
        <w:t xml:space="preserve"> </w:t>
      </w:r>
      <w:bookmarkStart w:id="11" w:name="_Ref50913771"/>
      <w:r w:rsidR="00F65895" w:rsidRPr="00F25095">
        <w:t xml:space="preserve">the models indicate that less forest loss occurred in both high and low management </w:t>
      </w:r>
      <w:r w:rsidR="000D50A9" w:rsidRPr="00F25095">
        <w:t xml:space="preserve">effectiveness </w:t>
      </w:r>
      <w:r w:rsidR="00F65895" w:rsidRPr="00F25095">
        <w:t>categories when compared to unprotected sites</w:t>
      </w:r>
      <w:r w:rsidR="002E59E6" w:rsidRPr="00F25095">
        <w:t xml:space="preserve">. </w:t>
      </w:r>
    </w:p>
    <w:p w14:paraId="240843C1" w14:textId="6846AFFE" w:rsidR="00AE4727" w:rsidRPr="00F25095" w:rsidRDefault="00AE4727" w:rsidP="003E53E3">
      <w:pPr>
        <w:ind w:firstLine="720"/>
      </w:pPr>
    </w:p>
    <w:p w14:paraId="3C9FE410" w14:textId="77777777" w:rsidR="00497308" w:rsidRPr="00497308" w:rsidRDefault="00497308" w:rsidP="00497308">
      <w:pPr>
        <w:rPr>
          <w:rFonts w:eastAsiaTheme="minorEastAsia"/>
          <w:color w:val="000000" w:themeColor="text1"/>
          <w:sz w:val="20"/>
          <w:szCs w:val="20"/>
        </w:rPr>
      </w:pPr>
      <w:r w:rsidRPr="00497308">
        <w:rPr>
          <w:color w:val="000000" w:themeColor="text1"/>
          <w:sz w:val="20"/>
          <w:szCs w:val="20"/>
        </w:rPr>
        <w:t xml:space="preserve">Table 2: High and low management </w:t>
      </w:r>
      <w:r w:rsidRPr="00497308">
        <w:rPr>
          <w:sz w:val="20"/>
          <w:szCs w:val="20"/>
        </w:rPr>
        <w:t xml:space="preserve">effectiveness </w:t>
      </w:r>
      <w:r w:rsidRPr="00497308">
        <w:rPr>
          <w:color w:val="000000" w:themeColor="text1"/>
          <w:sz w:val="20"/>
          <w:szCs w:val="20"/>
        </w:rPr>
        <w:t xml:space="preserve">effects for individual management categories. Regression coefficients and robust standard errors shown for only the treatment variable of each model. Dependent variable is percent forest loss between 2017-2019 for all models. </w:t>
      </w:r>
    </w:p>
    <w:tbl>
      <w:tblPr>
        <w:tblW w:w="9350" w:type="dxa"/>
        <w:tblCellMar>
          <w:left w:w="0" w:type="dxa"/>
          <w:right w:w="0" w:type="dxa"/>
        </w:tblCellMar>
        <w:tblLook w:val="0600" w:firstRow="0" w:lastRow="0" w:firstColumn="0" w:lastColumn="0" w:noHBand="1" w:noVBand="1"/>
      </w:tblPr>
      <w:tblGrid>
        <w:gridCol w:w="1160"/>
        <w:gridCol w:w="1530"/>
        <w:gridCol w:w="1530"/>
        <w:gridCol w:w="1170"/>
        <w:gridCol w:w="1260"/>
        <w:gridCol w:w="1440"/>
        <w:gridCol w:w="1260"/>
      </w:tblGrid>
      <w:tr w:rsidR="00497308" w:rsidRPr="00C91666" w14:paraId="35207FEF" w14:textId="77777777" w:rsidTr="00781621">
        <w:trPr>
          <w:trHeight w:val="529"/>
        </w:trPr>
        <w:tc>
          <w:tcPr>
            <w:tcW w:w="1160" w:type="dxa"/>
            <w:tcBorders>
              <w:top w:val="single" w:sz="18" w:space="0" w:color="auto"/>
              <w:left w:val="single" w:sz="8" w:space="0" w:color="FFFFFF"/>
              <w:bottom w:val="single" w:sz="4" w:space="0" w:color="auto"/>
              <w:right w:val="single" w:sz="8" w:space="0" w:color="FFFFFF"/>
            </w:tcBorders>
            <w:shd w:val="clear" w:color="auto" w:fill="auto"/>
            <w:tcMar>
              <w:top w:w="11" w:type="dxa"/>
              <w:left w:w="11" w:type="dxa"/>
              <w:bottom w:w="0" w:type="dxa"/>
              <w:right w:w="11" w:type="dxa"/>
            </w:tcMar>
            <w:vAlign w:val="center"/>
          </w:tcPr>
          <w:p w14:paraId="5CFD10A8" w14:textId="77777777" w:rsidR="00497308" w:rsidRPr="00C91666" w:rsidRDefault="00497308" w:rsidP="007C6BA1">
            <w:pPr>
              <w:jc w:val="center"/>
              <w:rPr>
                <w:color w:val="000000" w:themeColor="text1"/>
                <w:sz w:val="20"/>
                <w:szCs w:val="20"/>
              </w:rPr>
            </w:pPr>
          </w:p>
        </w:tc>
        <w:tc>
          <w:tcPr>
            <w:tcW w:w="1530" w:type="dxa"/>
            <w:tcBorders>
              <w:top w:val="single" w:sz="18" w:space="0" w:color="auto"/>
              <w:left w:val="single" w:sz="8" w:space="0" w:color="FFFFFF"/>
              <w:bottom w:val="single" w:sz="4" w:space="0" w:color="auto"/>
              <w:right w:val="single" w:sz="8" w:space="0" w:color="FFFFFF"/>
            </w:tcBorders>
            <w:vAlign w:val="center"/>
          </w:tcPr>
          <w:p w14:paraId="7374DB83" w14:textId="77777777" w:rsidR="00497308" w:rsidRPr="00C91666" w:rsidRDefault="00497308" w:rsidP="007C6BA1">
            <w:pPr>
              <w:jc w:val="center"/>
              <w:rPr>
                <w:color w:val="000000" w:themeColor="text1"/>
                <w:sz w:val="20"/>
                <w:szCs w:val="20"/>
              </w:rPr>
            </w:pPr>
            <w:r>
              <w:rPr>
                <w:color w:val="000000" w:themeColor="text1"/>
                <w:kern w:val="24"/>
                <w:sz w:val="20"/>
                <w:szCs w:val="20"/>
              </w:rPr>
              <w:t>Overall Mgmt. Effectiveness</w:t>
            </w:r>
          </w:p>
        </w:tc>
        <w:tc>
          <w:tcPr>
            <w:tcW w:w="1530" w:type="dxa"/>
            <w:tcBorders>
              <w:top w:val="single" w:sz="18" w:space="0" w:color="auto"/>
              <w:left w:val="single" w:sz="8" w:space="0" w:color="FFFFFF"/>
              <w:bottom w:val="single" w:sz="4" w:space="0" w:color="auto"/>
              <w:right w:val="single" w:sz="8" w:space="0" w:color="FFFFFF"/>
            </w:tcBorders>
            <w:shd w:val="clear" w:color="auto" w:fill="auto"/>
            <w:tcMar>
              <w:top w:w="11" w:type="dxa"/>
              <w:left w:w="11" w:type="dxa"/>
              <w:bottom w:w="0" w:type="dxa"/>
              <w:right w:w="11" w:type="dxa"/>
            </w:tcMar>
            <w:vAlign w:val="center"/>
          </w:tcPr>
          <w:p w14:paraId="651632AA" w14:textId="77777777" w:rsidR="00497308" w:rsidRPr="00C91666" w:rsidRDefault="00497308" w:rsidP="007C6BA1">
            <w:pPr>
              <w:jc w:val="center"/>
              <w:rPr>
                <w:color w:val="000000" w:themeColor="text1"/>
                <w:sz w:val="20"/>
                <w:szCs w:val="20"/>
              </w:rPr>
            </w:pPr>
            <w:r>
              <w:rPr>
                <w:color w:val="000000" w:themeColor="text1"/>
                <w:kern w:val="24"/>
                <w:sz w:val="20"/>
                <w:szCs w:val="20"/>
              </w:rPr>
              <w:t>Context &amp; Planning</w:t>
            </w:r>
          </w:p>
        </w:tc>
        <w:tc>
          <w:tcPr>
            <w:tcW w:w="1170" w:type="dxa"/>
            <w:tcBorders>
              <w:top w:val="single" w:sz="18" w:space="0" w:color="auto"/>
              <w:left w:val="single" w:sz="8" w:space="0" w:color="FFFFFF"/>
              <w:bottom w:val="single" w:sz="4" w:space="0" w:color="auto"/>
              <w:right w:val="single" w:sz="8" w:space="0" w:color="FFFFFF"/>
            </w:tcBorders>
            <w:shd w:val="clear" w:color="auto" w:fill="auto"/>
            <w:tcMar>
              <w:top w:w="11" w:type="dxa"/>
              <w:left w:w="11" w:type="dxa"/>
              <w:bottom w:w="0" w:type="dxa"/>
              <w:right w:w="11" w:type="dxa"/>
            </w:tcMar>
            <w:vAlign w:val="center"/>
          </w:tcPr>
          <w:p w14:paraId="1FA28A30" w14:textId="77777777" w:rsidR="00497308" w:rsidRPr="00C91666" w:rsidRDefault="00497308" w:rsidP="007C6BA1">
            <w:pPr>
              <w:jc w:val="center"/>
              <w:rPr>
                <w:color w:val="000000" w:themeColor="text1"/>
                <w:sz w:val="20"/>
                <w:szCs w:val="20"/>
              </w:rPr>
            </w:pPr>
            <w:r>
              <w:rPr>
                <w:color w:val="000000" w:themeColor="text1"/>
                <w:kern w:val="24"/>
                <w:sz w:val="20"/>
                <w:szCs w:val="20"/>
              </w:rPr>
              <w:t>Admin &amp; Finance</w:t>
            </w:r>
          </w:p>
        </w:tc>
        <w:tc>
          <w:tcPr>
            <w:tcW w:w="1260" w:type="dxa"/>
            <w:tcBorders>
              <w:top w:val="single" w:sz="18" w:space="0" w:color="auto"/>
              <w:left w:val="single" w:sz="8" w:space="0" w:color="FFFFFF"/>
              <w:bottom w:val="single" w:sz="4" w:space="0" w:color="auto"/>
              <w:right w:val="single" w:sz="8" w:space="0" w:color="FFFFFF"/>
            </w:tcBorders>
            <w:shd w:val="clear" w:color="auto" w:fill="auto"/>
            <w:tcMar>
              <w:top w:w="11" w:type="dxa"/>
              <w:left w:w="11" w:type="dxa"/>
              <w:bottom w:w="0" w:type="dxa"/>
              <w:right w:w="11" w:type="dxa"/>
            </w:tcMar>
            <w:vAlign w:val="center"/>
          </w:tcPr>
          <w:p w14:paraId="399C1287" w14:textId="77777777" w:rsidR="00497308" w:rsidRDefault="00497308" w:rsidP="007C6BA1">
            <w:pPr>
              <w:pStyle w:val="NormalWeb"/>
              <w:spacing w:before="0" w:beforeAutospacing="0" w:after="0" w:afterAutospacing="0"/>
              <w:jc w:val="center"/>
              <w:textAlignment w:val="bottom"/>
              <w:rPr>
                <w:color w:val="000000" w:themeColor="text1"/>
                <w:kern w:val="24"/>
                <w:sz w:val="20"/>
                <w:szCs w:val="20"/>
              </w:rPr>
            </w:pPr>
            <w:r>
              <w:rPr>
                <w:color w:val="000000" w:themeColor="text1"/>
                <w:kern w:val="24"/>
                <w:sz w:val="20"/>
                <w:szCs w:val="20"/>
              </w:rPr>
              <w:t>Use &amp;</w:t>
            </w:r>
          </w:p>
          <w:p w14:paraId="337F9CA3" w14:textId="77777777" w:rsidR="00497308" w:rsidRPr="00C91666" w:rsidRDefault="00497308" w:rsidP="007C6BA1">
            <w:pPr>
              <w:pStyle w:val="NormalWeb"/>
              <w:spacing w:before="0" w:beforeAutospacing="0" w:after="0" w:afterAutospacing="0"/>
              <w:jc w:val="center"/>
              <w:textAlignment w:val="bottom"/>
              <w:rPr>
                <w:color w:val="000000" w:themeColor="text1"/>
                <w:sz w:val="20"/>
                <w:szCs w:val="20"/>
              </w:rPr>
            </w:pPr>
            <w:r>
              <w:rPr>
                <w:color w:val="000000" w:themeColor="text1"/>
                <w:kern w:val="24"/>
                <w:sz w:val="20"/>
                <w:szCs w:val="20"/>
              </w:rPr>
              <w:t>Benefits</w:t>
            </w:r>
          </w:p>
        </w:tc>
        <w:tc>
          <w:tcPr>
            <w:tcW w:w="1440" w:type="dxa"/>
            <w:tcBorders>
              <w:top w:val="single" w:sz="18" w:space="0" w:color="auto"/>
              <w:left w:val="single" w:sz="8" w:space="0" w:color="FFFFFF"/>
              <w:bottom w:val="single" w:sz="4" w:space="0" w:color="auto"/>
              <w:right w:val="single" w:sz="8" w:space="0" w:color="FFFFFF"/>
            </w:tcBorders>
            <w:shd w:val="clear" w:color="auto" w:fill="auto"/>
            <w:tcMar>
              <w:top w:w="11" w:type="dxa"/>
              <w:left w:w="11" w:type="dxa"/>
              <w:bottom w:w="0" w:type="dxa"/>
              <w:right w:w="11" w:type="dxa"/>
            </w:tcMar>
            <w:vAlign w:val="center"/>
          </w:tcPr>
          <w:p w14:paraId="41A8D9A7" w14:textId="77777777" w:rsidR="00497308" w:rsidRPr="00C91666" w:rsidRDefault="00497308" w:rsidP="007C6BA1">
            <w:pPr>
              <w:jc w:val="center"/>
              <w:rPr>
                <w:color w:val="000000" w:themeColor="text1"/>
                <w:sz w:val="20"/>
                <w:szCs w:val="20"/>
              </w:rPr>
            </w:pPr>
            <w:r>
              <w:rPr>
                <w:color w:val="000000" w:themeColor="text1"/>
                <w:kern w:val="24"/>
                <w:sz w:val="20"/>
                <w:szCs w:val="20"/>
              </w:rPr>
              <w:t>Gov &amp; Social Participation</w:t>
            </w:r>
          </w:p>
        </w:tc>
        <w:tc>
          <w:tcPr>
            <w:tcW w:w="1260" w:type="dxa"/>
            <w:tcBorders>
              <w:top w:val="single" w:sz="18" w:space="0" w:color="auto"/>
              <w:left w:val="single" w:sz="8" w:space="0" w:color="FFFFFF"/>
              <w:bottom w:val="single" w:sz="4" w:space="0" w:color="auto"/>
              <w:right w:val="single" w:sz="8" w:space="0" w:color="FFFFFF"/>
            </w:tcBorders>
            <w:shd w:val="clear" w:color="auto" w:fill="auto"/>
            <w:tcMar>
              <w:top w:w="11" w:type="dxa"/>
              <w:left w:w="11" w:type="dxa"/>
              <w:bottom w:w="0" w:type="dxa"/>
              <w:right w:w="11" w:type="dxa"/>
            </w:tcMar>
            <w:vAlign w:val="center"/>
          </w:tcPr>
          <w:p w14:paraId="05B2BD9A" w14:textId="77777777" w:rsidR="00497308" w:rsidRPr="00C91666" w:rsidRDefault="00497308" w:rsidP="007C6BA1">
            <w:pPr>
              <w:jc w:val="center"/>
              <w:rPr>
                <w:color w:val="000000" w:themeColor="text1"/>
                <w:sz w:val="20"/>
                <w:szCs w:val="20"/>
              </w:rPr>
            </w:pPr>
            <w:r>
              <w:rPr>
                <w:color w:val="000000" w:themeColor="text1"/>
                <w:kern w:val="24"/>
                <w:sz w:val="20"/>
                <w:szCs w:val="20"/>
              </w:rPr>
              <w:t>Management Quality</w:t>
            </w:r>
          </w:p>
        </w:tc>
      </w:tr>
      <w:tr w:rsidR="00497308" w:rsidRPr="00C91666" w14:paraId="0A48F753" w14:textId="77777777" w:rsidTr="00781621">
        <w:trPr>
          <w:trHeight w:val="428"/>
        </w:trPr>
        <w:tc>
          <w:tcPr>
            <w:tcW w:w="1160" w:type="dxa"/>
            <w:tcBorders>
              <w:top w:val="single" w:sz="4" w:space="0" w:color="auto"/>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tcPr>
          <w:p w14:paraId="3AD8B623" w14:textId="77777777" w:rsidR="00497308" w:rsidRPr="00C91666" w:rsidRDefault="00497308" w:rsidP="007C6BA1">
            <w:pPr>
              <w:pStyle w:val="NormalWeb"/>
              <w:spacing w:before="0" w:beforeAutospacing="0" w:after="0" w:afterAutospacing="0"/>
              <w:jc w:val="center"/>
              <w:textAlignment w:val="bottom"/>
              <w:rPr>
                <w:color w:val="000000" w:themeColor="text1"/>
                <w:sz w:val="20"/>
                <w:szCs w:val="20"/>
              </w:rPr>
            </w:pPr>
            <w:r w:rsidRPr="00C91666">
              <w:rPr>
                <w:color w:val="000000" w:themeColor="text1"/>
                <w:kern w:val="24"/>
                <w:sz w:val="20"/>
                <w:szCs w:val="20"/>
              </w:rPr>
              <w:t>High Management</w:t>
            </w:r>
          </w:p>
        </w:tc>
        <w:tc>
          <w:tcPr>
            <w:tcW w:w="1530" w:type="dxa"/>
            <w:tcBorders>
              <w:top w:val="single" w:sz="4" w:space="0" w:color="auto"/>
              <w:left w:val="single" w:sz="8" w:space="0" w:color="FFFFFF"/>
              <w:bottom w:val="single" w:sz="8" w:space="0" w:color="FFFFFF"/>
              <w:right w:val="single" w:sz="8" w:space="0" w:color="FFFFFF"/>
            </w:tcBorders>
            <w:vAlign w:val="center"/>
          </w:tcPr>
          <w:p w14:paraId="26D02D0A" w14:textId="77777777" w:rsidR="00497308" w:rsidRDefault="00497308" w:rsidP="007C6BA1">
            <w:pPr>
              <w:spacing w:before="40" w:after="40"/>
              <w:jc w:val="center"/>
              <w:rPr>
                <w:color w:val="000000" w:themeColor="text1"/>
                <w:sz w:val="20"/>
                <w:szCs w:val="20"/>
              </w:rPr>
            </w:pPr>
            <w:r>
              <w:rPr>
                <w:color w:val="000000" w:themeColor="text1"/>
                <w:sz w:val="20"/>
                <w:szCs w:val="20"/>
              </w:rPr>
              <w:t>-2</w:t>
            </w:r>
            <w:r w:rsidRPr="00C91666">
              <w:rPr>
                <w:color w:val="000000" w:themeColor="text1"/>
                <w:sz w:val="20"/>
                <w:szCs w:val="20"/>
              </w:rPr>
              <w:t>.</w:t>
            </w:r>
            <w:r>
              <w:rPr>
                <w:color w:val="000000" w:themeColor="text1"/>
                <w:sz w:val="20"/>
                <w:szCs w:val="20"/>
              </w:rPr>
              <w:t>18</w:t>
            </w:r>
            <w:r w:rsidRPr="00C91666">
              <w:rPr>
                <w:color w:val="000000" w:themeColor="text1"/>
                <w:sz w:val="20"/>
                <w:szCs w:val="20"/>
              </w:rPr>
              <w:t xml:space="preserve">*** </w:t>
            </w:r>
          </w:p>
          <w:p w14:paraId="1B5CA7AF" w14:textId="132D6904" w:rsidR="00497308" w:rsidRPr="00C91666" w:rsidRDefault="00497308" w:rsidP="007C6BA1">
            <w:pPr>
              <w:spacing w:before="40" w:after="40"/>
              <w:jc w:val="center"/>
              <w:rPr>
                <w:color w:val="000000" w:themeColor="text1"/>
                <w:sz w:val="20"/>
                <w:szCs w:val="20"/>
              </w:rPr>
            </w:pPr>
            <w:r w:rsidRPr="00C91666">
              <w:rPr>
                <w:color w:val="000000" w:themeColor="text1"/>
                <w:sz w:val="20"/>
                <w:szCs w:val="20"/>
              </w:rPr>
              <w:t>(</w:t>
            </w:r>
            <w:r w:rsidR="00071000">
              <w:rPr>
                <w:color w:val="000000" w:themeColor="text1"/>
                <w:sz w:val="20"/>
                <w:szCs w:val="20"/>
              </w:rPr>
              <w:t>.</w:t>
            </w:r>
            <w:r>
              <w:rPr>
                <w:color w:val="000000" w:themeColor="text1"/>
                <w:sz w:val="20"/>
                <w:szCs w:val="20"/>
              </w:rPr>
              <w:t>106</w:t>
            </w:r>
            <w:r w:rsidRPr="00C91666">
              <w:rPr>
                <w:color w:val="000000" w:themeColor="text1"/>
                <w:sz w:val="20"/>
                <w:szCs w:val="20"/>
              </w:rPr>
              <w:t>)</w:t>
            </w:r>
          </w:p>
        </w:tc>
        <w:tc>
          <w:tcPr>
            <w:tcW w:w="1530" w:type="dxa"/>
            <w:tcBorders>
              <w:top w:val="single" w:sz="4" w:space="0" w:color="auto"/>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tcPr>
          <w:p w14:paraId="4C99B040" w14:textId="77777777" w:rsidR="00497308" w:rsidRPr="00C91666" w:rsidRDefault="00497308" w:rsidP="007C6BA1">
            <w:pPr>
              <w:widowControl w:val="0"/>
              <w:autoSpaceDE w:val="0"/>
              <w:autoSpaceDN w:val="0"/>
              <w:adjustRightInd w:val="0"/>
              <w:spacing w:before="40" w:after="40"/>
              <w:jc w:val="center"/>
              <w:rPr>
                <w:color w:val="000000" w:themeColor="text1"/>
                <w:sz w:val="20"/>
                <w:szCs w:val="20"/>
              </w:rPr>
            </w:pPr>
            <w:r w:rsidRPr="00C91666">
              <w:rPr>
                <w:color w:val="000000" w:themeColor="text1"/>
                <w:sz w:val="20"/>
                <w:szCs w:val="20"/>
              </w:rPr>
              <w:t>-1.77***</w:t>
            </w:r>
          </w:p>
          <w:p w14:paraId="3F0B729F" w14:textId="2DC363F2" w:rsidR="00497308" w:rsidRPr="00C91666" w:rsidRDefault="00497308" w:rsidP="007C6BA1">
            <w:pPr>
              <w:widowControl w:val="0"/>
              <w:autoSpaceDE w:val="0"/>
              <w:autoSpaceDN w:val="0"/>
              <w:adjustRightInd w:val="0"/>
              <w:spacing w:before="40" w:after="40"/>
              <w:jc w:val="center"/>
              <w:rPr>
                <w:color w:val="000000" w:themeColor="text1"/>
                <w:sz w:val="20"/>
                <w:szCs w:val="20"/>
              </w:rPr>
            </w:pPr>
            <w:r w:rsidRPr="00C91666">
              <w:rPr>
                <w:color w:val="000000" w:themeColor="text1"/>
                <w:sz w:val="20"/>
                <w:szCs w:val="20"/>
              </w:rPr>
              <w:t>(</w:t>
            </w:r>
            <w:r w:rsidR="00071000">
              <w:rPr>
                <w:color w:val="000000" w:themeColor="text1"/>
                <w:sz w:val="20"/>
                <w:szCs w:val="20"/>
              </w:rPr>
              <w:t>.</w:t>
            </w:r>
            <w:r w:rsidRPr="00C91666">
              <w:rPr>
                <w:color w:val="000000" w:themeColor="text1"/>
                <w:sz w:val="20"/>
                <w:szCs w:val="20"/>
              </w:rPr>
              <w:t>11</w:t>
            </w:r>
            <w:r>
              <w:rPr>
                <w:color w:val="000000" w:themeColor="text1"/>
                <w:sz w:val="20"/>
                <w:szCs w:val="20"/>
              </w:rPr>
              <w:t>7</w:t>
            </w:r>
            <w:r w:rsidRPr="00C91666">
              <w:rPr>
                <w:color w:val="000000" w:themeColor="text1"/>
                <w:sz w:val="20"/>
                <w:szCs w:val="20"/>
              </w:rPr>
              <w:t>)</w:t>
            </w:r>
          </w:p>
        </w:tc>
        <w:tc>
          <w:tcPr>
            <w:tcW w:w="1170" w:type="dxa"/>
            <w:tcBorders>
              <w:top w:val="single" w:sz="4" w:space="0" w:color="auto"/>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tcPr>
          <w:p w14:paraId="353922C4" w14:textId="77777777" w:rsidR="00497308" w:rsidRPr="00C91666" w:rsidRDefault="00497308" w:rsidP="007C6BA1">
            <w:pPr>
              <w:widowControl w:val="0"/>
              <w:autoSpaceDE w:val="0"/>
              <w:autoSpaceDN w:val="0"/>
              <w:adjustRightInd w:val="0"/>
              <w:spacing w:before="40" w:after="40"/>
              <w:jc w:val="center"/>
              <w:rPr>
                <w:color w:val="000000" w:themeColor="text1"/>
                <w:sz w:val="20"/>
                <w:szCs w:val="20"/>
              </w:rPr>
            </w:pPr>
            <w:r w:rsidRPr="00C91666">
              <w:rPr>
                <w:color w:val="000000" w:themeColor="text1"/>
                <w:sz w:val="20"/>
                <w:szCs w:val="20"/>
              </w:rPr>
              <w:t>-</w:t>
            </w:r>
            <w:r>
              <w:rPr>
                <w:color w:val="000000" w:themeColor="text1"/>
                <w:sz w:val="20"/>
                <w:szCs w:val="20"/>
              </w:rPr>
              <w:t>0.</w:t>
            </w:r>
            <w:r w:rsidRPr="00C91666">
              <w:rPr>
                <w:color w:val="000000" w:themeColor="text1"/>
                <w:sz w:val="20"/>
                <w:szCs w:val="20"/>
              </w:rPr>
              <w:t>73***</w:t>
            </w:r>
          </w:p>
          <w:p w14:paraId="6BF78D58" w14:textId="068BAD91" w:rsidR="00497308" w:rsidRPr="00C91666" w:rsidRDefault="00497308" w:rsidP="007C6BA1">
            <w:pPr>
              <w:widowControl w:val="0"/>
              <w:autoSpaceDE w:val="0"/>
              <w:autoSpaceDN w:val="0"/>
              <w:adjustRightInd w:val="0"/>
              <w:spacing w:before="40" w:after="40"/>
              <w:jc w:val="center"/>
              <w:rPr>
                <w:color w:val="000000" w:themeColor="text1"/>
                <w:sz w:val="20"/>
                <w:szCs w:val="20"/>
              </w:rPr>
            </w:pPr>
            <w:r w:rsidRPr="00C91666">
              <w:rPr>
                <w:color w:val="000000" w:themeColor="text1"/>
                <w:sz w:val="20"/>
                <w:szCs w:val="20"/>
              </w:rPr>
              <w:t>(</w:t>
            </w:r>
            <w:r w:rsidR="00071000">
              <w:rPr>
                <w:color w:val="000000" w:themeColor="text1"/>
                <w:sz w:val="20"/>
                <w:szCs w:val="20"/>
              </w:rPr>
              <w:t>.0</w:t>
            </w:r>
            <w:r w:rsidRPr="00C91666">
              <w:rPr>
                <w:color w:val="000000" w:themeColor="text1"/>
                <w:sz w:val="20"/>
                <w:szCs w:val="20"/>
              </w:rPr>
              <w:t>4</w:t>
            </w:r>
            <w:r w:rsidR="00071000">
              <w:rPr>
                <w:color w:val="000000" w:themeColor="text1"/>
                <w:sz w:val="20"/>
                <w:szCs w:val="20"/>
              </w:rPr>
              <w:t>9</w:t>
            </w:r>
            <w:r w:rsidRPr="00C91666">
              <w:rPr>
                <w:color w:val="000000" w:themeColor="text1"/>
                <w:sz w:val="20"/>
                <w:szCs w:val="20"/>
              </w:rPr>
              <w:t>)</w:t>
            </w:r>
          </w:p>
        </w:tc>
        <w:tc>
          <w:tcPr>
            <w:tcW w:w="1260" w:type="dxa"/>
            <w:tcBorders>
              <w:top w:val="single" w:sz="4" w:space="0" w:color="auto"/>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tcPr>
          <w:p w14:paraId="12F66880" w14:textId="77777777" w:rsidR="00497308" w:rsidRPr="00C91666" w:rsidRDefault="00497308" w:rsidP="007C6BA1">
            <w:pPr>
              <w:widowControl w:val="0"/>
              <w:autoSpaceDE w:val="0"/>
              <w:autoSpaceDN w:val="0"/>
              <w:adjustRightInd w:val="0"/>
              <w:spacing w:before="40" w:after="40"/>
              <w:jc w:val="center"/>
              <w:rPr>
                <w:color w:val="000000" w:themeColor="text1"/>
                <w:sz w:val="20"/>
                <w:szCs w:val="20"/>
              </w:rPr>
            </w:pPr>
            <w:r w:rsidRPr="00C91666">
              <w:rPr>
                <w:color w:val="000000" w:themeColor="text1"/>
                <w:sz w:val="20"/>
                <w:szCs w:val="20"/>
              </w:rPr>
              <w:t>-2.01***</w:t>
            </w:r>
          </w:p>
          <w:p w14:paraId="1213AFF9" w14:textId="23BD37BE" w:rsidR="00497308" w:rsidRPr="00C91666" w:rsidRDefault="00497308" w:rsidP="007C6BA1">
            <w:pPr>
              <w:widowControl w:val="0"/>
              <w:autoSpaceDE w:val="0"/>
              <w:autoSpaceDN w:val="0"/>
              <w:adjustRightInd w:val="0"/>
              <w:spacing w:before="40" w:after="40"/>
              <w:jc w:val="center"/>
              <w:rPr>
                <w:color w:val="000000" w:themeColor="text1"/>
                <w:sz w:val="20"/>
                <w:szCs w:val="20"/>
              </w:rPr>
            </w:pPr>
            <w:r w:rsidRPr="00C91666">
              <w:rPr>
                <w:color w:val="000000" w:themeColor="text1"/>
                <w:sz w:val="20"/>
                <w:szCs w:val="20"/>
              </w:rPr>
              <w:t>(</w:t>
            </w:r>
            <w:r w:rsidR="00071000">
              <w:rPr>
                <w:color w:val="000000" w:themeColor="text1"/>
                <w:sz w:val="20"/>
                <w:szCs w:val="20"/>
              </w:rPr>
              <w:t>.</w:t>
            </w:r>
            <w:r w:rsidRPr="00C91666">
              <w:rPr>
                <w:color w:val="000000" w:themeColor="text1"/>
                <w:sz w:val="20"/>
                <w:szCs w:val="20"/>
              </w:rPr>
              <w:t>1</w:t>
            </w:r>
            <w:r>
              <w:rPr>
                <w:color w:val="000000" w:themeColor="text1"/>
                <w:sz w:val="20"/>
                <w:szCs w:val="20"/>
              </w:rPr>
              <w:t>1</w:t>
            </w:r>
            <w:r w:rsidRPr="00C91666">
              <w:rPr>
                <w:color w:val="000000" w:themeColor="text1"/>
                <w:sz w:val="20"/>
                <w:szCs w:val="20"/>
              </w:rPr>
              <w:t>0)</w:t>
            </w:r>
          </w:p>
        </w:tc>
        <w:tc>
          <w:tcPr>
            <w:tcW w:w="1440" w:type="dxa"/>
            <w:tcBorders>
              <w:top w:val="single" w:sz="4" w:space="0" w:color="auto"/>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tcPr>
          <w:p w14:paraId="1852A326" w14:textId="77777777" w:rsidR="00497308" w:rsidRDefault="00497308" w:rsidP="007C6BA1">
            <w:pPr>
              <w:widowControl w:val="0"/>
              <w:autoSpaceDE w:val="0"/>
              <w:autoSpaceDN w:val="0"/>
              <w:adjustRightInd w:val="0"/>
              <w:spacing w:before="40" w:after="40"/>
              <w:jc w:val="center"/>
              <w:rPr>
                <w:color w:val="000000" w:themeColor="text1"/>
                <w:sz w:val="20"/>
                <w:szCs w:val="20"/>
              </w:rPr>
            </w:pPr>
            <w:r w:rsidRPr="00C91666">
              <w:rPr>
                <w:color w:val="000000" w:themeColor="text1"/>
                <w:sz w:val="20"/>
                <w:szCs w:val="20"/>
              </w:rPr>
              <w:t xml:space="preserve">-2.00***  </w:t>
            </w:r>
          </w:p>
          <w:p w14:paraId="3549AB6B" w14:textId="4A96641E" w:rsidR="00497308" w:rsidRPr="00C91666" w:rsidRDefault="00497308" w:rsidP="007C6BA1">
            <w:pPr>
              <w:widowControl w:val="0"/>
              <w:autoSpaceDE w:val="0"/>
              <w:autoSpaceDN w:val="0"/>
              <w:adjustRightInd w:val="0"/>
              <w:spacing w:before="40" w:after="40"/>
              <w:jc w:val="center"/>
              <w:rPr>
                <w:color w:val="000000" w:themeColor="text1"/>
                <w:sz w:val="20"/>
                <w:szCs w:val="20"/>
              </w:rPr>
            </w:pPr>
            <w:r w:rsidRPr="00C91666">
              <w:rPr>
                <w:color w:val="000000" w:themeColor="text1"/>
                <w:sz w:val="20"/>
                <w:szCs w:val="20"/>
              </w:rPr>
              <w:t>(</w:t>
            </w:r>
            <w:r w:rsidR="00BC7979">
              <w:rPr>
                <w:color w:val="000000" w:themeColor="text1"/>
                <w:sz w:val="20"/>
                <w:szCs w:val="20"/>
              </w:rPr>
              <w:t>.</w:t>
            </w:r>
            <w:r w:rsidRPr="00C91666">
              <w:rPr>
                <w:color w:val="000000" w:themeColor="text1"/>
                <w:sz w:val="20"/>
                <w:szCs w:val="20"/>
              </w:rPr>
              <w:t>115)</w:t>
            </w:r>
          </w:p>
        </w:tc>
        <w:tc>
          <w:tcPr>
            <w:tcW w:w="1260" w:type="dxa"/>
            <w:tcBorders>
              <w:top w:val="single" w:sz="4" w:space="0" w:color="auto"/>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tcPr>
          <w:p w14:paraId="6641EDB4" w14:textId="6FEB7824" w:rsidR="00497308" w:rsidRPr="00C91666" w:rsidRDefault="00497308" w:rsidP="007C6BA1">
            <w:pPr>
              <w:widowControl w:val="0"/>
              <w:autoSpaceDE w:val="0"/>
              <w:autoSpaceDN w:val="0"/>
              <w:adjustRightInd w:val="0"/>
              <w:spacing w:before="40" w:after="40"/>
              <w:jc w:val="center"/>
              <w:rPr>
                <w:color w:val="000000" w:themeColor="text1"/>
                <w:sz w:val="20"/>
                <w:szCs w:val="20"/>
              </w:rPr>
            </w:pPr>
            <w:r w:rsidRPr="00C91666">
              <w:rPr>
                <w:color w:val="000000" w:themeColor="text1"/>
                <w:sz w:val="20"/>
                <w:szCs w:val="20"/>
              </w:rPr>
              <w:t>-1.81*** (</w:t>
            </w:r>
            <w:r w:rsidR="00BC7979">
              <w:rPr>
                <w:color w:val="000000" w:themeColor="text1"/>
                <w:sz w:val="20"/>
                <w:szCs w:val="20"/>
              </w:rPr>
              <w:t>.</w:t>
            </w:r>
            <w:r w:rsidRPr="00C91666">
              <w:rPr>
                <w:color w:val="000000" w:themeColor="text1"/>
                <w:sz w:val="20"/>
                <w:szCs w:val="20"/>
              </w:rPr>
              <w:t>10</w:t>
            </w:r>
            <w:r>
              <w:rPr>
                <w:color w:val="000000" w:themeColor="text1"/>
                <w:sz w:val="20"/>
                <w:szCs w:val="20"/>
              </w:rPr>
              <w:t>4</w:t>
            </w:r>
            <w:r w:rsidRPr="00C91666">
              <w:rPr>
                <w:color w:val="000000" w:themeColor="text1"/>
                <w:sz w:val="20"/>
                <w:szCs w:val="20"/>
              </w:rPr>
              <w:t>)</w:t>
            </w:r>
          </w:p>
        </w:tc>
      </w:tr>
      <w:tr w:rsidR="00497308" w:rsidRPr="00C91666" w14:paraId="4870F79C" w14:textId="77777777" w:rsidTr="00781621">
        <w:trPr>
          <w:trHeight w:val="470"/>
        </w:trPr>
        <w:tc>
          <w:tcPr>
            <w:tcW w:w="1160" w:type="dxa"/>
            <w:tcBorders>
              <w:top w:val="single" w:sz="8" w:space="0" w:color="FFFFFF"/>
              <w:left w:val="single" w:sz="8" w:space="0" w:color="FFFFFF"/>
              <w:bottom w:val="dotted" w:sz="4" w:space="0" w:color="auto"/>
              <w:right w:val="single" w:sz="8" w:space="0" w:color="FFFFFF"/>
            </w:tcBorders>
            <w:shd w:val="clear" w:color="auto" w:fill="auto"/>
            <w:tcMar>
              <w:top w:w="11" w:type="dxa"/>
              <w:left w:w="11" w:type="dxa"/>
              <w:bottom w:w="0" w:type="dxa"/>
              <w:right w:w="11" w:type="dxa"/>
            </w:tcMar>
            <w:vAlign w:val="center"/>
          </w:tcPr>
          <w:p w14:paraId="2C44D1F7" w14:textId="77777777" w:rsidR="00497308" w:rsidRPr="00C91666" w:rsidRDefault="00497308" w:rsidP="007C6BA1">
            <w:pPr>
              <w:jc w:val="center"/>
              <w:rPr>
                <w:i/>
                <w:iCs/>
                <w:color w:val="000000" w:themeColor="text1"/>
                <w:sz w:val="20"/>
                <w:szCs w:val="20"/>
              </w:rPr>
            </w:pPr>
            <w:r w:rsidRPr="00C91666">
              <w:rPr>
                <w:i/>
                <w:iCs/>
                <w:color w:val="000000" w:themeColor="text1"/>
                <w:kern w:val="24"/>
                <w:sz w:val="20"/>
                <w:szCs w:val="20"/>
              </w:rPr>
              <w:t>Observations</w:t>
            </w:r>
          </w:p>
        </w:tc>
        <w:tc>
          <w:tcPr>
            <w:tcW w:w="1530" w:type="dxa"/>
            <w:tcBorders>
              <w:top w:val="single" w:sz="8" w:space="0" w:color="FFFFFF"/>
              <w:left w:val="single" w:sz="8" w:space="0" w:color="FFFFFF"/>
              <w:bottom w:val="dotted" w:sz="4" w:space="0" w:color="auto"/>
              <w:right w:val="single" w:sz="8" w:space="0" w:color="FFFFFF"/>
            </w:tcBorders>
            <w:vAlign w:val="center"/>
          </w:tcPr>
          <w:p w14:paraId="6737CE04" w14:textId="77777777" w:rsidR="00497308" w:rsidRPr="00C91666" w:rsidRDefault="00497308" w:rsidP="007C6BA1">
            <w:pPr>
              <w:spacing w:before="40" w:after="40"/>
              <w:jc w:val="center"/>
              <w:rPr>
                <w:i/>
                <w:iCs/>
                <w:color w:val="000000" w:themeColor="text1"/>
                <w:kern w:val="24"/>
                <w:sz w:val="20"/>
                <w:szCs w:val="20"/>
              </w:rPr>
            </w:pPr>
            <w:r w:rsidRPr="00C91666">
              <w:rPr>
                <w:i/>
                <w:iCs/>
                <w:color w:val="000000" w:themeColor="text1"/>
                <w:kern w:val="24"/>
                <w:sz w:val="20"/>
                <w:szCs w:val="20"/>
              </w:rPr>
              <w:t>14,046</w:t>
            </w:r>
          </w:p>
        </w:tc>
        <w:tc>
          <w:tcPr>
            <w:tcW w:w="1530" w:type="dxa"/>
            <w:tcBorders>
              <w:top w:val="single" w:sz="8" w:space="0" w:color="FFFFFF"/>
              <w:left w:val="single" w:sz="8" w:space="0" w:color="FFFFFF"/>
              <w:bottom w:val="dotted" w:sz="4" w:space="0" w:color="auto"/>
              <w:right w:val="single" w:sz="8" w:space="0" w:color="FFFFFF"/>
            </w:tcBorders>
            <w:shd w:val="clear" w:color="auto" w:fill="auto"/>
            <w:tcMar>
              <w:top w:w="11" w:type="dxa"/>
              <w:left w:w="11" w:type="dxa"/>
              <w:bottom w:w="0" w:type="dxa"/>
              <w:right w:w="11" w:type="dxa"/>
            </w:tcMar>
            <w:vAlign w:val="center"/>
          </w:tcPr>
          <w:p w14:paraId="62E74EC3" w14:textId="77777777" w:rsidR="00497308" w:rsidRPr="00C91666" w:rsidRDefault="00497308" w:rsidP="007C6BA1">
            <w:pPr>
              <w:spacing w:before="40" w:after="40"/>
              <w:jc w:val="center"/>
              <w:rPr>
                <w:i/>
                <w:iCs/>
                <w:color w:val="000000" w:themeColor="text1"/>
                <w:sz w:val="20"/>
                <w:szCs w:val="20"/>
              </w:rPr>
            </w:pPr>
            <w:r w:rsidRPr="00C91666">
              <w:rPr>
                <w:i/>
                <w:iCs/>
                <w:color w:val="000000" w:themeColor="text1"/>
                <w:sz w:val="20"/>
                <w:szCs w:val="20"/>
              </w:rPr>
              <w:t>10,232</w:t>
            </w:r>
          </w:p>
        </w:tc>
        <w:tc>
          <w:tcPr>
            <w:tcW w:w="1170" w:type="dxa"/>
            <w:tcBorders>
              <w:top w:val="single" w:sz="8" w:space="0" w:color="FFFFFF"/>
              <w:left w:val="single" w:sz="8" w:space="0" w:color="FFFFFF"/>
              <w:bottom w:val="dotted" w:sz="4" w:space="0" w:color="auto"/>
              <w:right w:val="single" w:sz="8" w:space="0" w:color="FFFFFF"/>
            </w:tcBorders>
            <w:shd w:val="clear" w:color="auto" w:fill="auto"/>
            <w:tcMar>
              <w:top w:w="11" w:type="dxa"/>
              <w:left w:w="11" w:type="dxa"/>
              <w:bottom w:w="0" w:type="dxa"/>
              <w:right w:w="11" w:type="dxa"/>
            </w:tcMar>
            <w:vAlign w:val="center"/>
          </w:tcPr>
          <w:p w14:paraId="5EC56A7A" w14:textId="77777777" w:rsidR="00497308" w:rsidRPr="00C91666" w:rsidRDefault="00497308" w:rsidP="007C6BA1">
            <w:pPr>
              <w:spacing w:before="40" w:after="40"/>
              <w:jc w:val="center"/>
              <w:rPr>
                <w:i/>
                <w:iCs/>
                <w:color w:val="000000" w:themeColor="text1"/>
                <w:sz w:val="20"/>
                <w:szCs w:val="20"/>
              </w:rPr>
            </w:pPr>
            <w:r w:rsidRPr="001A38FC">
              <w:rPr>
                <w:i/>
                <w:iCs/>
                <w:color w:val="000000" w:themeColor="text1"/>
                <w:kern w:val="24"/>
                <w:sz w:val="20"/>
                <w:szCs w:val="20"/>
              </w:rPr>
              <w:t>15,476</w:t>
            </w:r>
          </w:p>
        </w:tc>
        <w:tc>
          <w:tcPr>
            <w:tcW w:w="1260" w:type="dxa"/>
            <w:tcBorders>
              <w:top w:val="single" w:sz="8" w:space="0" w:color="FFFFFF"/>
              <w:left w:val="single" w:sz="8" w:space="0" w:color="FFFFFF"/>
              <w:bottom w:val="dotted" w:sz="4" w:space="0" w:color="auto"/>
              <w:right w:val="single" w:sz="8" w:space="0" w:color="FFFFFF"/>
            </w:tcBorders>
            <w:shd w:val="clear" w:color="auto" w:fill="auto"/>
            <w:tcMar>
              <w:top w:w="11" w:type="dxa"/>
              <w:left w:w="11" w:type="dxa"/>
              <w:bottom w:w="0" w:type="dxa"/>
              <w:right w:w="11" w:type="dxa"/>
            </w:tcMar>
            <w:vAlign w:val="center"/>
          </w:tcPr>
          <w:p w14:paraId="5692A9C7" w14:textId="77777777" w:rsidR="00497308" w:rsidRPr="00C91666" w:rsidRDefault="00497308" w:rsidP="007C6BA1">
            <w:pPr>
              <w:spacing w:before="40" w:after="40"/>
              <w:jc w:val="center"/>
              <w:rPr>
                <w:i/>
                <w:iCs/>
                <w:color w:val="000000" w:themeColor="text1"/>
                <w:sz w:val="20"/>
                <w:szCs w:val="20"/>
              </w:rPr>
            </w:pPr>
            <w:r w:rsidRPr="00C91666">
              <w:rPr>
                <w:i/>
                <w:iCs/>
                <w:color w:val="000000" w:themeColor="text1"/>
                <w:kern w:val="24"/>
                <w:sz w:val="20"/>
                <w:szCs w:val="20"/>
              </w:rPr>
              <w:t>12,958</w:t>
            </w:r>
          </w:p>
        </w:tc>
        <w:tc>
          <w:tcPr>
            <w:tcW w:w="1440" w:type="dxa"/>
            <w:tcBorders>
              <w:top w:val="single" w:sz="8" w:space="0" w:color="FFFFFF"/>
              <w:left w:val="single" w:sz="8" w:space="0" w:color="FFFFFF"/>
              <w:bottom w:val="dotted" w:sz="4" w:space="0" w:color="auto"/>
              <w:right w:val="single" w:sz="8" w:space="0" w:color="FFFFFF"/>
            </w:tcBorders>
            <w:shd w:val="clear" w:color="auto" w:fill="auto"/>
            <w:tcMar>
              <w:top w:w="11" w:type="dxa"/>
              <w:left w:w="11" w:type="dxa"/>
              <w:bottom w:w="0" w:type="dxa"/>
              <w:right w:w="11" w:type="dxa"/>
            </w:tcMar>
            <w:vAlign w:val="center"/>
          </w:tcPr>
          <w:p w14:paraId="538820DE" w14:textId="77777777" w:rsidR="00497308" w:rsidRPr="00C91666" w:rsidRDefault="00497308" w:rsidP="007C6BA1">
            <w:pPr>
              <w:spacing w:before="40" w:after="40"/>
              <w:jc w:val="center"/>
              <w:rPr>
                <w:i/>
                <w:iCs/>
                <w:color w:val="000000" w:themeColor="text1"/>
                <w:sz w:val="20"/>
                <w:szCs w:val="20"/>
              </w:rPr>
            </w:pPr>
            <w:r w:rsidRPr="00C91666">
              <w:rPr>
                <w:i/>
                <w:iCs/>
                <w:color w:val="000000" w:themeColor="text1"/>
                <w:sz w:val="20"/>
                <w:szCs w:val="20"/>
              </w:rPr>
              <w:t>12,866</w:t>
            </w:r>
          </w:p>
        </w:tc>
        <w:tc>
          <w:tcPr>
            <w:tcW w:w="1260" w:type="dxa"/>
            <w:tcBorders>
              <w:top w:val="single" w:sz="8" w:space="0" w:color="FFFFFF"/>
              <w:left w:val="single" w:sz="8" w:space="0" w:color="FFFFFF"/>
              <w:bottom w:val="dotted" w:sz="4" w:space="0" w:color="auto"/>
              <w:right w:val="single" w:sz="8" w:space="0" w:color="FFFFFF"/>
            </w:tcBorders>
            <w:shd w:val="clear" w:color="auto" w:fill="auto"/>
            <w:tcMar>
              <w:top w:w="11" w:type="dxa"/>
              <w:left w:w="11" w:type="dxa"/>
              <w:bottom w:w="0" w:type="dxa"/>
              <w:right w:w="11" w:type="dxa"/>
            </w:tcMar>
            <w:vAlign w:val="center"/>
          </w:tcPr>
          <w:p w14:paraId="2861BBDE" w14:textId="77777777" w:rsidR="00497308" w:rsidRPr="00C91666" w:rsidRDefault="00497308" w:rsidP="007C6BA1">
            <w:pPr>
              <w:widowControl w:val="0"/>
              <w:autoSpaceDE w:val="0"/>
              <w:autoSpaceDN w:val="0"/>
              <w:adjustRightInd w:val="0"/>
              <w:jc w:val="center"/>
              <w:rPr>
                <w:color w:val="000000" w:themeColor="text1"/>
                <w:sz w:val="20"/>
                <w:szCs w:val="20"/>
              </w:rPr>
            </w:pPr>
            <w:r w:rsidRPr="00C91666">
              <w:rPr>
                <w:i/>
                <w:iCs/>
                <w:color w:val="000000" w:themeColor="text1"/>
                <w:kern w:val="24"/>
                <w:sz w:val="20"/>
                <w:szCs w:val="20"/>
              </w:rPr>
              <w:t>10,820</w:t>
            </w:r>
          </w:p>
        </w:tc>
      </w:tr>
      <w:tr w:rsidR="00497308" w:rsidRPr="00C91666" w14:paraId="4DBDE7E4" w14:textId="77777777" w:rsidTr="00781621">
        <w:trPr>
          <w:trHeight w:val="237"/>
        </w:trPr>
        <w:tc>
          <w:tcPr>
            <w:tcW w:w="1160" w:type="dxa"/>
            <w:tcBorders>
              <w:top w:val="dotted" w:sz="4" w:space="0" w:color="auto"/>
              <w:left w:val="single" w:sz="8" w:space="0" w:color="FFFFFF"/>
              <w:bottom w:val="single" w:sz="4" w:space="0" w:color="auto"/>
              <w:right w:val="single" w:sz="8" w:space="0" w:color="FFFFFF"/>
            </w:tcBorders>
            <w:shd w:val="clear" w:color="auto" w:fill="auto"/>
            <w:tcMar>
              <w:top w:w="11" w:type="dxa"/>
              <w:left w:w="11" w:type="dxa"/>
              <w:bottom w:w="0" w:type="dxa"/>
              <w:right w:w="11" w:type="dxa"/>
            </w:tcMar>
            <w:vAlign w:val="center"/>
            <w:hideMark/>
          </w:tcPr>
          <w:p w14:paraId="30D7EBD9" w14:textId="77777777" w:rsidR="00497308" w:rsidRPr="00C91666" w:rsidRDefault="00497308" w:rsidP="007C6BA1">
            <w:pPr>
              <w:jc w:val="center"/>
              <w:rPr>
                <w:color w:val="000000" w:themeColor="text1"/>
                <w:sz w:val="20"/>
                <w:szCs w:val="20"/>
              </w:rPr>
            </w:pPr>
          </w:p>
        </w:tc>
        <w:tc>
          <w:tcPr>
            <w:tcW w:w="1530" w:type="dxa"/>
            <w:tcBorders>
              <w:top w:val="dotted" w:sz="4" w:space="0" w:color="auto"/>
              <w:left w:val="single" w:sz="8" w:space="0" w:color="FFFFFF"/>
              <w:bottom w:val="single" w:sz="4" w:space="0" w:color="auto"/>
              <w:right w:val="single" w:sz="8" w:space="0" w:color="FFFFFF"/>
            </w:tcBorders>
            <w:vAlign w:val="center"/>
          </w:tcPr>
          <w:p w14:paraId="667FA4F1" w14:textId="77777777" w:rsidR="00497308" w:rsidRPr="00C91666" w:rsidRDefault="00497308" w:rsidP="007C6BA1">
            <w:pPr>
              <w:spacing w:before="40" w:after="40"/>
              <w:jc w:val="center"/>
              <w:rPr>
                <w:color w:val="000000" w:themeColor="text1"/>
                <w:sz w:val="20"/>
                <w:szCs w:val="20"/>
              </w:rPr>
            </w:pPr>
            <w:r>
              <w:rPr>
                <w:color w:val="000000" w:themeColor="text1"/>
                <w:kern w:val="24"/>
                <w:sz w:val="20"/>
                <w:szCs w:val="20"/>
              </w:rPr>
              <w:t>Overall Mgmt. Effectiveness</w:t>
            </w:r>
          </w:p>
        </w:tc>
        <w:tc>
          <w:tcPr>
            <w:tcW w:w="1530" w:type="dxa"/>
            <w:tcBorders>
              <w:top w:val="dotted" w:sz="4" w:space="0" w:color="auto"/>
              <w:left w:val="single" w:sz="8" w:space="0" w:color="FFFFFF"/>
              <w:bottom w:val="single" w:sz="4" w:space="0" w:color="auto"/>
              <w:right w:val="single" w:sz="8" w:space="0" w:color="FFFFFF"/>
            </w:tcBorders>
            <w:shd w:val="clear" w:color="auto" w:fill="auto"/>
            <w:tcMar>
              <w:top w:w="11" w:type="dxa"/>
              <w:left w:w="11" w:type="dxa"/>
              <w:bottom w:w="0" w:type="dxa"/>
              <w:right w:w="11" w:type="dxa"/>
            </w:tcMar>
            <w:vAlign w:val="center"/>
            <w:hideMark/>
          </w:tcPr>
          <w:p w14:paraId="49E7ABD5" w14:textId="77777777" w:rsidR="00497308" w:rsidRPr="00C91666" w:rsidRDefault="00497308" w:rsidP="007C6BA1">
            <w:pPr>
              <w:spacing w:before="40" w:after="40"/>
              <w:jc w:val="center"/>
              <w:rPr>
                <w:color w:val="000000" w:themeColor="text1"/>
                <w:sz w:val="20"/>
                <w:szCs w:val="20"/>
              </w:rPr>
            </w:pPr>
            <w:r>
              <w:rPr>
                <w:color w:val="000000" w:themeColor="text1"/>
                <w:kern w:val="24"/>
                <w:sz w:val="20"/>
                <w:szCs w:val="20"/>
              </w:rPr>
              <w:t>Context &amp; Planning</w:t>
            </w:r>
          </w:p>
        </w:tc>
        <w:tc>
          <w:tcPr>
            <w:tcW w:w="1170" w:type="dxa"/>
            <w:tcBorders>
              <w:top w:val="dotted" w:sz="4" w:space="0" w:color="auto"/>
              <w:left w:val="single" w:sz="8" w:space="0" w:color="FFFFFF"/>
              <w:bottom w:val="single" w:sz="4" w:space="0" w:color="auto"/>
              <w:right w:val="single" w:sz="8" w:space="0" w:color="FFFFFF"/>
            </w:tcBorders>
            <w:shd w:val="clear" w:color="auto" w:fill="auto"/>
            <w:tcMar>
              <w:top w:w="11" w:type="dxa"/>
              <w:left w:w="11" w:type="dxa"/>
              <w:bottom w:w="0" w:type="dxa"/>
              <w:right w:w="11" w:type="dxa"/>
            </w:tcMar>
            <w:vAlign w:val="center"/>
            <w:hideMark/>
          </w:tcPr>
          <w:p w14:paraId="57B7F500" w14:textId="77777777" w:rsidR="00497308" w:rsidRPr="00C91666" w:rsidRDefault="00497308" w:rsidP="007C6BA1">
            <w:pPr>
              <w:spacing w:before="40" w:after="40"/>
              <w:jc w:val="center"/>
              <w:rPr>
                <w:color w:val="000000" w:themeColor="text1"/>
                <w:sz w:val="20"/>
                <w:szCs w:val="20"/>
              </w:rPr>
            </w:pPr>
            <w:r>
              <w:rPr>
                <w:color w:val="000000" w:themeColor="text1"/>
                <w:kern w:val="24"/>
                <w:sz w:val="20"/>
                <w:szCs w:val="20"/>
              </w:rPr>
              <w:t>Admin &amp; Finance</w:t>
            </w:r>
          </w:p>
        </w:tc>
        <w:tc>
          <w:tcPr>
            <w:tcW w:w="1260" w:type="dxa"/>
            <w:tcBorders>
              <w:top w:val="dotted" w:sz="4" w:space="0" w:color="auto"/>
              <w:left w:val="single" w:sz="8" w:space="0" w:color="FFFFFF"/>
              <w:bottom w:val="single" w:sz="4" w:space="0" w:color="auto"/>
              <w:right w:val="single" w:sz="8" w:space="0" w:color="FFFFFF"/>
            </w:tcBorders>
            <w:shd w:val="clear" w:color="auto" w:fill="auto"/>
            <w:tcMar>
              <w:top w:w="11" w:type="dxa"/>
              <w:left w:w="11" w:type="dxa"/>
              <w:bottom w:w="0" w:type="dxa"/>
              <w:right w:w="11" w:type="dxa"/>
            </w:tcMar>
            <w:vAlign w:val="center"/>
            <w:hideMark/>
          </w:tcPr>
          <w:p w14:paraId="473EED0C" w14:textId="77777777" w:rsidR="00497308" w:rsidRDefault="00497308" w:rsidP="007C6BA1">
            <w:pPr>
              <w:pStyle w:val="NormalWeb"/>
              <w:spacing w:before="0" w:beforeAutospacing="0" w:after="0" w:afterAutospacing="0"/>
              <w:jc w:val="center"/>
              <w:textAlignment w:val="bottom"/>
              <w:rPr>
                <w:color w:val="000000" w:themeColor="text1"/>
                <w:kern w:val="24"/>
                <w:sz w:val="20"/>
                <w:szCs w:val="20"/>
              </w:rPr>
            </w:pPr>
            <w:r>
              <w:rPr>
                <w:color w:val="000000" w:themeColor="text1"/>
                <w:kern w:val="24"/>
                <w:sz w:val="20"/>
                <w:szCs w:val="20"/>
              </w:rPr>
              <w:t xml:space="preserve">Use &amp; </w:t>
            </w:r>
          </w:p>
          <w:p w14:paraId="5418BC5A" w14:textId="77777777" w:rsidR="00497308" w:rsidRPr="00C91666" w:rsidRDefault="00497308" w:rsidP="007C6BA1">
            <w:pPr>
              <w:spacing w:before="40" w:after="40"/>
              <w:jc w:val="center"/>
              <w:rPr>
                <w:color w:val="000000" w:themeColor="text1"/>
                <w:sz w:val="20"/>
                <w:szCs w:val="20"/>
              </w:rPr>
            </w:pPr>
            <w:r>
              <w:rPr>
                <w:color w:val="000000" w:themeColor="text1"/>
                <w:kern w:val="24"/>
                <w:sz w:val="20"/>
                <w:szCs w:val="20"/>
              </w:rPr>
              <w:t>Benefits</w:t>
            </w:r>
          </w:p>
        </w:tc>
        <w:tc>
          <w:tcPr>
            <w:tcW w:w="1440" w:type="dxa"/>
            <w:tcBorders>
              <w:top w:val="dotted" w:sz="4" w:space="0" w:color="auto"/>
              <w:left w:val="single" w:sz="8" w:space="0" w:color="FFFFFF"/>
              <w:bottom w:val="single" w:sz="4" w:space="0" w:color="auto"/>
              <w:right w:val="single" w:sz="8" w:space="0" w:color="FFFFFF"/>
            </w:tcBorders>
            <w:shd w:val="clear" w:color="auto" w:fill="auto"/>
            <w:tcMar>
              <w:top w:w="11" w:type="dxa"/>
              <w:left w:w="11" w:type="dxa"/>
              <w:bottom w:w="0" w:type="dxa"/>
              <w:right w:w="11" w:type="dxa"/>
            </w:tcMar>
            <w:vAlign w:val="center"/>
            <w:hideMark/>
          </w:tcPr>
          <w:p w14:paraId="53FE9E1D" w14:textId="77777777" w:rsidR="00497308" w:rsidRPr="00C91666" w:rsidRDefault="00497308" w:rsidP="007C6BA1">
            <w:pPr>
              <w:spacing w:before="40" w:after="40"/>
              <w:jc w:val="center"/>
              <w:rPr>
                <w:color w:val="000000" w:themeColor="text1"/>
                <w:sz w:val="20"/>
                <w:szCs w:val="20"/>
              </w:rPr>
            </w:pPr>
            <w:r>
              <w:rPr>
                <w:color w:val="000000" w:themeColor="text1"/>
                <w:kern w:val="24"/>
                <w:sz w:val="20"/>
                <w:szCs w:val="20"/>
              </w:rPr>
              <w:t>Gov &amp; Social Participation</w:t>
            </w:r>
          </w:p>
        </w:tc>
        <w:tc>
          <w:tcPr>
            <w:tcW w:w="1260" w:type="dxa"/>
            <w:tcBorders>
              <w:top w:val="dotted" w:sz="4" w:space="0" w:color="auto"/>
              <w:left w:val="single" w:sz="8" w:space="0" w:color="FFFFFF"/>
              <w:bottom w:val="single" w:sz="4" w:space="0" w:color="auto"/>
              <w:right w:val="single" w:sz="8" w:space="0" w:color="FFFFFF"/>
            </w:tcBorders>
            <w:shd w:val="clear" w:color="auto" w:fill="auto"/>
            <w:tcMar>
              <w:top w:w="11" w:type="dxa"/>
              <w:left w:w="11" w:type="dxa"/>
              <w:bottom w:w="0" w:type="dxa"/>
              <w:right w:w="11" w:type="dxa"/>
            </w:tcMar>
            <w:vAlign w:val="center"/>
            <w:hideMark/>
          </w:tcPr>
          <w:p w14:paraId="6A049B12" w14:textId="77777777" w:rsidR="00497308" w:rsidRPr="00C91666" w:rsidRDefault="00497308" w:rsidP="007C6BA1">
            <w:pPr>
              <w:spacing w:before="40" w:after="40"/>
              <w:jc w:val="center"/>
              <w:rPr>
                <w:color w:val="000000" w:themeColor="text1"/>
                <w:sz w:val="20"/>
                <w:szCs w:val="20"/>
              </w:rPr>
            </w:pPr>
            <w:r>
              <w:rPr>
                <w:color w:val="000000" w:themeColor="text1"/>
                <w:kern w:val="24"/>
                <w:sz w:val="20"/>
                <w:szCs w:val="20"/>
              </w:rPr>
              <w:t>Management Quality</w:t>
            </w:r>
          </w:p>
        </w:tc>
      </w:tr>
      <w:tr w:rsidR="00497308" w:rsidRPr="00C91666" w14:paraId="061B0E2D" w14:textId="77777777" w:rsidTr="00781621">
        <w:trPr>
          <w:trHeight w:val="470"/>
        </w:trPr>
        <w:tc>
          <w:tcPr>
            <w:tcW w:w="1160" w:type="dxa"/>
            <w:tcBorders>
              <w:top w:val="single" w:sz="4" w:space="0" w:color="auto"/>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14:paraId="0975F451" w14:textId="77777777" w:rsidR="00497308" w:rsidRPr="00C91666" w:rsidRDefault="00497308" w:rsidP="007C6BA1">
            <w:pPr>
              <w:widowControl w:val="0"/>
              <w:autoSpaceDE w:val="0"/>
              <w:autoSpaceDN w:val="0"/>
              <w:adjustRightInd w:val="0"/>
              <w:spacing w:before="40" w:after="40"/>
              <w:jc w:val="center"/>
              <w:rPr>
                <w:color w:val="000000" w:themeColor="text1"/>
                <w:sz w:val="20"/>
                <w:szCs w:val="20"/>
              </w:rPr>
            </w:pPr>
            <w:r w:rsidRPr="00C91666">
              <w:rPr>
                <w:color w:val="000000" w:themeColor="text1"/>
                <w:sz w:val="20"/>
                <w:szCs w:val="20"/>
              </w:rPr>
              <w:t>Low Management</w:t>
            </w:r>
          </w:p>
          <w:p w14:paraId="0D2A7CC7" w14:textId="77777777" w:rsidR="00497308" w:rsidRPr="00C91666" w:rsidRDefault="00497308" w:rsidP="007C6BA1">
            <w:pPr>
              <w:widowControl w:val="0"/>
              <w:autoSpaceDE w:val="0"/>
              <w:autoSpaceDN w:val="0"/>
              <w:adjustRightInd w:val="0"/>
              <w:spacing w:before="40" w:after="40"/>
              <w:jc w:val="center"/>
              <w:rPr>
                <w:color w:val="000000" w:themeColor="text1"/>
                <w:sz w:val="20"/>
                <w:szCs w:val="20"/>
              </w:rPr>
            </w:pPr>
          </w:p>
        </w:tc>
        <w:tc>
          <w:tcPr>
            <w:tcW w:w="1530" w:type="dxa"/>
            <w:tcBorders>
              <w:top w:val="single" w:sz="4" w:space="0" w:color="auto"/>
              <w:left w:val="single" w:sz="8" w:space="0" w:color="FFFFFF"/>
              <w:bottom w:val="single" w:sz="8" w:space="0" w:color="FFFFFF"/>
              <w:right w:val="single" w:sz="8" w:space="0" w:color="FFFFFF"/>
            </w:tcBorders>
            <w:vAlign w:val="center"/>
          </w:tcPr>
          <w:p w14:paraId="32019E5C" w14:textId="77777777" w:rsidR="00497308" w:rsidRDefault="00497308" w:rsidP="007C6BA1">
            <w:pPr>
              <w:widowControl w:val="0"/>
              <w:autoSpaceDE w:val="0"/>
              <w:autoSpaceDN w:val="0"/>
              <w:adjustRightInd w:val="0"/>
              <w:spacing w:before="40" w:after="40"/>
              <w:jc w:val="center"/>
              <w:rPr>
                <w:color w:val="000000" w:themeColor="text1"/>
                <w:sz w:val="20"/>
                <w:szCs w:val="20"/>
              </w:rPr>
            </w:pPr>
            <w:r w:rsidRPr="00C91666">
              <w:rPr>
                <w:color w:val="000000" w:themeColor="text1"/>
                <w:sz w:val="20"/>
                <w:szCs w:val="20"/>
              </w:rPr>
              <w:t>-</w:t>
            </w:r>
            <w:r>
              <w:rPr>
                <w:color w:val="000000" w:themeColor="text1"/>
                <w:sz w:val="20"/>
                <w:szCs w:val="20"/>
              </w:rPr>
              <w:t>0.50</w:t>
            </w:r>
            <w:r w:rsidRPr="00C91666">
              <w:rPr>
                <w:color w:val="000000" w:themeColor="text1"/>
                <w:sz w:val="20"/>
                <w:szCs w:val="20"/>
              </w:rPr>
              <w:t xml:space="preserve">***  </w:t>
            </w:r>
          </w:p>
          <w:p w14:paraId="0324EE84" w14:textId="2EA9A2DE" w:rsidR="00497308" w:rsidRPr="00C91666" w:rsidRDefault="00497308" w:rsidP="007C6BA1">
            <w:pPr>
              <w:widowControl w:val="0"/>
              <w:autoSpaceDE w:val="0"/>
              <w:autoSpaceDN w:val="0"/>
              <w:adjustRightInd w:val="0"/>
              <w:spacing w:before="40" w:after="40"/>
              <w:jc w:val="center"/>
              <w:rPr>
                <w:color w:val="000000" w:themeColor="text1"/>
                <w:sz w:val="20"/>
                <w:szCs w:val="20"/>
              </w:rPr>
            </w:pPr>
            <w:r w:rsidRPr="00C91666">
              <w:rPr>
                <w:color w:val="000000" w:themeColor="text1"/>
                <w:sz w:val="20"/>
                <w:szCs w:val="20"/>
              </w:rPr>
              <w:t>(</w:t>
            </w:r>
            <w:r w:rsidR="00BC7979">
              <w:rPr>
                <w:color w:val="000000" w:themeColor="text1"/>
                <w:sz w:val="20"/>
                <w:szCs w:val="20"/>
              </w:rPr>
              <w:t>.0</w:t>
            </w:r>
            <w:r w:rsidRPr="00C91666">
              <w:rPr>
                <w:color w:val="000000" w:themeColor="text1"/>
                <w:sz w:val="20"/>
                <w:szCs w:val="20"/>
              </w:rPr>
              <w:t>43)</w:t>
            </w:r>
          </w:p>
        </w:tc>
        <w:tc>
          <w:tcPr>
            <w:tcW w:w="1530" w:type="dxa"/>
            <w:tcBorders>
              <w:top w:val="single" w:sz="4" w:space="0" w:color="auto"/>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14:paraId="3ADEEF2F" w14:textId="77777777" w:rsidR="00497308" w:rsidRPr="00C91666" w:rsidRDefault="00497308" w:rsidP="007C6BA1">
            <w:pPr>
              <w:widowControl w:val="0"/>
              <w:autoSpaceDE w:val="0"/>
              <w:autoSpaceDN w:val="0"/>
              <w:adjustRightInd w:val="0"/>
              <w:spacing w:before="40" w:after="40"/>
              <w:jc w:val="center"/>
              <w:rPr>
                <w:color w:val="000000" w:themeColor="text1"/>
                <w:sz w:val="20"/>
                <w:szCs w:val="20"/>
              </w:rPr>
            </w:pPr>
            <w:r w:rsidRPr="00C91666">
              <w:rPr>
                <w:color w:val="000000" w:themeColor="text1"/>
                <w:sz w:val="20"/>
                <w:szCs w:val="20"/>
              </w:rPr>
              <w:t>-</w:t>
            </w:r>
            <w:r>
              <w:rPr>
                <w:color w:val="000000" w:themeColor="text1"/>
                <w:sz w:val="20"/>
                <w:szCs w:val="20"/>
              </w:rPr>
              <w:t>0.</w:t>
            </w:r>
            <w:r w:rsidRPr="00C91666">
              <w:rPr>
                <w:color w:val="000000" w:themeColor="text1"/>
                <w:sz w:val="20"/>
                <w:szCs w:val="20"/>
              </w:rPr>
              <w:t>6</w:t>
            </w:r>
            <w:r>
              <w:rPr>
                <w:color w:val="000000" w:themeColor="text1"/>
                <w:sz w:val="20"/>
                <w:szCs w:val="20"/>
              </w:rPr>
              <w:t>3</w:t>
            </w:r>
            <w:r w:rsidRPr="00C91666">
              <w:rPr>
                <w:color w:val="000000" w:themeColor="text1"/>
                <w:sz w:val="20"/>
                <w:szCs w:val="20"/>
              </w:rPr>
              <w:t>***</w:t>
            </w:r>
          </w:p>
          <w:p w14:paraId="158A9E85" w14:textId="3AD7B93A" w:rsidR="00497308" w:rsidRPr="00C91666" w:rsidRDefault="00497308" w:rsidP="007C6BA1">
            <w:pPr>
              <w:widowControl w:val="0"/>
              <w:autoSpaceDE w:val="0"/>
              <w:autoSpaceDN w:val="0"/>
              <w:adjustRightInd w:val="0"/>
              <w:spacing w:before="40" w:after="40"/>
              <w:jc w:val="center"/>
              <w:rPr>
                <w:color w:val="000000" w:themeColor="text1"/>
                <w:sz w:val="20"/>
                <w:szCs w:val="20"/>
              </w:rPr>
            </w:pPr>
            <w:r w:rsidRPr="00C91666">
              <w:rPr>
                <w:color w:val="000000" w:themeColor="text1"/>
                <w:sz w:val="20"/>
                <w:szCs w:val="20"/>
              </w:rPr>
              <w:t>(</w:t>
            </w:r>
            <w:r w:rsidR="00BC7979">
              <w:rPr>
                <w:color w:val="000000" w:themeColor="text1"/>
                <w:sz w:val="20"/>
                <w:szCs w:val="20"/>
              </w:rPr>
              <w:t>.0</w:t>
            </w:r>
            <w:r w:rsidRPr="00C91666">
              <w:rPr>
                <w:color w:val="000000" w:themeColor="text1"/>
                <w:sz w:val="20"/>
                <w:szCs w:val="20"/>
              </w:rPr>
              <w:t>4</w:t>
            </w:r>
            <w:r w:rsidR="0011644B">
              <w:rPr>
                <w:color w:val="000000" w:themeColor="text1"/>
                <w:sz w:val="20"/>
                <w:szCs w:val="20"/>
              </w:rPr>
              <w:t>9</w:t>
            </w:r>
            <w:r w:rsidRPr="00C91666">
              <w:rPr>
                <w:color w:val="000000" w:themeColor="text1"/>
                <w:sz w:val="20"/>
                <w:szCs w:val="20"/>
              </w:rPr>
              <w:t>)</w:t>
            </w:r>
          </w:p>
        </w:tc>
        <w:tc>
          <w:tcPr>
            <w:tcW w:w="1170" w:type="dxa"/>
            <w:tcBorders>
              <w:top w:val="single" w:sz="4" w:space="0" w:color="auto"/>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14:paraId="01F00087" w14:textId="77777777" w:rsidR="00497308" w:rsidRPr="00C91666" w:rsidRDefault="00497308" w:rsidP="007C6BA1">
            <w:pPr>
              <w:widowControl w:val="0"/>
              <w:autoSpaceDE w:val="0"/>
              <w:autoSpaceDN w:val="0"/>
              <w:adjustRightInd w:val="0"/>
              <w:spacing w:before="40" w:after="40"/>
              <w:jc w:val="center"/>
              <w:rPr>
                <w:color w:val="000000" w:themeColor="text1"/>
                <w:sz w:val="20"/>
                <w:szCs w:val="20"/>
              </w:rPr>
            </w:pPr>
            <w:r w:rsidRPr="00C91666">
              <w:rPr>
                <w:color w:val="000000" w:themeColor="text1"/>
                <w:sz w:val="20"/>
                <w:szCs w:val="20"/>
              </w:rPr>
              <w:t>-1.32***</w:t>
            </w:r>
          </w:p>
          <w:p w14:paraId="6F50F4F6" w14:textId="06E27033" w:rsidR="00497308" w:rsidRPr="00C91666" w:rsidRDefault="00497308" w:rsidP="007C6BA1">
            <w:pPr>
              <w:widowControl w:val="0"/>
              <w:autoSpaceDE w:val="0"/>
              <w:autoSpaceDN w:val="0"/>
              <w:adjustRightInd w:val="0"/>
              <w:spacing w:before="40" w:after="40"/>
              <w:jc w:val="center"/>
              <w:rPr>
                <w:color w:val="000000" w:themeColor="text1"/>
                <w:sz w:val="20"/>
                <w:szCs w:val="20"/>
              </w:rPr>
            </w:pPr>
            <w:r w:rsidRPr="00C91666">
              <w:rPr>
                <w:color w:val="000000" w:themeColor="text1"/>
                <w:sz w:val="20"/>
                <w:szCs w:val="20"/>
              </w:rPr>
              <w:t>(</w:t>
            </w:r>
            <w:r w:rsidR="00BC7979">
              <w:rPr>
                <w:color w:val="000000" w:themeColor="text1"/>
                <w:sz w:val="20"/>
                <w:szCs w:val="20"/>
              </w:rPr>
              <w:t>.0</w:t>
            </w:r>
            <w:r w:rsidRPr="00C91666">
              <w:rPr>
                <w:color w:val="000000" w:themeColor="text1"/>
                <w:sz w:val="20"/>
                <w:szCs w:val="20"/>
              </w:rPr>
              <w:t>7</w:t>
            </w:r>
            <w:r>
              <w:rPr>
                <w:color w:val="000000" w:themeColor="text1"/>
                <w:sz w:val="20"/>
                <w:szCs w:val="20"/>
              </w:rPr>
              <w:t>7</w:t>
            </w:r>
            <w:r w:rsidRPr="00C91666">
              <w:rPr>
                <w:color w:val="000000" w:themeColor="text1"/>
                <w:sz w:val="20"/>
                <w:szCs w:val="20"/>
              </w:rPr>
              <w:t>)</w:t>
            </w:r>
          </w:p>
        </w:tc>
        <w:tc>
          <w:tcPr>
            <w:tcW w:w="1260" w:type="dxa"/>
            <w:tcBorders>
              <w:top w:val="single" w:sz="4" w:space="0" w:color="auto"/>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14:paraId="0FD26ADF" w14:textId="1FB0268B" w:rsidR="00497308" w:rsidRPr="00C91666" w:rsidRDefault="00497308" w:rsidP="007C6BA1">
            <w:pPr>
              <w:widowControl w:val="0"/>
              <w:autoSpaceDE w:val="0"/>
              <w:autoSpaceDN w:val="0"/>
              <w:adjustRightInd w:val="0"/>
              <w:spacing w:before="40" w:after="40"/>
              <w:jc w:val="center"/>
              <w:rPr>
                <w:color w:val="000000" w:themeColor="text1"/>
                <w:sz w:val="20"/>
                <w:szCs w:val="20"/>
              </w:rPr>
            </w:pPr>
            <w:r w:rsidRPr="00C91666">
              <w:rPr>
                <w:color w:val="000000" w:themeColor="text1"/>
                <w:sz w:val="20"/>
                <w:szCs w:val="20"/>
              </w:rPr>
              <w:t>-</w:t>
            </w:r>
            <w:r>
              <w:rPr>
                <w:color w:val="000000" w:themeColor="text1"/>
                <w:sz w:val="20"/>
                <w:szCs w:val="20"/>
              </w:rPr>
              <w:t>0.</w:t>
            </w:r>
            <w:r w:rsidRPr="00C91666">
              <w:rPr>
                <w:color w:val="000000" w:themeColor="text1"/>
                <w:sz w:val="20"/>
                <w:szCs w:val="20"/>
              </w:rPr>
              <w:t>7</w:t>
            </w:r>
            <w:r>
              <w:rPr>
                <w:color w:val="000000" w:themeColor="text1"/>
                <w:sz w:val="20"/>
                <w:szCs w:val="20"/>
              </w:rPr>
              <w:t>3</w:t>
            </w:r>
            <w:r w:rsidRPr="00C91666">
              <w:rPr>
                <w:color w:val="000000" w:themeColor="text1"/>
                <w:sz w:val="20"/>
                <w:szCs w:val="20"/>
              </w:rPr>
              <w:t>***  (</w:t>
            </w:r>
            <w:r w:rsidR="00BC7979">
              <w:rPr>
                <w:color w:val="000000" w:themeColor="text1"/>
                <w:sz w:val="20"/>
                <w:szCs w:val="20"/>
              </w:rPr>
              <w:t>.0</w:t>
            </w:r>
            <w:r w:rsidRPr="00C91666">
              <w:rPr>
                <w:color w:val="000000" w:themeColor="text1"/>
                <w:sz w:val="20"/>
                <w:szCs w:val="20"/>
              </w:rPr>
              <w:t>47)</w:t>
            </w:r>
          </w:p>
        </w:tc>
        <w:tc>
          <w:tcPr>
            <w:tcW w:w="1440" w:type="dxa"/>
            <w:tcBorders>
              <w:top w:val="single" w:sz="4" w:space="0" w:color="auto"/>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14:paraId="165AADFA" w14:textId="77777777" w:rsidR="00497308" w:rsidRDefault="00497308" w:rsidP="007C6BA1">
            <w:pPr>
              <w:widowControl w:val="0"/>
              <w:autoSpaceDE w:val="0"/>
              <w:autoSpaceDN w:val="0"/>
              <w:adjustRightInd w:val="0"/>
              <w:spacing w:before="40" w:after="40"/>
              <w:jc w:val="center"/>
              <w:rPr>
                <w:color w:val="000000" w:themeColor="text1"/>
                <w:sz w:val="20"/>
                <w:szCs w:val="20"/>
              </w:rPr>
            </w:pPr>
            <w:r w:rsidRPr="00C91666">
              <w:rPr>
                <w:color w:val="000000" w:themeColor="text1"/>
                <w:sz w:val="20"/>
                <w:szCs w:val="20"/>
              </w:rPr>
              <w:t>-</w:t>
            </w:r>
            <w:r>
              <w:rPr>
                <w:color w:val="000000" w:themeColor="text1"/>
                <w:sz w:val="20"/>
                <w:szCs w:val="20"/>
              </w:rPr>
              <w:t>0.</w:t>
            </w:r>
            <w:r w:rsidRPr="00C91666">
              <w:rPr>
                <w:color w:val="000000" w:themeColor="text1"/>
                <w:sz w:val="20"/>
                <w:szCs w:val="20"/>
              </w:rPr>
              <w:t>7</w:t>
            </w:r>
            <w:r>
              <w:rPr>
                <w:color w:val="000000" w:themeColor="text1"/>
                <w:sz w:val="20"/>
                <w:szCs w:val="20"/>
              </w:rPr>
              <w:t>1</w:t>
            </w:r>
            <w:r w:rsidRPr="00C91666">
              <w:rPr>
                <w:color w:val="000000" w:themeColor="text1"/>
                <w:sz w:val="20"/>
                <w:szCs w:val="20"/>
              </w:rPr>
              <w:t xml:space="preserve">***  </w:t>
            </w:r>
          </w:p>
          <w:p w14:paraId="2FD115CE" w14:textId="54053155" w:rsidR="00497308" w:rsidRPr="00C91666" w:rsidRDefault="00497308" w:rsidP="007C6BA1">
            <w:pPr>
              <w:widowControl w:val="0"/>
              <w:autoSpaceDE w:val="0"/>
              <w:autoSpaceDN w:val="0"/>
              <w:adjustRightInd w:val="0"/>
              <w:spacing w:before="40" w:after="40"/>
              <w:jc w:val="center"/>
              <w:rPr>
                <w:color w:val="000000" w:themeColor="text1"/>
                <w:sz w:val="20"/>
                <w:szCs w:val="20"/>
              </w:rPr>
            </w:pPr>
            <w:r w:rsidRPr="00C91666">
              <w:rPr>
                <w:color w:val="000000" w:themeColor="text1"/>
                <w:sz w:val="20"/>
                <w:szCs w:val="20"/>
              </w:rPr>
              <w:t>(</w:t>
            </w:r>
            <w:r w:rsidR="00BC7979">
              <w:rPr>
                <w:color w:val="000000" w:themeColor="text1"/>
                <w:sz w:val="20"/>
                <w:szCs w:val="20"/>
              </w:rPr>
              <w:t>.0</w:t>
            </w:r>
            <w:r w:rsidRPr="00C91666">
              <w:rPr>
                <w:color w:val="000000" w:themeColor="text1"/>
                <w:sz w:val="20"/>
                <w:szCs w:val="20"/>
              </w:rPr>
              <w:t>48)</w:t>
            </w:r>
          </w:p>
        </w:tc>
        <w:tc>
          <w:tcPr>
            <w:tcW w:w="1260" w:type="dxa"/>
            <w:tcBorders>
              <w:top w:val="single" w:sz="4" w:space="0" w:color="auto"/>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hideMark/>
          </w:tcPr>
          <w:p w14:paraId="033E4C57" w14:textId="77777777" w:rsidR="00497308" w:rsidRPr="00C91666" w:rsidRDefault="00497308" w:rsidP="007C6BA1">
            <w:pPr>
              <w:widowControl w:val="0"/>
              <w:autoSpaceDE w:val="0"/>
              <w:autoSpaceDN w:val="0"/>
              <w:adjustRightInd w:val="0"/>
              <w:spacing w:before="40" w:after="40"/>
              <w:jc w:val="center"/>
              <w:rPr>
                <w:color w:val="000000" w:themeColor="text1"/>
                <w:sz w:val="20"/>
                <w:szCs w:val="20"/>
              </w:rPr>
            </w:pPr>
            <w:r w:rsidRPr="00C91666">
              <w:rPr>
                <w:color w:val="000000" w:themeColor="text1"/>
                <w:sz w:val="20"/>
                <w:szCs w:val="20"/>
              </w:rPr>
              <w:t>-</w:t>
            </w:r>
            <w:r>
              <w:rPr>
                <w:color w:val="000000" w:themeColor="text1"/>
                <w:sz w:val="20"/>
                <w:szCs w:val="20"/>
              </w:rPr>
              <w:t>0.</w:t>
            </w:r>
            <w:r w:rsidRPr="00C91666">
              <w:rPr>
                <w:color w:val="000000" w:themeColor="text1"/>
                <w:sz w:val="20"/>
                <w:szCs w:val="20"/>
              </w:rPr>
              <w:t>7</w:t>
            </w:r>
            <w:r>
              <w:rPr>
                <w:color w:val="000000" w:themeColor="text1"/>
                <w:sz w:val="20"/>
                <w:szCs w:val="20"/>
              </w:rPr>
              <w:t>1</w:t>
            </w:r>
            <w:r w:rsidRPr="00C91666">
              <w:rPr>
                <w:color w:val="000000" w:themeColor="text1"/>
                <w:sz w:val="20"/>
                <w:szCs w:val="20"/>
              </w:rPr>
              <w:t>***</w:t>
            </w:r>
          </w:p>
          <w:p w14:paraId="08036A8B" w14:textId="66426FDB" w:rsidR="00497308" w:rsidRPr="00C91666" w:rsidRDefault="00497308" w:rsidP="007C6BA1">
            <w:pPr>
              <w:widowControl w:val="0"/>
              <w:autoSpaceDE w:val="0"/>
              <w:autoSpaceDN w:val="0"/>
              <w:adjustRightInd w:val="0"/>
              <w:spacing w:before="40" w:after="40"/>
              <w:jc w:val="center"/>
              <w:rPr>
                <w:color w:val="000000" w:themeColor="text1"/>
                <w:sz w:val="20"/>
                <w:szCs w:val="20"/>
              </w:rPr>
            </w:pPr>
            <w:r w:rsidRPr="00C91666">
              <w:rPr>
                <w:color w:val="000000" w:themeColor="text1"/>
                <w:sz w:val="20"/>
                <w:szCs w:val="20"/>
              </w:rPr>
              <w:t>(</w:t>
            </w:r>
            <w:r w:rsidR="00BC7979">
              <w:rPr>
                <w:color w:val="000000" w:themeColor="text1"/>
                <w:sz w:val="20"/>
                <w:szCs w:val="20"/>
              </w:rPr>
              <w:t>.0</w:t>
            </w:r>
            <w:r w:rsidRPr="00C91666">
              <w:rPr>
                <w:color w:val="000000" w:themeColor="text1"/>
                <w:sz w:val="20"/>
                <w:szCs w:val="20"/>
              </w:rPr>
              <w:t>47)</w:t>
            </w:r>
          </w:p>
        </w:tc>
      </w:tr>
      <w:tr w:rsidR="00497308" w:rsidRPr="00C91666" w14:paraId="3BD098D7" w14:textId="77777777" w:rsidTr="00781621">
        <w:trPr>
          <w:trHeight w:val="470"/>
        </w:trPr>
        <w:tc>
          <w:tcPr>
            <w:tcW w:w="1160" w:type="dxa"/>
            <w:tcBorders>
              <w:top w:val="single" w:sz="8" w:space="0" w:color="FFFFFF"/>
              <w:left w:val="single" w:sz="8" w:space="0" w:color="FFFFFF"/>
              <w:bottom w:val="single" w:sz="18" w:space="0" w:color="auto"/>
              <w:right w:val="single" w:sz="8" w:space="0" w:color="FFFFFF"/>
            </w:tcBorders>
            <w:shd w:val="clear" w:color="auto" w:fill="auto"/>
            <w:tcMar>
              <w:top w:w="11" w:type="dxa"/>
              <w:left w:w="11" w:type="dxa"/>
              <w:bottom w:w="0" w:type="dxa"/>
              <w:right w:w="11" w:type="dxa"/>
            </w:tcMar>
            <w:vAlign w:val="center"/>
          </w:tcPr>
          <w:p w14:paraId="56FB76E1" w14:textId="77777777" w:rsidR="00497308" w:rsidRPr="00C91666" w:rsidRDefault="00497308" w:rsidP="007C6BA1">
            <w:pPr>
              <w:jc w:val="center"/>
              <w:rPr>
                <w:i/>
                <w:iCs/>
                <w:color w:val="000000" w:themeColor="text1"/>
                <w:sz w:val="20"/>
                <w:szCs w:val="20"/>
              </w:rPr>
            </w:pPr>
            <w:r w:rsidRPr="00C91666">
              <w:rPr>
                <w:i/>
                <w:iCs/>
                <w:color w:val="000000" w:themeColor="text1"/>
                <w:kern w:val="24"/>
                <w:sz w:val="20"/>
                <w:szCs w:val="20"/>
              </w:rPr>
              <w:t>Observations</w:t>
            </w:r>
          </w:p>
        </w:tc>
        <w:tc>
          <w:tcPr>
            <w:tcW w:w="1530" w:type="dxa"/>
            <w:tcBorders>
              <w:top w:val="single" w:sz="8" w:space="0" w:color="FFFFFF"/>
              <w:left w:val="single" w:sz="8" w:space="0" w:color="FFFFFF"/>
              <w:bottom w:val="single" w:sz="18" w:space="0" w:color="auto"/>
              <w:right w:val="single" w:sz="8" w:space="0" w:color="FFFFFF"/>
            </w:tcBorders>
            <w:vAlign w:val="center"/>
          </w:tcPr>
          <w:p w14:paraId="080C7C92" w14:textId="77777777" w:rsidR="00497308" w:rsidRPr="00C91666" w:rsidRDefault="00497308" w:rsidP="007C6BA1">
            <w:pPr>
              <w:spacing w:before="40" w:after="40"/>
              <w:jc w:val="center"/>
              <w:rPr>
                <w:i/>
                <w:iCs/>
                <w:color w:val="000000" w:themeColor="text1"/>
                <w:kern w:val="24"/>
                <w:sz w:val="20"/>
                <w:szCs w:val="20"/>
              </w:rPr>
            </w:pPr>
            <w:r w:rsidRPr="00C91666">
              <w:rPr>
                <w:i/>
                <w:iCs/>
                <w:color w:val="000000" w:themeColor="text1"/>
                <w:kern w:val="24"/>
                <w:sz w:val="20"/>
                <w:szCs w:val="20"/>
              </w:rPr>
              <w:t>20,242</w:t>
            </w:r>
          </w:p>
        </w:tc>
        <w:tc>
          <w:tcPr>
            <w:tcW w:w="1530" w:type="dxa"/>
            <w:tcBorders>
              <w:top w:val="single" w:sz="8" w:space="0" w:color="FFFFFF"/>
              <w:left w:val="single" w:sz="8" w:space="0" w:color="FFFFFF"/>
              <w:bottom w:val="single" w:sz="18" w:space="0" w:color="auto"/>
              <w:right w:val="single" w:sz="8" w:space="0" w:color="FFFFFF"/>
            </w:tcBorders>
            <w:shd w:val="clear" w:color="auto" w:fill="auto"/>
            <w:tcMar>
              <w:top w:w="11" w:type="dxa"/>
              <w:left w:w="11" w:type="dxa"/>
              <w:bottom w:w="0" w:type="dxa"/>
              <w:right w:w="11" w:type="dxa"/>
            </w:tcMar>
            <w:vAlign w:val="center"/>
          </w:tcPr>
          <w:p w14:paraId="6213B006" w14:textId="77777777" w:rsidR="00497308" w:rsidRPr="00C91666" w:rsidRDefault="00497308" w:rsidP="007C6BA1">
            <w:pPr>
              <w:spacing w:before="40" w:after="40"/>
              <w:jc w:val="center"/>
              <w:rPr>
                <w:i/>
                <w:iCs/>
                <w:color w:val="000000" w:themeColor="text1"/>
                <w:sz w:val="20"/>
                <w:szCs w:val="20"/>
              </w:rPr>
            </w:pPr>
            <w:r w:rsidRPr="00C91666">
              <w:rPr>
                <w:i/>
                <w:iCs/>
                <w:color w:val="000000" w:themeColor="text1"/>
                <w:kern w:val="24"/>
                <w:sz w:val="20"/>
                <w:szCs w:val="20"/>
              </w:rPr>
              <w:t>23,334</w:t>
            </w:r>
          </w:p>
        </w:tc>
        <w:tc>
          <w:tcPr>
            <w:tcW w:w="1170" w:type="dxa"/>
            <w:tcBorders>
              <w:top w:val="single" w:sz="8" w:space="0" w:color="FFFFFF"/>
              <w:left w:val="single" w:sz="8" w:space="0" w:color="FFFFFF"/>
              <w:bottom w:val="single" w:sz="18" w:space="0" w:color="auto"/>
              <w:right w:val="single" w:sz="8" w:space="0" w:color="FFFFFF"/>
            </w:tcBorders>
            <w:shd w:val="clear" w:color="auto" w:fill="auto"/>
            <w:tcMar>
              <w:top w:w="11" w:type="dxa"/>
              <w:left w:w="11" w:type="dxa"/>
              <w:bottom w:w="0" w:type="dxa"/>
              <w:right w:w="11" w:type="dxa"/>
            </w:tcMar>
            <w:vAlign w:val="center"/>
          </w:tcPr>
          <w:p w14:paraId="2854BEDB" w14:textId="77777777" w:rsidR="00497308" w:rsidRPr="00C91666" w:rsidRDefault="00497308" w:rsidP="007C6BA1">
            <w:pPr>
              <w:spacing w:before="40" w:after="40"/>
              <w:jc w:val="center"/>
              <w:rPr>
                <w:i/>
                <w:iCs/>
                <w:color w:val="000000" w:themeColor="text1"/>
                <w:sz w:val="20"/>
                <w:szCs w:val="20"/>
              </w:rPr>
            </w:pPr>
            <w:r w:rsidRPr="00C91666">
              <w:rPr>
                <w:i/>
                <w:iCs/>
                <w:color w:val="000000" w:themeColor="text1"/>
                <w:kern w:val="24"/>
                <w:sz w:val="20"/>
                <w:szCs w:val="20"/>
              </w:rPr>
              <w:t>21,140</w:t>
            </w:r>
          </w:p>
        </w:tc>
        <w:tc>
          <w:tcPr>
            <w:tcW w:w="1260" w:type="dxa"/>
            <w:tcBorders>
              <w:top w:val="single" w:sz="8" w:space="0" w:color="FFFFFF"/>
              <w:left w:val="single" w:sz="8" w:space="0" w:color="FFFFFF"/>
              <w:bottom w:val="single" w:sz="18" w:space="0" w:color="auto"/>
              <w:right w:val="single" w:sz="8" w:space="0" w:color="FFFFFF"/>
            </w:tcBorders>
            <w:shd w:val="clear" w:color="auto" w:fill="auto"/>
            <w:tcMar>
              <w:top w:w="11" w:type="dxa"/>
              <w:left w:w="11" w:type="dxa"/>
              <w:bottom w:w="0" w:type="dxa"/>
              <w:right w:w="11" w:type="dxa"/>
            </w:tcMar>
            <w:vAlign w:val="center"/>
          </w:tcPr>
          <w:p w14:paraId="562AA7E1" w14:textId="77777777" w:rsidR="00497308" w:rsidRPr="00C91666" w:rsidRDefault="00497308" w:rsidP="007C6BA1">
            <w:pPr>
              <w:spacing w:before="40" w:after="40"/>
              <w:jc w:val="center"/>
              <w:rPr>
                <w:i/>
                <w:iCs/>
                <w:color w:val="000000" w:themeColor="text1"/>
                <w:sz w:val="20"/>
                <w:szCs w:val="20"/>
              </w:rPr>
            </w:pPr>
            <w:r w:rsidRPr="00C91666">
              <w:rPr>
                <w:i/>
                <w:iCs/>
                <w:color w:val="000000" w:themeColor="text1"/>
                <w:kern w:val="24"/>
                <w:sz w:val="20"/>
                <w:szCs w:val="20"/>
              </w:rPr>
              <w:t>20,740</w:t>
            </w:r>
          </w:p>
        </w:tc>
        <w:tc>
          <w:tcPr>
            <w:tcW w:w="1440" w:type="dxa"/>
            <w:tcBorders>
              <w:top w:val="single" w:sz="8" w:space="0" w:color="FFFFFF"/>
              <w:left w:val="single" w:sz="8" w:space="0" w:color="FFFFFF"/>
              <w:bottom w:val="single" w:sz="18" w:space="0" w:color="auto"/>
              <w:right w:val="single" w:sz="8" w:space="0" w:color="FFFFFF"/>
            </w:tcBorders>
            <w:shd w:val="clear" w:color="auto" w:fill="auto"/>
            <w:tcMar>
              <w:top w:w="11" w:type="dxa"/>
              <w:left w:w="11" w:type="dxa"/>
              <w:bottom w:w="0" w:type="dxa"/>
              <w:right w:w="11" w:type="dxa"/>
            </w:tcMar>
            <w:vAlign w:val="center"/>
          </w:tcPr>
          <w:p w14:paraId="3D775827" w14:textId="77777777" w:rsidR="00497308" w:rsidRPr="00C91666" w:rsidRDefault="00497308" w:rsidP="007C6BA1">
            <w:pPr>
              <w:spacing w:before="40" w:after="40"/>
              <w:jc w:val="center"/>
              <w:rPr>
                <w:i/>
                <w:iCs/>
                <w:color w:val="000000" w:themeColor="text1"/>
                <w:sz w:val="20"/>
                <w:szCs w:val="20"/>
              </w:rPr>
            </w:pPr>
            <w:r w:rsidRPr="00C91666">
              <w:rPr>
                <w:i/>
                <w:iCs/>
                <w:color w:val="000000" w:themeColor="text1"/>
                <w:kern w:val="24"/>
                <w:sz w:val="20"/>
                <w:szCs w:val="20"/>
              </w:rPr>
              <w:t>20,820</w:t>
            </w:r>
          </w:p>
        </w:tc>
        <w:tc>
          <w:tcPr>
            <w:tcW w:w="1260" w:type="dxa"/>
            <w:tcBorders>
              <w:top w:val="single" w:sz="8" w:space="0" w:color="FFFFFF"/>
              <w:left w:val="single" w:sz="8" w:space="0" w:color="FFFFFF"/>
              <w:bottom w:val="single" w:sz="18" w:space="0" w:color="auto"/>
              <w:right w:val="single" w:sz="8" w:space="0" w:color="FFFFFF"/>
            </w:tcBorders>
            <w:shd w:val="clear" w:color="auto" w:fill="auto"/>
            <w:tcMar>
              <w:top w:w="11" w:type="dxa"/>
              <w:left w:w="11" w:type="dxa"/>
              <w:bottom w:w="0" w:type="dxa"/>
              <w:right w:w="11" w:type="dxa"/>
            </w:tcMar>
            <w:vAlign w:val="center"/>
          </w:tcPr>
          <w:p w14:paraId="267D9BD9" w14:textId="77777777" w:rsidR="00497308" w:rsidRPr="00C91666" w:rsidRDefault="00497308" w:rsidP="007C6BA1">
            <w:pPr>
              <w:widowControl w:val="0"/>
              <w:autoSpaceDE w:val="0"/>
              <w:autoSpaceDN w:val="0"/>
              <w:adjustRightInd w:val="0"/>
              <w:jc w:val="center"/>
              <w:rPr>
                <w:i/>
                <w:iCs/>
                <w:color w:val="000000" w:themeColor="text1"/>
                <w:sz w:val="20"/>
                <w:szCs w:val="20"/>
              </w:rPr>
            </w:pPr>
            <w:r w:rsidRPr="00C91666">
              <w:rPr>
                <w:i/>
                <w:iCs/>
                <w:color w:val="000000" w:themeColor="text1"/>
                <w:sz w:val="20"/>
                <w:szCs w:val="20"/>
              </w:rPr>
              <w:t>20,658</w:t>
            </w:r>
          </w:p>
        </w:tc>
      </w:tr>
      <w:tr w:rsidR="00497308" w:rsidRPr="00C91666" w14:paraId="0BC1E752" w14:textId="77777777" w:rsidTr="00781621">
        <w:trPr>
          <w:trHeight w:val="175"/>
        </w:trPr>
        <w:tc>
          <w:tcPr>
            <w:tcW w:w="9350" w:type="dxa"/>
            <w:gridSpan w:val="7"/>
            <w:tcBorders>
              <w:top w:val="single" w:sz="18" w:space="0" w:color="auto"/>
              <w:left w:val="single" w:sz="8" w:space="0" w:color="FFFFFF"/>
              <w:bottom w:val="single" w:sz="8" w:space="0" w:color="FFFFFF"/>
              <w:right w:val="single" w:sz="8" w:space="0" w:color="FFFFFF"/>
            </w:tcBorders>
            <w:shd w:val="clear" w:color="auto" w:fill="auto"/>
            <w:tcMar>
              <w:top w:w="11" w:type="dxa"/>
              <w:left w:w="11" w:type="dxa"/>
              <w:bottom w:w="0" w:type="dxa"/>
              <w:right w:w="11" w:type="dxa"/>
            </w:tcMar>
            <w:vAlign w:val="center"/>
          </w:tcPr>
          <w:p w14:paraId="4C84551C" w14:textId="77777777" w:rsidR="00497308" w:rsidRPr="00C91666" w:rsidRDefault="00497308" w:rsidP="007C6BA1">
            <w:pPr>
              <w:spacing w:before="40" w:after="40"/>
              <w:rPr>
                <w:color w:val="000000" w:themeColor="text1"/>
                <w:kern w:val="24"/>
                <w:sz w:val="20"/>
                <w:szCs w:val="20"/>
              </w:rPr>
            </w:pPr>
            <w:r w:rsidRPr="00C91666">
              <w:rPr>
                <w:i/>
                <w:iCs/>
                <w:color w:val="000000" w:themeColor="text1"/>
                <w:kern w:val="24"/>
                <w:sz w:val="20"/>
                <w:szCs w:val="20"/>
              </w:rPr>
              <w:t xml:space="preserve">p </w:t>
            </w:r>
            <w:r w:rsidRPr="00C91666">
              <w:rPr>
                <w:color w:val="000000" w:themeColor="text1"/>
                <w:kern w:val="24"/>
                <w:sz w:val="20"/>
                <w:szCs w:val="20"/>
              </w:rPr>
              <w:t xml:space="preserve">&lt;.0001***   </w:t>
            </w:r>
            <w:r w:rsidRPr="00C91666">
              <w:rPr>
                <w:i/>
                <w:iCs/>
                <w:color w:val="000000"/>
                <w:sz w:val="20"/>
                <w:szCs w:val="20"/>
              </w:rPr>
              <w:t xml:space="preserve">p </w:t>
            </w:r>
            <w:r w:rsidRPr="00C91666">
              <w:rPr>
                <w:color w:val="000000"/>
                <w:sz w:val="20"/>
                <w:szCs w:val="20"/>
              </w:rPr>
              <w:t>&lt;.001</w:t>
            </w:r>
            <w:r w:rsidRPr="00C91666">
              <w:rPr>
                <w:i/>
                <w:iCs/>
                <w:color w:val="000000"/>
                <w:sz w:val="20"/>
                <w:szCs w:val="20"/>
              </w:rPr>
              <w:t>**   p &lt;.</w:t>
            </w:r>
            <w:r w:rsidRPr="00C91666">
              <w:rPr>
                <w:color w:val="000000"/>
                <w:sz w:val="20"/>
                <w:szCs w:val="20"/>
              </w:rPr>
              <w:t>01</w:t>
            </w:r>
            <w:r w:rsidRPr="00C91666">
              <w:rPr>
                <w:i/>
                <w:iCs/>
                <w:color w:val="000000"/>
                <w:sz w:val="20"/>
                <w:szCs w:val="20"/>
              </w:rPr>
              <w:t>*</w:t>
            </w:r>
          </w:p>
        </w:tc>
      </w:tr>
    </w:tbl>
    <w:p w14:paraId="2077D372" w14:textId="1F0F54FF" w:rsidR="00706DD5" w:rsidRDefault="00706DD5" w:rsidP="003E53E3">
      <w:pPr>
        <w:rPr>
          <w:b/>
          <w:bCs/>
          <w:color w:val="000000" w:themeColor="text1"/>
        </w:rPr>
      </w:pPr>
    </w:p>
    <w:p w14:paraId="2A3C87BD" w14:textId="33FCF7C0" w:rsidR="00497308" w:rsidRDefault="00497308" w:rsidP="003E53E3">
      <w:pPr>
        <w:rPr>
          <w:b/>
          <w:bCs/>
          <w:color w:val="000000" w:themeColor="text1"/>
        </w:rPr>
      </w:pPr>
    </w:p>
    <w:p w14:paraId="0AB953A0" w14:textId="36A2EC5C" w:rsidR="00497308" w:rsidRDefault="00497308" w:rsidP="003E53E3">
      <w:pPr>
        <w:rPr>
          <w:b/>
          <w:bCs/>
          <w:color w:val="000000" w:themeColor="text1"/>
        </w:rPr>
      </w:pPr>
    </w:p>
    <w:p w14:paraId="235260C3" w14:textId="77777777" w:rsidR="00497308" w:rsidRPr="00F25095" w:rsidRDefault="00497308" w:rsidP="003E53E3">
      <w:pPr>
        <w:rPr>
          <w:b/>
          <w:bCs/>
          <w:color w:val="000000" w:themeColor="text1"/>
        </w:rPr>
      </w:pPr>
    </w:p>
    <w:bookmarkEnd w:id="11"/>
    <w:p w14:paraId="59BF28AF" w14:textId="7C3982F5" w:rsidR="009A1D67" w:rsidRPr="00F25095" w:rsidRDefault="003A422E" w:rsidP="003E53E3">
      <w:pPr>
        <w:ind w:firstLine="720"/>
        <w:rPr>
          <w:i/>
          <w:iCs/>
          <w:color w:val="000000"/>
        </w:rPr>
      </w:pPr>
      <w:r w:rsidRPr="00F25095">
        <w:rPr>
          <w:i/>
          <w:iCs/>
          <w:color w:val="000000"/>
        </w:rPr>
        <w:lastRenderedPageBreak/>
        <w:t xml:space="preserve">3.3.2 </w:t>
      </w:r>
      <w:r w:rsidR="009A1D67" w:rsidRPr="00F25095">
        <w:rPr>
          <w:i/>
          <w:iCs/>
          <w:color w:val="000000"/>
        </w:rPr>
        <w:t>Interaction Effects</w:t>
      </w:r>
    </w:p>
    <w:p w14:paraId="5A0EA2DA" w14:textId="2B32E9F1" w:rsidR="00DE0A76" w:rsidRDefault="009A1D67" w:rsidP="003E53E3">
      <w:pPr>
        <w:ind w:firstLine="720"/>
        <w:rPr>
          <w:color w:val="000000"/>
        </w:rPr>
      </w:pPr>
      <w:r w:rsidRPr="00F25095">
        <w:rPr>
          <w:color w:val="000000"/>
        </w:rPr>
        <w:t xml:space="preserve">Our results found a significant moderating effect </w:t>
      </w:r>
      <w:r w:rsidR="00CF39F0" w:rsidRPr="00F25095">
        <w:rPr>
          <w:color w:val="000000"/>
        </w:rPr>
        <w:t>of management effective</w:t>
      </w:r>
      <w:r w:rsidR="00CF39F0">
        <w:rPr>
          <w:color w:val="000000"/>
        </w:rPr>
        <w:t xml:space="preserve">ness </w:t>
      </w:r>
      <w:r w:rsidR="00CD33DF">
        <w:rPr>
          <w:color w:val="000000"/>
        </w:rPr>
        <w:t>(</w:t>
      </w:r>
      <w:r w:rsidR="0020224F">
        <w:rPr>
          <w:color w:val="000000"/>
        </w:rPr>
        <w:t>overall effectiveness and each sub-category)</w:t>
      </w:r>
      <w:r w:rsidR="00CF39F0">
        <w:rPr>
          <w:color w:val="000000"/>
        </w:rPr>
        <w:t xml:space="preserve"> using an interaction term</w:t>
      </w:r>
      <w:r w:rsidRPr="008E3AA1">
        <w:rPr>
          <w:color w:val="000000"/>
        </w:rPr>
        <w:t xml:space="preserve">. </w:t>
      </w:r>
      <w:r w:rsidR="00CF39F0">
        <w:rPr>
          <w:color w:val="000000"/>
        </w:rPr>
        <w:t xml:space="preserve">Higher management </w:t>
      </w:r>
      <w:r w:rsidR="007E5AC7">
        <w:rPr>
          <w:color w:val="000000"/>
        </w:rPr>
        <w:t>effectiveness in each</w:t>
      </w:r>
      <w:r w:rsidR="007E5AC7" w:rsidRPr="008E3AA1">
        <w:rPr>
          <w:color w:val="000000"/>
        </w:rPr>
        <w:t xml:space="preserve"> </w:t>
      </w:r>
      <w:r w:rsidR="007E5AC7">
        <w:rPr>
          <w:color w:val="000000"/>
        </w:rPr>
        <w:t>category was</w:t>
      </w:r>
      <w:r w:rsidR="007E5AC7" w:rsidRPr="008E3AA1">
        <w:rPr>
          <w:color w:val="000000"/>
        </w:rPr>
        <w:t xml:space="preserve"> </w:t>
      </w:r>
      <w:r w:rsidRPr="008E3AA1">
        <w:rPr>
          <w:color w:val="000000"/>
        </w:rPr>
        <w:t xml:space="preserve">significantly </w:t>
      </w:r>
      <w:r w:rsidR="007E5AC7">
        <w:rPr>
          <w:color w:val="000000"/>
        </w:rPr>
        <w:t>correlated with a reduction in</w:t>
      </w:r>
      <w:r w:rsidR="007E5AC7" w:rsidRPr="008E3AA1">
        <w:rPr>
          <w:color w:val="000000"/>
        </w:rPr>
        <w:t xml:space="preserve"> </w:t>
      </w:r>
      <w:r w:rsidR="00552976">
        <w:rPr>
          <w:color w:val="000000"/>
        </w:rPr>
        <w:t>forest loss</w:t>
      </w:r>
      <w:r w:rsidR="00C9684F">
        <w:rPr>
          <w:color w:val="000000"/>
        </w:rPr>
        <w:t xml:space="preserve"> (</w:t>
      </w:r>
      <w:r w:rsidR="007C78CD">
        <w:rPr>
          <w:color w:val="000000"/>
        </w:rPr>
        <w:t>coefficients range fro</w:t>
      </w:r>
      <w:r w:rsidR="007C78CD" w:rsidRPr="007C78CD">
        <w:rPr>
          <w:color w:val="000000"/>
        </w:rPr>
        <w:t xml:space="preserve">m </w:t>
      </w:r>
      <w:r w:rsidR="007C78CD" w:rsidRPr="007C78CD">
        <w:rPr>
          <w:color w:val="000000" w:themeColor="text1"/>
        </w:rPr>
        <w:t>-1.25e-02 to -1.84e-02, all</w:t>
      </w:r>
      <w:r w:rsidR="007C78CD">
        <w:rPr>
          <w:color w:val="000000" w:themeColor="text1"/>
          <w:sz w:val="20"/>
          <w:szCs w:val="20"/>
        </w:rPr>
        <w:t xml:space="preserve"> </w:t>
      </w:r>
      <w:r w:rsidR="00C9684F">
        <w:rPr>
          <w:i/>
          <w:iCs/>
          <w:color w:val="000000"/>
        </w:rPr>
        <w:t>p</w:t>
      </w:r>
      <w:r w:rsidR="009A585B">
        <w:rPr>
          <w:color w:val="000000"/>
        </w:rPr>
        <w:t xml:space="preserve"> &lt;.0001</w:t>
      </w:r>
      <w:r w:rsidR="00C9684F">
        <w:rPr>
          <w:color w:val="000000"/>
        </w:rPr>
        <w:t>)</w:t>
      </w:r>
      <w:r w:rsidR="009A585B">
        <w:rPr>
          <w:color w:val="000000"/>
        </w:rPr>
        <w:t xml:space="preserve"> (</w:t>
      </w:r>
      <w:r w:rsidR="0076745C">
        <w:rPr>
          <w:color w:val="000000"/>
        </w:rPr>
        <w:t xml:space="preserve">full results in </w:t>
      </w:r>
      <w:r w:rsidR="00375989">
        <w:rPr>
          <w:color w:val="000000"/>
        </w:rPr>
        <w:t>Appendix</w:t>
      </w:r>
      <w:r w:rsidR="0076745C">
        <w:rPr>
          <w:color w:val="000000"/>
        </w:rPr>
        <w:t xml:space="preserve"> Table 1</w:t>
      </w:r>
      <w:r w:rsidR="001D1C9F">
        <w:rPr>
          <w:color w:val="000000"/>
        </w:rPr>
        <w:t>2</w:t>
      </w:r>
      <w:r w:rsidR="009A585B">
        <w:rPr>
          <w:color w:val="000000"/>
        </w:rPr>
        <w:t xml:space="preserve">). The </w:t>
      </w:r>
      <w:r w:rsidR="000342F7">
        <w:t>administration and finance s</w:t>
      </w:r>
      <w:r w:rsidR="009A585B" w:rsidRPr="008E3AA1">
        <w:rPr>
          <w:color w:val="000000"/>
        </w:rPr>
        <w:t xml:space="preserve">core </w:t>
      </w:r>
      <w:r w:rsidR="009A585B">
        <w:rPr>
          <w:color w:val="000000"/>
        </w:rPr>
        <w:t xml:space="preserve">was found to have the </w:t>
      </w:r>
      <w:r w:rsidR="00C74210">
        <w:rPr>
          <w:color w:val="000000"/>
        </w:rPr>
        <w:t>largest ATE</w:t>
      </w:r>
      <w:r w:rsidR="009A585B">
        <w:rPr>
          <w:color w:val="000000"/>
        </w:rPr>
        <w:t xml:space="preserve"> on average</w:t>
      </w:r>
      <w:r w:rsidR="00135A5B">
        <w:rPr>
          <w:color w:val="000000"/>
        </w:rPr>
        <w:t xml:space="preserve">, </w:t>
      </w:r>
      <w:r w:rsidR="009A585B">
        <w:rPr>
          <w:color w:val="000000"/>
        </w:rPr>
        <w:t xml:space="preserve">followed by context and planning, use and benefits, management quality and governance and social participation. </w:t>
      </w:r>
      <w:r w:rsidR="009A585B" w:rsidRPr="008E3AA1">
        <w:rPr>
          <w:color w:val="000000"/>
        </w:rPr>
        <w:t xml:space="preserve">The overall </w:t>
      </w:r>
      <w:r w:rsidR="009A585B">
        <w:rPr>
          <w:color w:val="000000"/>
        </w:rPr>
        <w:t xml:space="preserve">management </w:t>
      </w:r>
      <w:r w:rsidR="009A585B" w:rsidRPr="008E3AA1">
        <w:rPr>
          <w:color w:val="000000"/>
        </w:rPr>
        <w:t>score</w:t>
      </w:r>
      <w:r w:rsidR="009A585B">
        <w:rPr>
          <w:color w:val="000000"/>
        </w:rPr>
        <w:t xml:space="preserve"> was also statistically significant at the &lt;.0001</w:t>
      </w:r>
      <w:r w:rsidR="009A585B" w:rsidRPr="008E3AA1">
        <w:rPr>
          <w:color w:val="000000"/>
        </w:rPr>
        <w:t xml:space="preserve"> </w:t>
      </w:r>
      <w:r w:rsidR="009A585B">
        <w:rPr>
          <w:color w:val="000000"/>
        </w:rPr>
        <w:t>level.</w:t>
      </w:r>
    </w:p>
    <w:p w14:paraId="37489DB2" w14:textId="541BED20" w:rsidR="00B73DE6" w:rsidRDefault="00DE0A76" w:rsidP="003E53E3">
      <w:pPr>
        <w:ind w:firstLine="720"/>
        <w:rPr>
          <w:color w:val="000000"/>
        </w:rPr>
      </w:pPr>
      <w:r>
        <w:rPr>
          <w:color w:val="000000"/>
        </w:rPr>
        <w:t>W</w:t>
      </w:r>
      <w:r w:rsidR="00FA41BA">
        <w:rPr>
          <w:color w:val="000000"/>
        </w:rPr>
        <w:t>hile holding all else constant</w:t>
      </w:r>
      <w:r w:rsidR="009A585B">
        <w:rPr>
          <w:color w:val="000000"/>
        </w:rPr>
        <w:t xml:space="preserve">, </w:t>
      </w:r>
      <w:r w:rsidR="004B363A">
        <w:rPr>
          <w:color w:val="000000"/>
        </w:rPr>
        <w:t xml:space="preserve">a </w:t>
      </w:r>
      <w:r w:rsidR="009A585B">
        <w:rPr>
          <w:color w:val="000000"/>
        </w:rPr>
        <w:t xml:space="preserve">10% increase in </w:t>
      </w:r>
      <w:r w:rsidR="004B363A">
        <w:rPr>
          <w:color w:val="000000"/>
        </w:rPr>
        <w:t xml:space="preserve">the </w:t>
      </w:r>
      <w:r w:rsidR="000342F7">
        <w:t xml:space="preserve">administration and finance </w:t>
      </w:r>
      <w:r w:rsidR="009A585B">
        <w:rPr>
          <w:color w:val="000000"/>
        </w:rPr>
        <w:t xml:space="preserve">score </w:t>
      </w:r>
      <w:r w:rsidR="001B797C">
        <w:rPr>
          <w:color w:val="000000"/>
        </w:rPr>
        <w:t>was associated with the</w:t>
      </w:r>
      <w:r w:rsidR="004B363A">
        <w:rPr>
          <w:color w:val="000000"/>
        </w:rPr>
        <w:t xml:space="preserve"> largest decrease in percent forest loss,</w:t>
      </w:r>
      <w:r w:rsidR="001B797C">
        <w:rPr>
          <w:color w:val="000000"/>
        </w:rPr>
        <w:t xml:space="preserve"> of</w:t>
      </w:r>
      <w:r w:rsidR="004B363A">
        <w:rPr>
          <w:color w:val="000000"/>
        </w:rPr>
        <w:t xml:space="preserve"> about </w:t>
      </w:r>
      <w:r w:rsidR="009A585B">
        <w:rPr>
          <w:color w:val="000000"/>
        </w:rPr>
        <w:t>0</w:t>
      </w:r>
      <w:r w:rsidR="009A585B" w:rsidRPr="00DA6831">
        <w:rPr>
          <w:color w:val="000000"/>
        </w:rPr>
        <w:t>.1</w:t>
      </w:r>
      <w:r w:rsidR="00DA6831" w:rsidRPr="00DA6831">
        <w:rPr>
          <w:color w:val="000000"/>
        </w:rPr>
        <w:t>9</w:t>
      </w:r>
      <w:r w:rsidR="009A585B">
        <w:rPr>
          <w:color w:val="000000"/>
        </w:rPr>
        <w:t>%</w:t>
      </w:r>
      <w:r w:rsidR="00B26966">
        <w:rPr>
          <w:color w:val="000000"/>
        </w:rPr>
        <w:t xml:space="preserve"> (Figure 5)</w:t>
      </w:r>
      <w:r w:rsidR="009A585B">
        <w:rPr>
          <w:color w:val="000000"/>
        </w:rPr>
        <w:t xml:space="preserve">. A 10% increase in the context and planning score </w:t>
      </w:r>
      <w:r w:rsidR="000564D5">
        <w:rPr>
          <w:color w:val="000000"/>
        </w:rPr>
        <w:t xml:space="preserve">and the overall score </w:t>
      </w:r>
      <w:r w:rsidR="004B363A">
        <w:rPr>
          <w:color w:val="000000"/>
        </w:rPr>
        <w:t xml:space="preserve">was </w:t>
      </w:r>
      <w:r w:rsidR="009A585B">
        <w:rPr>
          <w:color w:val="000000"/>
        </w:rPr>
        <w:t>found to decrease the average forest loss by about 0.1</w:t>
      </w:r>
      <w:r w:rsidR="00DA6831">
        <w:rPr>
          <w:color w:val="000000"/>
        </w:rPr>
        <w:t>6</w:t>
      </w:r>
      <w:r w:rsidR="009A585B">
        <w:rPr>
          <w:color w:val="000000"/>
        </w:rPr>
        <w:t>%</w:t>
      </w:r>
      <w:r w:rsidR="000564D5">
        <w:rPr>
          <w:color w:val="000000"/>
        </w:rPr>
        <w:t xml:space="preserve"> and 0.15%, respectively</w:t>
      </w:r>
      <w:r w:rsidR="004B363A">
        <w:rPr>
          <w:color w:val="000000"/>
        </w:rPr>
        <w:t xml:space="preserve">. We found similar effects </w:t>
      </w:r>
      <w:r w:rsidR="00BE526C">
        <w:rPr>
          <w:color w:val="000000"/>
        </w:rPr>
        <w:t xml:space="preserve">for a 10% increase in </w:t>
      </w:r>
      <w:r w:rsidR="009A585B">
        <w:rPr>
          <w:color w:val="000000"/>
        </w:rPr>
        <w:t xml:space="preserve">the </w:t>
      </w:r>
      <w:r w:rsidR="004B363A">
        <w:rPr>
          <w:color w:val="000000"/>
        </w:rPr>
        <w:t xml:space="preserve">use and benefits and </w:t>
      </w:r>
      <w:r w:rsidR="009A585B">
        <w:rPr>
          <w:color w:val="000000"/>
        </w:rPr>
        <w:t>management quality score</w:t>
      </w:r>
      <w:r w:rsidR="004B363A">
        <w:rPr>
          <w:color w:val="000000"/>
        </w:rPr>
        <w:t>, which were</w:t>
      </w:r>
      <w:r w:rsidR="00283C1A">
        <w:rPr>
          <w:color w:val="000000"/>
        </w:rPr>
        <w:t xml:space="preserve"> both</w:t>
      </w:r>
      <w:r w:rsidR="004B363A">
        <w:rPr>
          <w:color w:val="000000"/>
        </w:rPr>
        <w:t xml:space="preserve"> found to</w:t>
      </w:r>
      <w:r w:rsidR="009A585B">
        <w:rPr>
          <w:color w:val="000000"/>
        </w:rPr>
        <w:t xml:space="preserve"> decrease average forest loss by </w:t>
      </w:r>
      <w:r w:rsidR="004B363A">
        <w:rPr>
          <w:color w:val="000000"/>
        </w:rPr>
        <w:t>0.14%</w:t>
      </w:r>
      <w:r w:rsidR="009A585B">
        <w:rPr>
          <w:color w:val="000000"/>
        </w:rPr>
        <w:t>. Finally, a change in governance and social participation</w:t>
      </w:r>
      <w:r w:rsidR="004B363A">
        <w:rPr>
          <w:color w:val="000000"/>
        </w:rPr>
        <w:t xml:space="preserve"> had the smallest effect, with</w:t>
      </w:r>
      <w:r w:rsidR="009A585B">
        <w:rPr>
          <w:color w:val="000000"/>
        </w:rPr>
        <w:t xml:space="preserve"> </w:t>
      </w:r>
      <w:r w:rsidR="004B363A">
        <w:rPr>
          <w:color w:val="000000"/>
        </w:rPr>
        <w:t>a</w:t>
      </w:r>
      <w:r w:rsidR="009A585B">
        <w:rPr>
          <w:color w:val="000000"/>
        </w:rPr>
        <w:t xml:space="preserve"> 10% </w:t>
      </w:r>
      <w:r w:rsidR="004B363A">
        <w:rPr>
          <w:color w:val="000000"/>
        </w:rPr>
        <w:t xml:space="preserve">increase in score </w:t>
      </w:r>
      <w:r w:rsidR="009A585B">
        <w:rPr>
          <w:color w:val="000000"/>
        </w:rPr>
        <w:t>decreas</w:t>
      </w:r>
      <w:r w:rsidR="004B363A">
        <w:rPr>
          <w:color w:val="000000"/>
        </w:rPr>
        <w:t>ing</w:t>
      </w:r>
      <w:r w:rsidR="009A585B">
        <w:rPr>
          <w:color w:val="000000"/>
        </w:rPr>
        <w:t xml:space="preserve"> forest loss by 0.1</w:t>
      </w:r>
      <w:r w:rsidR="00AD0318">
        <w:rPr>
          <w:color w:val="000000"/>
        </w:rPr>
        <w:t>3</w:t>
      </w:r>
      <w:r w:rsidR="009A585B">
        <w:rPr>
          <w:color w:val="000000"/>
        </w:rPr>
        <w:t xml:space="preserve">%. Full marginal effects results are presented in </w:t>
      </w:r>
      <w:r w:rsidR="00375989">
        <w:rPr>
          <w:color w:val="000000"/>
        </w:rPr>
        <w:t>Appendix</w:t>
      </w:r>
      <w:r w:rsidR="009A585B">
        <w:rPr>
          <w:color w:val="000000"/>
        </w:rPr>
        <w:t xml:space="preserve"> Table 1</w:t>
      </w:r>
      <w:r w:rsidR="001D1C9F">
        <w:rPr>
          <w:color w:val="000000"/>
        </w:rPr>
        <w:t>3</w:t>
      </w:r>
      <w:r w:rsidR="009A585B">
        <w:rPr>
          <w:color w:val="000000"/>
        </w:rPr>
        <w:t xml:space="preserve">. </w:t>
      </w:r>
    </w:p>
    <w:p w14:paraId="6A32BF42" w14:textId="613BB894" w:rsidR="00AE4727" w:rsidRDefault="00AE4727" w:rsidP="003E53E3">
      <w:pPr>
        <w:ind w:firstLine="720"/>
        <w:rPr>
          <w:color w:val="000000"/>
        </w:rPr>
      </w:pPr>
    </w:p>
    <w:p w14:paraId="01800BCD" w14:textId="77777777" w:rsidR="00497308" w:rsidRDefault="00497308" w:rsidP="00497308">
      <w:pPr>
        <w:rPr>
          <w:color w:val="000000" w:themeColor="text1"/>
        </w:rPr>
      </w:pPr>
      <w:r>
        <w:rPr>
          <w:b/>
          <w:bCs/>
          <w:noProof/>
          <w:color w:val="000000" w:themeColor="text1"/>
        </w:rPr>
        <w:drawing>
          <wp:inline distT="0" distB="0" distL="0" distR="0" wp14:anchorId="2851681A" wp14:editId="561382DD">
            <wp:extent cx="5989127" cy="3483438"/>
            <wp:effectExtent l="0" t="0" r="5715" b="0"/>
            <wp:docPr id="10" name="Picture 10" descr="Bar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Bar chart&#10;&#10;Description automatically generated with medium confidence"/>
                    <pic:cNvPicPr/>
                  </pic:nvPicPr>
                  <pic:blipFill>
                    <a:blip r:embed="rId14" cstate="print">
                      <a:extLst>
                        <a:ext uri="{28A0092B-C50C-407E-A947-70E740481C1C}">
                          <a14:useLocalDpi xmlns:a14="http://schemas.microsoft.com/office/drawing/2010/main" val="0"/>
                        </a:ext>
                      </a:extLst>
                    </a:blip>
                    <a:srcRect l="1782" r="1782"/>
                    <a:stretch>
                      <a:fillRect/>
                    </a:stretch>
                  </pic:blipFill>
                  <pic:spPr bwMode="auto">
                    <a:xfrm>
                      <a:off x="0" y="0"/>
                      <a:ext cx="5989127" cy="3483438"/>
                    </a:xfrm>
                    <a:prstGeom prst="rect">
                      <a:avLst/>
                    </a:prstGeom>
                    <a:ln>
                      <a:noFill/>
                    </a:ln>
                    <a:extLst>
                      <a:ext uri="{53640926-AAD7-44D8-BBD7-CCE9431645EC}">
                        <a14:shadowObscured xmlns:a14="http://schemas.microsoft.com/office/drawing/2010/main"/>
                      </a:ext>
                    </a:extLst>
                  </pic:spPr>
                </pic:pic>
              </a:graphicData>
            </a:graphic>
          </wp:inline>
        </w:drawing>
      </w:r>
      <w:r w:rsidRPr="00497308">
        <w:rPr>
          <w:color w:val="000000" w:themeColor="text1"/>
          <w:sz w:val="20"/>
          <w:szCs w:val="20"/>
        </w:rPr>
        <w:t>Figure 5: Marginal effect of each management category on predicted forest loss. Shaded area represents 95% confidence intervals for each model.</w:t>
      </w:r>
      <w:r>
        <w:rPr>
          <w:color w:val="000000" w:themeColor="text1"/>
        </w:rPr>
        <w:t xml:space="preserve"> </w:t>
      </w:r>
    </w:p>
    <w:p w14:paraId="1CB8576F" w14:textId="77777777" w:rsidR="001B797C" w:rsidRPr="00F37817" w:rsidRDefault="001B797C" w:rsidP="003E53E3">
      <w:pPr>
        <w:rPr>
          <w:color w:val="000000" w:themeColor="text1"/>
        </w:rPr>
      </w:pPr>
    </w:p>
    <w:p w14:paraId="12B283BA" w14:textId="4F9398BC" w:rsidR="002D2FA7" w:rsidRPr="00F25095" w:rsidRDefault="002B1B44" w:rsidP="003E53E3">
      <w:pPr>
        <w:rPr>
          <w:b/>
          <w:bCs/>
        </w:rPr>
      </w:pPr>
      <w:r>
        <w:rPr>
          <w:b/>
          <w:bCs/>
        </w:rPr>
        <w:tab/>
      </w:r>
      <w:r w:rsidR="00555C28" w:rsidRPr="00F25095">
        <w:rPr>
          <w:i/>
          <w:iCs/>
          <w:color w:val="000000"/>
        </w:rPr>
        <w:t xml:space="preserve">3.3.3. </w:t>
      </w:r>
      <w:r w:rsidR="002D2FA7" w:rsidRPr="00F25095">
        <w:rPr>
          <w:i/>
          <w:iCs/>
        </w:rPr>
        <w:t>Robustness checks</w:t>
      </w:r>
    </w:p>
    <w:p w14:paraId="28C41ABF" w14:textId="79782529" w:rsidR="00A73D7F" w:rsidRPr="00F25095" w:rsidRDefault="00B55219" w:rsidP="003E53E3">
      <w:pPr>
        <w:ind w:firstLine="720"/>
      </w:pPr>
      <w:r w:rsidRPr="00F25095">
        <w:t xml:space="preserve">The Rosenbaum bounds sensitivity test found </w:t>
      </w:r>
      <w:r w:rsidR="00291E1D" w:rsidRPr="00F25095">
        <w:t xml:space="preserve">that our analysis was sensitive </w:t>
      </w:r>
      <w:r w:rsidR="00494401" w:rsidRPr="00F25095">
        <w:t xml:space="preserve">to small changes in </w:t>
      </w:r>
      <w:r w:rsidR="00C262C8" w:rsidRPr="00F25095">
        <w:t>unobservable bias</w:t>
      </w:r>
      <w:r w:rsidR="004C7F80" w:rsidRPr="00F25095">
        <w:t xml:space="preserve"> (</w:t>
      </w:r>
      <w:r w:rsidR="00375989" w:rsidRPr="00F25095">
        <w:t>Appendix</w:t>
      </w:r>
      <w:r w:rsidR="004C7F80" w:rsidRPr="00F25095">
        <w:t xml:space="preserve"> Table 1</w:t>
      </w:r>
      <w:r w:rsidR="001D1C9F" w:rsidRPr="00F25095">
        <w:t>4</w:t>
      </w:r>
      <w:r w:rsidR="004C7F80" w:rsidRPr="00F25095">
        <w:t>)</w:t>
      </w:r>
      <w:r w:rsidR="00FD5EAD" w:rsidRPr="00F25095">
        <w:t xml:space="preserve">. </w:t>
      </w:r>
      <w:r w:rsidR="007F64E0" w:rsidRPr="00F25095">
        <w:t>However, this test</w:t>
      </w:r>
      <w:r w:rsidR="00B0285B" w:rsidRPr="00F25095">
        <w:t xml:space="preserve"> is not able to detect if there is unobservable bias present, only what would happen if there were omitted variables that affected both the treatment and outcome variables. When </w:t>
      </w:r>
      <w:r w:rsidR="00FD5EAD" w:rsidRPr="00F25095">
        <w:t xml:space="preserve">comparing subgroups, </w:t>
      </w:r>
      <w:r w:rsidR="00BB14FF" w:rsidRPr="00F25095">
        <w:t>the</w:t>
      </w:r>
      <w:r w:rsidR="00B0285B" w:rsidRPr="00F25095">
        <w:t xml:space="preserve"> </w:t>
      </w:r>
      <w:r w:rsidR="00FD5EAD" w:rsidRPr="00F25095">
        <w:t xml:space="preserve">unobservable heterogeneity would need to act differently across subgroups to </w:t>
      </w:r>
      <w:r w:rsidR="00A91131" w:rsidRPr="00F25095">
        <w:t xml:space="preserve">bias </w:t>
      </w:r>
      <w:r w:rsidR="00FD5EAD" w:rsidRPr="00F25095">
        <w:t xml:space="preserve">our </w:t>
      </w:r>
      <w:r w:rsidR="00D77DD7" w:rsidRPr="00F25095">
        <w:t>findings</w:t>
      </w:r>
      <w:r w:rsidR="009A1B81" w:rsidRPr="00F25095">
        <w:t xml:space="preserve"> </w:t>
      </w:r>
      <w:r w:rsidR="009A1B81" w:rsidRPr="00F25095">
        <w:fldChar w:fldCharType="begin" w:fldLock="1"/>
      </w:r>
      <w:r w:rsidR="003A24F7" w:rsidRPr="00F25095">
        <w:instrText>ADDIN CSL_CITATION {"citationItems":[{"id":"ITEM-1","itemData":{"DOI":"10.1007/s10640-010-9408-z","ISSN":"09246460","abstract":"National parks and reserves are globally popular approaches to protecting biodiversity and the supply of ecosystem services. Because these protected areas limit agricultural development and exploitation of natural resources, they are frequently opposed in developing nations where reducing poverty is an important social objective. Conservation advocates argue that protected areas can alleviate poverty by supplying ecosystem services, promoting tourism and improving infrastructure. Thus 'win-win' scenarios may be possible in which ecosystems and their services are protected and poverty is alleviated. Previous studies (Andam et al. in Proc Natl Acad Sci USA 105(42):16089-16094 2008; 2010) suggest that Costa Rica's protected area system reduced deforestation and alleviated poverty. We demonstrate that these environmental and social impacts were spatially heterogeneous. Importantly, the characteristics associated with the most avoided deforestation are the characteristics associated with the least poverty alleviation. In other words, the same characteristics that limited the conservation effectiveness of protected areas may have improved the social welfare impacts of these areas. These results suggest that 'win-win' efforts to protect ecosystems and alleviate poverty may be possible when policymakers are satisfied with low levels of each outcome, but tradeoffs exist when more of either outcome is desired. © 2010 Springer Science+Business Media B.V.","author":[{"dropping-particle":"","family":"Ferraro","given":"Paul J.","non-dropping-particle":"","parse-names":false,"suffix":""},{"dropping-particle":"","family":"Hanauer","given":"Merlin M.","non-dropping-particle":"","parse-names":false,"suffix":""}],"container-title":"Environmental and Resource Economics","id":"ITEM-1","issue":"2","issued":{"date-parts":[["2011"]]},"page":"269-286","title":"Protecting ecosystems and alleviating poverty with parks and reserves: 'Win-win' or tradeoffs?","type":"article-journal","volume":"48"},"uris":["http://www.mendeley.com/documents/?uuid=c6c7def8-5c07-42ab-b596-63884f6c1438"]}],"mendeley":{"formattedCitation":"(Ferraro &amp; Hanauer, 2011)","plainTextFormattedCitation":"(Ferraro &amp; Hanauer, 2011)","previouslyFormattedCitation":"(Ferraro &amp; Hanauer, 2011)"},"properties":{"noteIndex":0},"schema":"https://github.com/citation-style-language/schema/raw/master/csl-citation.json"}</w:instrText>
      </w:r>
      <w:r w:rsidR="009A1B81" w:rsidRPr="00F25095">
        <w:fldChar w:fldCharType="separate"/>
      </w:r>
      <w:r w:rsidR="009A1B81" w:rsidRPr="00F25095">
        <w:rPr>
          <w:noProof/>
        </w:rPr>
        <w:t>(Ferraro &amp; Hanauer, 2011)</w:t>
      </w:r>
      <w:r w:rsidR="009A1B81" w:rsidRPr="00F25095">
        <w:fldChar w:fldCharType="end"/>
      </w:r>
      <w:r w:rsidR="00F37817" w:rsidRPr="00F25095">
        <w:t>.</w:t>
      </w:r>
      <w:r w:rsidR="00FD5EAD" w:rsidRPr="00F25095">
        <w:t xml:space="preserve"> </w:t>
      </w:r>
    </w:p>
    <w:p w14:paraId="3E4D094C" w14:textId="4F1B7038" w:rsidR="00291E1D" w:rsidRPr="00395F09" w:rsidRDefault="00A73D7F" w:rsidP="003E53E3">
      <w:pPr>
        <w:ind w:firstLine="720"/>
      </w:pPr>
      <w:r w:rsidRPr="00F25095">
        <w:lastRenderedPageBreak/>
        <w:t xml:space="preserve">The results of the logit models </w:t>
      </w:r>
      <w:r w:rsidR="00EF5DBB" w:rsidRPr="00F25095">
        <w:t xml:space="preserve">also </w:t>
      </w:r>
      <w:r w:rsidRPr="00F25095">
        <w:t>confirm the robustness of our interaction model results (</w:t>
      </w:r>
      <w:r w:rsidR="00375989" w:rsidRPr="00F25095">
        <w:t>Appendix</w:t>
      </w:r>
      <w:r w:rsidRPr="00F25095">
        <w:t xml:space="preserve"> Table 1</w:t>
      </w:r>
      <w:r w:rsidR="001D1C9F" w:rsidRPr="00F25095">
        <w:t>5</w:t>
      </w:r>
      <w:r w:rsidRPr="00F25095">
        <w:t>). In the logit models, all interaction effects were found</w:t>
      </w:r>
      <w:r>
        <w:t xml:space="preserve"> to have a negative effect on predicted forest loss (</w:t>
      </w:r>
      <w:r>
        <w:rPr>
          <w:i/>
          <w:iCs/>
        </w:rPr>
        <w:t xml:space="preserve">p </w:t>
      </w:r>
      <w:r>
        <w:t>&lt;.0001). Additionally</w:t>
      </w:r>
      <w:r w:rsidR="00F37817">
        <w:t>, w</w:t>
      </w:r>
      <w:r w:rsidR="00364926">
        <w:t>e</w:t>
      </w:r>
      <w:r w:rsidR="00B31B68">
        <w:t xml:space="preserve"> find</w:t>
      </w:r>
      <w:r w:rsidR="00364926">
        <w:t xml:space="preserve"> no evidence of </w:t>
      </w:r>
      <w:r w:rsidR="00744121">
        <w:t>spatial clustering</w:t>
      </w:r>
      <w:r w:rsidR="00364926">
        <w:t xml:space="preserve"> in the residuals of the interaction model, with all </w:t>
      </w:r>
      <w:r w:rsidR="00744121">
        <w:t xml:space="preserve">Moran </w:t>
      </w:r>
      <w:r w:rsidR="00364926">
        <w:t xml:space="preserve">indices </w:t>
      </w:r>
      <w:r w:rsidR="003C14DF">
        <w:t xml:space="preserve">equal to </w:t>
      </w:r>
      <w:r w:rsidR="00364926">
        <w:t>~0.00</w:t>
      </w:r>
      <w:r w:rsidR="008A0D76">
        <w:t xml:space="preserve"> (</w:t>
      </w:r>
      <w:r w:rsidR="00375989">
        <w:t>Appendix</w:t>
      </w:r>
      <w:r w:rsidR="008A0D76" w:rsidRPr="00D851DD">
        <w:t xml:space="preserve"> </w:t>
      </w:r>
      <w:r w:rsidR="00D851DD" w:rsidRPr="00D851DD">
        <w:t xml:space="preserve">Figure </w:t>
      </w:r>
      <w:r w:rsidR="00A41A6B">
        <w:t>1</w:t>
      </w:r>
      <w:r w:rsidR="008A0D76" w:rsidRPr="00D851DD">
        <w:t>)</w:t>
      </w:r>
      <w:r w:rsidR="00364926" w:rsidRPr="00D851DD">
        <w:t>.</w:t>
      </w:r>
      <w:r w:rsidR="00364926">
        <w:t xml:space="preserve"> </w:t>
      </w:r>
    </w:p>
    <w:p w14:paraId="70F9F139" w14:textId="77777777" w:rsidR="00061E81" w:rsidRDefault="00061E81" w:rsidP="003E53E3">
      <w:pPr>
        <w:rPr>
          <w:b/>
          <w:bCs/>
        </w:rPr>
      </w:pPr>
    </w:p>
    <w:p w14:paraId="49B265EB" w14:textId="3B7C0AF1" w:rsidR="007E1280" w:rsidRPr="00001A7B" w:rsidRDefault="00107EBF" w:rsidP="003E53E3">
      <w:pPr>
        <w:pStyle w:val="ListParagraph"/>
        <w:numPr>
          <w:ilvl w:val="0"/>
          <w:numId w:val="8"/>
        </w:numPr>
        <w:rPr>
          <w:b/>
          <w:bCs/>
        </w:rPr>
      </w:pPr>
      <w:r w:rsidRPr="006E7ECA">
        <w:rPr>
          <w:b/>
          <w:bCs/>
        </w:rPr>
        <w:t>Discussion</w:t>
      </w:r>
    </w:p>
    <w:p w14:paraId="11B8E456" w14:textId="56E00278" w:rsidR="003B4E99" w:rsidRDefault="006D191C" w:rsidP="003E53E3">
      <w:pPr>
        <w:ind w:firstLine="720"/>
        <w:rPr>
          <w:lang w:val="es-US"/>
        </w:rPr>
      </w:pPr>
      <w:r>
        <w:t xml:space="preserve">Our study contributes to a growing number of impact evaluations designed to measure the influence of </w:t>
      </w:r>
      <w:r w:rsidR="00695FDC">
        <w:t>PAs</w:t>
      </w:r>
      <w:r w:rsidR="00200B07">
        <w:t xml:space="preserve"> on conservation outcomes</w:t>
      </w:r>
      <w:r>
        <w:t xml:space="preserve">. More specifically, it adds to </w:t>
      </w:r>
      <w:r w:rsidR="00200B07">
        <w:t>the</w:t>
      </w:r>
      <w:r>
        <w:t xml:space="preserve"> small number of those studies that have </w:t>
      </w:r>
      <w:r w:rsidR="00200B07">
        <w:t xml:space="preserve">measured the moderating effect of </w:t>
      </w:r>
      <w:r w:rsidR="006578B7">
        <w:t xml:space="preserve">multiple dimensions of </w:t>
      </w:r>
      <w:r w:rsidR="00016B66">
        <w:t>PA</w:t>
      </w:r>
      <w:r w:rsidR="006578B7">
        <w:t xml:space="preserve"> management </w:t>
      </w:r>
      <w:r w:rsidR="00FA01D3">
        <w:t xml:space="preserve">effectiveness </w:t>
      </w:r>
      <w:r w:rsidR="00200B07">
        <w:t xml:space="preserve">on </w:t>
      </w:r>
      <w:r>
        <w:t>conservation outcomes</w:t>
      </w:r>
      <w:r w:rsidR="00C46BF7">
        <w:t xml:space="preserve"> </w:t>
      </w:r>
      <w:r w:rsidR="00C46BF7">
        <w:fldChar w:fldCharType="begin" w:fldLock="1"/>
      </w:r>
      <w:r w:rsidR="00726793">
        <w:instrText>ADDIN CSL_CITATION {"citationItems":[{"id":"ITEM-1","itemData":{"DOI":"10.1098/rstb.2014.0281","ISSN":"14712970","PMID":"26460133","abstract":"Protected areas (PAs) are at the forefront of conservation efforts, and yet despite considerable progress towards the global target of having 17% of the world’s land area within protected areas by 2020, biodiversity continues to decline. The discrepancy between increasing PA coverage and negative biodiversity trends has resulted in renewed efforts to enhance PA effectiveness. The global conservation community has conducted thousands of assessments of protected area management effectiveness (PAME), and interest in the use of these data to helpmeasure the conservation impact of PAmanagement interventions is high. Here, we summarize the status of PAME assessment, review the published evidence for a link between PAMEassessment results and the conservation impacts of PAs, and discuss the limitations and future use of PAME data in measuring the impact of PAmanagement interventions on conservation outcomes.We conclude that PAME data,while designed as a tool for local adaptivemanagement, may also help to provide insights into the impact of PA management interventions from the local-to-global scale. However, the subjective and ordinal characteristics of the data present significant limitations for their application in rigorous scientific impact evaluations, a problem that should be recognized and mitigated where possible.","author":[{"dropping-particle":"","family":"Coad","given":"Lauren","non-dropping-particle":"","parse-names":false,"suffix":""},{"dropping-particle":"","family":"Leverington","given":"Fiona","non-dropping-particle":"","parse-names":false,"suffix":""},{"dropping-particle":"","family":"Knights","given":"Kathryn","non-dropping-particle":"","parse-names":false,"suffix":""},{"dropping-particle":"","family":"Geldmann","given":"Jonas","non-dropping-particle":"","parse-names":false,"suffix":""},{"dropping-particle":"","family":"Eassom","given":"April","non-dropping-particle":"","parse-names":false,"suffix":""},{"dropping-particle":"","family":"Kapos","given":"Valerie","non-dropping-particle":"","parse-names":false,"suffix":""},{"dropping-particle":"","family":"Kingston","given":"Naomi","non-dropping-particle":"","parse-names":false,"suffix":""},{"dropping-particle":"De","family":"Lima","given":"Marcelo","non-dropping-particle":"","parse-names":false,"suffix":""},{"dropping-particle":"","family":"Zamora","given":"Camilo","non-dropping-particle":"","parse-names":false,"suffix":""},{"dropping-particle":"","family":"Cuardros","given":"Ivon","non-dropping-particle":"","parse-names":false,"suffix":""},{"dropping-particle":"","family":"Nolte","given":"Christoph","non-dropping-particle":"","parse-names":false,"suffix":""},{"dropping-particle":"","family":"Burgess","given":"Neil D.","non-dropping-particle":"","parse-names":false,"suffix":""},{"dropping-particle":"","family":"Hockings","given":"Marc","non-dropping-particle":"","parse-names":false,"suffix":""}],"container-title":"Philosophical Transactions of the Royal Society B: Biological Sciences","id":"ITEM-1","issue":"20140281","issued":{"date-parts":[["2015"]]},"title":"Measuring impact of protected area management interventions: current and future use of the Global Database of Protected Area Aanagement Effectiveness","type":"article-journal","volume":"370"},"uris":["http://www.mendeley.com/documents/?uuid=75d9a026-a3ca-46e3-abba-136e4f15893a"]},{"id":"ITEM-2","itemData":{"ISBN":"1111111111","author":[{"dropping-particle":"","family":"Muñoz Brenes","given":"Carlos L","non-dropping-particle":"","parse-names":false,"suffix":""},{"dropping-particle":"","family":"Jones","given":"Kelly W","non-dropping-particle":"","parse-names":false,"suffix":""},{"dropping-particle":"","family":"Schlesinger","given":"Peter","non-dropping-particle":"","parse-names":false,"suffix":""},{"dropping-particle":"","family":"Robalino","given":"Juan","non-dropping-particle":"","parse-names":false,"suffix":""},{"dropping-particle":"","family":"Vierling","given":"Lee","non-dropping-particle":"","parse-names":false,"suffix":""}],"container-title":"PLoS One","id":"ITEM-2","issue":"10","issued":{"date-parts":[["2018"]]},"title":"The impact of protected area governance and management capacity on ecosystem function in Central America","type":"article-journal","volume":"13"},"uris":["http://www.mendeley.com/documents/?uuid=d4b9d3f8-4ce4-4419-9de3-6ff7296a5611"]},{"id":"ITEM-3","itemData":{"DOI":"10.1111/conl.12434","ISSN":"1755263X","abstract":"Protecting important sites is a key strategy for halting the loss of biodiversity. How-ever, our understanding of the relationship between management inputs and biodi-versity outcomes in protected areas (PAs) remains weak. Here, we examine biodiver-sity outcomes using species population trends in PAs derived from the Living Planet Database in relation to management data derived from the Management Effective-ness Tracking Tool (METT) database for 217 population time-series from 73 PAs. We found a positive relationship between our METT-based scores for Capacity and Resources and changes in vertebrate abundance, consistent with the hypothesis that PAs require adequate resourcing to halt biodiversity loss. Additionally, PA age was","author":[{"dropping-particle":"","family":"Geldmann","given":"Jonas","non-dropping-particle":"","parse-names":false,"suffix":""},{"dropping-particle":"","family":"Coad","given":"Lauren","non-dropping-particle":"","parse-names":false,"suffix":""},{"dropping-particle":"","family":"Barnes","given":"Megan D.","non-dropping-particle":"","parse-names":false,"suffix":""},{"dropping-particle":"","family":"Craigie","given":"Ian D.","non-dropping-particle":"","parse-names":false,"suffix":""},{"dropping-particle":"","family":"Woodley","given":"Stephen","non-dropping-particle":"","parse-names":false,"suffix":""},{"dropping-particle":"","family":"Balmford","given":"Andrew","non-dropping-particle":"","parse-names":false,"suffix":""},{"dropping-particle":"","family":"Brooks","given":"Thomas M.","non-dropping-particle":"","parse-names"</w:instrText>
      </w:r>
      <w:r w:rsidR="00726793" w:rsidRPr="00726793">
        <w:rPr>
          <w:lang w:val="es-US"/>
        </w:rPr>
        <w:instrText>:false,"suffix":""},{"dropping-particle":"","family":"Hockings","given":"Marc","non-dropping-particle":"","parse-names":false,"suffix":""},{"dropping-particle":"","family":"Knights","given":"Kathryn","non-dropping-particle":"","parse-names":false,"suffix":""},{"dropping-particle":"","family":"Mascia","given":"Michael B.","non-dropping-particle":"","parse-names":false,"suffix":""},{"dropping-particle":"","family":"McRae","given":"Louise","non-dropping-particle":"","parse-names":false,"suffix":""},{"dropping-particle":"","family":"Burgess","given":"Neil D.","non-dropping-particle":"","parse-names":false,"suffix":""}],"container-title":"Conservation Letters","id":"ITEM-3","issue":"3","issued":{"date-parts":[["2018"]]},"page":"1-10","title":"A global analysis of management capacity and ecological outcomes in terrestrial protected areas","type":"article-journal","volume":"11"},"uris":["http://www.mendeley.com/documents/?uuid=0b1e6338-5828-45c6-99cc-054c7bdb6adb"]}],"mendeley":{"formattedCitation":"(Coad et al., 2015; Geldmann et al., 2018; Muñoz Brenes et al., 2018)","manualFormatting":"(e.g., Coad et al., 2015; Geldmann et al., 2018; Muñoz Brenes et al., 2018)","plainTextFormattedCitation":"(Coad et al., 2015; Geldmann et al., 2018; Muñoz Brenes et al., 2018)","previouslyFormattedCitation":"(Coad et al., 2015; Geldmann et al., 2018; Muñoz Brenes et al., 2018)"},"properties":{"noteIndex":0},"schema":"https://github.com/citation-style-language/schema/raw/master/csl-citation.json"}</w:instrText>
      </w:r>
      <w:r w:rsidR="00C46BF7">
        <w:fldChar w:fldCharType="separate"/>
      </w:r>
      <w:r w:rsidR="002672A3" w:rsidRPr="002672A3">
        <w:rPr>
          <w:noProof/>
          <w:lang w:val="es-US"/>
        </w:rPr>
        <w:t>(</w:t>
      </w:r>
      <w:r w:rsidR="00504A12">
        <w:rPr>
          <w:noProof/>
          <w:lang w:val="es-US"/>
        </w:rPr>
        <w:t xml:space="preserve">e.g., </w:t>
      </w:r>
      <w:r w:rsidR="002672A3" w:rsidRPr="002672A3">
        <w:rPr>
          <w:noProof/>
          <w:lang w:val="es-US"/>
        </w:rPr>
        <w:t>Coad et al., 2015; Geldmann et al., 2018; Muñoz Brenes et al., 2018)</w:t>
      </w:r>
      <w:r w:rsidR="00C46BF7">
        <w:fldChar w:fldCharType="end"/>
      </w:r>
      <w:r w:rsidRPr="002672A3">
        <w:rPr>
          <w:lang w:val="es-US"/>
        </w:rPr>
        <w:t xml:space="preserve">. </w:t>
      </w:r>
    </w:p>
    <w:p w14:paraId="655A9031" w14:textId="3AB0060D" w:rsidR="003B4E99" w:rsidRDefault="002216EA" w:rsidP="003E53E3">
      <w:pPr>
        <w:ind w:firstLine="720"/>
      </w:pPr>
      <w:r>
        <w:t>We</w:t>
      </w:r>
      <w:r w:rsidR="00D56096">
        <w:t xml:space="preserve"> </w:t>
      </w:r>
      <w:r w:rsidR="008F4087">
        <w:t>found</w:t>
      </w:r>
      <w:r w:rsidR="00D56096">
        <w:t xml:space="preserve"> </w:t>
      </w:r>
      <w:r w:rsidR="006F74DC">
        <w:t xml:space="preserve">that </w:t>
      </w:r>
      <w:r w:rsidR="00695FDC">
        <w:t>PAs</w:t>
      </w:r>
      <w:r w:rsidR="006F74DC">
        <w:t xml:space="preserve"> </w:t>
      </w:r>
      <w:r w:rsidR="003B4E99">
        <w:t xml:space="preserve">in general </w:t>
      </w:r>
      <w:r w:rsidR="00D56096">
        <w:t>avoid more forest loss than their match</w:t>
      </w:r>
      <w:r w:rsidR="00504A12">
        <w:t>ed</w:t>
      </w:r>
      <w:r w:rsidR="00D56096">
        <w:t xml:space="preserve"> control</w:t>
      </w:r>
      <w:r w:rsidR="00504A12">
        <w:t>s</w:t>
      </w:r>
      <w:r w:rsidR="00D56096">
        <w:t xml:space="preserve">, meaning that </w:t>
      </w:r>
      <w:r w:rsidR="00695FDC">
        <w:t>PAs</w:t>
      </w:r>
      <w:r w:rsidR="00D56096">
        <w:t xml:space="preserve"> are </w:t>
      </w:r>
      <w:r w:rsidR="003B4E99">
        <w:t xml:space="preserve">successfully </w:t>
      </w:r>
      <w:r w:rsidR="00D56096">
        <w:t xml:space="preserve">reducing deforestation across Mexico. </w:t>
      </w:r>
      <w:r w:rsidR="003B4E99">
        <w:t xml:space="preserve">Moreover, we </w:t>
      </w:r>
      <w:r w:rsidR="008F4087">
        <w:t>found</w:t>
      </w:r>
      <w:r w:rsidR="003B4E99">
        <w:t xml:space="preserve"> that </w:t>
      </w:r>
      <w:r w:rsidR="00695FDC">
        <w:t>PAs</w:t>
      </w:r>
      <w:r w:rsidR="008F4087">
        <w:t xml:space="preserve"> with </w:t>
      </w:r>
      <w:r w:rsidR="003B4E99">
        <w:t>high</w:t>
      </w:r>
      <w:r w:rsidR="008F4087">
        <w:t>er</w:t>
      </w:r>
      <w:r w:rsidR="003B4E99">
        <w:t xml:space="preserve"> overall management effectiveness scores</w:t>
      </w:r>
      <w:r w:rsidR="00B87882">
        <w:t xml:space="preserve">, as well </w:t>
      </w:r>
      <w:r w:rsidR="008F4087">
        <w:t xml:space="preserve">as those with </w:t>
      </w:r>
      <w:r w:rsidR="00B87882">
        <w:t xml:space="preserve">higher </w:t>
      </w:r>
      <w:r w:rsidR="008F4087">
        <w:t>scores</w:t>
      </w:r>
      <w:r w:rsidR="00B87882">
        <w:t xml:space="preserve"> in all five sub-categories, are associated with lower rates of forest loss</w:t>
      </w:r>
      <w:r w:rsidR="008F4087">
        <w:t xml:space="preserve"> (Figure </w:t>
      </w:r>
      <w:r w:rsidR="00B01D44">
        <w:t>5</w:t>
      </w:r>
      <w:r w:rsidR="008F4087">
        <w:t>). Our results</w:t>
      </w:r>
      <w:r w:rsidR="00B87882">
        <w:t xml:space="preserve"> emphasiz</w:t>
      </w:r>
      <w:r w:rsidR="008F4087">
        <w:t>e</w:t>
      </w:r>
      <w:r w:rsidR="00B87882">
        <w:t xml:space="preserve"> the importance of </w:t>
      </w:r>
      <w:r w:rsidR="00B61C3B">
        <w:t xml:space="preserve">improving effectiveness across </w:t>
      </w:r>
      <w:r w:rsidR="00B87882">
        <w:t>multi</w:t>
      </w:r>
      <w:r w:rsidR="00B61C3B">
        <w:t xml:space="preserve">ple </w:t>
      </w:r>
      <w:r w:rsidR="00B87882">
        <w:t>dimension</w:t>
      </w:r>
      <w:r w:rsidR="00270C8F">
        <w:t>s</w:t>
      </w:r>
      <w:r w:rsidR="00B61C3B">
        <w:t xml:space="preserve"> of </w:t>
      </w:r>
      <w:r w:rsidR="00B87882">
        <w:t xml:space="preserve">management </w:t>
      </w:r>
      <w:r w:rsidR="008F4087">
        <w:t>to ensure the greatest</w:t>
      </w:r>
      <w:r w:rsidR="00B87882">
        <w:t xml:space="preserve"> conservation outcomes. These findings also illustrate the predictive power of </w:t>
      </w:r>
      <w:r>
        <w:t>management</w:t>
      </w:r>
      <w:r w:rsidR="00B87882">
        <w:t xml:space="preserve"> assessments in </w:t>
      </w:r>
      <w:r w:rsidR="00B61C3B">
        <w:t xml:space="preserve">monitoring </w:t>
      </w:r>
      <w:r w:rsidR="00B87882">
        <w:t xml:space="preserve">terrestrial </w:t>
      </w:r>
      <w:r w:rsidR="00016B66">
        <w:t>PA</w:t>
      </w:r>
      <w:r w:rsidR="00B87882">
        <w:t xml:space="preserve"> effectiveness</w:t>
      </w:r>
      <w:r w:rsidR="00517D57">
        <w:t xml:space="preserve"> </w:t>
      </w:r>
      <w:r w:rsidR="00B87882">
        <w:t xml:space="preserve">and support their use in </w:t>
      </w:r>
      <w:r w:rsidR="00B61C3B">
        <w:t>conservation investment</w:t>
      </w:r>
      <w:r w:rsidR="00B87882">
        <w:t xml:space="preserve"> decisions.</w:t>
      </w:r>
    </w:p>
    <w:p w14:paraId="1B854C0A" w14:textId="04AD0E75" w:rsidR="00C46426" w:rsidRPr="00F76C7D" w:rsidRDefault="00CD33DF" w:rsidP="00C46426">
      <w:pPr>
        <w:ind w:firstLine="360"/>
      </w:pPr>
      <w:r>
        <w:tab/>
      </w:r>
      <w:r w:rsidR="00C2250C">
        <w:t xml:space="preserve">Results of our covariate comparison suggest that, on average, </w:t>
      </w:r>
      <w:r w:rsidR="00695FDC">
        <w:t>PAs</w:t>
      </w:r>
      <w:r w:rsidR="00986232">
        <w:t xml:space="preserve"> </w:t>
      </w:r>
      <w:r w:rsidR="00986232" w:rsidRPr="00F76C7D">
        <w:t>with</w:t>
      </w:r>
      <w:r w:rsidR="00F4655C" w:rsidRPr="00F76C7D">
        <w:t xml:space="preserve"> higher management</w:t>
      </w:r>
      <w:r w:rsidR="00986232" w:rsidRPr="00F76C7D">
        <w:t xml:space="preserve"> effectiveness</w:t>
      </w:r>
      <w:r w:rsidR="00F4655C" w:rsidRPr="00F76C7D">
        <w:t xml:space="preserve"> scores </w:t>
      </w:r>
      <w:r w:rsidR="00741C15" w:rsidRPr="00F76C7D">
        <w:t>are</w:t>
      </w:r>
      <w:r w:rsidR="00F4655C" w:rsidRPr="00F76C7D">
        <w:t xml:space="preserve"> </w:t>
      </w:r>
      <w:r w:rsidR="00EF1CBF" w:rsidRPr="00F76C7D">
        <w:t xml:space="preserve">located </w:t>
      </w:r>
      <w:r w:rsidR="00A37A10" w:rsidRPr="00F76C7D">
        <w:t xml:space="preserve">in areas </w:t>
      </w:r>
      <w:r w:rsidR="00C52A9C" w:rsidRPr="00F76C7D">
        <w:t>potentially more suitable for agriculture</w:t>
      </w:r>
      <w:r w:rsidR="00C7763D" w:rsidRPr="00F76C7D">
        <w:t xml:space="preserve"> </w:t>
      </w:r>
      <w:r w:rsidR="00A37A10" w:rsidRPr="00F76C7D">
        <w:t xml:space="preserve">compared to </w:t>
      </w:r>
      <w:r w:rsidR="00741C15" w:rsidRPr="00F76C7D">
        <w:t xml:space="preserve">those with </w:t>
      </w:r>
      <w:r w:rsidR="00A37A10" w:rsidRPr="00F76C7D">
        <w:t xml:space="preserve">low management </w:t>
      </w:r>
      <w:r w:rsidR="000D50A9" w:rsidRPr="00F76C7D">
        <w:t xml:space="preserve">effectiveness </w:t>
      </w:r>
      <w:r w:rsidR="00A37A10" w:rsidRPr="00F76C7D">
        <w:t>scores</w:t>
      </w:r>
      <w:r w:rsidR="008F4087" w:rsidRPr="00F76C7D">
        <w:t xml:space="preserve"> (</w:t>
      </w:r>
      <w:r w:rsidR="00E00624" w:rsidRPr="00F76C7D">
        <w:t>Figure 3</w:t>
      </w:r>
      <w:r w:rsidR="008F4087" w:rsidRPr="00F76C7D">
        <w:t>)</w:t>
      </w:r>
      <w:r w:rsidR="00A37A10" w:rsidRPr="00F76C7D">
        <w:t>.</w:t>
      </w:r>
      <w:r w:rsidR="001E4AD2" w:rsidRPr="00F76C7D">
        <w:t xml:space="preserve"> </w:t>
      </w:r>
      <w:r w:rsidR="00C7763D" w:rsidRPr="00F76C7D">
        <w:t>This includes</w:t>
      </w:r>
      <w:r w:rsidR="00270C8F" w:rsidRPr="00F76C7D">
        <w:t xml:space="preserve"> areas </w:t>
      </w:r>
      <w:r w:rsidR="00C52A9C" w:rsidRPr="00F76C7D">
        <w:t>at lower elevations</w:t>
      </w:r>
      <w:r w:rsidR="0093405D" w:rsidRPr="00F76C7D">
        <w:t xml:space="preserve"> </w:t>
      </w:r>
      <w:r w:rsidR="00B53825" w:rsidRPr="00F76C7D">
        <w:t>with</w:t>
      </w:r>
      <w:r w:rsidR="00C52A9C" w:rsidRPr="00F76C7D">
        <w:t xml:space="preserve"> </w:t>
      </w:r>
      <w:r w:rsidR="00B53825" w:rsidRPr="00F76C7D">
        <w:t>flatter landscapes</w:t>
      </w:r>
      <w:r w:rsidR="00C52A9C" w:rsidRPr="00F76C7D">
        <w:t xml:space="preserve">, </w:t>
      </w:r>
      <w:r w:rsidR="0093405D" w:rsidRPr="00F76C7D">
        <w:t xml:space="preserve">and areas </w:t>
      </w:r>
      <w:r w:rsidR="00C52A9C" w:rsidRPr="00F76C7D">
        <w:t xml:space="preserve">with warmer temperatures and greater rainfall. </w:t>
      </w:r>
      <w:r w:rsidR="00C46426" w:rsidRPr="00F76C7D">
        <w:t>In their global analysis,</w:t>
      </w:r>
      <w:r w:rsidR="00C46426" w:rsidRPr="00F76C7D">
        <w:rPr>
          <w:color w:val="000000" w:themeColor="text1"/>
        </w:rPr>
        <w:t xml:space="preserve"> Geldmann et al (2019) </w:t>
      </w:r>
      <w:r w:rsidR="00385460" w:rsidRPr="00F76C7D">
        <w:rPr>
          <w:color w:val="000000" w:themeColor="text1"/>
        </w:rPr>
        <w:t xml:space="preserve">also </w:t>
      </w:r>
      <w:r w:rsidR="00C46426" w:rsidRPr="00F76C7D">
        <w:rPr>
          <w:color w:val="000000" w:themeColor="text1"/>
          <w:shd w:val="clear" w:color="auto" w:fill="FFFFFF"/>
        </w:rPr>
        <w:t xml:space="preserve">found </w:t>
      </w:r>
      <w:r w:rsidR="00695FDC" w:rsidRPr="00F76C7D">
        <w:rPr>
          <w:color w:val="000000" w:themeColor="text1"/>
          <w:shd w:val="clear" w:color="auto" w:fill="FFFFFF"/>
        </w:rPr>
        <w:t>PAs</w:t>
      </w:r>
      <w:r w:rsidR="00C46426" w:rsidRPr="00F76C7D">
        <w:rPr>
          <w:color w:val="000000" w:themeColor="text1"/>
          <w:shd w:val="clear" w:color="auto" w:fill="FFFFFF"/>
        </w:rPr>
        <w:t xml:space="preserve"> with </w:t>
      </w:r>
      <w:r w:rsidR="00385460" w:rsidRPr="00F76C7D">
        <w:rPr>
          <w:color w:val="000000" w:themeColor="text1"/>
          <w:shd w:val="clear" w:color="auto" w:fill="FFFFFF"/>
        </w:rPr>
        <w:t xml:space="preserve">higher </w:t>
      </w:r>
      <w:r w:rsidR="00C46426" w:rsidRPr="00F76C7D">
        <w:rPr>
          <w:color w:val="000000" w:themeColor="text1"/>
          <w:shd w:val="clear" w:color="auto" w:fill="FFFFFF"/>
        </w:rPr>
        <w:t>management effectiveness scores to</w:t>
      </w:r>
      <w:r w:rsidR="00385460" w:rsidRPr="00F76C7D">
        <w:rPr>
          <w:color w:val="000000" w:themeColor="text1"/>
          <w:shd w:val="clear" w:color="auto" w:fill="FFFFFF"/>
        </w:rPr>
        <w:t xml:space="preserve"> contain flatter terrain and,</w:t>
      </w:r>
      <w:r w:rsidR="007564C7" w:rsidRPr="00F76C7D">
        <w:rPr>
          <w:color w:val="000000" w:themeColor="text1"/>
          <w:shd w:val="clear" w:color="auto" w:fill="FFFFFF"/>
        </w:rPr>
        <w:t xml:space="preserve"> </w:t>
      </w:r>
      <w:r w:rsidR="00C46426" w:rsidRPr="00F76C7D">
        <w:rPr>
          <w:color w:val="000000" w:themeColor="text1"/>
          <w:shd w:val="clear" w:color="auto" w:fill="FFFFFF"/>
        </w:rPr>
        <w:t xml:space="preserve">in contrast to our findings, </w:t>
      </w:r>
      <w:r w:rsidR="00385460" w:rsidRPr="00F76C7D">
        <w:rPr>
          <w:color w:val="000000" w:themeColor="text1"/>
          <w:shd w:val="clear" w:color="auto" w:fill="FFFFFF"/>
        </w:rPr>
        <w:t xml:space="preserve">in areas with </w:t>
      </w:r>
      <w:r w:rsidR="00C46426" w:rsidRPr="00F76C7D">
        <w:rPr>
          <w:color w:val="000000" w:themeColor="text1"/>
          <w:shd w:val="clear" w:color="auto" w:fill="FFFFFF"/>
        </w:rPr>
        <w:t>higher road density</w:t>
      </w:r>
      <w:r w:rsidR="00CC7B4C" w:rsidRPr="00F76C7D">
        <w:rPr>
          <w:color w:val="000000" w:themeColor="text1"/>
          <w:shd w:val="clear" w:color="auto" w:fill="FFFFFF"/>
        </w:rPr>
        <w:t>, on average</w:t>
      </w:r>
      <w:r w:rsidR="00C46426" w:rsidRPr="00F76C7D">
        <w:rPr>
          <w:color w:val="000000" w:themeColor="text1"/>
          <w:shd w:val="clear" w:color="auto" w:fill="FFFFFF"/>
        </w:rPr>
        <w:t xml:space="preserve">. </w:t>
      </w:r>
    </w:p>
    <w:p w14:paraId="3F5197C2" w14:textId="28D68BED" w:rsidR="00B86A1E" w:rsidRPr="00F76C7D" w:rsidRDefault="00293A10" w:rsidP="004F3EE9">
      <w:pPr>
        <w:ind w:firstLine="360"/>
        <w:rPr>
          <w:color w:val="000000" w:themeColor="text1"/>
        </w:rPr>
      </w:pPr>
      <w:r w:rsidRPr="00F76C7D">
        <w:t>As a result</w:t>
      </w:r>
      <w:r w:rsidR="004F3EE9" w:rsidRPr="00F76C7D">
        <w:t xml:space="preserve"> of these location characteristics</w:t>
      </w:r>
      <w:r w:rsidRPr="00F76C7D">
        <w:t xml:space="preserve">, we found </w:t>
      </w:r>
      <w:r w:rsidR="0075753A" w:rsidRPr="00F76C7D">
        <w:t xml:space="preserve">large </w:t>
      </w:r>
      <w:r w:rsidR="00C065DA" w:rsidRPr="00F76C7D">
        <w:t>difference</w:t>
      </w:r>
      <w:r w:rsidRPr="00F76C7D">
        <w:t>s</w:t>
      </w:r>
      <w:r w:rsidR="00C065DA" w:rsidRPr="00F76C7D">
        <w:t xml:space="preserve"> in </w:t>
      </w:r>
      <w:r w:rsidR="00CC7B4C" w:rsidRPr="00F76C7D">
        <w:t xml:space="preserve">the absolute </w:t>
      </w:r>
      <w:r w:rsidR="004343F0" w:rsidRPr="00F76C7D">
        <w:t xml:space="preserve">forest loss </w:t>
      </w:r>
      <w:r w:rsidR="00CC7B4C" w:rsidRPr="00F76C7D">
        <w:t xml:space="preserve">findings of our </w:t>
      </w:r>
      <w:r w:rsidR="004F3EE9" w:rsidRPr="00F76C7D">
        <w:t xml:space="preserve">high and low management effectiveness subgroup </w:t>
      </w:r>
      <w:r w:rsidR="00741C15" w:rsidRPr="00F76C7D">
        <w:t>analysis</w:t>
      </w:r>
      <w:r w:rsidR="00C065DA" w:rsidRPr="00F76C7D">
        <w:t xml:space="preserve">. </w:t>
      </w:r>
      <w:r w:rsidR="00CC7B4C" w:rsidRPr="00F76C7D">
        <w:t>U</w:t>
      </w:r>
      <w:r w:rsidR="00C065DA" w:rsidRPr="00F76C7D">
        <w:t xml:space="preserve">nprotected </w:t>
      </w:r>
      <w:r w:rsidR="00674010" w:rsidRPr="00F76C7D">
        <w:t>cells</w:t>
      </w:r>
      <w:r w:rsidR="00C065DA" w:rsidRPr="00F76C7D">
        <w:t xml:space="preserve"> matched with high management </w:t>
      </w:r>
      <w:r w:rsidR="000D50A9" w:rsidRPr="00F76C7D">
        <w:t xml:space="preserve">effectiveness </w:t>
      </w:r>
      <w:r w:rsidR="00695FDC" w:rsidRPr="00F76C7D">
        <w:t>PAs</w:t>
      </w:r>
      <w:r w:rsidR="00986232" w:rsidRPr="00F76C7D">
        <w:t xml:space="preserve"> </w:t>
      </w:r>
      <w:r w:rsidR="00C065DA" w:rsidRPr="00F76C7D">
        <w:t xml:space="preserve">experienced a much higher amount of forest loss compared to </w:t>
      </w:r>
      <w:r w:rsidR="00674010" w:rsidRPr="00F76C7D">
        <w:t xml:space="preserve">the </w:t>
      </w:r>
      <w:r w:rsidR="00C065DA" w:rsidRPr="00F76C7D">
        <w:t xml:space="preserve">unprotected </w:t>
      </w:r>
      <w:r w:rsidR="00674010" w:rsidRPr="00F76C7D">
        <w:t>cells</w:t>
      </w:r>
      <w:r w:rsidR="00C065DA" w:rsidRPr="00F76C7D">
        <w:t xml:space="preserve"> matched with low management</w:t>
      </w:r>
      <w:r w:rsidR="00986232" w:rsidRPr="00F76C7D">
        <w:t xml:space="preserve"> </w:t>
      </w:r>
      <w:r w:rsidR="000D50A9" w:rsidRPr="00F76C7D">
        <w:t xml:space="preserve">effectiveness </w:t>
      </w:r>
      <w:r w:rsidR="00695FDC" w:rsidRPr="00F76C7D">
        <w:t>PAs</w:t>
      </w:r>
      <w:r w:rsidR="00674010" w:rsidRPr="00F76C7D">
        <w:t xml:space="preserve"> in almost all matches</w:t>
      </w:r>
      <w:r w:rsidR="008F4087" w:rsidRPr="00F76C7D">
        <w:t xml:space="preserve"> (</w:t>
      </w:r>
      <w:r w:rsidR="00375989" w:rsidRPr="00F76C7D">
        <w:t>Appendix</w:t>
      </w:r>
      <w:r w:rsidR="008F4087" w:rsidRPr="00F76C7D">
        <w:t xml:space="preserve"> Table 9)</w:t>
      </w:r>
      <w:r w:rsidR="00674010" w:rsidRPr="00F76C7D">
        <w:t>.</w:t>
      </w:r>
      <w:r w:rsidR="00AE2973" w:rsidRPr="00F76C7D">
        <w:t xml:space="preserve"> </w:t>
      </w:r>
      <w:r w:rsidR="004F3EE9" w:rsidRPr="00F76C7D">
        <w:t xml:space="preserve">Additionally, </w:t>
      </w:r>
      <w:r w:rsidR="00695FDC" w:rsidRPr="00F76C7D">
        <w:t>PAs</w:t>
      </w:r>
      <w:r w:rsidR="009F14C1" w:rsidRPr="00F76C7D">
        <w:t xml:space="preserve"> </w:t>
      </w:r>
      <w:r w:rsidR="00C7763D" w:rsidRPr="00F76C7D">
        <w:t xml:space="preserve">with high management effectiveness </w:t>
      </w:r>
      <w:r w:rsidR="00446009" w:rsidRPr="00F76C7D">
        <w:t>also</w:t>
      </w:r>
      <w:r w:rsidR="00C9525E" w:rsidRPr="00F76C7D">
        <w:t xml:space="preserve"> experienc</w:t>
      </w:r>
      <w:r w:rsidR="00446009" w:rsidRPr="00F76C7D">
        <w:t>e</w:t>
      </w:r>
      <w:r w:rsidR="00C9525E" w:rsidRPr="00F76C7D">
        <w:t xml:space="preserve"> higher rates of forest loss than </w:t>
      </w:r>
      <w:r w:rsidR="00695FDC" w:rsidRPr="00F76C7D">
        <w:t>PAs</w:t>
      </w:r>
      <w:r w:rsidR="00C7763D" w:rsidRPr="00F76C7D">
        <w:t xml:space="preserve"> with low management effectiveness. </w:t>
      </w:r>
      <w:r w:rsidR="00B86A1E" w:rsidRPr="00F76C7D">
        <w:rPr>
          <w:color w:val="000000" w:themeColor="text1"/>
        </w:rPr>
        <w:t>In turn, we can conclude, that levels of management effectiveness are not randomly distributed. Rather, high management effectiveness</w:t>
      </w:r>
      <w:r w:rsidR="006046E9" w:rsidRPr="00F76C7D">
        <w:rPr>
          <w:color w:val="000000" w:themeColor="text1"/>
        </w:rPr>
        <w:t xml:space="preserve"> </w:t>
      </w:r>
      <w:r w:rsidR="006046E9" w:rsidRPr="00F76C7D">
        <w:t>appears to be more common in PAs that face higher threats. This could be due to more investment in high risk areas, but would require additional research to tease out the cause of this relationship</w:t>
      </w:r>
      <w:r w:rsidR="006046E9" w:rsidRPr="00F76C7D">
        <w:rPr>
          <w:color w:val="000000" w:themeColor="text1"/>
        </w:rPr>
        <w:t xml:space="preserve">. </w:t>
      </w:r>
    </w:p>
    <w:p w14:paraId="0EA1B6BE" w14:textId="0B23453B" w:rsidR="00430F1F" w:rsidRDefault="00B86A1E" w:rsidP="004F3EE9">
      <w:pPr>
        <w:ind w:firstLine="360"/>
      </w:pPr>
      <w:r w:rsidRPr="00F76C7D">
        <w:rPr>
          <w:color w:val="000000" w:themeColor="text1"/>
        </w:rPr>
        <w:t>W</w:t>
      </w:r>
      <w:r w:rsidR="00680E80" w:rsidRPr="00F76C7D">
        <w:rPr>
          <w:color w:val="000000" w:themeColor="text1"/>
        </w:rPr>
        <w:t>hen compared to a</w:t>
      </w:r>
      <w:r w:rsidR="00C9525E" w:rsidRPr="00F76C7D">
        <w:rPr>
          <w:color w:val="000000" w:themeColor="text1"/>
        </w:rPr>
        <w:t xml:space="preserve"> counterfactual</w:t>
      </w:r>
      <w:r w:rsidR="00680E80" w:rsidRPr="00F76C7D">
        <w:rPr>
          <w:color w:val="000000" w:themeColor="text1"/>
        </w:rPr>
        <w:t xml:space="preserve"> in our subgroup analysis</w:t>
      </w:r>
      <w:r w:rsidR="00C9525E" w:rsidRPr="00F76C7D">
        <w:rPr>
          <w:color w:val="000000" w:themeColor="text1"/>
        </w:rPr>
        <w:t xml:space="preserve">, </w:t>
      </w:r>
      <w:r w:rsidR="00695FDC" w:rsidRPr="00F76C7D">
        <w:rPr>
          <w:color w:val="000000" w:themeColor="text1"/>
        </w:rPr>
        <w:t>PAs</w:t>
      </w:r>
      <w:r w:rsidR="00135434" w:rsidRPr="00F76C7D">
        <w:rPr>
          <w:color w:val="000000" w:themeColor="text1"/>
        </w:rPr>
        <w:t xml:space="preserve"> with high management </w:t>
      </w:r>
      <w:r w:rsidR="00135434" w:rsidRPr="00F76C7D">
        <w:t>effectiveness</w:t>
      </w:r>
      <w:r w:rsidR="00C9525E" w:rsidRPr="00F76C7D">
        <w:t xml:space="preserve"> </w:t>
      </w:r>
      <w:r w:rsidR="00517D57" w:rsidRPr="00F76C7D">
        <w:t xml:space="preserve">are found to </w:t>
      </w:r>
      <w:r w:rsidR="00C9525E" w:rsidRPr="00F76C7D">
        <w:t>prevent a greater degree of forest loss</w:t>
      </w:r>
      <w:r w:rsidR="009F14C1" w:rsidRPr="00F76C7D">
        <w:rPr>
          <w:color w:val="000000" w:themeColor="text1"/>
        </w:rPr>
        <w:t xml:space="preserve"> compared to</w:t>
      </w:r>
      <w:r w:rsidR="00C9525E" w:rsidRPr="00F76C7D">
        <w:rPr>
          <w:color w:val="000000" w:themeColor="text1"/>
        </w:rPr>
        <w:t xml:space="preserve"> th</w:t>
      </w:r>
      <w:r w:rsidR="00135434" w:rsidRPr="00F76C7D">
        <w:rPr>
          <w:color w:val="000000" w:themeColor="text1"/>
        </w:rPr>
        <w:t>ose with low management effectiveness</w:t>
      </w:r>
      <w:r w:rsidR="00446009" w:rsidRPr="00F76C7D">
        <w:rPr>
          <w:color w:val="000000" w:themeColor="text1"/>
        </w:rPr>
        <w:t xml:space="preserve">, </w:t>
      </w:r>
      <w:r w:rsidR="00270C8F" w:rsidRPr="00F76C7D">
        <w:rPr>
          <w:color w:val="000000" w:themeColor="text1"/>
        </w:rPr>
        <w:t>resulting</w:t>
      </w:r>
      <w:r w:rsidR="00446009" w:rsidRPr="00F76C7D">
        <w:rPr>
          <w:color w:val="000000" w:themeColor="text1"/>
        </w:rPr>
        <w:t xml:space="preserve"> in a higher treatment effect </w:t>
      </w:r>
      <w:r w:rsidR="00061883" w:rsidRPr="00F76C7D">
        <w:rPr>
          <w:color w:val="000000" w:themeColor="text1"/>
        </w:rPr>
        <w:t xml:space="preserve">(Figure </w:t>
      </w:r>
      <w:r w:rsidR="00E00624" w:rsidRPr="00F76C7D">
        <w:rPr>
          <w:color w:val="000000" w:themeColor="text1"/>
        </w:rPr>
        <w:t>4</w:t>
      </w:r>
      <w:r w:rsidR="00061883" w:rsidRPr="00F76C7D">
        <w:rPr>
          <w:color w:val="000000" w:themeColor="text1"/>
        </w:rPr>
        <w:t>)</w:t>
      </w:r>
      <w:r w:rsidR="00C9525E" w:rsidRPr="00F76C7D">
        <w:rPr>
          <w:color w:val="000000" w:themeColor="text1"/>
        </w:rPr>
        <w:t>.</w:t>
      </w:r>
      <w:r w:rsidR="005678CD" w:rsidRPr="00F76C7D">
        <w:rPr>
          <w:color w:val="000000" w:themeColor="text1"/>
        </w:rPr>
        <w:t xml:space="preserve"> </w:t>
      </w:r>
      <w:r w:rsidR="00023832" w:rsidRPr="00F76C7D">
        <w:rPr>
          <w:color w:val="000000" w:themeColor="text1"/>
        </w:rPr>
        <w:t xml:space="preserve">Overall, while high management effectiveness areas experience more forest loss, they also prevent more loss than would have occurred without any management intervention. </w:t>
      </w:r>
      <w:r w:rsidR="002A709B" w:rsidRPr="00F76C7D">
        <w:t>W</w:t>
      </w:r>
      <w:r w:rsidR="008711DB" w:rsidRPr="00F76C7D">
        <w:t>hen controlling for imbalances in the matched pairs</w:t>
      </w:r>
      <w:r w:rsidR="008F4087" w:rsidRPr="00F76C7D">
        <w:t xml:space="preserve"> </w:t>
      </w:r>
      <w:r w:rsidR="009F14C1" w:rsidRPr="00F76C7D">
        <w:t>using a</w:t>
      </w:r>
      <w:r w:rsidR="008711DB" w:rsidRPr="00F76C7D">
        <w:t xml:space="preserve"> post-match regression and the interaction </w:t>
      </w:r>
      <w:r w:rsidR="006C5A10" w:rsidRPr="00F76C7D">
        <w:t xml:space="preserve">regression </w:t>
      </w:r>
      <w:r w:rsidR="008711DB" w:rsidRPr="00F76C7D">
        <w:t>model</w:t>
      </w:r>
      <w:r w:rsidR="009F14C1" w:rsidRPr="00F76C7D">
        <w:t>s,</w:t>
      </w:r>
      <w:r w:rsidR="006C5A10" w:rsidRPr="00F76C7D">
        <w:t xml:space="preserve"> </w:t>
      </w:r>
      <w:r w:rsidR="00B61C3B" w:rsidRPr="00F76C7D">
        <w:t>we found higher scores in all</w:t>
      </w:r>
      <w:r w:rsidR="008F4087" w:rsidRPr="00F76C7D">
        <w:t xml:space="preserve"> five</w:t>
      </w:r>
      <w:r w:rsidR="008711DB" w:rsidRPr="00F76C7D">
        <w:t xml:space="preserve"> </w:t>
      </w:r>
      <w:r w:rsidR="00FD610B" w:rsidRPr="00F76C7D">
        <w:t xml:space="preserve">management </w:t>
      </w:r>
      <w:r w:rsidR="008711DB" w:rsidRPr="00F76C7D">
        <w:t>categories</w:t>
      </w:r>
      <w:r w:rsidR="00B61C3B" w:rsidRPr="00F76C7D">
        <w:t xml:space="preserve"> to be associated with lower rates of forest loss</w:t>
      </w:r>
      <w:r w:rsidR="008711DB" w:rsidRPr="00F76C7D">
        <w:t xml:space="preserve">. </w:t>
      </w:r>
      <w:r w:rsidR="005678CD" w:rsidRPr="00F76C7D">
        <w:t>These findings</w:t>
      </w:r>
      <w:r w:rsidR="00517D57" w:rsidRPr="00F76C7D">
        <w:t xml:space="preserve"> </w:t>
      </w:r>
      <w:r w:rsidR="005678CD" w:rsidRPr="00F76C7D">
        <w:t>illustrate the importance of quasi-experimental impact evaluation methods that</w:t>
      </w:r>
      <w:r w:rsidR="005678CD">
        <w:t xml:space="preserve"> </w:t>
      </w:r>
      <w:r w:rsidR="00FD610B">
        <w:lastRenderedPageBreak/>
        <w:t xml:space="preserve">utilize </w:t>
      </w:r>
      <w:r w:rsidR="005678CD">
        <w:t>a counterfactual</w:t>
      </w:r>
      <w:r w:rsidR="00FD610B">
        <w:t xml:space="preserve"> to compare observed differences</w:t>
      </w:r>
      <w:r w:rsidR="005678CD">
        <w:t xml:space="preserve">. </w:t>
      </w:r>
      <w:r w:rsidR="008711DB">
        <w:t xml:space="preserve">The influence of each management category </w:t>
      </w:r>
      <w:r w:rsidR="00065F5C">
        <w:t>is</w:t>
      </w:r>
      <w:r w:rsidR="008711DB" w:rsidRPr="008711DB">
        <w:t xml:space="preserve"> discussed in turn below. </w:t>
      </w:r>
    </w:p>
    <w:p w14:paraId="19F5317E" w14:textId="77777777" w:rsidR="00430F1F" w:rsidRPr="00430F1F" w:rsidRDefault="00430F1F" w:rsidP="003E53E3">
      <w:pPr>
        <w:ind w:firstLine="360"/>
      </w:pPr>
    </w:p>
    <w:p w14:paraId="6C41E75D" w14:textId="534A0CA9" w:rsidR="005A18AE" w:rsidRDefault="0031200D" w:rsidP="003E53E3">
      <w:pPr>
        <w:pStyle w:val="ListParagraph"/>
        <w:numPr>
          <w:ilvl w:val="1"/>
          <w:numId w:val="8"/>
        </w:numPr>
      </w:pPr>
      <w:r>
        <w:rPr>
          <w:i/>
          <w:iCs/>
        </w:rPr>
        <w:t xml:space="preserve"> </w:t>
      </w:r>
      <w:r w:rsidR="005A18AE" w:rsidRPr="00EC4FA7">
        <w:rPr>
          <w:i/>
          <w:iCs/>
        </w:rPr>
        <w:t>Influence of management</w:t>
      </w:r>
      <w:r w:rsidR="005A18AE">
        <w:t xml:space="preserve"> </w:t>
      </w:r>
      <w:r w:rsidR="00EC4FA7">
        <w:rPr>
          <w:i/>
          <w:iCs/>
        </w:rPr>
        <w:t>by category</w:t>
      </w:r>
    </w:p>
    <w:p w14:paraId="3BB996BB" w14:textId="57DAD810" w:rsidR="00CD421A" w:rsidRPr="008711DB" w:rsidRDefault="00EF1CBF" w:rsidP="003E53E3">
      <w:pPr>
        <w:ind w:firstLine="720"/>
      </w:pPr>
      <w:r>
        <w:t>T</w:t>
      </w:r>
      <w:r w:rsidR="007F7BC7">
        <w:t>he management category with the greate</w:t>
      </w:r>
      <w:r w:rsidR="00046AF1">
        <w:t>st</w:t>
      </w:r>
      <w:r w:rsidR="007F7BC7">
        <w:t xml:space="preserve"> </w:t>
      </w:r>
      <w:r w:rsidR="00543F2C">
        <w:t>influence</w:t>
      </w:r>
      <w:r w:rsidR="007F7BC7">
        <w:t xml:space="preserve"> </w:t>
      </w:r>
      <w:r w:rsidR="00543F2C">
        <w:t>over</w:t>
      </w:r>
      <w:r w:rsidR="00F42308">
        <w:t xml:space="preserve"> </w:t>
      </w:r>
      <w:r w:rsidR="007F7BC7">
        <w:t xml:space="preserve">forest loss was </w:t>
      </w:r>
      <w:r w:rsidR="00510160">
        <w:t xml:space="preserve">the </w:t>
      </w:r>
      <w:r w:rsidR="007F7BC7">
        <w:t>administrati</w:t>
      </w:r>
      <w:r w:rsidR="00510160">
        <w:t>on</w:t>
      </w:r>
      <w:r w:rsidR="00931E90">
        <w:t xml:space="preserve"> and finance</w:t>
      </w:r>
      <w:r w:rsidR="007F7BC7">
        <w:t xml:space="preserve"> </w:t>
      </w:r>
      <w:r w:rsidR="00510160" w:rsidRPr="00DE0C67">
        <w:t>category</w:t>
      </w:r>
      <w:r w:rsidR="00475322">
        <w:t>,</w:t>
      </w:r>
      <w:r w:rsidR="000A1525">
        <w:t xml:space="preserve"> which </w:t>
      </w:r>
      <w:r w:rsidR="00475322">
        <w:t xml:space="preserve">measures whether or not the </w:t>
      </w:r>
      <w:r w:rsidR="00016B66">
        <w:t>PA</w:t>
      </w:r>
      <w:r w:rsidR="00475322">
        <w:t xml:space="preserve"> has </w:t>
      </w:r>
      <w:r w:rsidR="000A1525">
        <w:t>sufficient human and financial resources</w:t>
      </w:r>
      <w:r w:rsidR="00543F2C" w:rsidRPr="00DE0C67">
        <w:t xml:space="preserve"> (</w:t>
      </w:r>
      <w:r w:rsidR="00DE0C67">
        <w:t xml:space="preserve">Figure </w:t>
      </w:r>
      <w:r w:rsidR="00B01D44">
        <w:t>5</w:t>
      </w:r>
      <w:r w:rsidR="00543F2C">
        <w:t>)</w:t>
      </w:r>
      <w:r w:rsidR="007F7BC7">
        <w:t xml:space="preserve">. </w:t>
      </w:r>
      <w:r w:rsidR="00543F2C">
        <w:t xml:space="preserve">Our results support prior research pointing to the importance of financial and administrative resources </w:t>
      </w:r>
      <w:r w:rsidR="00B25198">
        <w:t xml:space="preserve">in </w:t>
      </w:r>
      <w:r w:rsidR="00695FDC">
        <w:t>PAs</w:t>
      </w:r>
      <w:r w:rsidR="00B25198">
        <w:t xml:space="preserve"> </w:t>
      </w:r>
      <w:r w:rsidR="00B25198">
        <w:fldChar w:fldCharType="begin" w:fldLock="1"/>
      </w:r>
      <w:r w:rsidR="00A46512">
        <w:instrText>ADDIN CSL_CITATION {"citationItems":[{"id":"ITEM-1","itemData":{"author":[{"dropping-particle":"","family":"Barnes","given":"M","non-dropping-particle":"","parse-names":false,"suffix":""},{"dropping-particle":"","family":"Craigie","given":"I D","non-dropping-particle":"","parse-names":false,"suffix":""},{"dropping-particle":"","family":"Hockings","given":"M","non-dropping-particle":"","parse-names":false,"suffix":""}],"container-title":"Protected Areas: Are They Safeguarding Biodiveristy?","edition":"First","editor":[{"dropping-particle":"","family":"Joppa","given":"Luccas N.","non-dropping-particle":"","parse-names":false,"suffix":""},{"dropping-particle":"","family":"Ballie","given":"Jonathan E. M.","non-dropping-particle":"","parse-names":false,"suffix":""},{"dropping-particle":"","family":"Robinson","given":"John G.","non-dropping-particle":"","parse-names":false,"suffix":""}],"id":"ITEM-1","issued":{"date-parts":[["2016"]]},"publisher":"John Wiley &amp; Sons, Ltd.","title":"Towards Understanding Drivers of Wildlife Population Trends in Terrestrial Protected Areas","type":"chapter"},"uris":["http://www.mendeley.com/documents/?uuid=d5617d50-be7a-4e1e-8595-0c94b9c342d3"]},{"id":"ITEM-2","itemData":{"DOI":"10.1016/j.gloenvcha.2014.12.004","ISBN":"09593780","ISSN":"09593780","abstract":"Although developing countries have established scores of new protected areas over the past three decades, they often amount to little more than \"paper parks\" that are chronically short of the financial, human, and technical resources needed for effective management. It is not clear whether and how severely under-resourced parks affect deforestation. In principle, they could either stem it by, for example, creating an expectation of future enforcement, or they could spur it by, for example, creating open access regimes. We examine the effect of Mexico's natural protected areas (NPAs) on deforestation from 1993 to 2000, a period when forest clearing was rampant and the vast majority of protected areas had negligible resources or management. We use high-resolution satellite data to measure deforestation and (covariate and propensity score) matching to control for NPAs' nonrandom siting and for spillovers. Our broad finding is that Mexico's paper parks had heterogeneous effects both inside and outside their borders. More specifically, at the national-level, we cannot reject the null hypothesis that NPAs had zero average effect on clearing inside their borders, nor can we reject a similar hypothesis for spillover clearing outside their borders. However, we can detect statistically and economically significant inside- and outside-NPA effects for certain geographic regions. Moreover, these effects have different signs depending on the region. Finally, we find that NPAs with certain characteristics were more effective at stemming deforestation inside their borders, namely, those that were large, new, mixed use, and relatively well-funded. Taken together, these results suggest that paper parks have the potential to either reduce or exacerbate tropical deforestation and highlight the need for further research on the conditions that lead to each outcome.","author":[{"dropping-particle":"","family":"Blackman","given":"Allen","non-dropping-particle":"","parse-names":false,"suffix":""},{"dropping-particle":"","family":"Pfaff","given":"Alexander","non-dropping-particle":"","parse-names":false,"suffix":""},{"dropping-particle":"","family":"Robalino","given":"Juan","non-dropping-particle":"","parse-names":false,"suffix":""}],"container-title":"Global Environmental Change","id":"ITEM-2","issued":{"date-parts":[["2015"]]},"page":"50-61","publisher":"Elsevier Ltd","title":"Paper park performance: Mexico's natural protected areas in the 1990s","type":"article-journal","volume":"31"},"uris":["http://www.mendeley.com/documents/?uuid=a997e4a4-4c14-435a-968e-2d7524d36587"]},{"id":"ITEM-3","itemData":{"DOI":"10.1038/nature21708","ISSN":"0028-0836","author":[{"dropping-particle":"","family":"Gill","given":"David A","non-dropping-particle":"","parse-names":false,"suffix":""},{"dropping-particle":"","family":"Mascia","given":"Michael B","non-dropping-particle":"","parse-names":false,"suffix":""},{"dropping-particle":"","family":"Ahmadia","given":"Gabby N","non-dropping-particle":"","parse-names":false,"suffix":""},{"dropping-particle":"","family":"Glew","given":"Louise","non-dropping-particle":"","parse-names":false,"suffix":""},{"dropping-particle":"","family":"Lester","given":"Sarah E","non-dropping-particle":"","parse-names":false,"suffix":""},{"dropping-particle":"","family":"Barnes","given":"Megan","non-dropping-particle":"","parse-names":false,"suffix":""},{"dropping-particle":"","family":"Craigie","given":"Ian","non-dropping-particle":"","parse-names":false,"suffix":""},{"dropping-particle":"","family":"Gates","given":"Ruth D","non-dropping-particle":"","parse-names":false,"suffix":""},{"dropping-particle":"","family":"Guannel","given":"Greg","non-dropping-particle":"","parse-names":false,"suffix":""},{"dropping-particle":"","family":"Mumby","given":"Peter J","non-dropping-particle":"","parse-names":false,"suffix":""},{"dropping-particle":"","family":"Thomas","given":"Hannah","non-dropping-particle":"","parse-names":false,"suffix":""},{"dropping-particle":"","family":"Whitmee","given":"Sarah","non-dropping-particle":"","parse-names":false,"suffix":""}],"container-title":"Nature Publishing Group","id":"ITEM-3","issue":"7647","issued":{"date-parts":[["2017"]]},"note":"Staff and budget capacity were the strongest predictors of conservation impact: MPAs with adequate staff capacity had ecological effects 2.9 times greater than MPAs with inadequate capacity.\n\nQualitative examination of the MPA man- agement data indicated that additional staff resources were needed to support monitoring, enforcement, administration, community engagement and sustainable tourism activities","page":"665-669","publisher":"Nature Publishing Group","title":"Capacity shortfalls hinder the performance of marine protected areas globally","type":"article-journal","volume":"543"},"uris":["http://www.mendeley.com/documents/?uuid=b8ec330d-e4b2-4cfb-8d1d-e29c8d437315"]},{"id":"ITEM-4","itemData":{"DOI":"10.1002/fee.2042","author":[{"dropping-particle":"","family":"Coad","given":"Lauren","non-dropping-particle":"","parse-names":false,"suffix":""},{"dropping-particle":"","family":"Watson","given":"James E M","non-dropping-particle":"","parse-names":false,"suffix":""},{"dropping-particle":"","family":"Geldmann","given":"Jonas","non-dropping-particle":"","parse-names":false,"suffix":""},{"dropping-particle":"","family":"Burgess","given":"Neil D","non-dropping-particle":"","parse-names":false,"suffix":""},{"dropping-particle":"","family":"Leverington","given":"Fiona","non-dropping-particle":"","parse-names":false,"suffix":""},{"dropping-particle":"","family":"Hockings","given":"Marc","non-dropping-particle":"","parse-names":false,"suffix":""},{"dropping-particle":"","family":"Knights","given":"Kathryn","non-dropping-particle":"","parse-names":false,"suffix":""},{"dropping-particle":"Di","family":"Marco","given":"Moreno","non-dropping-particle":"","parse-names":false,"suffix":""}],"container-title":"Frontiers in Ecology and the Environment","id":"ITEM-4","issued":{"date-parts":[["2019"]]},"page":"259-264","title":"Widespread shortfalls in protected area resourcing undermine efforts to conserve biodiversity","type":"article-journal","volume":"259"},"uris":["http://www.mendeley.com/documents/?uuid=94ccba7c-262c-4cb2-8d36-3f4833143699"]},{"id":"ITEM-5","itemData":{"author":[{"dropping-particle":"","family":"Bruner","given":"Aaron G","non-dropping-particle":"","parse-names":false,"suffix":""},{"dropping-particle":"","family":"Gullison","given":"Raymond E","non-dropping-particle":"","parse-names":false,"suffix":""},{"dropping-particle":"","family":"Rice","given":"Richard E","non-dropping-particle":"","parse-names":false,"suffix":""},{"dropping-particle":"","family":"Fonseca","given":"Gustavo A B","non-dropping-particle":"","parse-names":false,"suffix":""}],"container-title":"Science","id":"ITEM-5","issue":"5501","issued":{"date-parts":[["2001"]]},"page":"125-128","title":"Effectiveness of Parks in Protecting Tropical Biodiversity","type":"article-journal","volume":"291"},"uris":["http://www.mendeley.com/documents/?uuid=6e45f017-7f26-476d-b02d-90d62ea110de"]},{"id":"ITEM-6","itemData":{"DOI":"10.1111/nyas.13154","ISBN":"1749-6632 (Electronic) 0077-8923 (Linking)","ISSN":"17496632","PMID":"27589395","abstract":"Conservation relies heavily on protected areas (PAs) maintaining their key biodiversity features to meet global biodiversity conservation goals. However, PAs have had variable success, with many failing to fully maintain their biodiversity features. The current literature concerning what drives variability in PA performance is rapidly expanding but unclear, sometimes contradictory, and spread across multiple disciplines. A clear understanding of the drivers of successful biodiversity conservation in PAs is necessary to make them fully effective. Here, we conduct a comprehensive assessment of the current state of knowledge concerning the drivers of biological outcomes within PAs, focusing on those that can be addressed at local scales. We evaluate evidence in support of potential drivers to identify those that enable more successful outcomes and those that impede success and provide a synthetic review. Interactions are discussed where they are known, and we highlight gaps in understanding. We find that elements of PA design, management, and local and national governance challenges, species and system ecology, and sociopolitical context can all influence outcomes. Adjusting PA management to focus on actions and policies that influence the key drivers identified here could improve global biodiversity outcomes.","author":[{"dropping-particle":"","family":"Barnes","given":"Megan D.","non-dropping-particle":"","parse-names":false,"suffix":""},{"dropping-particle":"","family":"Craigie","given":"Ian D.","non-dropping-particle":"","parse-names":false,"suffix":""},{"dropping-particle":"","family":"Dudley","given":"Nigel","non-dropping-particle":"","parse-names":false,"suffix":""},{"dropping-particle":"","family":"Hockings","given":"Marc","non-dropping-particle":"","parse-names":false,"suffix":""}],"container-title":"Annals of the New York Academy of Sciences","id":"ITEM-6","issue":"1","issued":{"date-parts":[["2017"]]},"note":"Gaston et al (26)\n\nhighly dependent on social context (46)\n\nlimited empirical evidence for good governance (47)\n\n“supportive civil and political environment” had one of the strongest relationships with both positive biodiver- sity outcomes and improvement in management effectiveness scores.62\n\n152 - V &amp;amp; VI assessments\n\n172,173,174, 156, 133, 32, 195, 196, 197","page":"42-60","title":"Understanding local-scale drivers of biodiversity outcomes in terrestrial protected areas","type":"article-journal","volume":"1399"},"uris":["http://www.mendeley.com/documents/?uuid=be47d09f-af35-469d-8d22-a7e08fdf9149"]}],"mendeley":{"formattedCitation":"(M. Barnes, Craigie, &amp; Hockings, 2016; M. D. Barnes, Craigie, Dudley, &amp; Hockings, 2017; Blackman et al., 2015; Bruner, Gullison, Rice, &amp; Fonseca, 2001; Coad et al., 2019; Gill et al., 2017)","manualFormatting":"(Barnes, Craigie, &amp; Hockings, 2016; Barnes, Craigie, Dudley, &amp; Hockings, 2017; Blackman et al., 2015; Bruner, Gullison, Rice, &amp; Fonseca, 2001; Coad et al., 2019; Gill et al., 2017)","plainTextFormattedCitation":"(M. Barnes, Craigie, &amp; Hockings, 2016; M. D. Barnes, Craigie, Dudley, &amp; Hockings, 2017; Blackman et al., 2015; Bruner, Gullison, Rice, &amp; Fonseca, 2001; Coad et al., 2019; Gill et al., 2017)","previouslyFormattedCitation":"(M. Barnes, Craigie, &amp; Hockings, 2016; M. D. Barnes, Craigie, Dudley, &amp; Hockings, 2017; Blackman et al., 2015; Bruner, Gullison, Rice, &amp; Fonseca, 2001; Coad et al., 2019; Gill et al., 2017)"},"properties":{"noteIndex":0},"schema":"https://github.com/citation-style-language/schema/raw/master/csl-citation.json"}</w:instrText>
      </w:r>
      <w:r w:rsidR="00B25198">
        <w:fldChar w:fldCharType="separate"/>
      </w:r>
      <w:r w:rsidR="002D1C9B" w:rsidRPr="002D1C9B">
        <w:rPr>
          <w:noProof/>
        </w:rPr>
        <w:t>(Barnes, Craigie, &amp; Hockings, 2016; Barnes, Craigie, Dudley, &amp; Hockings, 2017; Blackman et al., 2015; Bruner, Gullison, Rice, &amp; Fonseca, 2001; Coad et al., 2019; Gill et al., 2017)</w:t>
      </w:r>
      <w:r w:rsidR="00B25198">
        <w:fldChar w:fldCharType="end"/>
      </w:r>
      <w:r w:rsidR="00B25198">
        <w:t xml:space="preserve"> and in conservation </w:t>
      </w:r>
      <w:r w:rsidR="00046AF1">
        <w:t>more broadly</w:t>
      </w:r>
      <w:r w:rsidR="0083464A">
        <w:t xml:space="preserve"> </w:t>
      </w:r>
      <w:r w:rsidR="0083464A">
        <w:fldChar w:fldCharType="begin" w:fldLock="1"/>
      </w:r>
      <w:r w:rsidR="00FB7337">
        <w:instrText>ADDIN CSL_CITATION {"citationItems":[{"id":"ITEM-1","itemData":{"DOI":"10.1038/nature24295","ISSN":"14764687","abstract":"© 2017 Macmillan Publishers Limited, part of Springer Nature. All rights reserved. Halting global biodiversity loss is central to the Convention on Biological Diversity and United Nations Sustainable Development Goals, but success to date has been very limited. A critical determinant of success in achieving these goals is the financing that is committed to maintaining biodiversity; however, financing decisions are hindered by considerable uncertainty over the likely impact of any conservation investment. For greater effectiveness, we need an evidence-based model that shows how conservation spending quantitatively reduces the rate of biodiversity loss. Here we demonstrate such a model, and empirically quantify how conservation investment between 1996 and 2008 reduced biodiversity loss in 109 countries (signatories to the Convention on Biological Diversity and Sustainable Development Goals), by a median average of 29% per country. We also show that biodiversity changes in signatory countries can be predicted with high accuracy, using a dual model that balances the effects of conservation investment against those of economic, agricultural and population growth (human development pressures). Decision-makers can use this model to forecast the improvement that any proposed biodiversity budget would achieve under various scenarios of human development pressure, and then compare these forecasts to any chosen policy target. We find that the impact of spending decreases as human development pressures grow, which implies that funding may need to increase over time. The model offers a flexible tool for balancing the Sustainable Development Goals of human development and maintaining biodiversity, by predicting the dynamic changes in conservation finance that will be needed as human development proceeds.","author":[{"dropping-particle":"","family":"Waldron","given":"Anthony","non-dropping-particle":"","parse-names":false,"suffix":""},{"dropping-particle":"","family":"Miller","given":"Daniel C.","non-dropping-particle":"","parse-names":false,"suffix":""},{"dropping-particle":"","family":"Redding","given":"Dave","non-dropping-particle":"","parse-names":false,"suffix":""},{"dropping-particle":"","family":"Mooers","given":"Arne","non-dropping-particle":"","parse-names":false,"suffix":""},{"dropping-particle":"","family":"Kuhn","given":"Tyler S.","non-dropping-particle":"","parse-names":false,"suffix":""},{"dropping-particle":"","family":"Nibbelink","given":"Nate","non-dropping-particle":"","parse-names":false,"suffix":""},{"dropping-particle":"","family":"Roberts","given":"J. Timmons","non-dropping-particle":"","parse-names":false,"suffix":""},{"dropping-particle":"","family":"Tobias","given":"Joseph A.","non-dropping-particle":"","parse-names":false,"suffix":""},{"dropping-particle":"","family":"Gittleman","given":"John L.","non-dropping-particle":"","parse-names":false,"suffix":""}],"container-title":"Nature","id":"ITEM-1","issue":"7680","issued":{"date-parts":[["2017"]]},"page":"364-367","publisher":"Nature Publishing Group","title":"Reductions in global biodiversity loss predicted from conservation spending","type":"article-journal","volume":"551"},"uris":["http://www.mendeley.com/documents/?uuid=1df2ef2e-0a2b-407c-a235-ad7841ab25ac"]}],"mendeley":{"formattedCitation":"(Waldron et al., 2017)","plainTextFormattedCitation":"(Waldron et al., 2017)","previouslyFormattedCitation":"(Waldron et al., 2017)"},"properties":{"noteIndex":0},"schema":"https://github.com/citation-style-language/schema/raw/master/csl-citation.json"}</w:instrText>
      </w:r>
      <w:r w:rsidR="0083464A">
        <w:fldChar w:fldCharType="separate"/>
      </w:r>
      <w:r w:rsidR="0083464A" w:rsidRPr="0083464A">
        <w:rPr>
          <w:noProof/>
        </w:rPr>
        <w:t>(Waldron et al., 2017)</w:t>
      </w:r>
      <w:r w:rsidR="0083464A">
        <w:fldChar w:fldCharType="end"/>
      </w:r>
      <w:r w:rsidR="00B25198">
        <w:t>.</w:t>
      </w:r>
      <w:r w:rsidR="00A67D8C">
        <w:t xml:space="preserve"> </w:t>
      </w:r>
      <w:r w:rsidR="00046AF1">
        <w:t xml:space="preserve">Additionally, in a global management effectiveness impact evaluation, Geldmann et al. (2018) found “capacity and resources” to be the only management category significantly related to changes in vertebrate abundance. </w:t>
      </w:r>
      <w:r w:rsidR="00FB7337">
        <w:t>Financial resources are often interlinked with human capacity (</w:t>
      </w:r>
      <w:r w:rsidR="00046AF1">
        <w:t>e.g</w:t>
      </w:r>
      <w:r w:rsidR="00FB7337">
        <w:t xml:space="preserve">., number of staff and staff training) and can enable better management practices </w:t>
      </w:r>
      <w:r w:rsidR="007926B5">
        <w:t>for</w:t>
      </w:r>
      <w:r w:rsidR="00FB7337">
        <w:t xml:space="preserve"> planning and enforcement of </w:t>
      </w:r>
      <w:r w:rsidR="00016B66">
        <w:t>PA</w:t>
      </w:r>
      <w:r w:rsidR="00FB7337">
        <w:t xml:space="preserve"> restrictions </w:t>
      </w:r>
      <w:r w:rsidR="00FB7337">
        <w:fldChar w:fldCharType="begin" w:fldLock="1"/>
      </w:r>
      <w:r w:rsidR="00270899">
        <w:instrText>ADDIN CSL_CITATION {"citationItems":[{"id":"ITEM-1","itemData":{"DOI":"10.1007/s00267-010-9564-5","ISBN":"0364-152X","ISSN":"0364152X","PMID":"20859627","abstract":"We compiled details of over 8000 assessments of protected area management effectiveness across the world and developed a method for analyzing results across diverse assessment methodologies and indicators. Data was compiled and analyzed for over 4000 of these sites. Management of these protected areas varied from weak to effective, with about 40% showing major deficiencies. About 14% of the surveyed areas showed significant deficiencies across many management effectiveness indicators and hence lacked basic requirements to operate effectively. Strongest management factors recorded on average related to establishment of protected areas (legal establishment, design, legislation and boundary marking) and to effectiveness of governance; while the weakest aspects of management included community benefit programs, resourcing (funding reliability and adequacy, staff numbers and facility and equipment maintenance) and management effectiveness evaluation. Estimations of management outcomes, including both environmental values conservation and impact on communities, were positive. We conclude that in spite of inadequate funding and management process, there are indications that protected areas are contributing to biodiversity conservation and community well-being.","author":[{"dropping-particle":"","family":"Leverington","given":"Fiona","non-dropping-particle":"","parse-names":false,"suffix":""},{"dropping-particle":"","family":"Costa","given":"Katia Lemos","non-dropping-particle":"","parse-names":false,"suffix":""},{"dropping-particle":"","family":"Pavese","given":"Helena","non-dropping-particle":"","parse-names":false,"suffix":""},{"dropping-particle":"","family":"Lisle","given":"Allan","non-dropping-particle":"","parse-names":false,"suffix":""},{"dropping-particle":"","family":"Hockings","given":"Marc","non-dropping-particle":"","parse-names":false,"suffix":""}],"container-title":"Environmental Management","id":"ITEM-1","issue":"5","issued":{"date-parts":[["2010"]]},"page":"685-698","title":"A global analysis of protected area management effectiveness","type":"article-journal","volume":"46"},"uris":["http://www.mendeley.com/documents/?uuid=abde824a-e9cd-4d0c-b1dd-941860f47e52"]}],"mendeley":{"formattedCitation":"(Leverington et al., 2010)","plainTextFormattedCitation":"(Leverington et al., 2010)","previouslyFormattedCitation":"(Leverington et al., 2010)"},"properties":{"noteIndex":0},"schema":"https://github.com/citation-style-language/schema/raw/master/csl-citation.json"}</w:instrText>
      </w:r>
      <w:r w:rsidR="00FB7337">
        <w:fldChar w:fldCharType="separate"/>
      </w:r>
      <w:r w:rsidR="00FB7337" w:rsidRPr="00FB7337">
        <w:rPr>
          <w:noProof/>
        </w:rPr>
        <w:t>(Leverington et al., 2010)</w:t>
      </w:r>
      <w:r w:rsidR="00FB7337">
        <w:fldChar w:fldCharType="end"/>
      </w:r>
      <w:r w:rsidR="00FB7337">
        <w:t>.</w:t>
      </w:r>
      <w:r w:rsidR="004A0813">
        <w:t xml:space="preserve"> Thus, </w:t>
      </w:r>
      <w:r w:rsidR="00F42308">
        <w:t xml:space="preserve">this analysis provides </w:t>
      </w:r>
      <w:r w:rsidR="00005CBE">
        <w:t xml:space="preserve">additional </w:t>
      </w:r>
      <w:r w:rsidR="00F42308">
        <w:t xml:space="preserve">empirical support to </w:t>
      </w:r>
      <w:r w:rsidR="00005CBE">
        <w:t>the</w:t>
      </w:r>
      <w:r w:rsidR="004A0813">
        <w:t xml:space="preserve"> </w:t>
      </w:r>
      <w:r w:rsidR="00F42308">
        <w:t xml:space="preserve">hypothesized </w:t>
      </w:r>
      <w:r w:rsidR="00901AD4">
        <w:t xml:space="preserve">relationship </w:t>
      </w:r>
      <w:r w:rsidR="00F42308">
        <w:t>that financial and human capital are critical to achieving conservation outcomes</w:t>
      </w:r>
      <w:r w:rsidR="00901AD4" w:rsidRPr="008711DB">
        <w:t>.</w:t>
      </w:r>
      <w:r w:rsidR="00646471" w:rsidRPr="008711DB">
        <w:t xml:space="preserve"> </w:t>
      </w:r>
    </w:p>
    <w:p w14:paraId="7F6BDF2B" w14:textId="5D189DC3" w:rsidR="00564F9B" w:rsidRDefault="00724CB1" w:rsidP="003E53E3">
      <w:pPr>
        <w:ind w:firstLine="720"/>
      </w:pPr>
      <w:r w:rsidRPr="008711DB">
        <w:t xml:space="preserve">The </w:t>
      </w:r>
      <w:r w:rsidR="000A3FBA" w:rsidRPr="008711DB">
        <w:t>management category with the next strongest</w:t>
      </w:r>
      <w:r w:rsidRPr="008711DB">
        <w:t xml:space="preserve"> </w:t>
      </w:r>
      <w:r w:rsidR="004B0E9E" w:rsidRPr="008711DB">
        <w:t>relationship</w:t>
      </w:r>
      <w:r>
        <w:t xml:space="preserve"> </w:t>
      </w:r>
      <w:r w:rsidR="004B0E9E">
        <w:t>with</w:t>
      </w:r>
      <w:r>
        <w:t xml:space="preserve"> forest loss was context and planning. </w:t>
      </w:r>
      <w:r w:rsidR="005F4D4E">
        <w:t>P</w:t>
      </w:r>
      <w:r w:rsidR="00E151C7">
        <w:t xml:space="preserve">lanning has </w:t>
      </w:r>
      <w:r w:rsidR="005F4D4E">
        <w:t xml:space="preserve">previously </w:t>
      </w:r>
      <w:r w:rsidR="00E151C7">
        <w:t xml:space="preserve">been highlighted as a critical component to increasing </w:t>
      </w:r>
      <w:r w:rsidR="00016B66">
        <w:t>PA</w:t>
      </w:r>
      <w:r w:rsidR="00E151C7">
        <w:t xml:space="preserve"> ecological impact and has been linked to </w:t>
      </w:r>
      <w:r w:rsidR="009D742F" w:rsidRPr="00B560CC">
        <w:t xml:space="preserve">improved </w:t>
      </w:r>
      <w:r w:rsidR="005F4D4E" w:rsidRPr="00B560CC">
        <w:t xml:space="preserve">resource </w:t>
      </w:r>
      <w:r w:rsidR="009D742F" w:rsidRPr="00B560CC">
        <w:t>monitoring and adaptive capacity</w:t>
      </w:r>
      <w:r w:rsidR="005F4D4E" w:rsidRPr="00B560CC">
        <w:t xml:space="preserve"> of management</w:t>
      </w:r>
      <w:r w:rsidR="00E151C7" w:rsidRPr="00B560CC">
        <w:t xml:space="preserve"> </w:t>
      </w:r>
      <w:r w:rsidR="00E151C7" w:rsidRPr="00B560CC">
        <w:fldChar w:fldCharType="begin" w:fldLock="1"/>
      </w:r>
      <w:r w:rsidR="00AB69AF" w:rsidRPr="00B560CC">
        <w:instrText>ADDIN CSL_CITATION {"citationItems":[{"id":"ITEM-1","itemData":{"author":[{"dropping-particle":"","family":"Pressey","given":"Robert L","non-dropping-particle":"","parse-names":false,"suffix":""},{"dropping-particle":"","family":"Visconti","given":"Piero","non-dropping-particle":"","parse-names":false,"suffix":""},{"dropping-particle":"","family":"Ferraro","given":"Paul J","non-dropping-particle":"","parse-names":false,"suffix":""}],"container-title":"Philosophical Transactions Royal Society B","id":"ITEM-1","issued":{"date-parts":[["2015"]]},"page":"20140280","title":"Making parks make a difference: poor alignment of policy, planning and management with protected-area impact, and ways forward","type":"article-journal","volume":"370"},"uris":["http://www.mendeley.com/documents/?uuid=66918ce0-4ec3-41e3-88d2-47c20f63e93b"]}],"mendeley":{"formattedCitation":"(Pressey, Visconti, &amp; Ferraro, 2015)","plainTextFormattedCitation":"(Pressey, Visconti, &amp; Ferraro, 2015)","previouslyFormattedCitation":"(Pressey, Visconti, &amp; Ferraro, 2015)"},"properties":{"noteIndex":0},"schema":"https://github.com/citation-style-language/schema/raw/master/csl-citation.json"}</w:instrText>
      </w:r>
      <w:r w:rsidR="00E151C7" w:rsidRPr="00B560CC">
        <w:fldChar w:fldCharType="separate"/>
      </w:r>
      <w:r w:rsidR="00E151C7" w:rsidRPr="00B560CC">
        <w:rPr>
          <w:noProof/>
        </w:rPr>
        <w:t>(Pressey, Visconti, &amp; Ferraro, 2015)</w:t>
      </w:r>
      <w:r w:rsidR="00E151C7" w:rsidRPr="00B560CC">
        <w:fldChar w:fldCharType="end"/>
      </w:r>
      <w:r w:rsidR="00E151C7" w:rsidRPr="00B560CC">
        <w:t>.</w:t>
      </w:r>
      <w:r w:rsidR="007926B5" w:rsidRPr="00B560CC">
        <w:t xml:space="preserve"> </w:t>
      </w:r>
      <w:r w:rsidR="00EF1CBF" w:rsidRPr="00B560CC">
        <w:fldChar w:fldCharType="begin" w:fldLock="1"/>
      </w:r>
      <w:r w:rsidR="006B2563">
        <w:instrText>ADDIN CSL_CITATION {"citationItems":[{"id":"ITEM-1","itemData":{"ISBN":"1111111111","author":[{"dropping-particle":"","family":"Muñoz Brenes","given":"Carlos L","non-dropping-particle":"","parse-names":false,"suffix":""},{"dropping-particle":"","family":"Jones","given":"Kelly W","non-dropping-particle":"","parse-names":false,"suffix":""},{"dropping-particle":"","family":"Schlesinger","given":"Peter","non-dropping-particle":"","parse-names":false,"suffix":""},{"dropping-particle":"","family":"Robalino","given":"Juan","non-dropping-particle":"","parse-names":false,"suffix":""},{"dropping-particle":"","family":"Vierling","given":"Lee","non-dropping-particle":"","parse-names":false,"suffix":""}],"container-title":"PLoS One","id":"ITEM-1","issue":"10","issued":{"date-parts":[["2018"]]},"title":"The impact of protected area governance and management capacity on ecosystem function in Central America","type":"article-journal","volume":"13"},"uris":["http://www.mendeley.com/documents/?uuid=d4b9d3f8-4ce4-4419-9de3-6ff7296a5611"]}],"mendeley":{"formattedCitation":"(Muñoz Brenes et al., 2018)","manualFormatting":"Muñoz Brenes et al. (2018)","plainTextFormattedCitation":"(Muñoz Brenes et al., 2018)","previouslyFormattedCitation":"(Muñoz Brenes et al., 2018)"},"properties":{"noteIndex":0},"schema":"https://github.com/citation-style-language/schema/raw/master/csl-citation.json"}</w:instrText>
      </w:r>
      <w:r w:rsidR="00EF1CBF" w:rsidRPr="00B560CC">
        <w:fldChar w:fldCharType="separate"/>
      </w:r>
      <w:r w:rsidR="00EF1CBF" w:rsidRPr="00B560CC">
        <w:rPr>
          <w:noProof/>
        </w:rPr>
        <w:t>Muñoz Brenes et al. (2018)</w:t>
      </w:r>
      <w:r w:rsidR="00EF1CBF" w:rsidRPr="00B560CC">
        <w:fldChar w:fldCharType="end"/>
      </w:r>
      <w:r w:rsidR="00EF1CBF" w:rsidRPr="00B560CC">
        <w:t xml:space="preserve"> </w:t>
      </w:r>
      <w:r w:rsidR="00AB69AF" w:rsidRPr="00B560CC">
        <w:t>found</w:t>
      </w:r>
      <w:r w:rsidR="007926B5" w:rsidRPr="00B560CC">
        <w:t xml:space="preserve"> planning</w:t>
      </w:r>
      <w:r w:rsidR="00AB69AF" w:rsidRPr="00B560CC">
        <w:t xml:space="preserve"> to </w:t>
      </w:r>
      <w:r w:rsidR="00646471" w:rsidRPr="00B560CC">
        <w:t xml:space="preserve">play a significant role </w:t>
      </w:r>
      <w:r w:rsidR="00697AC9">
        <w:t>in</w:t>
      </w:r>
      <w:r w:rsidR="00697AC9" w:rsidRPr="00B560CC">
        <w:t xml:space="preserve"> </w:t>
      </w:r>
      <w:r w:rsidR="00016B66">
        <w:t>PA</w:t>
      </w:r>
      <w:r w:rsidR="00EF1CBF" w:rsidRPr="00B560CC">
        <w:t xml:space="preserve"> </w:t>
      </w:r>
      <w:r w:rsidR="005F4D4E" w:rsidRPr="00B560CC">
        <w:t>outcomes</w:t>
      </w:r>
      <w:r w:rsidR="00EF1CBF" w:rsidRPr="00B560CC">
        <w:t xml:space="preserve"> </w:t>
      </w:r>
      <w:r w:rsidR="00646471" w:rsidRPr="00B560CC">
        <w:t>in</w:t>
      </w:r>
      <w:r w:rsidR="00EF1CBF" w:rsidRPr="00B560CC">
        <w:t xml:space="preserve"> </w:t>
      </w:r>
      <w:r w:rsidR="00B560CC">
        <w:t xml:space="preserve">an impact evaluation examining management capacity in </w:t>
      </w:r>
      <w:r w:rsidR="00EF1CBF" w:rsidRPr="00B560CC">
        <w:t xml:space="preserve">12 </w:t>
      </w:r>
      <w:r w:rsidR="00695FDC">
        <w:t>PAs</w:t>
      </w:r>
      <w:r w:rsidR="00EF1CBF" w:rsidRPr="00B560CC">
        <w:t xml:space="preserve"> </w:t>
      </w:r>
      <w:r w:rsidR="00646471" w:rsidRPr="00B560CC">
        <w:t>across</w:t>
      </w:r>
      <w:r w:rsidR="00EF1CBF" w:rsidRPr="00B560CC">
        <w:t xml:space="preserve"> Central </w:t>
      </w:r>
      <w:r w:rsidR="00EF1CBF" w:rsidRPr="00D75C21">
        <w:t>America</w:t>
      </w:r>
      <w:r w:rsidR="00AB69AF" w:rsidRPr="00D75C21">
        <w:t xml:space="preserve">. </w:t>
      </w:r>
      <w:r w:rsidR="00B266F7" w:rsidRPr="00D75C21">
        <w:t>Given that e</w:t>
      </w:r>
      <w:r w:rsidR="0035246B" w:rsidRPr="00D75C21">
        <w:t xml:space="preserve">ffective planning requires sufficient resources, including time, human capacity, </w:t>
      </w:r>
      <w:r w:rsidR="005F5763" w:rsidRPr="00D75C21">
        <w:t xml:space="preserve">and </w:t>
      </w:r>
      <w:r w:rsidR="0035246B" w:rsidRPr="00D75C21">
        <w:t xml:space="preserve">appropriate equipment, </w:t>
      </w:r>
      <w:r w:rsidR="005F5763" w:rsidRPr="00D75C21">
        <w:t>management planning</w:t>
      </w:r>
      <w:r w:rsidR="0035246B" w:rsidRPr="00D75C21">
        <w:t xml:space="preserve"> </w:t>
      </w:r>
      <w:r w:rsidR="00B266F7" w:rsidRPr="00D75C21">
        <w:t>may be</w:t>
      </w:r>
      <w:r w:rsidR="0035246B" w:rsidRPr="00D75C21">
        <w:t xml:space="preserve"> largely enable</w:t>
      </w:r>
      <w:r w:rsidR="006356FF" w:rsidRPr="00D75C21">
        <w:t>d</w:t>
      </w:r>
      <w:r w:rsidR="0035246B" w:rsidRPr="00D75C21">
        <w:t xml:space="preserve"> by administrati</w:t>
      </w:r>
      <w:r w:rsidR="006356FF" w:rsidRPr="00D75C21">
        <w:t>ve</w:t>
      </w:r>
      <w:r w:rsidR="0035246B" w:rsidRPr="00D75C21">
        <w:t xml:space="preserve"> and financial resources. The significance of </w:t>
      </w:r>
      <w:r w:rsidR="006356FF" w:rsidRPr="00D75C21">
        <w:t>our finding</w:t>
      </w:r>
      <w:r w:rsidR="00270C8F">
        <w:t>s</w:t>
      </w:r>
      <w:r w:rsidR="0035246B" w:rsidRPr="00D75C21">
        <w:t xml:space="preserve"> highlight the important role that effective</w:t>
      </w:r>
      <w:r w:rsidR="0035246B">
        <w:t xml:space="preserve"> planning can </w:t>
      </w:r>
      <w:r w:rsidR="00FB4E3C">
        <w:t xml:space="preserve">have in </w:t>
      </w:r>
      <w:r w:rsidR="00016B66">
        <w:t>PA</w:t>
      </w:r>
      <w:r w:rsidR="00FB4E3C">
        <w:t xml:space="preserve"> success</w:t>
      </w:r>
      <w:r w:rsidR="0035246B">
        <w:t xml:space="preserve"> </w:t>
      </w:r>
      <w:r w:rsidR="003F163E">
        <w:t xml:space="preserve">and encourages greater investment </w:t>
      </w:r>
      <w:r w:rsidR="0035246B">
        <w:t xml:space="preserve">in </w:t>
      </w:r>
      <w:r w:rsidR="00FB4E3C">
        <w:t xml:space="preserve">this </w:t>
      </w:r>
      <w:r w:rsidR="005F5763">
        <w:t>dimension of management</w:t>
      </w:r>
      <w:r w:rsidR="0035246B">
        <w:t xml:space="preserve">. </w:t>
      </w:r>
    </w:p>
    <w:p w14:paraId="7AE6AC7E" w14:textId="6A73CD8C" w:rsidR="003377D1" w:rsidRDefault="000C2E1F" w:rsidP="003E53E3">
      <w:pPr>
        <w:ind w:firstLine="360"/>
      </w:pPr>
      <w:r>
        <w:t>The management quality category include</w:t>
      </w:r>
      <w:r w:rsidR="00CA7D14">
        <w:t>s</w:t>
      </w:r>
      <w:r>
        <w:t xml:space="preserve"> indicators on the </w:t>
      </w:r>
      <w:r w:rsidR="00016B66">
        <w:t>PA</w:t>
      </w:r>
      <w:r>
        <w:t xml:space="preserve">’s ability to </w:t>
      </w:r>
      <w:r w:rsidR="004E23E9">
        <w:t>monitor</w:t>
      </w:r>
      <w:r w:rsidR="00D349F5">
        <w:t xml:space="preserve"> and respond to specific threats </w:t>
      </w:r>
      <w:r w:rsidR="00582B3F">
        <w:t xml:space="preserve">as </w:t>
      </w:r>
      <w:r w:rsidR="00D349F5">
        <w:t>well as</w:t>
      </w:r>
      <w:r w:rsidR="00270C8F">
        <w:t xml:space="preserve"> to</w:t>
      </w:r>
      <w:r w:rsidR="00D349F5">
        <w:t xml:space="preserve"> </w:t>
      </w:r>
      <w:r w:rsidR="00270C8F">
        <w:t>fulfill</w:t>
      </w:r>
      <w:r w:rsidR="00D349F5">
        <w:t xml:space="preserve"> management objectives </w:t>
      </w:r>
      <w:r w:rsidR="0048617E">
        <w:t>in pursuit of</w:t>
      </w:r>
      <w:r w:rsidR="00D349F5">
        <w:t xml:space="preserve"> </w:t>
      </w:r>
      <w:r w:rsidR="00016B66">
        <w:t>PA</w:t>
      </w:r>
      <w:r w:rsidR="00D349F5">
        <w:t xml:space="preserve"> goals</w:t>
      </w:r>
      <w:r w:rsidR="004E23E9">
        <w:t>. A</w:t>
      </w:r>
      <w:r>
        <w:t xml:space="preserve">n increase in the management quality score was </w:t>
      </w:r>
      <w:r w:rsidR="00E65386">
        <w:t xml:space="preserve">associated with less </w:t>
      </w:r>
      <w:r>
        <w:t>forest loss.</w:t>
      </w:r>
      <w:r w:rsidR="00564F9B">
        <w:t xml:space="preserve"> </w:t>
      </w:r>
      <w:r>
        <w:t>Since the early 2000s, the</w:t>
      </w:r>
      <w:r w:rsidR="00CA7D14">
        <w:t xml:space="preserve">re has been a growing awareness of </w:t>
      </w:r>
      <w:r>
        <w:t xml:space="preserve">the importance of monitoring and evaluation </w:t>
      </w:r>
      <w:r w:rsidR="00CA7D14">
        <w:t xml:space="preserve">in the conservation field </w:t>
      </w:r>
      <w:r>
        <w:t xml:space="preserve">and </w:t>
      </w:r>
      <w:r w:rsidR="00CA7D14">
        <w:t xml:space="preserve">the influence </w:t>
      </w:r>
      <w:r w:rsidR="0048617E">
        <w:t xml:space="preserve">that </w:t>
      </w:r>
      <w:r w:rsidR="00CA7D14">
        <w:t xml:space="preserve">these processes have on </w:t>
      </w:r>
      <w:r>
        <w:t xml:space="preserve">conservation intervention success </w:t>
      </w:r>
      <w:r>
        <w:fldChar w:fldCharType="begin" w:fldLock="1"/>
      </w:r>
      <w:r>
        <w:instrText>ADDIN CSL_CITATION {"citationItems":[{"id":"ITEM-1","itemData":{"DOI":"10.1111/j.1523-1739.2005.00594.x","ISBN":"1523-1739","ISSN":"08888892","PMID":"20526235","abstract":"There is growing recognition among conservation practitioners and scholars that good project management is integrally linked to well-designed monitoring and evaluation systems. Most conservation or- ganizations have attempted to develop and implement monitoring and evaluation systems, often with mixed results. One problem seems to be that organizations are trying to build their systems from scratch, overlooking lessons learned from the many efforts to develop useful and practical monitoring and evaluation approaches. Thus, we undertook a review of monitoring and evaluation approaches in conservation and other fields in- cluding international development, public health, family planning, education, social services, and business. Here, we present our results for the field of conservation. We categorized the considerable variety of mon- itoring and evaluation approaches into four broad purposes: basic research; accounting and certification; status assessment; and effectiveness measurement. We focus here on status assessment and effectiveness mea- surement. Specific lessons that emerged follow: different monitoring and evaluation needs require different approaches; conceptual similarities are widespread among prevailing approaches; inconsistent language im- pedes communication; confusion among monitoring and evaluation components hinders practitioner ability to choose the appropriate component; and monitoring only quantitative biological variables is insufficient. We suggest that the conservation community continue support of collaborative initiatives to improve moni- toring and evaluation, establish clear definitions of commonly used terms, clarify monitoring and evaluation system components, apply available approaches appropriately, and include qualitative and social variables in monitoring efforts.","author":[{"dropping-particle":"","family":"Stem","given":"C","non-dropping-particle":"","parse-names":false,"suffix":""},{"dropping-particle":"","family":"Margoluis","given":"R","non-dropping-particle":"","parse-names":false,"suffix":""},{"dropping-particle":"","family":"Salafsky","given":"N","non-dropping-particle":"","parse-names":false,"suffix":""},{"dropping-particle":"","family":"Brown","given":"M","non-dropping-particle":"","parse-names":false,"suffix":""}],"container-title":"Conservation Biology","id":"ITEM-1","issue":"2","issued":{"date-parts":[["2005"]]},"page":"295-309","title":"Monitoring and evaluation in conservation: a review of trends and appraoches","type":"article-journal","volume":"19"},"uris":["http://www.mendeley.com/documents/?uuid=9ef993cd-7b1f-4b56-af92-47c575cc3772"]},{"id":"ITEM-2","itemData":{"DOI":"10.1371/journal.pbio.0040105","ISBN":"1544-9173","ISSN":"15457885","PMID":"16602825","abstract":"The field of conservation policy must adopt state-of-the-art program evaluation methods to determine what works, and when, if we are to stem the global decline of biodiversity and improve the effectiveness of conservation investments.","author":[{"dropping-particle":"","family":"Ferraro","given":"Paul J.","non-dropping-particle":"","parse-names":false,"suffix":""},{"dropping-particle":"","family":"Pattanayak","given":"Subhrendu K.","non-dropping-particle":"","parse-names":false,"suffix":""}],"container-title":"PLoS Biology","id":"ITEM-2","issue":"4","issued":{"date-parts":[["2006"]]},"page":"482-488","title":"Money for nothing? A call for empirical evaluation of biodiversity conservation investments","type":"article-journal","volume":"4"},"uris":["http://www.mendeley.com/documents/?uuid=d0556f45-f613-4c9a-910d-fc178c92196d"]}],"mendeley":{"formattedCitation":"(Ferraro &amp; Pattanayak, 2006; Stem, Margoluis, Salafsky, &amp; Brown, 2005)","plainTextFormattedCitation":"(Ferraro &amp; Pattanayak, 2006; Stem, Margoluis, Salafsky, &amp; Brown, 2005)","previouslyFormattedCitation":"(Ferraro &amp; Pattanayak, 2006; Stem, Margoluis, Salafsky, &amp; Brown, 2005)"},"properties":{"noteIndex":0},"schema":"https://github.com/citation-style-language/schema/raw/master/csl-citation.json"}</w:instrText>
      </w:r>
      <w:r>
        <w:fldChar w:fldCharType="separate"/>
      </w:r>
      <w:r w:rsidRPr="007E1712">
        <w:rPr>
          <w:noProof/>
        </w:rPr>
        <w:t>(Ferraro &amp; Pattanayak, 2006; Stem, Margoluis, Salafsky, &amp; Brown, 2005)</w:t>
      </w:r>
      <w:r>
        <w:fldChar w:fldCharType="end"/>
      </w:r>
      <w:r>
        <w:t xml:space="preserve">. </w:t>
      </w:r>
      <w:r w:rsidR="004E23E9">
        <w:t>Monitoring and evaluation can increase</w:t>
      </w:r>
      <w:r w:rsidR="00EF1CBF">
        <w:t xml:space="preserve"> </w:t>
      </w:r>
      <w:r w:rsidR="004E23E9">
        <w:t xml:space="preserve">the ability of </w:t>
      </w:r>
      <w:r w:rsidR="00016B66">
        <w:t>PA</w:t>
      </w:r>
      <w:r w:rsidR="004E23E9">
        <w:t xml:space="preserve"> management to adapt to specific threats by providing sufficient information for decision-making, </w:t>
      </w:r>
      <w:r w:rsidR="0048617E">
        <w:t xml:space="preserve">thereby increasing the likelihood of </w:t>
      </w:r>
      <w:r w:rsidR="004E23E9">
        <w:t>achiev</w:t>
      </w:r>
      <w:r w:rsidR="0048617E">
        <w:t>ing</w:t>
      </w:r>
      <w:r w:rsidR="004E23E9">
        <w:t xml:space="preserve"> specific goals. </w:t>
      </w:r>
    </w:p>
    <w:p w14:paraId="1AAB83EF" w14:textId="1250CD1D" w:rsidR="00C07AD7" w:rsidRDefault="007E4376" w:rsidP="003E53E3">
      <w:pPr>
        <w:ind w:firstLine="720"/>
      </w:pPr>
      <w:r>
        <w:t>Higher</w:t>
      </w:r>
      <w:r w:rsidR="00E91C5C">
        <w:t xml:space="preserve"> management </w:t>
      </w:r>
      <w:r>
        <w:t>scores</w:t>
      </w:r>
      <w:r w:rsidR="00E91C5C">
        <w:t xml:space="preserve"> </w:t>
      </w:r>
      <w:r>
        <w:t>in the</w:t>
      </w:r>
      <w:r w:rsidR="00E91C5C">
        <w:t xml:space="preserve"> g</w:t>
      </w:r>
      <w:r w:rsidR="004D680C">
        <w:t xml:space="preserve">overnance and social participation and </w:t>
      </w:r>
      <w:r w:rsidR="008E1479">
        <w:t xml:space="preserve">the </w:t>
      </w:r>
      <w:r w:rsidR="004D680C">
        <w:t xml:space="preserve">use and benefits </w:t>
      </w:r>
      <w:r>
        <w:t xml:space="preserve">categories were also found to decrease the probability of </w:t>
      </w:r>
      <w:r w:rsidR="004D680C">
        <w:t xml:space="preserve">forest cover </w:t>
      </w:r>
      <w:r>
        <w:t>loss</w:t>
      </w:r>
      <w:r w:rsidR="004D680C">
        <w:t xml:space="preserve">. </w:t>
      </w:r>
      <w:r w:rsidR="006C1C4E">
        <w:t xml:space="preserve">The governance </w:t>
      </w:r>
      <w:r w:rsidR="00B32F26">
        <w:t xml:space="preserve">and social participation </w:t>
      </w:r>
      <w:r w:rsidR="006C1C4E">
        <w:t xml:space="preserve">category </w:t>
      </w:r>
      <w:r>
        <w:t>reflects</w:t>
      </w:r>
      <w:r w:rsidR="006C1C4E">
        <w:t xml:space="preserve"> </w:t>
      </w:r>
      <w:r w:rsidR="00B225EC">
        <w:t>the degree of</w:t>
      </w:r>
      <w:r w:rsidR="006C1C4E">
        <w:t xml:space="preserve"> procedural equity in </w:t>
      </w:r>
      <w:r w:rsidR="00016B66">
        <w:t>PA</w:t>
      </w:r>
      <w:r w:rsidR="006C1C4E">
        <w:t xml:space="preserve"> management,</w:t>
      </w:r>
      <w:r w:rsidR="00B225EC">
        <w:t xml:space="preserve"> </w:t>
      </w:r>
      <w:r w:rsidR="00D04D07">
        <w:t>or the level of inclusion and effective participation of diverse stakeholders in management decision</w:t>
      </w:r>
      <w:r w:rsidR="00787F8E">
        <w:t>s</w:t>
      </w:r>
      <w:r w:rsidR="00D04D07">
        <w:t xml:space="preserve"> </w:t>
      </w:r>
      <w:r w:rsidR="00D04D07">
        <w:fldChar w:fldCharType="begin" w:fldLock="1"/>
      </w:r>
      <w:r w:rsidR="003B1B6F">
        <w:instrText>ADDIN CSL_CITATION {"citationItems":[{"id":"ITEM-1","itemData":{"DOI":"10.13140/RG.2.1.2817.0649","PMID":"15569402","abstract":"The important global, national and local benefits provided by protected areas may come at a cost to communities, and any resultant experience of injustice can undermine protected area conservation. Conversely, the success of many areas conserved by Indigenous Peoples and local communities makes a compelling case for the stronger engagement of local rights-holders and stakeholders in all types of protected area. The Convention on Biological Diversity recognises the need to govern and manage protected areas effectively and equitably; this briefing provides an equity framework to support policymakers, protected area managers, Indigenous Peoples, local communities and other local stakeholders in achieving this.","author":[{"dropping-particle":"","family":"Franks","given":"Phil","non-dropping-particle":"","parse-names":false,"suffix":""},{"dropping-particle":"","family":"Schreckenberg","given":"Kate","non-dropping-particle":"","parse-names":false,"suffix":""}],"container-title":"The International Institute for Environment and Development (IIED)","id":"ITEM-1","issue":"February","issued":{"date-parts":[["2016"]]},"page":"5-9","title":"Advancing equity in protected area conservation","type":"article-journal"},"uris":["http://www.mendeley.com/documents/?uuid=863f7cb1-e15f-4685-8be3-e234f970b9d3"]},{"id":"ITEM-2","itemData":{"DOI":"10.1016/j.biocon.2017.05.014","ISBN":"00063207","ISSN":"00063207","abstract":"Aichi Target 11 (AT11), adopted by 193 Parties to the Convention on Biological Diversity (CBD) in 2010, states that protected areas (PAs) must be equitably managed by 2020. However, significant challenges remain in terms of actual implementation of equitable management in PAs. These challenges include, among others, the lack of a standardized approach to assess and monitor social equity and the difficulty of reducing social equity to a series of metrics. This perspective addresses these challenges and it proposes a minimum set of ten indicators for assessing and monitoring the three dimensions of social equity in protected areas: recognition, procedure and distribution. The indicators target information on social equity regarding cultural identity, statutory and customary rights, knowledge diversity; free, prior and informed consent mechanisms, full participation and transparency in decision-making, access to justice, accountability over decisions, distribution of conservation burdens, and sharing of conservation benefits. The proposed indicator system is a first step in advancing an approach to facilitate our understanding of how the different dimensions of social equity are denied or recognized in PAs globally. The proposed system would be used by practitioners to mainstream social equity indicators in PAs assessments at the site level and to report to the CBD on the ‘equitably managed’ element of AT11.","author":[{"dropping-particle":"","family":"Zafra-Calvo","given":"N.","non-dropping-particle":"","parse-names":false,"suffix":""},{"dropping-particle":"","family":"Pascual","given":"U.","non-dropping-particle":"","parse-names":false,"suffix":""},{"dropping-particle":"","family":"Brockington","given":"D.","non-dropping-particle":"","parse-names":false,"suffix":""},{"dropping-particle":"","family":"Coolsaet","given":"B.","non-dropping-particle":"","parse-names":false,"suffix":""},{"dropping-particle":"","family":"Cortes-Vazquez","given":"J. A.","non-dropping-particle":"","parse-names":false,"suffix":""},{"dropping-particle":"","family":"Gross-Camp","given":"N.","non-dropping-particle":"","parse-names":false,"suffix":""},{"dropping-particle":"","family":"Palomo","given":"I.","non-dropping-particle":"","parse-names":false,"suffix":""},{"dropping-particle":"","family":"Burgess","given":"N. D.","non-dropping-particle":"","parse-names":false,"suffix":""}],"container-title":"Biological Conservation","id":"ITEM-2","issue":"May","issued":{"date-parts":[["2017"]]},"page":"134-141","publisher":"Elsevier","title":"Towards an indicator system to assess equitable management in protected areas","type":"article-journal","volume":"211"},"uris":["http://www.mendeley.com/documents/?uuid=0367191c-8636-42ae-b187-f0d1a945814e"]}],"mendeley":{"formattedCitation":"(Franks &amp; Schreckenberg, 2016; Zafra-Calvo et al., 2017)","plainTextFormattedCitation":"(Franks &amp; Schreckenberg, 2016; Zafra-Calvo et al., 2017)","previouslyFormattedCitation":"(Franks &amp; Schreckenberg, 2016; Zafra-Calvo et al., 2017)"},"properties":{"noteIndex":0},"schema":"https://github.com/citation-style-language/schema/raw/master/csl-citation.json"}</w:instrText>
      </w:r>
      <w:r w:rsidR="00D04D07">
        <w:fldChar w:fldCharType="separate"/>
      </w:r>
      <w:r w:rsidR="003B1B6F" w:rsidRPr="003B1B6F">
        <w:rPr>
          <w:noProof/>
        </w:rPr>
        <w:t>(Franks &amp; Schreckenberg, 2016; Zafra-Calvo et al., 2017)</w:t>
      </w:r>
      <w:r w:rsidR="00D04D07">
        <w:fldChar w:fldCharType="end"/>
      </w:r>
      <w:r w:rsidR="00D04D07">
        <w:t xml:space="preserve">. </w:t>
      </w:r>
      <w:r w:rsidR="00B32F26">
        <w:t>The use and benefits category can be linked to distributive equity</w:t>
      </w:r>
      <w:r w:rsidR="007D1B3D">
        <w:t>,</w:t>
      </w:r>
      <w:r w:rsidR="00B32F26">
        <w:t xml:space="preserve"> or the </w:t>
      </w:r>
      <w:r w:rsidR="007D1B3D">
        <w:t xml:space="preserve">distribution of cost and benefits across relevant stakeholders </w:t>
      </w:r>
      <w:r w:rsidR="007D1B3D">
        <w:fldChar w:fldCharType="begin" w:fldLock="1"/>
      </w:r>
      <w:r w:rsidR="00686884">
        <w:instrText>ADDIN CSL_CITATION {"citationItems":[{"id":"ITEM-1","itemData":{"DOI":"10.1016/j.biocon.2017.05.014","ISBN":"00063207","ISSN":"00063207","abstract":"Aichi Target 11 (AT11), adopted by 193 Parties to the Convention on Biological Diversity (CBD) in 2010, states that protected areas (PAs) must be equitably managed by 2020. However, significant challenges remain in terms of actual implementation of equitable management in PAs. These challenges include, among others, the lack of a standardized approach to assess and monitor social equity and the difficulty of reducing social equity to a series of metrics. This perspective addresses these challenges and it proposes a minimum set of ten indicators for assessing and monitoring the three dimensions of social equity in protected areas: recognition, procedure and distribution. The indicators target information on social equity regarding cultural identity, statutory and customary rights, knowledge diversity; free, prior and informed consent mechanisms, full participation and transparency in decision-making, access to justice, accountability over decisions, distribution of conservation burdens, and sharing of conservation benefits. The proposed indicator system is a first step in advancing an approach to facilitate our understanding of how the different dimensions of social equity are denied or recognized in PAs globally. The proposed system would be used by practitioners to mainstream social equity indicators in PAs assessments at the site level and to report to the CBD on the ‘equitably managed’ element of AT11.","author":[{"dropping-particle":"","family":"Zafra-Calvo","given":"N.","non-dropping-particle":"","parse-names":false,"suffix":""},{"dropping-particle":"","family":"Pascual","given":"U.","non-dropping-particle":"","parse-names":false,"suffix":""},{"dropping-particle":"","family":"Brockington","given":"D.","non-dropping-particle":"","parse-names":false,"suffix":""},{"dropping-particle":"","family":"Coolsaet","given":"B.","non-dropping-particle":"","parse-names":false,"suffix":""},{"dropping-particle":"","family":"Cortes-Vazquez","given":"J. A.","non-dropping-particle":"","parse-names":false,"suffix":""},{"dropping-particle":"","family":"Gross-Camp","given":"N.","non-dropping-particle":"","parse-names":false,"suffix":""},{"dropping-particle":"","family":"Palomo","given":"I.","non-dropping-particle":"","parse-names":false,"suffix":""},{"dropping-particle":"","family":"Burgess","given":"N. D.","non-dropping-particle":"","parse-names":false,"suffix":""}],"container-title":"Biological Conservation","id":"ITEM-1","issue":"May","issued":{"date-parts":[["2017"]]},"page":"134-141","publisher":"Elsevier","title":"Towards an indicator system to assess equitable management in protected areas","type":"article-journal","volume":"211"},"uris":["http://www.mendeley.com/documents/?uuid=0367191c-8636-42ae-b187-f0d1a945814e"]}],"mendeley":{"formattedCitation":"(Zafra-Calvo et al., 2017)","plainTextFormattedCitation":"(Zafra-Calvo et al., 2017)","previouslyFormattedCitation":"(Zafra-Calvo et al., 2017)"},"properties":{"noteIndex":0},"schema":"https://github.com/citation-style-language/schema/raw/master/csl-citation.json"}</w:instrText>
      </w:r>
      <w:r w:rsidR="007D1B3D">
        <w:fldChar w:fldCharType="separate"/>
      </w:r>
      <w:r w:rsidR="007D1B3D" w:rsidRPr="007D1B3D">
        <w:rPr>
          <w:noProof/>
        </w:rPr>
        <w:t>(Zafra-Calvo et al., 2017)</w:t>
      </w:r>
      <w:r w:rsidR="007D1B3D">
        <w:fldChar w:fldCharType="end"/>
      </w:r>
      <w:r w:rsidR="00F00D94">
        <w:t xml:space="preserve">. </w:t>
      </w:r>
      <w:r w:rsidR="00406211">
        <w:t xml:space="preserve">Thus, while these categories contribute to overall management effectiveness, they can also be strong indicators </w:t>
      </w:r>
      <w:r w:rsidR="0048617E">
        <w:t xml:space="preserve">of </w:t>
      </w:r>
      <w:r w:rsidR="00406211">
        <w:t xml:space="preserve">the level of equity in </w:t>
      </w:r>
      <w:r w:rsidR="00016B66">
        <w:t>PA</w:t>
      </w:r>
      <w:r w:rsidR="00406211">
        <w:t xml:space="preserve"> management, a</w:t>
      </w:r>
      <w:r w:rsidR="00787F8E">
        <w:t>nother</w:t>
      </w:r>
      <w:r w:rsidR="00406211">
        <w:t xml:space="preserve"> key component of the Aichi Target 11.</w:t>
      </w:r>
    </w:p>
    <w:p w14:paraId="25F6A4A5" w14:textId="7E95CDE4" w:rsidR="00636094" w:rsidRDefault="00272ACB" w:rsidP="003E53E3">
      <w:pPr>
        <w:ind w:firstLine="720"/>
      </w:pPr>
      <w:r>
        <w:lastRenderedPageBreak/>
        <w:t xml:space="preserve">A global literature review of </w:t>
      </w:r>
      <w:r w:rsidR="00016B66">
        <w:t>PA</w:t>
      </w:r>
      <w:r>
        <w:t xml:space="preserve"> socio-economic and conservation outcomes found that </w:t>
      </w:r>
      <w:r w:rsidR="00695FDC">
        <w:t>PAs</w:t>
      </w:r>
      <w:r>
        <w:t xml:space="preserve"> with greater socio-economic benefits </w:t>
      </w:r>
      <w:r w:rsidR="00BC2880">
        <w:t xml:space="preserve">and </w:t>
      </w:r>
      <w:r w:rsidR="0048617E">
        <w:t xml:space="preserve">greater </w:t>
      </w:r>
      <w:r w:rsidR="00BC2880">
        <w:t>empower</w:t>
      </w:r>
      <w:r w:rsidR="0048617E">
        <w:t>ment of</w:t>
      </w:r>
      <w:r w:rsidR="00BC2880">
        <w:t xml:space="preserve"> local communities </w:t>
      </w:r>
      <w:r>
        <w:t xml:space="preserve">were more successful ecologically </w:t>
      </w:r>
      <w:r>
        <w:fldChar w:fldCharType="begin" w:fldLock="1"/>
      </w:r>
      <w:r>
        <w:instrText>ADDIN CSL_CITATION {"citationItems":[{"id":"ITEM-1","itemData":{"DOI":"10.1111/cobi.12568","ISSN":"15231739","abstract":"Protected areas (PAs) are a key strategy for protecting biological resources, but they vary considerably in their effectiveness and are frequently reported as having negative impacts on local people. This has contributed to a divisive and unresolved debate concerning the compatibility of environmental and socioeconomic development goals. Elucidating the relationship between positive and negative social impacts and conservation outcomes of PAs is key for the development of more effective and socially just conservation. We conducted a global meta-analysis on 165 PAs using data from 171 published studies. We assessed how PAs affect the well-being of local people, the factors associated with these impacts, and crucially the relationship between PAs' conservation and socioeconomic outcomes. Protected areas associated with positive socioeconomic outcomes were more likely to report positive conservation outcomes. Positive conservation and socioeconomic outcomes were more likely to occur when PAs adopted comanagement regimes, empowered local people, reduced economic inequalities, and maintained cultural and livelihood benefits. Whereas the strictest regimes of PA management attempted to exclude anthropogenic influences to achieve biological conservation objectives, PAs that explicitly integrated local people as stakeholders tended to be more effective at achieving joint biological conservation and socioeconomic development outcomes. Strict protection may be needed in some circumstances, yet our results demonstrate that conservation and development objectives can be synergistic and highlight management strategies that increase the probability of maximizing both conservation performance and development outcomes of PAs.","author":[{"dropping-particle":"","family":"Oldekop","given":"J. A.","non-dropping-particle":"","parse-names":false,"suffix":""},{"dropping-particle":"","family":"Holmes","given":"G.","non-dropping-particle":"","parse-names":false,"suffix":""},{"dropping-particle":"","family":"Harris","given":"W. E.","non-dropping-particle":"","parse-names":false,"suffix":""},{"dropping-particle":"","family":"Evans","given":"K. L.","non-dropping-particle":"","parse-names":false,"suffix":""}],"container-title":"Conservation Biology","id":"ITEM-1","issue":"1","issued":{"date-parts":[["2016"]]},"page":"133-141","title":"A global assessment of the social and conservation outcomes of protected areas","type":"article-journal","volume":"30"},"uris":["http://www.mendeley.com/documents/?uuid=366cdd02-aef4-4d0e-bb2a-dc06258ea5d0"]}],"mendeley":{"formattedCitation":"(Oldekop, Holmes, Harris, &amp; Evans, 2016)","plainTextFormattedCitation":"(Oldekop, Holmes, Harris, &amp; Evans, 2016)","previouslyFormattedCitation":"(Oldekop, Holmes, Harris, &amp; Evans, 2016)"},"properties":{"noteIndex":0},"schema":"https://github.com/citation-style-language/schema/raw/master/csl-citation.json"}</w:instrText>
      </w:r>
      <w:r>
        <w:fldChar w:fldCharType="separate"/>
      </w:r>
      <w:r w:rsidRPr="00D87F79">
        <w:rPr>
          <w:noProof/>
        </w:rPr>
        <w:t>(Oldekop, Holmes, Harris, &amp; Evans, 2016)</w:t>
      </w:r>
      <w:r>
        <w:fldChar w:fldCharType="end"/>
      </w:r>
      <w:r>
        <w:t xml:space="preserve">. </w:t>
      </w:r>
      <w:r w:rsidR="00A75B3C">
        <w:t xml:space="preserve">Greater participation from local communities in decision-making has also been linked to </w:t>
      </w:r>
      <w:r w:rsidR="0048617E">
        <w:t xml:space="preserve">more </w:t>
      </w:r>
      <w:r w:rsidR="00A75B3C">
        <w:t xml:space="preserve">effective resource </w:t>
      </w:r>
      <w:r w:rsidR="0048617E">
        <w:t>allocation</w:t>
      </w:r>
      <w:r w:rsidR="00A75B3C">
        <w:t xml:space="preserve">, by identifying appropriate needs such as specific local capacity building or outreach and education programs </w:t>
      </w:r>
      <w:r w:rsidR="00A75B3C">
        <w:fldChar w:fldCharType="begin" w:fldLock="1"/>
      </w:r>
      <w:r w:rsidR="00A75B3C">
        <w:instrText>ADDIN CSL_CITATION {"citationItems":[{"id":"ITEM-1","itemData":{"DOI":"10.5751/ES-05216-170414","ISBN":"1708-3087","ISSN":"17083087","abstract":"Many protected areas (PAs) have followed the conventional and exclusionary approach applied at Yellowstone in 1872. As such, many parks have failed to fully integrate other important factors, such as social, cultural, and political issues. In some cases, this has triggered adverse social impacts on local communities, disrupting their traditional ways of living and limiting their control of and access to natural resources. Such an outcome can undermine protection policies through conflicts between park managers and local communities. The success of conservation strategies through protected areas may lie in the ability of managers to reconcile biodiversity conservation goals with social and economic issues and to promote greater compliance of local communities with PA conservation strategies. However, there are very few quantitative studies identifying what the key factors are that lead to better compliance with PA conservation policies. To address this issue, we conducted a meta-analysis of 55 published case studies from developing countries to determine whether the level of compliance of local communities with PA regulations was related to: (1) PA age, (2) PA area, (3) the existence of a buffer zone, (4) the level of protection as defined by IUCN categories, (5) gross domestic product per capita, (6) population density in the vicinity of PAs, and (7) the level of local community participation in PA management. We found that local community participation in the PA decision-making process was the only variable that was significantly related to the level of compliance with PA polices. In general, the higher the level of participation, the higher the level of compliance. This has important implications for PA management and suggests that greater inclusion of local communities in management should be a key strategy for ensuring the integrity of PAs.","author":[{"dropping-particle":"","family":"Andrade","given":"Gustavo S M","non-dropping-particle":"","parse-names":false,"suffix":""},{"dropping-particle":"","family":"Rhodes","given":"Jonathan R.","non-dropping-particle":"","parse-names":false,"suffix":""}],"container-title":"Ecology and Society","id":"ITEM-1","issue":"4","issued":{"date-parts":[["2012"]]},"note":"Greater participation = greater compliance","title":"Protected areas and local communities: An inevitable partnership toward successful conservation strategies?","type":"article-journal","volume":"17"},"uris":["http://www.mendeley.com/documents/?uuid=c3323b29-a305-429d-9eef-6c49f407558c"]}],"mendeley":{"formattedCitation":"(Andrade &amp; Rhodes, 2012)","plainTextFormattedCitation":"(Andrade &amp; Rhodes, 2012)","previouslyFormattedCitation":"(Andrade &amp; Rhodes, 2012)"},"properties":{"noteIndex":0},"schema":"https://github.com/citation-style-language/schema/raw/master/csl-citation.json"}</w:instrText>
      </w:r>
      <w:r w:rsidR="00A75B3C">
        <w:fldChar w:fldCharType="separate"/>
      </w:r>
      <w:r w:rsidR="00A75B3C" w:rsidRPr="00704438">
        <w:rPr>
          <w:noProof/>
        </w:rPr>
        <w:t>(Andrade &amp; Rhodes, 2012)</w:t>
      </w:r>
      <w:r w:rsidR="00A75B3C">
        <w:fldChar w:fldCharType="end"/>
      </w:r>
      <w:r w:rsidR="00A75B3C">
        <w:t xml:space="preserve">. </w:t>
      </w:r>
      <w:r>
        <w:t>A</w:t>
      </w:r>
      <w:r w:rsidR="006220AC">
        <w:t>dditionally, a</w:t>
      </w:r>
      <w:r>
        <w:t xml:space="preserve"> study examining management effectiveness in three marine </w:t>
      </w:r>
      <w:r w:rsidR="00695FDC">
        <w:t>PAs</w:t>
      </w:r>
      <w:r>
        <w:t xml:space="preserve"> in Mexico found </w:t>
      </w:r>
      <w:r w:rsidR="00695FDC">
        <w:t>PAs</w:t>
      </w:r>
      <w:r>
        <w:t xml:space="preserve"> to be more successful at conserving </w:t>
      </w:r>
      <w:r w:rsidR="0048617E">
        <w:t xml:space="preserve">manatee </w:t>
      </w:r>
      <w:r>
        <w:t xml:space="preserve">populations </w:t>
      </w:r>
      <w:r w:rsidR="0048617E">
        <w:t xml:space="preserve">when </w:t>
      </w:r>
      <w:r w:rsidR="006220AC">
        <w:t xml:space="preserve">management incorporated </w:t>
      </w:r>
      <w:r>
        <w:t>activities that produced socio-economic benefits</w:t>
      </w:r>
      <w:r w:rsidR="004833CB">
        <w:t xml:space="preserve"> </w:t>
      </w:r>
      <w:r w:rsidR="007F5A6F">
        <w:t>for</w:t>
      </w:r>
      <w:r>
        <w:t xml:space="preserve"> the community</w:t>
      </w:r>
      <w:r w:rsidR="004833CB">
        <w:t>, such as fishing and tourism</w:t>
      </w:r>
      <w:r w:rsidR="006220AC">
        <w:t xml:space="preserve"> </w:t>
      </w:r>
      <w:r>
        <w:fldChar w:fldCharType="begin" w:fldLock="1"/>
      </w:r>
      <w:r w:rsidR="00D04D07">
        <w:instrText>ADDIN CSL_CITATION {"citationItems":[{"id":"ITEM-1","itemData":{"DOI":"10.1002/aqc.3323","author":[{"dropping-particle":"","family":"Herrejón","given":"Juan Carlos Robles","non-dropping-particle":"","parse-names":false,"suffix":""},{"dropping-particle":"","family":"Morales-Vela","given":"Benjamín","non-dropping-particle":"","parse-names":false,"suffix":""},{"dropping-particle":"","family":"Ortega-Argueta","given":"Alejandro","non-dropping-particle":"","parse-names":false,"suffix":""},{"dropping-particle":"","family":"Pozo","given":"Carmen","non-dropping-particle":"","parse-names":false,"suffix":""},{"dropping-particle":"","family":"Olivera-Gómez","given":"León David","non-dropping-particle":"","parse-names":false,"suffix":""}],"container-title":"Aquatic Conservation: Marine Freshwater Ecosystems","id":"ITEM-1","issued":{"date-parts":[["2020"]]},"page":"1182-1193","title":"Management effectiveness in marine protected areas for conservation of Antillean manatees on the eastern coast of the Yucatan Peninsula, Mexico","type":"article-journal","volume":"30"},"uris":["http://www.mendeley.com/documents/?uuid=0344eb50-2201-430c-959f-45ac9222cc8f"]}],"mendeley":{"formattedCitation":"(Herrejón et al., 2020)","plainTextFormattedCitation":"(Herrejón et al., 2020)","previouslyFormattedCitation":"(Herrejón et al., 2020)"},"properties":{"noteIndex":0},"schema":"https://github.com/citation-style-language/schema/raw/master/csl-citation.json"}</w:instrText>
      </w:r>
      <w:r>
        <w:fldChar w:fldCharType="separate"/>
      </w:r>
      <w:r w:rsidRPr="00272ACB">
        <w:rPr>
          <w:noProof/>
        </w:rPr>
        <w:t>(Herrejón et al., 2020)</w:t>
      </w:r>
      <w:r>
        <w:fldChar w:fldCharType="end"/>
      </w:r>
      <w:r w:rsidR="009C3F5F">
        <w:t>.</w:t>
      </w:r>
      <w:r w:rsidR="008E1885">
        <w:t xml:space="preserve"> </w:t>
      </w:r>
      <w:r w:rsidR="0093535A">
        <w:t>In addition to the</w:t>
      </w:r>
      <w:r w:rsidR="00C07AD7">
        <w:t xml:space="preserve"> strong evidence </w:t>
      </w:r>
      <w:r w:rsidR="0093535A">
        <w:t xml:space="preserve">that exists </w:t>
      </w:r>
      <w:r w:rsidR="00C07AD7">
        <w:t xml:space="preserve">on the links between equitable management and conservation outcomes, researchers have </w:t>
      </w:r>
      <w:r w:rsidR="0093535A">
        <w:t>argued that equitable management is also important for</w:t>
      </w:r>
      <w:r w:rsidR="00C07AD7">
        <w:t xml:space="preserve"> moral </w:t>
      </w:r>
      <w:r w:rsidR="0093535A">
        <w:t>reasons</w:t>
      </w:r>
      <w:r w:rsidR="00C07AD7">
        <w:t xml:space="preserve"> </w:t>
      </w:r>
      <w:r w:rsidR="00C07AD7">
        <w:fldChar w:fldCharType="begin" w:fldLock="1"/>
      </w:r>
      <w:r w:rsidR="00C07AD7">
        <w:instrText>ADDIN CSL_CITATION {"citationItems":[{"id":"ITEM-1","itemData":{"DOI":"10.13140/RG.2.1.2817.0649","PMID":"15569402","abstract":"The important global, national and local benefits provided by protected areas may come at a cost to communities, and any resultant experience of injustice can undermine protected area conservation. Conversely, the success of many areas conserved by Indigenous Peoples and local communities makes a compelling case for the stronger engagement of local rights-holders and stakeholders in all types of protected area. The Convention on Biological Diversity recognises the need to govern and manage protected areas effectively and equitably; this briefing provides an equity framework to support policymakers, protected area managers, Indigenous Peoples, local communities and other local stakeholders in achieving this.","author":[{"dropping-particle":"","family":"Franks","given":"Phil","non-dropping-particle":"","parse-names":false,"suffix":""},{"dropping-particle":"","family":"Schreckenberg","given":"Kate","non-dropping-particle":"","parse-names":false,"suffix":""}],"container-title":"The International Institute for Environment and Development (IIED)","id":"ITEM-1","issue":"February","issued":{"date-parts":[["2016"]]},"page":"5-9","title":"Advancing equity in protected area conservation","type":"article-journal"},"uris":["http://www.mendeley.com/documents/?uuid=863f7cb1-e15f-4685-8be3-e234f970b9d3"]},{"id":"ITEM-2","itemData":{"DOI":"10.1016/j.biocon.2018.02.022","author":[{"dropping-particle":"","family":"Vucetich","given":"John A","non-dropping-particle":"","parse-names":false,"suffix":""},{"dropping-particle":"","family":"Burnham","given":"Dawn","non-dropping-particle":"","parse-names":false,"suffix":""},{"dropping-particle":"","family":"Macdonald","given":"Ewan A","non-dropping-particle":"","parse-names":false,"suffix":""},{"dropping-particle":"","family":"Bruskotter","given":"Jeremy T","non-dropping-particle":"","parse-names":false,"suffix":""},{"dropping-particle":"","family":"Marchini","given":"Silvio","non-dropping-particle":"","parse-names":false,"suffix":""},{"dropping-particle":"","family":"Zimmermann","given":"Alexandra","non-dropping-particle":"","parse-names":false,"suffix":""},{"dropping-particle":"","family":"Macdonald","given":"David W","non-dropping-particle":"","parse-names":false,"suffix":""}],"container-title":"Biological Conservation","id":"ITEM-2","issue":"February","issued":{"date-parts":[["2018"]]},"page":"23-33","title":"Just conservation: What is it and should we pursue it?","type":"article-journal","volume":"221"},"uris":["http://www.mendeley.com/documents/?uuid=7e44b24c-0b4c-4a25-8a97-a3adbb267b39"]},{"id":"ITEM-3","itemData":{"DOI":"10.2305/IUCN.CH.2009.EPLP.71.en","ISBN":"9782831711447","author":[{"dropping-particle":"","family":"Greiber","given":"Thomas","non-dropping-particle":"","parse-names":false,"suffix":""},{"dropping-particle":"","family":"Janki","given":"Melinda","non-dropping-particle":"","parse-names":false,"suffix":""},{"dropping-particle":"","family":"Orellana","given":"Marcos","non-dropping-particle":"","parse-names":false,"suffix":""},{"dropping-particle":"","family":"Savaresi","given":"Annalisa","non-dropping-particle":"","parse-names":false,"suffix":""},{"dropping-particle":"","family":"Shelton","given":"Dinah","non-dropping-particle":"","parse-names":false,"suffix":""}],"container-title":"Environmental Policy and Law","id":"ITEM-3","issue":"71","issued":{"date-parts":[["2009"]]},"note":"Rights based approach &amp;amp; protected areas - p 99","number-of-pages":"134","title":"Conservation with Justice","type":"book"},"uris":["http://www.mendeley.com/documents/?uuid=91d941d3-10c1-4c5a-baa5-7505aadf7825"]}],"mendeley":{"formattedCitation":"(Franks &amp; Schreckenberg, 2016; Greiber, Janki, Orellana, Savaresi, &amp; Shelton, 2009; Vucetich et al., 2018)","plainTextFormattedCitation":"(Franks &amp; Schreckenberg, 2016; Greiber, Janki, Orellana, Savaresi, &amp; Shelton, 2009; Vucetich et al., 2018)","previouslyFormattedCitation":"(Franks &amp; Schreckenberg, 2016; Greiber, Janki, Orellana, Savaresi, &amp; Shelton, 2009; Vucetich et al., 2018)"},"properties":{"noteIndex":0},"schema":"https://github.com/citation-style-language/schema/raw/master/csl-citation.json"}</w:instrText>
      </w:r>
      <w:r w:rsidR="00C07AD7">
        <w:fldChar w:fldCharType="separate"/>
      </w:r>
      <w:r w:rsidR="00C07AD7" w:rsidRPr="007D1B3D">
        <w:rPr>
          <w:noProof/>
        </w:rPr>
        <w:t>(Franks &amp; Schreckenberg, 2016; Greiber, Janki, Orellana, Savaresi, &amp; Shelton, 2009; Vucetich et al., 2018)</w:t>
      </w:r>
      <w:r w:rsidR="00C07AD7">
        <w:fldChar w:fldCharType="end"/>
      </w:r>
      <w:r w:rsidR="00C07AD7">
        <w:t xml:space="preserve">. </w:t>
      </w:r>
    </w:p>
    <w:p w14:paraId="49374976" w14:textId="77777777" w:rsidR="00263C37" w:rsidRDefault="00263C37" w:rsidP="003D0F74">
      <w:pPr>
        <w:rPr>
          <w:color w:val="000000" w:themeColor="text1"/>
        </w:rPr>
      </w:pPr>
    </w:p>
    <w:p w14:paraId="1027C0C6" w14:textId="6FC3F8D7" w:rsidR="00263C37" w:rsidRDefault="00263C37" w:rsidP="003E53E3">
      <w:pPr>
        <w:ind w:firstLine="720"/>
        <w:rPr>
          <w:color w:val="000000" w:themeColor="text1"/>
        </w:rPr>
      </w:pPr>
      <w:r>
        <w:rPr>
          <w:color w:val="000000" w:themeColor="text1"/>
        </w:rPr>
        <w:t>4.2</w:t>
      </w:r>
      <w:r w:rsidRPr="00263C37">
        <w:rPr>
          <w:i/>
          <w:iCs/>
          <w:color w:val="000000" w:themeColor="text1"/>
        </w:rPr>
        <w:t xml:space="preserve">. </w:t>
      </w:r>
      <w:r w:rsidR="00331362">
        <w:rPr>
          <w:i/>
          <w:iCs/>
          <w:color w:val="000000" w:themeColor="text1"/>
        </w:rPr>
        <w:t xml:space="preserve">  </w:t>
      </w:r>
      <w:r>
        <w:rPr>
          <w:i/>
          <w:iCs/>
          <w:color w:val="000000" w:themeColor="text1"/>
        </w:rPr>
        <w:t>Areas for f</w:t>
      </w:r>
      <w:r w:rsidRPr="00263C37">
        <w:rPr>
          <w:i/>
          <w:iCs/>
          <w:color w:val="000000" w:themeColor="text1"/>
        </w:rPr>
        <w:t xml:space="preserve">uture </w:t>
      </w:r>
      <w:r>
        <w:rPr>
          <w:i/>
          <w:iCs/>
          <w:color w:val="000000" w:themeColor="text1"/>
        </w:rPr>
        <w:t>r</w:t>
      </w:r>
      <w:r w:rsidRPr="00263C37">
        <w:rPr>
          <w:i/>
          <w:iCs/>
          <w:color w:val="000000" w:themeColor="text1"/>
        </w:rPr>
        <w:t>esearch</w:t>
      </w:r>
      <w:r>
        <w:rPr>
          <w:color w:val="000000" w:themeColor="text1"/>
        </w:rPr>
        <w:t xml:space="preserve"> </w:t>
      </w:r>
    </w:p>
    <w:p w14:paraId="5ACAB7D8" w14:textId="4643D882" w:rsidR="00CA7D14" w:rsidRPr="00F76C7D" w:rsidRDefault="000B6349" w:rsidP="003E53E3">
      <w:pPr>
        <w:ind w:firstLine="720"/>
      </w:pPr>
      <w:r>
        <w:rPr>
          <w:color w:val="000000" w:themeColor="text1"/>
        </w:rPr>
        <w:t xml:space="preserve">While we </w:t>
      </w:r>
      <w:r w:rsidR="00CA7D14">
        <w:rPr>
          <w:color w:val="000000" w:themeColor="text1"/>
        </w:rPr>
        <w:t xml:space="preserve">found all </w:t>
      </w:r>
      <w:r w:rsidR="0048617E">
        <w:rPr>
          <w:color w:val="000000" w:themeColor="text1"/>
        </w:rPr>
        <w:t xml:space="preserve">five </w:t>
      </w:r>
      <w:r w:rsidR="00CA7D14">
        <w:rPr>
          <w:color w:val="000000" w:themeColor="text1"/>
        </w:rPr>
        <w:t xml:space="preserve">management categories </w:t>
      </w:r>
      <w:r w:rsidR="0048617E">
        <w:rPr>
          <w:color w:val="000000" w:themeColor="text1"/>
        </w:rPr>
        <w:t>to have</w:t>
      </w:r>
      <w:r w:rsidR="00E65386">
        <w:rPr>
          <w:color w:val="000000" w:themeColor="text1"/>
        </w:rPr>
        <w:t xml:space="preserve"> </w:t>
      </w:r>
      <w:r w:rsidR="00CA7D14">
        <w:rPr>
          <w:color w:val="000000" w:themeColor="text1"/>
        </w:rPr>
        <w:t xml:space="preserve">a significant influence on </w:t>
      </w:r>
      <w:r w:rsidR="00016B66">
        <w:rPr>
          <w:color w:val="000000" w:themeColor="text1"/>
        </w:rPr>
        <w:t>PA</w:t>
      </w:r>
      <w:r w:rsidR="00CA7D14">
        <w:rPr>
          <w:color w:val="000000" w:themeColor="text1"/>
        </w:rPr>
        <w:t xml:space="preserve"> outcomes, our interaction models were only able to </w:t>
      </w:r>
      <w:r w:rsidR="00315CE6">
        <w:rPr>
          <w:color w:val="000000" w:themeColor="text1"/>
        </w:rPr>
        <w:t xml:space="preserve">explain </w:t>
      </w:r>
      <w:r w:rsidR="00CA7D14">
        <w:rPr>
          <w:color w:val="000000" w:themeColor="text1"/>
        </w:rPr>
        <w:t>a fraction of the observed forest loss</w:t>
      </w:r>
      <w:r w:rsidR="00A05EA4">
        <w:rPr>
          <w:color w:val="000000" w:themeColor="text1"/>
        </w:rPr>
        <w:t xml:space="preserve"> (</w:t>
      </w:r>
      <w:r w:rsidR="00375989">
        <w:rPr>
          <w:color w:val="000000" w:themeColor="text1"/>
        </w:rPr>
        <w:t>Appendix</w:t>
      </w:r>
      <w:r w:rsidR="00A05EA4">
        <w:rPr>
          <w:color w:val="000000" w:themeColor="text1"/>
        </w:rPr>
        <w:t xml:space="preserve"> Table </w:t>
      </w:r>
      <w:r w:rsidR="00E731A0">
        <w:rPr>
          <w:color w:val="000000" w:themeColor="text1"/>
        </w:rPr>
        <w:t>12</w:t>
      </w:r>
      <w:r w:rsidR="00A05EA4">
        <w:rPr>
          <w:color w:val="000000" w:themeColor="text1"/>
        </w:rPr>
        <w:t>)</w:t>
      </w:r>
      <w:r w:rsidR="00CA7D14">
        <w:rPr>
          <w:color w:val="000000" w:themeColor="text1"/>
        </w:rPr>
        <w:t xml:space="preserve">. </w:t>
      </w:r>
      <w:r w:rsidR="002D5F7B">
        <w:rPr>
          <w:color w:val="000000" w:themeColor="text1"/>
        </w:rPr>
        <w:t>Thus</w:t>
      </w:r>
      <w:r w:rsidR="002D5F7B" w:rsidRPr="002D5F7B">
        <w:rPr>
          <w:color w:val="000000" w:themeColor="text1"/>
        </w:rPr>
        <w:t>,</w:t>
      </w:r>
      <w:r w:rsidR="00A53D20" w:rsidRPr="002D5F7B">
        <w:rPr>
          <w:color w:val="000000" w:themeColor="text1"/>
        </w:rPr>
        <w:t xml:space="preserve"> </w:t>
      </w:r>
      <w:r w:rsidR="00CA7D14" w:rsidRPr="002D5F7B">
        <w:rPr>
          <w:color w:val="000000" w:themeColor="text1"/>
        </w:rPr>
        <w:t xml:space="preserve">while management effectiveness can influence </w:t>
      </w:r>
      <w:r w:rsidR="00016B66">
        <w:rPr>
          <w:color w:val="000000" w:themeColor="text1"/>
        </w:rPr>
        <w:t>PA</w:t>
      </w:r>
      <w:r w:rsidR="00CA7D14" w:rsidRPr="002D5F7B">
        <w:rPr>
          <w:color w:val="000000" w:themeColor="text1"/>
        </w:rPr>
        <w:t xml:space="preserve"> success, it may not be the main driver of success.</w:t>
      </w:r>
      <w:r w:rsidR="00CC5291" w:rsidRPr="002D5F7B">
        <w:rPr>
          <w:color w:val="000000" w:themeColor="text1"/>
        </w:rPr>
        <w:t xml:space="preserve"> </w:t>
      </w:r>
      <w:r w:rsidR="001248DE" w:rsidRPr="002D5F7B">
        <w:t>Future</w:t>
      </w:r>
      <w:r w:rsidR="001248DE">
        <w:t xml:space="preserve"> research could try to incorporate additional data on potential institutional moderators of </w:t>
      </w:r>
      <w:r w:rsidR="00016B66">
        <w:t>PA</w:t>
      </w:r>
      <w:r w:rsidR="001248DE">
        <w:t xml:space="preserve"> effectiveness to increase the model’s predictive power (Sills and Jones, 2018). </w:t>
      </w:r>
      <w:r w:rsidR="00CA7D14">
        <w:t xml:space="preserve">For example, level of tenure security has been found to influence </w:t>
      </w:r>
      <w:r w:rsidR="00016B66">
        <w:t>PA</w:t>
      </w:r>
      <w:r w:rsidR="00CA7D14">
        <w:t xml:space="preserve"> outcomes in Brazil </w:t>
      </w:r>
      <w:r w:rsidR="00CA7D14">
        <w:fldChar w:fldCharType="begin" w:fldLock="1"/>
      </w:r>
      <w:r w:rsidR="00CA7D14">
        <w:instrText>ADDIN CSL_CITATION {"citationItems":[{"id":"ITEM-1","itemData":{"DOI":"10.1073/pnas.1214786110","ISBN":"0027-8424","ISSN":"0027-8424","PMID":"23479648","abstract":"Protected areas in tropical countries are managed under different governance regimes, the relative effectiveness of which in avoiding deforestation has been the subject of recent debates. Participants in these debates answer appeals for more strict protection with the argument that sustainable use areas and indigenous lands can balance deforestation pressures by leveraging local support to create and enforce protective regulations. Which protection strategy is more effective can also depend on (i) the level of deforestation pressures towhich an area is exposed and (ii) the intensity of government enforcement. We examine this relationship empirically, using data from 292 protected areas in the Brazilian Amazon.We show that, for any given level of deforestation pressure, strictly protected areas consistently avoided more deforestation than sustainable use areas. Indigenous lands were particularly effective at avoiding deforestation in locations with high deforestation pressure. Findings were stable across two time periods featuring major shifts in the intensity of government enforcement.We also observed shifting trends in the location of protected areas, documenting that between 2000 and 2005 strictly protected areas were more likely to be established in high-pressure locations than in sustainable use areas and indigenous lands. Our findings confirmthat all protection regimes helped reduce deforestation in the Brazilian Amazon.","author":[{"dropping-particle":"","family":"Nolte","given":"C.","non-dropping-particle":"","parse-names":false,"suffix":""},{"dropping-particle":"","family":"Agrawal","given":"A.","non-dropping-particle":"","parse-names":false,"suffix":""},{"dropping-particle":"","family":"Silvius","given":"K. M.","non-dropping-particle":"","parse-names":false,"suffix":""},{"dropping-particle":"","family":"Soares-Filho","given":"B. S.","non-dropping-particle":"","parse-names":false,"suffix":""}],"container-title":"Proceedings of the National Academy of Sciences","id":"ITEM-1","issue":"13","issued":{"date-parts":[["2013"]]},"page":"4956-4961","title":"Governance regime and location influence avoided deforestation success of protected areas in the Brazilian Amazon","type":"article-journal","volume":"110"},"uris":["http://www.mendeley.com/documents/?uuid=30664ade-cf84-42f7-be09-36f11d1e3e01"]}],"mendeley":{"formattedCitation":"(C. Nolte, Agrawal, Silvius, &amp; Soares-Filho, 2013)","plainTextFormattedCitation":"(C. Nolte, Agrawal, Silvius, &amp; Soares-Filho, 2013)","previouslyFormattedCitation":"(C. Nolte, Agrawal, Silvius, &amp; Soares-Filho, 2013)"},"properties":{"noteIndex":0},"schema":"https://github.com/citation-style-language/schema/raw/master/csl-citation.json"}</w:instrText>
      </w:r>
      <w:r w:rsidR="00CA7D14">
        <w:fldChar w:fldCharType="separate"/>
      </w:r>
      <w:r w:rsidR="00CA7D14" w:rsidRPr="00291A57">
        <w:rPr>
          <w:noProof/>
        </w:rPr>
        <w:t>(C. Nolte, Agrawal, Silvius, &amp; Soares-Filho, 2013)</w:t>
      </w:r>
      <w:r w:rsidR="00CA7D14">
        <w:fldChar w:fldCharType="end"/>
      </w:r>
      <w:r w:rsidR="00CA7D14">
        <w:t>, and Sims and Alix-Garcia (2017) found Mexico’s payment for ecosystem service</w:t>
      </w:r>
      <w:r w:rsidR="00315CE6">
        <w:t>s</w:t>
      </w:r>
      <w:r w:rsidR="00CA7D14">
        <w:t xml:space="preserve"> program helped reduce deforestation inside and outside of </w:t>
      </w:r>
      <w:r w:rsidR="00695FDC">
        <w:t>PAs</w:t>
      </w:r>
      <w:r w:rsidR="00CA7D14">
        <w:t xml:space="preserve"> </w:t>
      </w:r>
      <w:r w:rsidR="00CA7D14">
        <w:fldChar w:fldCharType="begin" w:fldLock="1"/>
      </w:r>
      <w:r w:rsidR="00CA7D14">
        <w:instrText>ADDIN CSL_CITATION {"citationItems":[{"id":"ITEM-1","itemData":{"DOI":"10.1016/j.jeem.2016.11.010","ISSN":"0095-0696","author":[{"dropping-particle":"","family":"Sims","given":"Katharine R E","non-dropping-particle":"","parse-names":false,"suffix":""},{"dropping-particle":"","family":"Alix-Garcia","given":"Jennifer M","non-dropping-particle":"","parse-names":false,"suffix":""}],"container-title":"Journal of Environmental Economics and Management","id":"ITEM-1","issued":{"date-parts":[["2017"]]},"page":"8-28","publisher":"Elsevier Inc.","title":"Parks versus PES: Evaluating direct and incentive-based land conservation in Mexico","type":"article-journal","volume":"86"},"uris":["http://www.mendeley.com/documents/?uuid=382bd6c6-aedc-4520-aac0-405a0b1b4f22"]}],"mendeley":{"formattedCitation":"(Sims &amp; Alix-Garcia, 2017)","manualFormatting":"(Sims &amp; Alix-Garcia, 2017)","plainTextFormattedCitation":"(Sims &amp; Alix-Garcia, 2017)","previouslyFormattedCitation":"(Sims &amp; Alix-Garcia, 2017)"},"properties":{"noteIndex":0},"schema":"https://github.com/citation-style-language/schema/raw/master/csl-citation.json"}</w:instrText>
      </w:r>
      <w:r w:rsidR="00CA7D14">
        <w:fldChar w:fldCharType="separate"/>
      </w:r>
      <w:r w:rsidR="00CA7D14" w:rsidRPr="003F51CE">
        <w:rPr>
          <w:noProof/>
        </w:rPr>
        <w:t>(Sims &amp; Alix-Garcia, 2017)</w:t>
      </w:r>
      <w:r w:rsidR="00CA7D14">
        <w:fldChar w:fldCharType="end"/>
      </w:r>
      <w:r w:rsidR="00CA7D14">
        <w:t>.</w:t>
      </w:r>
      <w:r w:rsidR="001248DE" w:rsidRPr="001248DE">
        <w:rPr>
          <w:color w:val="000000" w:themeColor="text1"/>
        </w:rPr>
        <w:t xml:space="preserve"> </w:t>
      </w:r>
      <w:r w:rsidR="001248DE" w:rsidRPr="00481F9A">
        <w:rPr>
          <w:color w:val="000000" w:themeColor="text1"/>
        </w:rPr>
        <w:t xml:space="preserve">Additionally, we found a greater number of </w:t>
      </w:r>
      <w:r w:rsidR="00695FDC">
        <w:rPr>
          <w:color w:val="000000" w:themeColor="text1"/>
        </w:rPr>
        <w:t>PAs</w:t>
      </w:r>
      <w:r w:rsidR="001248DE" w:rsidRPr="00481F9A">
        <w:rPr>
          <w:color w:val="000000" w:themeColor="text1"/>
        </w:rPr>
        <w:t xml:space="preserve"> with higher overall effectiveness scores in Southern Mexico, specifically in the states of Chiapas and Yucat</w:t>
      </w:r>
      <w:r w:rsidR="002D5F7B">
        <w:rPr>
          <w:color w:val="000000" w:themeColor="text1"/>
        </w:rPr>
        <w:t>á</w:t>
      </w:r>
      <w:r w:rsidR="001248DE" w:rsidRPr="00481F9A">
        <w:rPr>
          <w:color w:val="000000" w:themeColor="text1"/>
        </w:rPr>
        <w:t xml:space="preserve">n. </w:t>
      </w:r>
      <w:r w:rsidR="001248DE" w:rsidRPr="00481F9A">
        <w:t xml:space="preserve">Future </w:t>
      </w:r>
      <w:r w:rsidR="001248DE" w:rsidRPr="00F76C7D">
        <w:t xml:space="preserve">research </w:t>
      </w:r>
      <w:r w:rsidR="00944EE0" w:rsidRPr="00F76C7D">
        <w:t>could</w:t>
      </w:r>
      <w:r w:rsidR="001248DE" w:rsidRPr="00F76C7D">
        <w:t xml:space="preserve"> test additional ecological, cultural</w:t>
      </w:r>
      <w:r w:rsidR="0048617E" w:rsidRPr="00F76C7D">
        <w:t>,</w:t>
      </w:r>
      <w:r w:rsidR="001248DE" w:rsidRPr="00F76C7D">
        <w:t xml:space="preserve"> or socio-economic </w:t>
      </w:r>
      <w:r w:rsidR="00944EE0" w:rsidRPr="00F76C7D">
        <w:t>moderators</w:t>
      </w:r>
      <w:r w:rsidR="001248DE" w:rsidRPr="00F76C7D">
        <w:t xml:space="preserve"> which may be driving th</w:t>
      </w:r>
      <w:r w:rsidR="0048617E" w:rsidRPr="00F76C7D">
        <w:t>ese</w:t>
      </w:r>
      <w:r w:rsidR="001248DE" w:rsidRPr="00F76C7D">
        <w:t xml:space="preserve"> </w:t>
      </w:r>
      <w:r w:rsidR="0048617E" w:rsidRPr="00F76C7D">
        <w:t>regional disparities</w:t>
      </w:r>
      <w:r w:rsidR="001248DE" w:rsidRPr="00F76C7D">
        <w:t>.</w:t>
      </w:r>
      <w:r w:rsidR="002D5F7B" w:rsidRPr="00F76C7D">
        <w:t xml:space="preserve"> </w:t>
      </w:r>
    </w:p>
    <w:p w14:paraId="612FC2A7" w14:textId="382F4DDF" w:rsidR="00632F0F" w:rsidRPr="00F76C7D" w:rsidRDefault="00296087" w:rsidP="00632F0F">
      <w:pPr>
        <w:ind w:firstLine="720"/>
        <w:rPr>
          <w:color w:val="000000" w:themeColor="text1"/>
          <w:shd w:val="clear" w:color="auto" w:fill="FFFFFF"/>
        </w:rPr>
      </w:pPr>
      <w:r w:rsidRPr="00F76C7D">
        <w:t>W</w:t>
      </w:r>
      <w:r w:rsidR="00632F0F" w:rsidRPr="00F76C7D">
        <w:t>e recognize that historical management trends</w:t>
      </w:r>
      <w:r w:rsidR="00725E39" w:rsidRPr="00F76C7D">
        <w:t>, for which we do not have data,</w:t>
      </w:r>
      <w:r w:rsidR="00632F0F" w:rsidRPr="00F76C7D">
        <w:t xml:space="preserve"> </w:t>
      </w:r>
      <w:r w:rsidRPr="00F76C7D">
        <w:t xml:space="preserve">could have </w:t>
      </w:r>
      <w:r w:rsidR="00632F0F" w:rsidRPr="00F76C7D">
        <w:t>also influence</w:t>
      </w:r>
      <w:r w:rsidRPr="00F76C7D">
        <w:t>d 2017-2019</w:t>
      </w:r>
      <w:r w:rsidR="00632F0F" w:rsidRPr="00F76C7D">
        <w:t xml:space="preserve"> forest loss</w:t>
      </w:r>
      <w:r w:rsidRPr="00F76C7D">
        <w:t xml:space="preserve">. </w:t>
      </w:r>
      <w:r w:rsidR="00632F0F" w:rsidRPr="00F76C7D">
        <w:t>F</w:t>
      </w:r>
      <w:r w:rsidR="00157539" w:rsidRPr="00F76C7D">
        <w:t xml:space="preserve">uture research </w:t>
      </w:r>
      <w:r w:rsidR="00FB2D7A" w:rsidRPr="00F76C7D">
        <w:t xml:space="preserve">on management effectiveness </w:t>
      </w:r>
      <w:r w:rsidR="00157539" w:rsidRPr="00F76C7D">
        <w:t>should focus on temporal changes in management</w:t>
      </w:r>
      <w:r w:rsidR="0008197D" w:rsidRPr="00F76C7D">
        <w:t xml:space="preserve"> using regularly conducted management surveys</w:t>
      </w:r>
      <w:r w:rsidR="00157539" w:rsidRPr="00F76C7D">
        <w:t xml:space="preserve"> to better determine causality</w:t>
      </w:r>
      <w:r w:rsidR="00AD5865" w:rsidRPr="00F76C7D">
        <w:t xml:space="preserve">, as well as </w:t>
      </w:r>
      <w:r w:rsidR="00D100DA" w:rsidRPr="00F76C7D">
        <w:t xml:space="preserve">the </w:t>
      </w:r>
      <w:r w:rsidR="00AD5865" w:rsidRPr="00F76C7D">
        <w:t xml:space="preserve">interrelationships </w:t>
      </w:r>
      <w:r w:rsidR="00D100DA" w:rsidRPr="00F76C7D">
        <w:t>between different aspects of management effectiveness</w:t>
      </w:r>
      <w:r w:rsidR="00157539" w:rsidRPr="00F76C7D">
        <w:t xml:space="preserve"> (i.e., if better planning and resources leads to better outcomes, or if better performing </w:t>
      </w:r>
      <w:r w:rsidR="00695FDC" w:rsidRPr="00F76C7D">
        <w:t>PAs</w:t>
      </w:r>
      <w:r w:rsidR="00157539" w:rsidRPr="00F76C7D">
        <w:t xml:space="preserve"> receive greater resources and thus are better able to plan</w:t>
      </w:r>
      <w:r w:rsidR="00632F0F" w:rsidRPr="00F76C7D">
        <w:t>)</w:t>
      </w:r>
      <w:r w:rsidR="00157539" w:rsidRPr="00F76C7D">
        <w:t xml:space="preserve">. </w:t>
      </w:r>
      <w:r w:rsidR="00C9550E" w:rsidRPr="00F76C7D">
        <w:t xml:space="preserve">Our results </w:t>
      </w:r>
      <w:r w:rsidR="0008197D" w:rsidRPr="00F76C7D">
        <w:t xml:space="preserve">should be interpreted with some caution </w:t>
      </w:r>
      <w:r w:rsidR="00157539" w:rsidRPr="00F76C7D">
        <w:rPr>
          <w:color w:val="000000" w:themeColor="text1"/>
        </w:rPr>
        <w:t>due to the one-time survey response</w:t>
      </w:r>
      <w:r w:rsidR="00A53D20" w:rsidRPr="00F76C7D">
        <w:rPr>
          <w:color w:val="000000" w:themeColor="text1"/>
        </w:rPr>
        <w:t xml:space="preserve"> and lack of </w:t>
      </w:r>
      <w:r w:rsidR="00632F0F" w:rsidRPr="00F76C7D">
        <w:rPr>
          <w:color w:val="000000" w:themeColor="text1"/>
        </w:rPr>
        <w:t xml:space="preserve">prior </w:t>
      </w:r>
      <w:r w:rsidR="00A53D20" w:rsidRPr="00F76C7D">
        <w:rPr>
          <w:color w:val="000000" w:themeColor="text1"/>
        </w:rPr>
        <w:t>management data</w:t>
      </w:r>
      <w:r w:rsidR="0008197D" w:rsidRPr="00F76C7D">
        <w:rPr>
          <w:color w:val="000000" w:themeColor="text1"/>
        </w:rPr>
        <w:t xml:space="preserve"> with which to examine longer term trends in the relationship between management effectiveness and </w:t>
      </w:r>
      <w:r w:rsidR="00016B66" w:rsidRPr="00F76C7D">
        <w:rPr>
          <w:color w:val="000000" w:themeColor="text1"/>
        </w:rPr>
        <w:t>PA</w:t>
      </w:r>
      <w:r w:rsidR="0008197D" w:rsidRPr="00F76C7D">
        <w:rPr>
          <w:color w:val="000000" w:themeColor="text1"/>
        </w:rPr>
        <w:t xml:space="preserve"> performance</w:t>
      </w:r>
      <w:r w:rsidR="00157539" w:rsidRPr="00F76C7D">
        <w:rPr>
          <w:color w:val="000000" w:themeColor="text1"/>
        </w:rPr>
        <w:t>.</w:t>
      </w:r>
      <w:r w:rsidR="00C9653F" w:rsidRPr="00F76C7D">
        <w:rPr>
          <w:color w:val="000000" w:themeColor="text1"/>
          <w:shd w:val="clear" w:color="auto" w:fill="FFFFFF"/>
        </w:rPr>
        <w:t xml:space="preserve"> </w:t>
      </w:r>
    </w:p>
    <w:p w14:paraId="4F1BED05" w14:textId="56472EE7" w:rsidR="003A213C" w:rsidRPr="00F76C7D" w:rsidRDefault="00632F0F" w:rsidP="00632F0F">
      <w:pPr>
        <w:ind w:firstLine="720"/>
      </w:pPr>
      <w:r w:rsidRPr="00F76C7D">
        <w:rPr>
          <w:color w:val="000000" w:themeColor="text1"/>
          <w:shd w:val="clear" w:color="auto" w:fill="FFFFFF"/>
        </w:rPr>
        <w:t>W</w:t>
      </w:r>
      <w:r w:rsidR="00C9653F" w:rsidRPr="00F76C7D">
        <w:rPr>
          <w:color w:val="000000" w:themeColor="text1"/>
          <w:shd w:val="clear" w:color="auto" w:fill="FFFFFF"/>
        </w:rPr>
        <w:t xml:space="preserve">e recognize that our final sample is relatively small in terms of total </w:t>
      </w:r>
      <w:r w:rsidR="00695FDC" w:rsidRPr="00F76C7D">
        <w:rPr>
          <w:color w:val="000000" w:themeColor="text1"/>
          <w:shd w:val="clear" w:color="auto" w:fill="FFFFFF"/>
        </w:rPr>
        <w:t>PAs</w:t>
      </w:r>
      <w:r w:rsidR="00C9653F" w:rsidRPr="00F76C7D">
        <w:rPr>
          <w:color w:val="000000" w:themeColor="text1"/>
          <w:shd w:val="clear" w:color="auto" w:fill="FFFFFF"/>
        </w:rPr>
        <w:t xml:space="preserve">. </w:t>
      </w:r>
      <w:r w:rsidR="00F50EC7" w:rsidRPr="00F76C7D">
        <w:rPr>
          <w:color w:val="000000" w:themeColor="text1"/>
          <w:shd w:val="clear" w:color="auto" w:fill="FFFFFF"/>
        </w:rPr>
        <w:t>W</w:t>
      </w:r>
      <w:r w:rsidR="00C9653F" w:rsidRPr="00F76C7D">
        <w:rPr>
          <w:color w:val="000000" w:themeColor="text1"/>
          <w:shd w:val="clear" w:color="auto" w:fill="FFFFFF"/>
        </w:rPr>
        <w:t xml:space="preserve">hile the high overall management </w:t>
      </w:r>
      <w:r w:rsidR="00F50EC7" w:rsidRPr="00F76C7D">
        <w:rPr>
          <w:color w:val="000000" w:themeColor="text1"/>
          <w:shd w:val="clear" w:color="auto" w:fill="FFFFFF"/>
        </w:rPr>
        <w:t xml:space="preserve">effectiveness </w:t>
      </w:r>
      <w:r w:rsidR="00C9653F" w:rsidRPr="00F76C7D">
        <w:rPr>
          <w:color w:val="000000" w:themeColor="text1"/>
          <w:shd w:val="clear" w:color="auto" w:fill="FFFFFF"/>
        </w:rPr>
        <w:t>subgroup contai</w:t>
      </w:r>
      <w:r w:rsidR="00F50EC7" w:rsidRPr="00F76C7D">
        <w:rPr>
          <w:color w:val="000000" w:themeColor="text1"/>
          <w:shd w:val="clear" w:color="auto" w:fill="FFFFFF"/>
        </w:rPr>
        <w:t>ns</w:t>
      </w:r>
      <w:r w:rsidR="00C9653F" w:rsidRPr="00F76C7D">
        <w:rPr>
          <w:color w:val="000000" w:themeColor="text1"/>
          <w:shd w:val="clear" w:color="auto" w:fill="FFFFFF"/>
        </w:rPr>
        <w:t xml:space="preserve"> </w:t>
      </w:r>
      <w:r w:rsidR="002562B7" w:rsidRPr="00F76C7D">
        <w:rPr>
          <w:color w:val="000000" w:themeColor="text1"/>
          <w:shd w:val="clear" w:color="auto" w:fill="FFFFFF"/>
        </w:rPr>
        <w:t>over 7</w:t>
      </w:r>
      <w:r w:rsidR="003E6595" w:rsidRPr="00F76C7D">
        <w:rPr>
          <w:color w:val="000000" w:themeColor="text1"/>
          <w:shd w:val="clear" w:color="auto" w:fill="FFFFFF"/>
        </w:rPr>
        <w:t xml:space="preserve"> </w:t>
      </w:r>
      <w:r w:rsidR="002562B7" w:rsidRPr="00F76C7D">
        <w:rPr>
          <w:color w:val="000000" w:themeColor="text1"/>
          <w:shd w:val="clear" w:color="auto" w:fill="FFFFFF"/>
        </w:rPr>
        <w:t xml:space="preserve">000 grid </w:t>
      </w:r>
      <w:r w:rsidR="00C9653F" w:rsidRPr="00F76C7D">
        <w:rPr>
          <w:color w:val="000000" w:themeColor="text1"/>
          <w:shd w:val="clear" w:color="auto" w:fill="FFFFFF"/>
        </w:rPr>
        <w:t>cells, it only represent</w:t>
      </w:r>
      <w:r w:rsidR="00F50EC7" w:rsidRPr="00F76C7D">
        <w:rPr>
          <w:color w:val="000000" w:themeColor="text1"/>
          <w:shd w:val="clear" w:color="auto" w:fill="FFFFFF"/>
        </w:rPr>
        <w:t>s</w:t>
      </w:r>
      <w:r w:rsidR="00C9653F" w:rsidRPr="00F76C7D">
        <w:rPr>
          <w:color w:val="000000" w:themeColor="text1"/>
          <w:shd w:val="clear" w:color="auto" w:fill="FFFFFF"/>
        </w:rPr>
        <w:t xml:space="preserve"> 12 </w:t>
      </w:r>
      <w:r w:rsidR="00695FDC" w:rsidRPr="00F76C7D">
        <w:rPr>
          <w:color w:val="000000" w:themeColor="text1"/>
          <w:shd w:val="clear" w:color="auto" w:fill="FFFFFF"/>
        </w:rPr>
        <w:t>PAs</w:t>
      </w:r>
      <w:r w:rsidR="00C9653F" w:rsidRPr="00F76C7D">
        <w:rPr>
          <w:color w:val="000000" w:themeColor="text1"/>
          <w:shd w:val="clear" w:color="auto" w:fill="FFFFFF"/>
        </w:rPr>
        <w:t xml:space="preserve">. </w:t>
      </w:r>
      <w:r w:rsidR="0008197D" w:rsidRPr="00F76C7D">
        <w:rPr>
          <w:color w:val="000000" w:themeColor="text1"/>
          <w:shd w:val="clear" w:color="auto" w:fill="FFFFFF"/>
        </w:rPr>
        <w:t xml:space="preserve">This limitation is in part due to our focus on changes in forest cover as a measure of </w:t>
      </w:r>
      <w:r w:rsidR="00016B66" w:rsidRPr="00F76C7D">
        <w:rPr>
          <w:color w:val="000000" w:themeColor="text1"/>
          <w:shd w:val="clear" w:color="auto" w:fill="FFFFFF"/>
        </w:rPr>
        <w:t>PA</w:t>
      </w:r>
      <w:r w:rsidR="0008197D" w:rsidRPr="00F76C7D">
        <w:rPr>
          <w:color w:val="000000" w:themeColor="text1"/>
          <w:shd w:val="clear" w:color="auto" w:fill="FFFFFF"/>
        </w:rPr>
        <w:t xml:space="preserve"> success. In turn, we were only able to examine forested </w:t>
      </w:r>
      <w:r w:rsidR="00695FDC" w:rsidRPr="00F76C7D">
        <w:rPr>
          <w:color w:val="000000" w:themeColor="text1"/>
          <w:shd w:val="clear" w:color="auto" w:fill="FFFFFF"/>
        </w:rPr>
        <w:t>PAs</w:t>
      </w:r>
      <w:r w:rsidR="0008197D" w:rsidRPr="00F76C7D">
        <w:rPr>
          <w:color w:val="000000" w:themeColor="text1"/>
          <w:shd w:val="clear" w:color="auto" w:fill="FFFFFF"/>
        </w:rPr>
        <w:t>.</w:t>
      </w:r>
      <w:r w:rsidR="0008197D" w:rsidRPr="00F76C7D">
        <w:rPr>
          <w:rFonts w:ascii="Segoe UI Symbol" w:hAnsi="Segoe UI Symbol"/>
          <w:color w:val="000000" w:themeColor="text1"/>
          <w:sz w:val="22"/>
          <w:szCs w:val="22"/>
          <w:shd w:val="clear" w:color="auto" w:fill="FFFFFF"/>
        </w:rPr>
        <w:t xml:space="preserve"> </w:t>
      </w:r>
      <w:r w:rsidR="00F50EC7" w:rsidRPr="00F76C7D">
        <w:rPr>
          <w:color w:val="000000" w:themeColor="text1"/>
          <w:shd w:val="clear" w:color="auto" w:fill="FFFFFF"/>
        </w:rPr>
        <w:t>Future research</w:t>
      </w:r>
      <w:r w:rsidR="00C9653F" w:rsidRPr="00F76C7D">
        <w:rPr>
          <w:color w:val="000000" w:themeColor="text1"/>
          <w:shd w:val="clear" w:color="auto" w:fill="FFFFFF"/>
        </w:rPr>
        <w:t xml:space="preserve"> should </w:t>
      </w:r>
      <w:r w:rsidR="00F50EC7" w:rsidRPr="00F76C7D">
        <w:rPr>
          <w:color w:val="000000" w:themeColor="text1"/>
          <w:shd w:val="clear" w:color="auto" w:fill="FFFFFF"/>
        </w:rPr>
        <w:t>focus on</w:t>
      </w:r>
      <w:r w:rsidR="00C9653F" w:rsidRPr="00F76C7D">
        <w:rPr>
          <w:color w:val="000000" w:themeColor="text1"/>
          <w:shd w:val="clear" w:color="auto" w:fill="FFFFFF"/>
        </w:rPr>
        <w:t xml:space="preserve"> expand</w:t>
      </w:r>
      <w:r w:rsidR="00F50EC7" w:rsidRPr="00F76C7D">
        <w:rPr>
          <w:color w:val="000000" w:themeColor="text1"/>
          <w:shd w:val="clear" w:color="auto" w:fill="FFFFFF"/>
        </w:rPr>
        <w:t>ing</w:t>
      </w:r>
      <w:r w:rsidR="00C9653F" w:rsidRPr="00F76C7D">
        <w:rPr>
          <w:color w:val="000000" w:themeColor="text1"/>
          <w:shd w:val="clear" w:color="auto" w:fill="FFFFFF"/>
        </w:rPr>
        <w:t xml:space="preserve"> </w:t>
      </w:r>
      <w:r w:rsidR="00F50EC7" w:rsidRPr="00F76C7D">
        <w:rPr>
          <w:color w:val="000000" w:themeColor="text1"/>
          <w:shd w:val="clear" w:color="auto" w:fill="FFFFFF"/>
        </w:rPr>
        <w:t xml:space="preserve">this analysis </w:t>
      </w:r>
      <w:r w:rsidR="00C9653F" w:rsidRPr="00F76C7D">
        <w:rPr>
          <w:color w:val="000000" w:themeColor="text1"/>
          <w:shd w:val="clear" w:color="auto" w:fill="FFFFFF"/>
        </w:rPr>
        <w:t xml:space="preserve">to include non-forested </w:t>
      </w:r>
      <w:r w:rsidR="00695FDC" w:rsidRPr="00F76C7D">
        <w:rPr>
          <w:color w:val="000000" w:themeColor="text1"/>
          <w:shd w:val="clear" w:color="auto" w:fill="FFFFFF"/>
        </w:rPr>
        <w:t>PAs</w:t>
      </w:r>
      <w:r w:rsidR="00C9653F" w:rsidRPr="00F76C7D">
        <w:rPr>
          <w:color w:val="000000" w:themeColor="text1"/>
          <w:shd w:val="clear" w:color="auto" w:fill="FFFFFF"/>
        </w:rPr>
        <w:t xml:space="preserve"> </w:t>
      </w:r>
      <w:r w:rsidR="00F50EC7" w:rsidRPr="00F76C7D">
        <w:rPr>
          <w:color w:val="000000" w:themeColor="text1"/>
          <w:shd w:val="clear" w:color="auto" w:fill="FFFFFF"/>
        </w:rPr>
        <w:t>to test</w:t>
      </w:r>
      <w:r w:rsidR="00C9653F" w:rsidRPr="00F76C7D">
        <w:rPr>
          <w:color w:val="000000" w:themeColor="text1"/>
          <w:shd w:val="clear" w:color="auto" w:fill="FFFFFF"/>
        </w:rPr>
        <w:t xml:space="preserve"> </w:t>
      </w:r>
      <w:r w:rsidR="00F50EC7" w:rsidRPr="00F76C7D">
        <w:rPr>
          <w:color w:val="000000" w:themeColor="text1"/>
          <w:shd w:val="clear" w:color="auto" w:fill="FFFFFF"/>
        </w:rPr>
        <w:t xml:space="preserve">the </w:t>
      </w:r>
      <w:r w:rsidR="00C9653F" w:rsidRPr="00F76C7D">
        <w:rPr>
          <w:color w:val="000000" w:themeColor="text1"/>
          <w:shd w:val="clear" w:color="auto" w:fill="FFFFFF"/>
        </w:rPr>
        <w:t xml:space="preserve">external validity </w:t>
      </w:r>
      <w:r w:rsidR="00F50EC7" w:rsidRPr="00F76C7D">
        <w:rPr>
          <w:color w:val="000000" w:themeColor="text1"/>
          <w:shd w:val="clear" w:color="auto" w:fill="FFFFFF"/>
        </w:rPr>
        <w:t>of our findings to increase sample</w:t>
      </w:r>
      <w:r w:rsidR="00C9653F" w:rsidRPr="00F76C7D">
        <w:rPr>
          <w:color w:val="000000" w:themeColor="text1"/>
          <w:shd w:val="clear" w:color="auto" w:fill="FFFFFF"/>
        </w:rPr>
        <w:t xml:space="preserve"> representation across Mexico’s </w:t>
      </w:r>
      <w:r w:rsidR="00016B66" w:rsidRPr="00F76C7D">
        <w:rPr>
          <w:color w:val="000000" w:themeColor="text1"/>
          <w:shd w:val="clear" w:color="auto" w:fill="FFFFFF"/>
        </w:rPr>
        <w:t>PA</w:t>
      </w:r>
      <w:r w:rsidR="00C9653F" w:rsidRPr="00F76C7D">
        <w:rPr>
          <w:color w:val="000000" w:themeColor="text1"/>
          <w:shd w:val="clear" w:color="auto" w:fill="FFFFFF"/>
        </w:rPr>
        <w:t xml:space="preserve"> network</w:t>
      </w:r>
      <w:r w:rsidR="002562B7" w:rsidRPr="00F76C7D">
        <w:rPr>
          <w:color w:val="000000" w:themeColor="text1"/>
          <w:shd w:val="clear" w:color="auto" w:fill="FFFFFF"/>
        </w:rPr>
        <w:t>.</w:t>
      </w:r>
    </w:p>
    <w:p w14:paraId="1C702372" w14:textId="03DF3388" w:rsidR="003F0ED1" w:rsidRPr="002D5F7B" w:rsidRDefault="002D5F7B" w:rsidP="002D5F7B">
      <w:pPr>
        <w:ind w:firstLine="720"/>
      </w:pPr>
      <w:r w:rsidRPr="00F76C7D">
        <w:rPr>
          <w:color w:val="000000" w:themeColor="text1"/>
        </w:rPr>
        <w:t xml:space="preserve">Finally, we also acknowledge the limitation posed by potential biases in self-reported management assessments </w:t>
      </w:r>
      <w:r w:rsidRPr="00F76C7D">
        <w:rPr>
          <w:color w:val="000000" w:themeColor="text1"/>
        </w:rPr>
        <w:fldChar w:fldCharType="begin" w:fldLock="1"/>
      </w:r>
      <w:r w:rsidRPr="00F76C7D">
        <w:rPr>
          <w:color w:val="000000" w:themeColor="text1"/>
        </w:rPr>
        <w:instrText>ADDIN CSL_CITATION {"citationItems":[{"id":"ITEM-1","itemData":{"DOI":"10.1098/rstb.2014.0281","ISSN":"14712970","PMID":"26460133","abstract":"Protected areas (PAs) are at the forefront of conservation efforts, and yet despite considerable progress towards the global target of having 17% of the world’s land area within protected areas by 2020, biodiversity continues to decline. The discrepancy between increasing PA coverage and negative biodiversity trends has resulted in renewed efforts to enhance PA effectiveness. The global conservation community has conducted thousands of assessments of protected area management effectiveness (PAME), and interest in the use of these data to helpmeasure the conservation impact of PAmanagement interventions is high. Here, we summarize the status of PAME assessment, review the published evidence for a link between PAMEassessment results and the conservation impacts of PAs, and discuss the limitations and future use of PAME data in measuring the impact of PAmanagement interventions on conservation outcomes.We conclude that PAME data,while designed as a tool for local adaptivemanagement, may also help to provide insights into the impact of PA management interventions from the local-to-global scale. However, the subjective and ordinal characteristics of the data present significant limitations for their application in rigorous scientific impact evaluations, a problem that should be recognized and mitigated where possible.","author":[{"dropping-particle":"","family":"Coad","given":"Lauren","non-dropping-particle":"","parse-names":false,"suffix":""},{"dropping-particle":"","family":"Leverington","given":"Fiona","non-dropping-particle":"","parse-names":false,"suffix":""},{"dropping-particle":"","family":"Knights","given":"Kathryn","non-dropping-particle":"","parse-names":false,"suffix":""},{"dropping-particle":"","family":"Geldmann","given":"Jonas","non-dropping-particle":"","parse-names":false,"suffix":""},{"dropping-particle":"","family":"Eassom","given":"April","non-dropping-particle":"","parse-names":false,"suffix":""},{"dropping-particle":"","family":"Kapos","given":"Valerie","non-dropping-particle":"","parse-names":false,"suffix":""},{"dropping-particle":"","family":"Kingston","given":"Naomi","non-dropping-particle":"","parse-names":false,"suffix":""},{"dropping-particle":"De","family":"Lima","given":"Marcelo","non-dropping-particle":"","parse-names":false,"suffix":""},{"dropping-particle":"","family":"Zamora","given":"Camilo","non-dropping-particle":"","parse-names":false,"suffix":""},{"dropping-particle":"","family":"Cuardros","given":"Ivon","non-dropping-particle":"","parse-names":false,"suffix":""},{"dropping-particle":"","family":"Nolte","given":"Christoph","non-dropping-particle":"","parse-names":false,"suffix":""},{"dropping-particle":"","family":"Burgess","given":"Neil D.","non-dropping-particle":"","parse-names":false,"suffix":""},{"dropping-particle":"","family":"Hockings","given":"Marc","non-dropping-particle":"","parse-names":false,"suffix":""}],"container-title":"Philosophical Transactions of the Royal Society B: Biological Sciences","id":"ITEM-1","issue":"20140281","issued":{"date-parts":[["2015"]]},"title":"Measuring impact of protected area management interventions: current and future use of the Global Database of Protected Area Aanagement Effectiveness","type":"article-journal","volume":"370"},"uris":["http://www.mendeley.com/documents/?uuid=75d9a026-a3ca-46e3-abba-136e4f15893a"]}],"mendeley":{"formattedCitation":"(Coad et al., 2015)","manualFormatting":"(Coad et al., 2015)","plainTextFormattedCitation":"(Coad et al., 2015)","previouslyFormattedCitation":"(Coad et al., 2015)"},"properties":{"noteIndex":0},"schema":"https://github.com/citation-style-language/schema/raw/master/csl-citation.json"}</w:instrText>
      </w:r>
      <w:r w:rsidRPr="00F76C7D">
        <w:rPr>
          <w:color w:val="000000" w:themeColor="text1"/>
        </w:rPr>
        <w:fldChar w:fldCharType="separate"/>
      </w:r>
      <w:r w:rsidRPr="00F76C7D">
        <w:rPr>
          <w:noProof/>
          <w:color w:val="000000" w:themeColor="text1"/>
        </w:rPr>
        <w:t>(Coad et al., 2015)</w:t>
      </w:r>
      <w:r w:rsidRPr="00F76C7D">
        <w:rPr>
          <w:color w:val="000000" w:themeColor="text1"/>
        </w:rPr>
        <w:fldChar w:fldCharType="end"/>
      </w:r>
      <w:r w:rsidRPr="00F76C7D">
        <w:rPr>
          <w:color w:val="000000" w:themeColor="text1"/>
        </w:rPr>
        <w:t xml:space="preserve">. </w:t>
      </w:r>
      <w:r w:rsidRPr="00F76C7D">
        <w:t xml:space="preserve">Capturing the perceptions of stakeholders beyond </w:t>
      </w:r>
      <w:r w:rsidR="00016B66" w:rsidRPr="00F76C7D">
        <w:t>PA</w:t>
      </w:r>
      <w:r w:rsidRPr="00F76C7D">
        <w:t xml:space="preserve"> staff, similar to Herrejón et al</w:t>
      </w:r>
      <w:r w:rsidRPr="00F76C7D">
        <w:rPr>
          <w:i/>
          <w:iCs/>
        </w:rPr>
        <w:t>.</w:t>
      </w:r>
      <w:r w:rsidRPr="00F76C7D">
        <w:t xml:space="preserve"> (2020), may more accurately measure diffe</w:t>
      </w:r>
      <w:r>
        <w:t xml:space="preserve">rent management </w:t>
      </w:r>
      <w:r>
        <w:lastRenderedPageBreak/>
        <w:t xml:space="preserve">categories, especially those addressing equity in power and benefit sharing. Ground truthing the scores of CONANP’s management assessment should be a focus of future research. </w:t>
      </w:r>
    </w:p>
    <w:p w14:paraId="1C6D1A8F" w14:textId="77777777" w:rsidR="002D5F7B" w:rsidRDefault="002D5F7B" w:rsidP="003E53E3">
      <w:pPr>
        <w:rPr>
          <w:b/>
          <w:bCs/>
        </w:rPr>
      </w:pPr>
    </w:p>
    <w:p w14:paraId="177531A2" w14:textId="7162F138" w:rsidR="00107EBF" w:rsidRDefault="00107EBF" w:rsidP="003E53E3">
      <w:pPr>
        <w:rPr>
          <w:b/>
          <w:bCs/>
        </w:rPr>
      </w:pPr>
      <w:r>
        <w:rPr>
          <w:b/>
          <w:bCs/>
        </w:rPr>
        <w:t>Conclusion</w:t>
      </w:r>
    </w:p>
    <w:p w14:paraId="10E88540" w14:textId="3DC38DC7" w:rsidR="008D688C" w:rsidRPr="002A6C6C" w:rsidRDefault="002A6C6C" w:rsidP="003E53E3">
      <w:pPr>
        <w:ind w:firstLine="720"/>
      </w:pPr>
      <w:r>
        <w:t>Our study responds</w:t>
      </w:r>
      <w:r w:rsidR="00A470DE">
        <w:t xml:space="preserve"> to call</w:t>
      </w:r>
      <w:r w:rsidR="008D7E3E">
        <w:t>s</w:t>
      </w:r>
      <w:r w:rsidR="00AD2EF7">
        <w:t xml:space="preserve"> </w:t>
      </w:r>
      <w:r w:rsidR="005579B9">
        <w:t>for more</w:t>
      </w:r>
      <w:r w:rsidR="001C3834">
        <w:t xml:space="preserve"> </w:t>
      </w:r>
      <w:r w:rsidR="00E07388">
        <w:t>rigorous</w:t>
      </w:r>
      <w:r w:rsidR="001C3834">
        <w:t xml:space="preserve"> </w:t>
      </w:r>
      <w:r w:rsidR="005579B9">
        <w:t xml:space="preserve">evidence identifying the moderators that lead to </w:t>
      </w:r>
      <w:r w:rsidR="00016B66">
        <w:t>PA</w:t>
      </w:r>
      <w:r w:rsidR="005579B9">
        <w:t xml:space="preserve"> success</w:t>
      </w:r>
      <w:r>
        <w:t xml:space="preserve"> by </w:t>
      </w:r>
      <w:r w:rsidR="00DE0C67">
        <w:t>examining</w:t>
      </w:r>
      <w:r>
        <w:t xml:space="preserve"> the role of management effectiveness in </w:t>
      </w:r>
      <w:r w:rsidR="00016B66">
        <w:t>PA</w:t>
      </w:r>
      <w:r>
        <w:t xml:space="preserve"> success</w:t>
      </w:r>
      <w:r w:rsidR="005579B9">
        <w:t xml:space="preserve"> </w:t>
      </w:r>
      <w:r w:rsidR="005579B9">
        <w:fldChar w:fldCharType="begin" w:fldLock="1"/>
      </w:r>
      <w:r w:rsidR="00C62D43">
        <w:instrText>ADDIN CSL_CITATION {"citationItems":[{"id":"ITEM-1","itemData":{"DOI":"10.1016/j.biocon.2013.02.018","ISSN":"0006-3207","author":[{"dropping-particle":"","family":"Geldmann","given":"Jonas","non-dropping-particle":"","parse-names":false,"suffix":""},{"dropping-particle":"","family":"Barnes","given":"Megan","non-dropping-particle":"","parse-names":false,"suffix":""},{"dropping-particle":"","family":"Coad","given":"Lauren","non-dropping-particle":"","parse-names":false,"suffix":""},{"dropping-particle":"","family":"Craigie","given":"Ian D","non-dropping-particle":"","parse-names":false,"suffix":""},{"dropping-particle":"","family":"Hockings","given":"Marc","non-dropping-particle":"","parse-names":false,"suffix":""},{"dropping-particle":"","family":"Burgess","given":"Neil D","non-dropping-particle":"","parse-names":false,"suffix":""}],"container-title":"Biological Conservation","id":"ITEM-1","issued":{"date-parts":[["2013"]]},"note":"SR approach - 51 papers for habitat cover and 35 on species population \n\npositive results on habitat conservation - but methodologies like remote sensing can over look quality and not account for natural events causing loss\n\nunclear results for species conservation - limited data suseptable to bias","page":"230-238","publisher":"Elsevier Ltd","title":"Effectiveness of terrestrial protected areas in reducing habitat loss and population declines","type":"article-journal","volume":"161"},"uris":["http://www.mendeley.com/documents/?uuid=68ef9330-702e-4176-bdc5-281a7946646d"]},{"id":"ITEM-2","itemData":{"DOI":"10.1186/s13750-015-0051-6","ISSN":"2047-2382","author":[{"dropping-particle":"","family":"Macura","given":"Biljana","non-dropping-particle":"","parse-names":false,"suffix":""},{"dropping-particle":"","family":"Secco","given":"Laura","non-dropping-particle":"","parse-names":false,"suffix":""},{"dropping-particle":"","family":"Pullin","given":"Andrew S","non-dropping-particle":"","parse-names":false,"suffix":""}],"container-title":"Environmental Evidence","id":"ITEM-2","issue":"24","issued":{"date-parts":[["2015"]]},"note":"However, the complexity of governance is much higher on the ground due to a variety of land ten- ure systems, funding sources, management bodies, access and use rights, with frequent overlaps between these four regimes [10]. \n\nsystematic map - becuase systematic review was too limiting \n\n&amp;quot;state of the knowledge&amp;quot; type summary \n\ninformation on governance is too limited \n- need more information on decision making, rules, rights, etc. \n\nqualitative case studies are too limited but quantitative comparisons overlook important details - need mixed methods and interdisciplinary research teams \n\nneeds baseline data","page":"1-29","publisher":"BioMed Central","title":"What evidence exists on the impact of governance type on the conservation effectiveness of forest protected areas? Knowledge base and evidence gaps","type":"article-journal","volume":"4"},"uris":["http://www.mendeley.com/documents/?uuid=595c9d75-28b8-4ebd-a137-ba57bd0c1eb8"]}],"mendeley":{"formattedCitation":"(Geldmann et al., 2013; Macura, Secco, &amp; Pullin, 2015)","plainTextFormattedCitation":"(Geldmann et al., 2013; Macura, Secco, &amp; Pullin, 2015)","previouslyFormattedCitation":"(Geldmann et al., 2013; Macura, Secco, &amp; Pullin, 2015)"},"properties":{"noteIndex":0},"schema":"https://github.com/citation-style-language/schema/raw/master/csl-citation.json"}</w:instrText>
      </w:r>
      <w:r w:rsidR="005579B9">
        <w:fldChar w:fldCharType="separate"/>
      </w:r>
      <w:r w:rsidR="00C62D43" w:rsidRPr="00C62D43">
        <w:rPr>
          <w:noProof/>
        </w:rPr>
        <w:t>(Geldmann et al., 2013; Macura, Secco, &amp; Pullin, 2015)</w:t>
      </w:r>
      <w:r w:rsidR="005579B9">
        <w:fldChar w:fldCharType="end"/>
      </w:r>
      <w:r w:rsidR="005579B9" w:rsidRPr="005579B9">
        <w:t>.</w:t>
      </w:r>
      <w:r w:rsidR="005579B9" w:rsidRPr="005579B9">
        <w:rPr>
          <w:b/>
          <w:bCs/>
        </w:rPr>
        <w:t xml:space="preserve"> </w:t>
      </w:r>
      <w:r w:rsidR="00176E41">
        <w:t xml:space="preserve">In our sample of 46 terrestrial </w:t>
      </w:r>
      <w:r w:rsidR="00695FDC">
        <w:t>PAs</w:t>
      </w:r>
      <w:r w:rsidR="005579B9">
        <w:t xml:space="preserve"> in Mexico</w:t>
      </w:r>
      <w:r w:rsidR="00176E41">
        <w:t xml:space="preserve">, we find statistically significant and positive relationships between better management effectiveness and mitigation of forest </w:t>
      </w:r>
      <w:r w:rsidR="00176E41" w:rsidRPr="00EE5562">
        <w:t>loss.</w:t>
      </w:r>
      <w:r w:rsidR="00EE5562" w:rsidRPr="00EE5562">
        <w:t xml:space="preserve"> </w:t>
      </w:r>
      <w:r w:rsidR="001F3BFE">
        <w:t xml:space="preserve">While many studies have previously identified the importance of sufficient financial resources for </w:t>
      </w:r>
      <w:r w:rsidR="00695FDC">
        <w:t>PAs</w:t>
      </w:r>
      <w:r w:rsidR="004845C2">
        <w:t xml:space="preserve"> </w:t>
      </w:r>
      <w:r w:rsidR="001F3BFE">
        <w:t>success, our findings highlight the importance of additional management components including planning</w:t>
      </w:r>
      <w:r w:rsidR="004845C2">
        <w:t xml:space="preserve"> and design</w:t>
      </w:r>
      <w:r w:rsidR="001F3BFE">
        <w:t xml:space="preserve">, relationships with diverse stakeholders, </w:t>
      </w:r>
      <w:r w:rsidR="004845C2">
        <w:t xml:space="preserve">equitably </w:t>
      </w:r>
      <w:r w:rsidR="001F3BFE">
        <w:t>shared benefits</w:t>
      </w:r>
      <w:r w:rsidR="004845C2">
        <w:t>,</w:t>
      </w:r>
      <w:r w:rsidR="001F3BFE">
        <w:t xml:space="preserve"> and adaptive management. </w:t>
      </w:r>
      <w:r w:rsidR="00621140">
        <w:t xml:space="preserve">We recognize that these management </w:t>
      </w:r>
      <w:r w:rsidR="004845C2">
        <w:t xml:space="preserve">components </w:t>
      </w:r>
      <w:r w:rsidR="00621140">
        <w:t xml:space="preserve">are not </w:t>
      </w:r>
      <w:r w:rsidR="004845C2">
        <w:t xml:space="preserve">mutually </w:t>
      </w:r>
      <w:r w:rsidR="00621140">
        <w:t xml:space="preserve">exclusive, </w:t>
      </w:r>
      <w:r w:rsidR="004845C2">
        <w:t>and that</w:t>
      </w:r>
      <w:r w:rsidR="00621140">
        <w:t xml:space="preserve"> often an improvement in one can enable an improvement in another (i.e., greater </w:t>
      </w:r>
      <w:r w:rsidR="001C3834">
        <w:t xml:space="preserve">financial resources </w:t>
      </w:r>
      <w:r w:rsidR="00621140">
        <w:t>can lead to</w:t>
      </w:r>
      <w:r w:rsidR="001C3834">
        <w:t xml:space="preserve"> </w:t>
      </w:r>
      <w:r w:rsidR="00627782">
        <w:t>more</w:t>
      </w:r>
      <w:r w:rsidR="001C3834">
        <w:t xml:space="preserve"> training and </w:t>
      </w:r>
      <w:r w:rsidR="001F3BFE">
        <w:t xml:space="preserve">human </w:t>
      </w:r>
      <w:r w:rsidR="001C3834">
        <w:t>capacity building</w:t>
      </w:r>
      <w:r w:rsidR="00621140">
        <w:t xml:space="preserve">, which can lead to improved resource monitoring programs). </w:t>
      </w:r>
      <w:r w:rsidR="00AD2EF7">
        <w:t>However, our finding</w:t>
      </w:r>
      <w:r w:rsidR="00627782">
        <w:t>s</w:t>
      </w:r>
      <w:r w:rsidR="00AD2EF7">
        <w:t xml:space="preserve"> highlight </w:t>
      </w:r>
      <w:r w:rsidR="00203226">
        <w:t xml:space="preserve">that each dimension can have a significant impact on conservation outcomes, </w:t>
      </w:r>
      <w:r w:rsidR="001D6D60">
        <w:t xml:space="preserve">thereby emphasizing the importance to conservation planners of investing </w:t>
      </w:r>
      <w:r w:rsidR="002A2155">
        <w:t>time and resources in</w:t>
      </w:r>
      <w:r w:rsidR="00AD2EF7">
        <w:t xml:space="preserve"> </w:t>
      </w:r>
      <w:r w:rsidR="002A2155">
        <w:t>each category</w:t>
      </w:r>
      <w:r w:rsidR="00AD2EF7">
        <w:t xml:space="preserve"> to ensure the greatest conservation outcomes. </w:t>
      </w:r>
      <w:r w:rsidR="001D6D60">
        <w:t>Finally</w:t>
      </w:r>
      <w:r w:rsidR="008D688C">
        <w:t xml:space="preserve">, </w:t>
      </w:r>
      <w:r w:rsidR="000E43BC">
        <w:t xml:space="preserve">our findings support the theory that </w:t>
      </w:r>
      <w:r w:rsidR="008D688C">
        <w:t>standardized management effectiveness tool</w:t>
      </w:r>
      <w:r w:rsidR="006D3A32">
        <w:t>s</w:t>
      </w:r>
      <w:r w:rsidR="008D688C">
        <w:t xml:space="preserve"> can be </w:t>
      </w:r>
      <w:r w:rsidR="001D6D60">
        <w:t xml:space="preserve">useful predictors </w:t>
      </w:r>
      <w:r w:rsidR="008D688C">
        <w:t>of conservation outcomes</w:t>
      </w:r>
      <w:r w:rsidR="001D6D60">
        <w:t>,</w:t>
      </w:r>
      <w:r w:rsidR="000E43BC">
        <w:t xml:space="preserve"> and thus can be an appropriate measurement for </w:t>
      </w:r>
      <w:r w:rsidR="003A422E">
        <w:t xml:space="preserve">global </w:t>
      </w:r>
      <w:r w:rsidR="000E43BC">
        <w:t>monitoring</w:t>
      </w:r>
      <w:r w:rsidR="008D688C">
        <w:t xml:space="preserve">. </w:t>
      </w:r>
    </w:p>
    <w:bookmarkEnd w:id="9"/>
    <w:bookmarkEnd w:id="10"/>
    <w:p w14:paraId="1D09EA2B" w14:textId="77777777" w:rsidR="00ED6CA9" w:rsidRDefault="00ED6CA9" w:rsidP="003E53E3">
      <w:pPr>
        <w:rPr>
          <w:b/>
          <w:bCs/>
        </w:rPr>
      </w:pPr>
    </w:p>
    <w:p w14:paraId="766FF86E" w14:textId="77777777" w:rsidR="00ED6CA9" w:rsidRDefault="00ED6CA9" w:rsidP="003E53E3">
      <w:pPr>
        <w:rPr>
          <w:b/>
          <w:bCs/>
        </w:rPr>
      </w:pPr>
    </w:p>
    <w:p w14:paraId="75D558FB" w14:textId="77777777" w:rsidR="00ED6CA9" w:rsidRPr="00107EBF" w:rsidRDefault="00ED6CA9" w:rsidP="00ED6CA9">
      <w:pPr>
        <w:rPr>
          <w:b/>
          <w:bCs/>
        </w:rPr>
      </w:pPr>
      <w:r>
        <w:rPr>
          <w:b/>
          <w:bCs/>
        </w:rPr>
        <w:t xml:space="preserve">Acknowledgements </w:t>
      </w:r>
    </w:p>
    <w:p w14:paraId="16B416CE" w14:textId="20CBBC48" w:rsidR="00430E45" w:rsidRPr="00C21F5F" w:rsidRDefault="00C21F5F" w:rsidP="003E53E3">
      <w:r w:rsidRPr="00C21F5F">
        <w:t>This research was supported in part by the Society of Woman Geographers Evelyn L. Pruitt National Dissertation Fellowship. Additionally, t</w:t>
      </w:r>
      <w:r w:rsidR="00ED6CA9" w:rsidRPr="00C21F5F">
        <w:t xml:space="preserve">he authors are grateful to CONANP for sharing the unpublished results of the management effectiveness evaluation. </w:t>
      </w:r>
    </w:p>
    <w:p w14:paraId="739D522E" w14:textId="77777777" w:rsidR="00C21F5F" w:rsidRDefault="00C21F5F" w:rsidP="003E53E3">
      <w:pPr>
        <w:rPr>
          <w:b/>
          <w:bCs/>
        </w:rPr>
      </w:pPr>
    </w:p>
    <w:p w14:paraId="291EF1EE" w14:textId="41E46FAF" w:rsidR="00F6492F" w:rsidRPr="00430E45" w:rsidRDefault="00F6492F" w:rsidP="003E53E3">
      <w:r w:rsidRPr="000D5A88">
        <w:rPr>
          <w:b/>
          <w:bCs/>
        </w:rPr>
        <w:t xml:space="preserve">References: </w:t>
      </w:r>
    </w:p>
    <w:p w14:paraId="1220A0A5" w14:textId="55CC68F0" w:rsidR="003A24F7" w:rsidRPr="003A24F7" w:rsidRDefault="00F6492F" w:rsidP="003E53E3">
      <w:pPr>
        <w:widowControl w:val="0"/>
        <w:autoSpaceDE w:val="0"/>
        <w:autoSpaceDN w:val="0"/>
        <w:adjustRightInd w:val="0"/>
        <w:ind w:left="480" w:hanging="480"/>
        <w:rPr>
          <w:noProof/>
        </w:rPr>
      </w:pPr>
      <w:r>
        <w:rPr>
          <w:b/>
          <w:bCs/>
        </w:rPr>
        <w:fldChar w:fldCharType="begin" w:fldLock="1"/>
      </w:r>
      <w:r w:rsidRPr="000D5A88">
        <w:rPr>
          <w:b/>
          <w:bCs/>
        </w:rPr>
        <w:instrText xml:space="preserve">ADDIN Mendeley Bibliography CSL_BIBLIOGRAPHY </w:instrText>
      </w:r>
      <w:r>
        <w:rPr>
          <w:b/>
          <w:bCs/>
        </w:rPr>
        <w:fldChar w:fldCharType="separate"/>
      </w:r>
      <w:r w:rsidR="003A24F7" w:rsidRPr="003A24F7">
        <w:rPr>
          <w:noProof/>
        </w:rPr>
        <w:t xml:space="preserve">Andrade, G. S. M., &amp; Rhodes, J. R. (2012). Protected areas and local communities: An inevitable partnership toward successful conservation strategies? </w:t>
      </w:r>
      <w:r w:rsidR="003A24F7" w:rsidRPr="003A24F7">
        <w:rPr>
          <w:i/>
          <w:iCs/>
          <w:noProof/>
        </w:rPr>
        <w:t>Ecology and Society</w:t>
      </w:r>
      <w:r w:rsidR="003A24F7" w:rsidRPr="003A24F7">
        <w:rPr>
          <w:noProof/>
        </w:rPr>
        <w:t xml:space="preserve">, </w:t>
      </w:r>
      <w:r w:rsidR="003A24F7" w:rsidRPr="003A24F7">
        <w:rPr>
          <w:i/>
          <w:iCs/>
          <w:noProof/>
        </w:rPr>
        <w:t>17</w:t>
      </w:r>
      <w:r w:rsidR="003A24F7" w:rsidRPr="003A24F7">
        <w:rPr>
          <w:noProof/>
        </w:rPr>
        <w:t>(4). https://doi.org/10.5751/ES-05216-170414</w:t>
      </w:r>
    </w:p>
    <w:p w14:paraId="08BF9A02" w14:textId="77777777" w:rsidR="003A24F7" w:rsidRPr="003A24F7" w:rsidRDefault="003A24F7" w:rsidP="003E53E3">
      <w:pPr>
        <w:widowControl w:val="0"/>
        <w:autoSpaceDE w:val="0"/>
        <w:autoSpaceDN w:val="0"/>
        <w:adjustRightInd w:val="0"/>
        <w:ind w:left="480" w:hanging="480"/>
        <w:rPr>
          <w:noProof/>
        </w:rPr>
      </w:pPr>
      <w:r w:rsidRPr="003A24F7">
        <w:rPr>
          <w:noProof/>
        </w:rPr>
        <w:t xml:space="preserve">Austin, P. C. (2011). An Introduction to Propensity Score Methods for Reducing the Effects of Confounding in Observational Studies. </w:t>
      </w:r>
      <w:r w:rsidRPr="003A24F7">
        <w:rPr>
          <w:i/>
          <w:iCs/>
          <w:noProof/>
        </w:rPr>
        <w:t>Mutivariate Behavioral Research</w:t>
      </w:r>
      <w:r w:rsidRPr="003A24F7">
        <w:rPr>
          <w:noProof/>
        </w:rPr>
        <w:t xml:space="preserve">, </w:t>
      </w:r>
      <w:r w:rsidRPr="003A24F7">
        <w:rPr>
          <w:i/>
          <w:iCs/>
          <w:noProof/>
        </w:rPr>
        <w:t>46</w:t>
      </w:r>
      <w:r w:rsidRPr="003A24F7">
        <w:rPr>
          <w:noProof/>
        </w:rPr>
        <w:t>, 399–424. https://doi.org/10.1080/00273171.2011.568786</w:t>
      </w:r>
    </w:p>
    <w:p w14:paraId="3983FDD1" w14:textId="77777777" w:rsidR="003A24F7" w:rsidRPr="003A24F7" w:rsidRDefault="003A24F7" w:rsidP="003E53E3">
      <w:pPr>
        <w:widowControl w:val="0"/>
        <w:autoSpaceDE w:val="0"/>
        <w:autoSpaceDN w:val="0"/>
        <w:adjustRightInd w:val="0"/>
        <w:ind w:left="480" w:hanging="480"/>
        <w:rPr>
          <w:noProof/>
        </w:rPr>
      </w:pPr>
      <w:r w:rsidRPr="003A24F7">
        <w:rPr>
          <w:noProof/>
        </w:rPr>
        <w:t xml:space="preserve">Barnes, M., Craigie, I. D., &amp; Hockings, M. (2016). Towards Understanding Drivers of Wildlife Population Trends in Terrestrial Protected Areas. In Luccas N. Joppa, J. E. M. Ballie, &amp; J. G. Robinson (Eds.), </w:t>
      </w:r>
      <w:r w:rsidRPr="003A24F7">
        <w:rPr>
          <w:i/>
          <w:iCs/>
          <w:noProof/>
        </w:rPr>
        <w:t>Protected Areas: Are They Safeguarding Biodiveristy?</w:t>
      </w:r>
      <w:r w:rsidRPr="003A24F7">
        <w:rPr>
          <w:noProof/>
        </w:rPr>
        <w:t xml:space="preserve"> (First). John Wiley &amp; Sons, Ltd.</w:t>
      </w:r>
    </w:p>
    <w:p w14:paraId="17AD1285" w14:textId="77777777" w:rsidR="003A24F7" w:rsidRPr="003A24F7" w:rsidRDefault="003A24F7" w:rsidP="003E53E3">
      <w:pPr>
        <w:widowControl w:val="0"/>
        <w:autoSpaceDE w:val="0"/>
        <w:autoSpaceDN w:val="0"/>
        <w:adjustRightInd w:val="0"/>
        <w:ind w:left="480" w:hanging="480"/>
        <w:rPr>
          <w:noProof/>
        </w:rPr>
      </w:pPr>
      <w:r w:rsidRPr="003A24F7">
        <w:rPr>
          <w:noProof/>
        </w:rPr>
        <w:t xml:space="preserve">Barnes, M. D., Craigie, I. D., Dudley, N., &amp; Hockings, M. (2017). Understanding local-scale drivers of biodiversity outcomes in terrestrial protected areas. </w:t>
      </w:r>
      <w:r w:rsidRPr="003A24F7">
        <w:rPr>
          <w:i/>
          <w:iCs/>
          <w:noProof/>
        </w:rPr>
        <w:t>Annals of the New York Academy of Sciences</w:t>
      </w:r>
      <w:r w:rsidRPr="003A24F7">
        <w:rPr>
          <w:noProof/>
        </w:rPr>
        <w:t xml:space="preserve">, </w:t>
      </w:r>
      <w:r w:rsidRPr="003A24F7">
        <w:rPr>
          <w:i/>
          <w:iCs/>
          <w:noProof/>
        </w:rPr>
        <w:t>1399</w:t>
      </w:r>
      <w:r w:rsidRPr="003A24F7">
        <w:rPr>
          <w:noProof/>
        </w:rPr>
        <w:t>(1), 42–60. https://doi.org/10.1111/nyas.13154</w:t>
      </w:r>
    </w:p>
    <w:p w14:paraId="65AC38C1" w14:textId="77777777" w:rsidR="003A24F7" w:rsidRPr="003A24F7" w:rsidRDefault="003A24F7" w:rsidP="003E53E3">
      <w:pPr>
        <w:widowControl w:val="0"/>
        <w:autoSpaceDE w:val="0"/>
        <w:autoSpaceDN w:val="0"/>
        <w:adjustRightInd w:val="0"/>
        <w:ind w:left="480" w:hanging="480"/>
        <w:rPr>
          <w:noProof/>
        </w:rPr>
      </w:pPr>
      <w:r w:rsidRPr="003A24F7">
        <w:rPr>
          <w:noProof/>
        </w:rPr>
        <w:t xml:space="preserve">Baylis, K., Honey-Roses, J., Borner, J., Corbera, E., Ezzine-de-Blas, D., Ferraro, P. J., … Wunder, S. (2016). Mainstreaming Impact Evaluation in Nature Conservation. </w:t>
      </w:r>
      <w:r w:rsidRPr="003A24F7">
        <w:rPr>
          <w:i/>
          <w:iCs/>
          <w:noProof/>
        </w:rPr>
        <w:t>Conservation Letters</w:t>
      </w:r>
      <w:r w:rsidRPr="003A24F7">
        <w:rPr>
          <w:noProof/>
        </w:rPr>
        <w:t xml:space="preserve">, </w:t>
      </w:r>
      <w:r w:rsidRPr="003A24F7">
        <w:rPr>
          <w:i/>
          <w:iCs/>
          <w:noProof/>
        </w:rPr>
        <w:t>9</w:t>
      </w:r>
      <w:r w:rsidRPr="003A24F7">
        <w:rPr>
          <w:noProof/>
        </w:rPr>
        <w:t>(1), 58–64. https://doi.org/10.1111/conl.12180</w:t>
      </w:r>
    </w:p>
    <w:p w14:paraId="1B0A260C" w14:textId="77777777" w:rsidR="003A24F7" w:rsidRPr="003A24F7" w:rsidRDefault="003A24F7" w:rsidP="003E53E3">
      <w:pPr>
        <w:widowControl w:val="0"/>
        <w:autoSpaceDE w:val="0"/>
        <w:autoSpaceDN w:val="0"/>
        <w:adjustRightInd w:val="0"/>
        <w:ind w:left="480" w:hanging="480"/>
        <w:rPr>
          <w:noProof/>
        </w:rPr>
      </w:pPr>
      <w:r w:rsidRPr="003A24F7">
        <w:rPr>
          <w:noProof/>
        </w:rPr>
        <w:t xml:space="preserve">Blackman, A. (2015). Strict versus mixed-use protected areas: Guatemala’s Maya Biosphere Reserve. </w:t>
      </w:r>
      <w:r w:rsidRPr="003A24F7">
        <w:rPr>
          <w:i/>
          <w:iCs/>
          <w:noProof/>
        </w:rPr>
        <w:t>Ecological Economics</w:t>
      </w:r>
      <w:r w:rsidRPr="003A24F7">
        <w:rPr>
          <w:noProof/>
        </w:rPr>
        <w:t xml:space="preserve">, </w:t>
      </w:r>
      <w:r w:rsidRPr="003A24F7">
        <w:rPr>
          <w:i/>
          <w:iCs/>
          <w:noProof/>
        </w:rPr>
        <w:t>112</w:t>
      </w:r>
      <w:r w:rsidRPr="003A24F7">
        <w:rPr>
          <w:noProof/>
        </w:rPr>
        <w:t>, 14–24. https://doi.org/10.1016/j.ecolecon.2015.01.009</w:t>
      </w:r>
    </w:p>
    <w:p w14:paraId="6F625D58" w14:textId="77777777" w:rsidR="003A24F7" w:rsidRPr="003A24F7" w:rsidRDefault="003A24F7" w:rsidP="003E53E3">
      <w:pPr>
        <w:widowControl w:val="0"/>
        <w:autoSpaceDE w:val="0"/>
        <w:autoSpaceDN w:val="0"/>
        <w:adjustRightInd w:val="0"/>
        <w:ind w:left="480" w:hanging="480"/>
        <w:rPr>
          <w:noProof/>
        </w:rPr>
      </w:pPr>
      <w:r w:rsidRPr="003A24F7">
        <w:rPr>
          <w:noProof/>
        </w:rPr>
        <w:lastRenderedPageBreak/>
        <w:t xml:space="preserve">Blackman, A., Pfaff, A., &amp; Robalino, J. (2015). Paper park performance: Mexico’s natural protected areas in the 1990s. </w:t>
      </w:r>
      <w:r w:rsidRPr="003A24F7">
        <w:rPr>
          <w:i/>
          <w:iCs/>
          <w:noProof/>
        </w:rPr>
        <w:t>Global Environmental Change</w:t>
      </w:r>
      <w:r w:rsidRPr="003A24F7">
        <w:rPr>
          <w:noProof/>
        </w:rPr>
        <w:t xml:space="preserve">, </w:t>
      </w:r>
      <w:r w:rsidRPr="003A24F7">
        <w:rPr>
          <w:i/>
          <w:iCs/>
          <w:noProof/>
        </w:rPr>
        <w:t>31</w:t>
      </w:r>
      <w:r w:rsidRPr="003A24F7">
        <w:rPr>
          <w:noProof/>
        </w:rPr>
        <w:t>, 50–61. https://doi.org/10.1016/j.gloenvcha.2014.12.004</w:t>
      </w:r>
    </w:p>
    <w:p w14:paraId="2BA3E1A5" w14:textId="77777777" w:rsidR="003A24F7" w:rsidRPr="003A24F7" w:rsidRDefault="003A24F7" w:rsidP="003E53E3">
      <w:pPr>
        <w:widowControl w:val="0"/>
        <w:autoSpaceDE w:val="0"/>
        <w:autoSpaceDN w:val="0"/>
        <w:adjustRightInd w:val="0"/>
        <w:ind w:left="480" w:hanging="480"/>
        <w:rPr>
          <w:noProof/>
        </w:rPr>
      </w:pPr>
      <w:r w:rsidRPr="003A24F7">
        <w:rPr>
          <w:noProof/>
        </w:rPr>
        <w:t xml:space="preserve">Boulton, A. J., &amp; Williford, A. (2018). Analyzing Skewed Continuous Outcomes With Many Zeros: A Tutorial for Social Work and Youth Prevention Science Researchers. </w:t>
      </w:r>
      <w:r w:rsidRPr="003A24F7">
        <w:rPr>
          <w:i/>
          <w:iCs/>
          <w:noProof/>
        </w:rPr>
        <w:t>Journal of the Society for Social Work and Research</w:t>
      </w:r>
      <w:r w:rsidRPr="003A24F7">
        <w:rPr>
          <w:noProof/>
        </w:rPr>
        <w:t xml:space="preserve">, </w:t>
      </w:r>
      <w:r w:rsidRPr="003A24F7">
        <w:rPr>
          <w:i/>
          <w:iCs/>
          <w:noProof/>
        </w:rPr>
        <w:t>9</w:t>
      </w:r>
      <w:r w:rsidRPr="003A24F7">
        <w:rPr>
          <w:noProof/>
        </w:rPr>
        <w:t>(4), 721–740. https://doi.org/10.1086/701235</w:t>
      </w:r>
    </w:p>
    <w:p w14:paraId="49144757" w14:textId="77777777" w:rsidR="003A24F7" w:rsidRPr="003A24F7" w:rsidRDefault="003A24F7" w:rsidP="003E53E3">
      <w:pPr>
        <w:widowControl w:val="0"/>
        <w:autoSpaceDE w:val="0"/>
        <w:autoSpaceDN w:val="0"/>
        <w:adjustRightInd w:val="0"/>
        <w:ind w:left="480" w:hanging="480"/>
        <w:rPr>
          <w:noProof/>
        </w:rPr>
      </w:pPr>
      <w:r w:rsidRPr="003A24F7">
        <w:rPr>
          <w:noProof/>
        </w:rPr>
        <w:t xml:space="preserve">Bruner, A. G., Gullison, R. E., Rice, R. E., &amp; Fonseca, G. A. B. (2001). Effectiveness of Parks in Protecting Tropical Biodiversity. </w:t>
      </w:r>
      <w:r w:rsidRPr="003A24F7">
        <w:rPr>
          <w:i/>
          <w:iCs/>
          <w:noProof/>
        </w:rPr>
        <w:t>Science</w:t>
      </w:r>
      <w:r w:rsidRPr="003A24F7">
        <w:rPr>
          <w:noProof/>
        </w:rPr>
        <w:t xml:space="preserve">, </w:t>
      </w:r>
      <w:r w:rsidRPr="003A24F7">
        <w:rPr>
          <w:i/>
          <w:iCs/>
          <w:noProof/>
        </w:rPr>
        <w:t>291</w:t>
      </w:r>
      <w:r w:rsidRPr="003A24F7">
        <w:rPr>
          <w:noProof/>
        </w:rPr>
        <w:t>(5501), 125–128.</w:t>
      </w:r>
    </w:p>
    <w:p w14:paraId="2A01AAA0" w14:textId="77777777" w:rsidR="003A24F7" w:rsidRPr="003A24F7" w:rsidRDefault="003A24F7" w:rsidP="003E53E3">
      <w:pPr>
        <w:widowControl w:val="0"/>
        <w:autoSpaceDE w:val="0"/>
        <w:autoSpaceDN w:val="0"/>
        <w:adjustRightInd w:val="0"/>
        <w:ind w:left="480" w:hanging="480"/>
        <w:rPr>
          <w:noProof/>
        </w:rPr>
      </w:pPr>
      <w:r w:rsidRPr="003A24F7">
        <w:rPr>
          <w:noProof/>
        </w:rPr>
        <w:t xml:space="preserve">Butchart, S. H. M., Clarke, M., Smith, R. J., Sykes, R. E., Scharlemann, J. P. W., Harfoot, M., … Burgess, N. D. (2015). Shortfalls and Solutions for Meeting National and Global Conservation Area Targets. </w:t>
      </w:r>
      <w:r w:rsidRPr="003A24F7">
        <w:rPr>
          <w:i/>
          <w:iCs/>
          <w:noProof/>
        </w:rPr>
        <w:t>Conservation Letters</w:t>
      </w:r>
      <w:r w:rsidRPr="003A24F7">
        <w:rPr>
          <w:noProof/>
        </w:rPr>
        <w:t xml:space="preserve">, </w:t>
      </w:r>
      <w:r w:rsidRPr="003A24F7">
        <w:rPr>
          <w:i/>
          <w:iCs/>
          <w:noProof/>
        </w:rPr>
        <w:t>8</w:t>
      </w:r>
      <w:r w:rsidRPr="003A24F7">
        <w:rPr>
          <w:noProof/>
        </w:rPr>
        <w:t>(5), 329–337. https://doi.org/10.1111/conl.12158</w:t>
      </w:r>
    </w:p>
    <w:p w14:paraId="1CFB83AF" w14:textId="77777777" w:rsidR="003A24F7" w:rsidRPr="003A24F7" w:rsidRDefault="003A24F7" w:rsidP="003E53E3">
      <w:pPr>
        <w:widowControl w:val="0"/>
        <w:autoSpaceDE w:val="0"/>
        <w:autoSpaceDN w:val="0"/>
        <w:adjustRightInd w:val="0"/>
        <w:ind w:left="480" w:hanging="480"/>
        <w:rPr>
          <w:noProof/>
        </w:rPr>
      </w:pPr>
      <w:r w:rsidRPr="003A24F7">
        <w:rPr>
          <w:noProof/>
        </w:rPr>
        <w:t xml:space="preserve">Carranza, T., Balmford, A., Kapos, V., Manica, A., &amp; Busch, J. (2014). Protected Area Effectiveness in Reducing Conversion in a Rapidly Vanishing Ecosystem: The Brazilian Cerrado. </w:t>
      </w:r>
      <w:r w:rsidRPr="003A24F7">
        <w:rPr>
          <w:i/>
          <w:iCs/>
          <w:noProof/>
        </w:rPr>
        <w:t>Conservation Letters</w:t>
      </w:r>
      <w:r w:rsidRPr="003A24F7">
        <w:rPr>
          <w:noProof/>
        </w:rPr>
        <w:t xml:space="preserve">, </w:t>
      </w:r>
      <w:r w:rsidRPr="003A24F7">
        <w:rPr>
          <w:i/>
          <w:iCs/>
          <w:noProof/>
        </w:rPr>
        <w:t>7</w:t>
      </w:r>
      <w:r w:rsidRPr="003A24F7">
        <w:rPr>
          <w:noProof/>
        </w:rPr>
        <w:t>(3), 216–223. https://doi.org/10.1111/conl.12049</w:t>
      </w:r>
    </w:p>
    <w:p w14:paraId="77F795F4" w14:textId="77777777" w:rsidR="003A24F7" w:rsidRPr="003A24F7" w:rsidRDefault="003A24F7" w:rsidP="003E53E3">
      <w:pPr>
        <w:widowControl w:val="0"/>
        <w:autoSpaceDE w:val="0"/>
        <w:autoSpaceDN w:val="0"/>
        <w:adjustRightInd w:val="0"/>
        <w:ind w:left="480" w:hanging="480"/>
        <w:rPr>
          <w:noProof/>
        </w:rPr>
      </w:pPr>
      <w:r w:rsidRPr="003A24F7">
        <w:rPr>
          <w:noProof/>
        </w:rPr>
        <w:t xml:space="preserve">CBD. (2010). </w:t>
      </w:r>
      <w:r w:rsidRPr="003A24F7">
        <w:rPr>
          <w:i/>
          <w:iCs/>
          <w:noProof/>
        </w:rPr>
        <w:t>The Strategic Plan for Biodiversity 2011–2020 and the Aichi Biodiversity Targets</w:t>
      </w:r>
      <w:r w:rsidRPr="003A24F7">
        <w:rPr>
          <w:noProof/>
        </w:rPr>
        <w:t>.</w:t>
      </w:r>
    </w:p>
    <w:p w14:paraId="7040B97C" w14:textId="77777777" w:rsidR="003A24F7" w:rsidRPr="003A24F7" w:rsidRDefault="003A24F7" w:rsidP="003E53E3">
      <w:pPr>
        <w:widowControl w:val="0"/>
        <w:autoSpaceDE w:val="0"/>
        <w:autoSpaceDN w:val="0"/>
        <w:adjustRightInd w:val="0"/>
        <w:ind w:left="480" w:hanging="480"/>
        <w:rPr>
          <w:noProof/>
        </w:rPr>
      </w:pPr>
      <w:r w:rsidRPr="003A24F7">
        <w:rPr>
          <w:noProof/>
        </w:rPr>
        <w:t xml:space="preserve">Coad, L., Leverington, F., Burgess, N. D., Cuadros, I. C., Geldmann, J., Marthews, T. R., … Hockings, M. (2013). Progress towards the CBD protected area management effectiveness targets. </w:t>
      </w:r>
      <w:r w:rsidRPr="003A24F7">
        <w:rPr>
          <w:i/>
          <w:iCs/>
          <w:noProof/>
        </w:rPr>
        <w:t>Parks</w:t>
      </w:r>
      <w:r w:rsidRPr="003A24F7">
        <w:rPr>
          <w:noProof/>
        </w:rPr>
        <w:t xml:space="preserve">, </w:t>
      </w:r>
      <w:r w:rsidRPr="003A24F7">
        <w:rPr>
          <w:i/>
          <w:iCs/>
          <w:noProof/>
        </w:rPr>
        <w:t>19</w:t>
      </w:r>
      <w:r w:rsidRPr="003A24F7">
        <w:rPr>
          <w:noProof/>
        </w:rPr>
        <w:t>(1), 13–24. https://doi.org/10.2305/IUCN.CH.2013.PARKS-19-1.LC.en</w:t>
      </w:r>
    </w:p>
    <w:p w14:paraId="7E18B005" w14:textId="77777777" w:rsidR="003A24F7" w:rsidRPr="003A24F7" w:rsidRDefault="003A24F7" w:rsidP="003E53E3">
      <w:pPr>
        <w:widowControl w:val="0"/>
        <w:autoSpaceDE w:val="0"/>
        <w:autoSpaceDN w:val="0"/>
        <w:adjustRightInd w:val="0"/>
        <w:ind w:left="480" w:hanging="480"/>
        <w:rPr>
          <w:noProof/>
        </w:rPr>
      </w:pPr>
      <w:r w:rsidRPr="003A24F7">
        <w:rPr>
          <w:noProof/>
        </w:rPr>
        <w:t xml:space="preserve">Coad, L., Leverington, F., Burgess, N. D., Cuadros, I. C., Stoll-kleemann, S., Vansteelant, N., &amp; Zamora, C. (2013). Progress towards the CBD Protected Area Management Effectiveness targets. </w:t>
      </w:r>
      <w:r w:rsidRPr="003A24F7">
        <w:rPr>
          <w:i/>
          <w:iCs/>
          <w:noProof/>
        </w:rPr>
        <w:t>Parks</w:t>
      </w:r>
      <w:r w:rsidRPr="003A24F7">
        <w:rPr>
          <w:noProof/>
        </w:rPr>
        <w:t xml:space="preserve">, </w:t>
      </w:r>
      <w:r w:rsidRPr="003A24F7">
        <w:rPr>
          <w:i/>
          <w:iCs/>
          <w:noProof/>
        </w:rPr>
        <w:t>19</w:t>
      </w:r>
      <w:r w:rsidRPr="003A24F7">
        <w:rPr>
          <w:noProof/>
        </w:rPr>
        <w:t>(1). https://doi.org/10.2305/IUCN.CH.2013.PARKS-19-1.LC.en</w:t>
      </w:r>
    </w:p>
    <w:p w14:paraId="1425B844" w14:textId="77777777" w:rsidR="003A24F7" w:rsidRPr="003A24F7" w:rsidRDefault="003A24F7" w:rsidP="003E53E3">
      <w:pPr>
        <w:widowControl w:val="0"/>
        <w:autoSpaceDE w:val="0"/>
        <w:autoSpaceDN w:val="0"/>
        <w:adjustRightInd w:val="0"/>
        <w:ind w:left="480" w:hanging="480"/>
        <w:rPr>
          <w:noProof/>
        </w:rPr>
      </w:pPr>
      <w:r w:rsidRPr="003A24F7">
        <w:rPr>
          <w:noProof/>
        </w:rPr>
        <w:t xml:space="preserve">Coad, L., Leverington, F., Knights, K., Geldmann, J., Eassom, A., Kapos, V., … Hockings, M. (2015). Measuring impact of protected area management interventions: current and future use of the Global Database of Protected Area Aanagement Effectiveness. </w:t>
      </w:r>
      <w:r w:rsidRPr="003A24F7">
        <w:rPr>
          <w:i/>
          <w:iCs/>
          <w:noProof/>
        </w:rPr>
        <w:t>Philosophical Transactions of the Royal Society B: Biological Sciences</w:t>
      </w:r>
      <w:r w:rsidRPr="003A24F7">
        <w:rPr>
          <w:noProof/>
        </w:rPr>
        <w:t xml:space="preserve">, </w:t>
      </w:r>
      <w:r w:rsidRPr="003A24F7">
        <w:rPr>
          <w:i/>
          <w:iCs/>
          <w:noProof/>
        </w:rPr>
        <w:t>370</w:t>
      </w:r>
      <w:r w:rsidRPr="003A24F7">
        <w:rPr>
          <w:noProof/>
        </w:rPr>
        <w:t>(20140281). https://doi.org/10.1098/rstb.2014.0281</w:t>
      </w:r>
    </w:p>
    <w:p w14:paraId="061AB357" w14:textId="77777777" w:rsidR="003A24F7" w:rsidRPr="003A24F7" w:rsidRDefault="003A24F7" w:rsidP="003E53E3">
      <w:pPr>
        <w:widowControl w:val="0"/>
        <w:autoSpaceDE w:val="0"/>
        <w:autoSpaceDN w:val="0"/>
        <w:adjustRightInd w:val="0"/>
        <w:ind w:left="480" w:hanging="480"/>
        <w:rPr>
          <w:noProof/>
        </w:rPr>
      </w:pPr>
      <w:r w:rsidRPr="003A24F7">
        <w:rPr>
          <w:noProof/>
        </w:rPr>
        <w:t xml:space="preserve">Coad, L., Watson, J. E. M., Geldmann, J., Burgess, N. D., Leverington, F., Hockings, M., … Marco, M. Di. (2019). Widespread shortfalls in protected area resourcing undermine efforts to conserve biodiversity. </w:t>
      </w:r>
      <w:r w:rsidRPr="003A24F7">
        <w:rPr>
          <w:i/>
          <w:iCs/>
          <w:noProof/>
        </w:rPr>
        <w:t>Frontiers in Ecology and the Environment</w:t>
      </w:r>
      <w:r w:rsidRPr="003A24F7">
        <w:rPr>
          <w:noProof/>
        </w:rPr>
        <w:t xml:space="preserve">, </w:t>
      </w:r>
      <w:r w:rsidRPr="003A24F7">
        <w:rPr>
          <w:i/>
          <w:iCs/>
          <w:noProof/>
        </w:rPr>
        <w:t>259</w:t>
      </w:r>
      <w:r w:rsidRPr="003A24F7">
        <w:rPr>
          <w:noProof/>
        </w:rPr>
        <w:t>, 259–264. https://doi.org/10.1002/fee.2042</w:t>
      </w:r>
    </w:p>
    <w:p w14:paraId="495ED1A5" w14:textId="77777777" w:rsidR="003A24F7" w:rsidRPr="003A24F7" w:rsidRDefault="003A24F7" w:rsidP="003E53E3">
      <w:pPr>
        <w:widowControl w:val="0"/>
        <w:autoSpaceDE w:val="0"/>
        <w:autoSpaceDN w:val="0"/>
        <w:adjustRightInd w:val="0"/>
        <w:ind w:left="480" w:hanging="480"/>
        <w:rPr>
          <w:noProof/>
        </w:rPr>
      </w:pPr>
      <w:r w:rsidRPr="00DD3199">
        <w:rPr>
          <w:noProof/>
          <w:lang w:val="es-US"/>
        </w:rPr>
        <w:t xml:space="preserve">Comisión Nacional de Áreas Naturales Protegidas. (2019). </w:t>
      </w:r>
      <w:r w:rsidRPr="00DD3199">
        <w:rPr>
          <w:i/>
          <w:iCs/>
          <w:noProof/>
          <w:lang w:val="es-US"/>
        </w:rPr>
        <w:t>Documento técnico base del Sistema Permanente de Evaluación e la Efectividad del Manejo de las Áreas Naturales Protegidas Federales</w:t>
      </w:r>
      <w:r w:rsidRPr="00DD3199">
        <w:rPr>
          <w:noProof/>
          <w:lang w:val="es-US"/>
        </w:rPr>
        <w:t xml:space="preserve">. </w:t>
      </w:r>
      <w:r w:rsidRPr="003A24F7">
        <w:rPr>
          <w:noProof/>
        </w:rPr>
        <w:t>México.</w:t>
      </w:r>
    </w:p>
    <w:p w14:paraId="559D73E4" w14:textId="77777777" w:rsidR="003A24F7" w:rsidRPr="003A24F7" w:rsidRDefault="003A24F7" w:rsidP="003E53E3">
      <w:pPr>
        <w:widowControl w:val="0"/>
        <w:autoSpaceDE w:val="0"/>
        <w:autoSpaceDN w:val="0"/>
        <w:adjustRightInd w:val="0"/>
        <w:ind w:left="480" w:hanging="480"/>
        <w:rPr>
          <w:noProof/>
        </w:rPr>
      </w:pPr>
      <w:r w:rsidRPr="003A24F7">
        <w:rPr>
          <w:noProof/>
        </w:rPr>
        <w:t xml:space="preserve">Dudley, N., &amp; Stolton, S. (2009). </w:t>
      </w:r>
      <w:r w:rsidRPr="003A24F7">
        <w:rPr>
          <w:i/>
          <w:iCs/>
          <w:noProof/>
        </w:rPr>
        <w:t>The Protected Areas Benefits Assessment Tool</w:t>
      </w:r>
      <w:r w:rsidRPr="003A24F7">
        <w:rPr>
          <w:noProof/>
        </w:rPr>
        <w:t xml:space="preserve">. </w:t>
      </w:r>
      <w:r w:rsidRPr="003A24F7">
        <w:rPr>
          <w:i/>
          <w:iCs/>
          <w:noProof/>
        </w:rPr>
        <w:t>Assessment</w:t>
      </w:r>
      <w:r w:rsidRPr="003A24F7">
        <w:rPr>
          <w:noProof/>
        </w:rPr>
        <w:t>. Retrieved from http://wwf.panda.org/what_we_do/where_we_work/amazon/publications/?174401/PABAT</w:t>
      </w:r>
    </w:p>
    <w:p w14:paraId="1473E093" w14:textId="77777777" w:rsidR="003A24F7" w:rsidRPr="00DD3199" w:rsidRDefault="003A24F7" w:rsidP="003E53E3">
      <w:pPr>
        <w:widowControl w:val="0"/>
        <w:autoSpaceDE w:val="0"/>
        <w:autoSpaceDN w:val="0"/>
        <w:adjustRightInd w:val="0"/>
        <w:ind w:left="480" w:hanging="480"/>
        <w:rPr>
          <w:noProof/>
          <w:lang w:val="es-US"/>
        </w:rPr>
      </w:pPr>
      <w:r w:rsidRPr="00DD3199">
        <w:rPr>
          <w:noProof/>
          <w:lang w:val="es-US"/>
        </w:rPr>
        <w:t xml:space="preserve">Durán-Medina, E., Mas, J. F., &amp; Velázquez, A. (2005). </w:t>
      </w:r>
      <w:r w:rsidRPr="003A24F7">
        <w:rPr>
          <w:noProof/>
        </w:rPr>
        <w:t xml:space="preserve">Land use/cover change in community-based forest management regions and protected areas in Mexico. In D. Bray, L. Merino, &amp; D. Barry (Eds.), </w:t>
      </w:r>
      <w:r w:rsidRPr="003A24F7">
        <w:rPr>
          <w:i/>
          <w:iCs/>
          <w:noProof/>
        </w:rPr>
        <w:t>The Community Forests of Mexico: Managing for Sustainable Landscapes</w:t>
      </w:r>
      <w:r w:rsidRPr="003A24F7">
        <w:rPr>
          <w:noProof/>
        </w:rPr>
        <w:t xml:space="preserve">. </w:t>
      </w:r>
      <w:r w:rsidRPr="00DD3199">
        <w:rPr>
          <w:noProof/>
          <w:lang w:val="es-US"/>
        </w:rPr>
        <w:t>Mexico City, MX: INE-SEMARNAT.</w:t>
      </w:r>
    </w:p>
    <w:p w14:paraId="3C7B2CB6" w14:textId="77777777" w:rsidR="003A24F7" w:rsidRPr="003A24F7" w:rsidRDefault="003A24F7" w:rsidP="003E53E3">
      <w:pPr>
        <w:widowControl w:val="0"/>
        <w:autoSpaceDE w:val="0"/>
        <w:autoSpaceDN w:val="0"/>
        <w:adjustRightInd w:val="0"/>
        <w:ind w:left="480" w:hanging="480"/>
        <w:rPr>
          <w:noProof/>
        </w:rPr>
      </w:pPr>
      <w:r w:rsidRPr="00DD3199">
        <w:rPr>
          <w:noProof/>
          <w:lang w:val="es-US"/>
        </w:rPr>
        <w:t xml:space="preserve">Ferraro, P. J., &amp; Hanauer, M. M. (2011). </w:t>
      </w:r>
      <w:r w:rsidRPr="003A24F7">
        <w:rPr>
          <w:noProof/>
        </w:rPr>
        <w:t xml:space="preserve">Protecting ecosystems and alleviating poverty with parks and reserves: “Win-win” or tradeoffs? </w:t>
      </w:r>
      <w:r w:rsidRPr="003A24F7">
        <w:rPr>
          <w:i/>
          <w:iCs/>
          <w:noProof/>
        </w:rPr>
        <w:t>Environmental and Resource Economics</w:t>
      </w:r>
      <w:r w:rsidRPr="003A24F7">
        <w:rPr>
          <w:noProof/>
        </w:rPr>
        <w:t xml:space="preserve">, </w:t>
      </w:r>
      <w:r w:rsidRPr="003A24F7">
        <w:rPr>
          <w:i/>
          <w:iCs/>
          <w:noProof/>
        </w:rPr>
        <w:t>48</w:t>
      </w:r>
      <w:r w:rsidRPr="003A24F7">
        <w:rPr>
          <w:noProof/>
        </w:rPr>
        <w:t>(2), 269–286. https://doi.org/10.1007/s10640-010-9408-z</w:t>
      </w:r>
    </w:p>
    <w:p w14:paraId="5C6F1CA1" w14:textId="77777777" w:rsidR="003A24F7" w:rsidRPr="003A24F7" w:rsidRDefault="003A24F7" w:rsidP="003E53E3">
      <w:pPr>
        <w:widowControl w:val="0"/>
        <w:autoSpaceDE w:val="0"/>
        <w:autoSpaceDN w:val="0"/>
        <w:adjustRightInd w:val="0"/>
        <w:ind w:left="480" w:hanging="480"/>
        <w:rPr>
          <w:noProof/>
        </w:rPr>
      </w:pPr>
      <w:r w:rsidRPr="003A24F7">
        <w:rPr>
          <w:noProof/>
        </w:rPr>
        <w:t xml:space="preserve">Ferraro, P. J., Hanauer, M. M., Miteva, D. A., Canavire-Bacarreza, G. J., Pattanayak, S. K., &amp; Sims, K. R. E. (2013). More strictly protected areas are not necessarily more protective: </w:t>
      </w:r>
      <w:r w:rsidRPr="003A24F7">
        <w:rPr>
          <w:noProof/>
        </w:rPr>
        <w:lastRenderedPageBreak/>
        <w:t xml:space="preserve">Evidence from Bolivia, Costa Rica, Indonesia, and Thailand. </w:t>
      </w:r>
      <w:r w:rsidRPr="003A24F7">
        <w:rPr>
          <w:i/>
          <w:iCs/>
          <w:noProof/>
        </w:rPr>
        <w:t>Environmental Research Letters</w:t>
      </w:r>
      <w:r w:rsidRPr="003A24F7">
        <w:rPr>
          <w:noProof/>
        </w:rPr>
        <w:t xml:space="preserve">, </w:t>
      </w:r>
      <w:r w:rsidRPr="003A24F7">
        <w:rPr>
          <w:i/>
          <w:iCs/>
          <w:noProof/>
        </w:rPr>
        <w:t>8</w:t>
      </w:r>
      <w:r w:rsidRPr="003A24F7">
        <w:rPr>
          <w:noProof/>
        </w:rPr>
        <w:t>(2). https://doi.org/10.1088/1748-9326/8/2/025011</w:t>
      </w:r>
    </w:p>
    <w:p w14:paraId="2DAA3683" w14:textId="77777777" w:rsidR="003A24F7" w:rsidRPr="00DD3199" w:rsidRDefault="003A24F7" w:rsidP="003E53E3">
      <w:pPr>
        <w:widowControl w:val="0"/>
        <w:autoSpaceDE w:val="0"/>
        <w:autoSpaceDN w:val="0"/>
        <w:adjustRightInd w:val="0"/>
        <w:ind w:left="480" w:hanging="480"/>
        <w:rPr>
          <w:noProof/>
          <w:lang w:val="es-US"/>
        </w:rPr>
      </w:pPr>
      <w:r w:rsidRPr="003A24F7">
        <w:rPr>
          <w:noProof/>
        </w:rPr>
        <w:t xml:space="preserve">Ferraro, P. J., &amp; Pattanayak, S. K. (2006). Money for nothing? A call for empirical evaluation of biodiversity conservation investments. </w:t>
      </w:r>
      <w:r w:rsidRPr="00DD3199">
        <w:rPr>
          <w:i/>
          <w:iCs/>
          <w:noProof/>
          <w:lang w:val="es-US"/>
        </w:rPr>
        <w:t>PLoS Biology</w:t>
      </w:r>
      <w:r w:rsidRPr="00DD3199">
        <w:rPr>
          <w:noProof/>
          <w:lang w:val="es-US"/>
        </w:rPr>
        <w:t xml:space="preserve">, </w:t>
      </w:r>
      <w:r w:rsidRPr="00DD3199">
        <w:rPr>
          <w:i/>
          <w:iCs/>
          <w:noProof/>
          <w:lang w:val="es-US"/>
        </w:rPr>
        <w:t>4</w:t>
      </w:r>
      <w:r w:rsidRPr="00DD3199">
        <w:rPr>
          <w:noProof/>
          <w:lang w:val="es-US"/>
        </w:rPr>
        <w:t>(4), 482–488. https://doi.org/10.1371/journal.pbio.0040105</w:t>
      </w:r>
    </w:p>
    <w:p w14:paraId="75FA1A40" w14:textId="77777777" w:rsidR="003A24F7" w:rsidRPr="00DD3199" w:rsidRDefault="003A24F7" w:rsidP="003E53E3">
      <w:pPr>
        <w:widowControl w:val="0"/>
        <w:autoSpaceDE w:val="0"/>
        <w:autoSpaceDN w:val="0"/>
        <w:adjustRightInd w:val="0"/>
        <w:ind w:left="480" w:hanging="480"/>
        <w:rPr>
          <w:noProof/>
          <w:lang w:val="es-US"/>
        </w:rPr>
      </w:pPr>
      <w:r w:rsidRPr="00DD3199">
        <w:rPr>
          <w:noProof/>
          <w:lang w:val="es-US"/>
        </w:rPr>
        <w:t xml:space="preserve">Figueroa, Fernanda, Sánchez-Cordero, V., &amp; Illoldi-Rangel, Patricia, Linaje, M. (2011). Evaluación de la efectividad de las áreas protegidas para contener procesos de cambio en el uso del suelo y la vegetación. ¿Un índice es suficiente? </w:t>
      </w:r>
      <w:r w:rsidRPr="00DD3199">
        <w:rPr>
          <w:i/>
          <w:iCs/>
          <w:noProof/>
          <w:lang w:val="es-US"/>
        </w:rPr>
        <w:t>Revista Mexicana de Biodiversidad</w:t>
      </w:r>
      <w:r w:rsidRPr="00DD3199">
        <w:rPr>
          <w:noProof/>
          <w:lang w:val="es-US"/>
        </w:rPr>
        <w:t>, (82), 951–963.</w:t>
      </w:r>
    </w:p>
    <w:p w14:paraId="16CE0137" w14:textId="77777777" w:rsidR="003A24F7" w:rsidRPr="003A24F7" w:rsidRDefault="003A24F7" w:rsidP="003E53E3">
      <w:pPr>
        <w:widowControl w:val="0"/>
        <w:autoSpaceDE w:val="0"/>
        <w:autoSpaceDN w:val="0"/>
        <w:adjustRightInd w:val="0"/>
        <w:ind w:left="480" w:hanging="480"/>
        <w:rPr>
          <w:noProof/>
        </w:rPr>
      </w:pPr>
      <w:r w:rsidRPr="00DD3199">
        <w:rPr>
          <w:noProof/>
          <w:lang w:val="es-US"/>
        </w:rPr>
        <w:t xml:space="preserve">Figueroa, F., &amp; Sanchez-Cordero, V. (2008). </w:t>
      </w:r>
      <w:r w:rsidRPr="003A24F7">
        <w:rPr>
          <w:noProof/>
        </w:rPr>
        <w:t xml:space="preserve">Effectiveness of natural protected areas to prevent land use and land cover change in Mexico. </w:t>
      </w:r>
      <w:r w:rsidRPr="003A24F7">
        <w:rPr>
          <w:i/>
          <w:iCs/>
          <w:noProof/>
        </w:rPr>
        <w:t>Biodiversity and Conservation</w:t>
      </w:r>
      <w:r w:rsidRPr="003A24F7">
        <w:rPr>
          <w:noProof/>
        </w:rPr>
        <w:t xml:space="preserve">, </w:t>
      </w:r>
      <w:r w:rsidRPr="003A24F7">
        <w:rPr>
          <w:i/>
          <w:iCs/>
          <w:noProof/>
        </w:rPr>
        <w:t>17</w:t>
      </w:r>
      <w:r w:rsidRPr="003A24F7">
        <w:rPr>
          <w:noProof/>
        </w:rPr>
        <w:t>, 3223–3240. https://doi.org/10.1007/s10531-008-9423-3</w:t>
      </w:r>
    </w:p>
    <w:p w14:paraId="7811471C" w14:textId="77777777" w:rsidR="003A24F7" w:rsidRPr="003A24F7" w:rsidRDefault="003A24F7" w:rsidP="003E53E3">
      <w:pPr>
        <w:widowControl w:val="0"/>
        <w:autoSpaceDE w:val="0"/>
        <w:autoSpaceDN w:val="0"/>
        <w:adjustRightInd w:val="0"/>
        <w:ind w:left="480" w:hanging="480"/>
        <w:rPr>
          <w:noProof/>
        </w:rPr>
      </w:pPr>
      <w:r w:rsidRPr="003A24F7">
        <w:rPr>
          <w:noProof/>
        </w:rPr>
        <w:t xml:space="preserve">Franks, P., &amp; Schreckenberg, K. (2016). Advancing equity in protected area conservation. </w:t>
      </w:r>
      <w:r w:rsidRPr="003A24F7">
        <w:rPr>
          <w:i/>
          <w:iCs/>
          <w:noProof/>
        </w:rPr>
        <w:t>The International Institute for Environment and Development (IIED)</w:t>
      </w:r>
      <w:r w:rsidRPr="003A24F7">
        <w:rPr>
          <w:noProof/>
        </w:rPr>
        <w:t>, (February), 5–9. https://doi.org/10.13140/RG.2.1.2817.0649</w:t>
      </w:r>
    </w:p>
    <w:p w14:paraId="49E1FCD9" w14:textId="77777777" w:rsidR="003A24F7" w:rsidRPr="003A24F7" w:rsidRDefault="003A24F7" w:rsidP="003E53E3">
      <w:pPr>
        <w:widowControl w:val="0"/>
        <w:autoSpaceDE w:val="0"/>
        <w:autoSpaceDN w:val="0"/>
        <w:adjustRightInd w:val="0"/>
        <w:ind w:left="480" w:hanging="480"/>
        <w:rPr>
          <w:noProof/>
        </w:rPr>
      </w:pPr>
      <w:r w:rsidRPr="003A24F7">
        <w:rPr>
          <w:noProof/>
        </w:rPr>
        <w:t xml:space="preserve">Geldmann, J., Barnes, M., Coad, L., Craigie, I. D., Hockings, M., &amp; Burgess, N. D. (2013). Effectiveness of terrestrial protected areas in reducing habitat loss and population declines. </w:t>
      </w:r>
      <w:r w:rsidRPr="003A24F7">
        <w:rPr>
          <w:i/>
          <w:iCs/>
          <w:noProof/>
        </w:rPr>
        <w:t>Biological Conservation</w:t>
      </w:r>
      <w:r w:rsidRPr="003A24F7">
        <w:rPr>
          <w:noProof/>
        </w:rPr>
        <w:t xml:space="preserve">, </w:t>
      </w:r>
      <w:r w:rsidRPr="003A24F7">
        <w:rPr>
          <w:i/>
          <w:iCs/>
          <w:noProof/>
        </w:rPr>
        <w:t>161</w:t>
      </w:r>
      <w:r w:rsidRPr="003A24F7">
        <w:rPr>
          <w:noProof/>
        </w:rPr>
        <w:t>, 230–238. https://doi.org/10.1016/j.biocon.2013.02.018</w:t>
      </w:r>
    </w:p>
    <w:p w14:paraId="7DADFE73" w14:textId="77777777" w:rsidR="003A24F7" w:rsidRPr="003A24F7" w:rsidRDefault="003A24F7" w:rsidP="003E53E3">
      <w:pPr>
        <w:widowControl w:val="0"/>
        <w:autoSpaceDE w:val="0"/>
        <w:autoSpaceDN w:val="0"/>
        <w:adjustRightInd w:val="0"/>
        <w:ind w:left="480" w:hanging="480"/>
        <w:rPr>
          <w:noProof/>
        </w:rPr>
      </w:pPr>
      <w:r w:rsidRPr="003A24F7">
        <w:rPr>
          <w:noProof/>
        </w:rPr>
        <w:t xml:space="preserve">Geldmann, J., Coad, L., Barnes, M., Craigie, I. D., Hockings, M., Knights, K., … Burgess, N. D. (2015). Changes in protected area management effectiveness over time: A global analysis. </w:t>
      </w:r>
      <w:r w:rsidRPr="003A24F7">
        <w:rPr>
          <w:i/>
          <w:iCs/>
          <w:noProof/>
        </w:rPr>
        <w:t>Biological Conservation</w:t>
      </w:r>
      <w:r w:rsidRPr="003A24F7">
        <w:rPr>
          <w:noProof/>
        </w:rPr>
        <w:t xml:space="preserve">, </w:t>
      </w:r>
      <w:r w:rsidRPr="003A24F7">
        <w:rPr>
          <w:i/>
          <w:iCs/>
          <w:noProof/>
        </w:rPr>
        <w:t>191</w:t>
      </w:r>
      <w:r w:rsidRPr="003A24F7">
        <w:rPr>
          <w:noProof/>
        </w:rPr>
        <w:t>, 692–699. https://doi.org/10.1016/j.biocon.2015.08.029</w:t>
      </w:r>
    </w:p>
    <w:p w14:paraId="17077804" w14:textId="77777777" w:rsidR="003A24F7" w:rsidRPr="003A24F7" w:rsidRDefault="003A24F7" w:rsidP="003E53E3">
      <w:pPr>
        <w:widowControl w:val="0"/>
        <w:autoSpaceDE w:val="0"/>
        <w:autoSpaceDN w:val="0"/>
        <w:adjustRightInd w:val="0"/>
        <w:ind w:left="480" w:hanging="480"/>
        <w:rPr>
          <w:noProof/>
        </w:rPr>
      </w:pPr>
      <w:r w:rsidRPr="003A24F7">
        <w:rPr>
          <w:noProof/>
        </w:rPr>
        <w:t xml:space="preserve">Geldmann, J., Coad, L., Barnes, M. D., Craigie, I. D., Woodley, S., Balmford, A., … Burgess, N. D. (2018). A global analysis of management capacity and ecological outcomes in terrestrial protected areas. </w:t>
      </w:r>
      <w:r w:rsidRPr="003A24F7">
        <w:rPr>
          <w:i/>
          <w:iCs/>
          <w:noProof/>
        </w:rPr>
        <w:t>Conservation Letters</w:t>
      </w:r>
      <w:r w:rsidRPr="003A24F7">
        <w:rPr>
          <w:noProof/>
        </w:rPr>
        <w:t xml:space="preserve">, </w:t>
      </w:r>
      <w:r w:rsidRPr="003A24F7">
        <w:rPr>
          <w:i/>
          <w:iCs/>
          <w:noProof/>
        </w:rPr>
        <w:t>11</w:t>
      </w:r>
      <w:r w:rsidRPr="003A24F7">
        <w:rPr>
          <w:noProof/>
        </w:rPr>
        <w:t>(3), 1–10. https://doi.org/10.1111/conl.12434</w:t>
      </w:r>
    </w:p>
    <w:p w14:paraId="1493FD35" w14:textId="77777777" w:rsidR="003A24F7" w:rsidRPr="00DD3199" w:rsidRDefault="003A24F7" w:rsidP="003E53E3">
      <w:pPr>
        <w:widowControl w:val="0"/>
        <w:autoSpaceDE w:val="0"/>
        <w:autoSpaceDN w:val="0"/>
        <w:adjustRightInd w:val="0"/>
        <w:ind w:left="480" w:hanging="480"/>
        <w:rPr>
          <w:noProof/>
          <w:lang w:val="es-US"/>
        </w:rPr>
      </w:pPr>
      <w:r w:rsidRPr="003A24F7">
        <w:rPr>
          <w:noProof/>
        </w:rPr>
        <w:t xml:space="preserve">Geldmann, J., Manica, A., Burgess, N. D., Coad, L., &amp; Balmford, A. (2019). A global-level assessment of the effectiveness of protected areas at resisting anthropogenic pressures. </w:t>
      </w:r>
      <w:r w:rsidRPr="00DD3199">
        <w:rPr>
          <w:i/>
          <w:iCs/>
          <w:noProof/>
          <w:lang w:val="es-US"/>
        </w:rPr>
        <w:t>PNAS</w:t>
      </w:r>
      <w:r w:rsidRPr="00DD3199">
        <w:rPr>
          <w:noProof/>
          <w:lang w:val="es-US"/>
        </w:rPr>
        <w:t xml:space="preserve">, </w:t>
      </w:r>
      <w:r w:rsidRPr="00DD3199">
        <w:rPr>
          <w:i/>
          <w:iCs/>
          <w:noProof/>
          <w:lang w:val="es-US"/>
        </w:rPr>
        <w:t>116</w:t>
      </w:r>
      <w:r w:rsidRPr="00DD3199">
        <w:rPr>
          <w:noProof/>
          <w:lang w:val="es-US"/>
        </w:rPr>
        <w:t>(46), 23209–23215. https://doi.org/10.1073/pnas.1908221116</w:t>
      </w:r>
    </w:p>
    <w:p w14:paraId="0C65A63C" w14:textId="77777777" w:rsidR="003A24F7" w:rsidRPr="003A24F7" w:rsidRDefault="003A24F7" w:rsidP="003E53E3">
      <w:pPr>
        <w:widowControl w:val="0"/>
        <w:autoSpaceDE w:val="0"/>
        <w:autoSpaceDN w:val="0"/>
        <w:adjustRightInd w:val="0"/>
        <w:ind w:left="480" w:hanging="480"/>
        <w:rPr>
          <w:noProof/>
        </w:rPr>
      </w:pPr>
      <w:r w:rsidRPr="00DD3199">
        <w:rPr>
          <w:noProof/>
          <w:lang w:val="es-US"/>
        </w:rPr>
        <w:t xml:space="preserve">Gill, D. A., Mascia, M. B., Ahmadia, G. N., Glew, L., Lester, S. E., Barnes, M., … </w:t>
      </w:r>
      <w:r w:rsidRPr="003A24F7">
        <w:rPr>
          <w:noProof/>
        </w:rPr>
        <w:t xml:space="preserve">Whitmee, S. (2017). Capacity shortfalls hinder the performance of marine protected areas globally. </w:t>
      </w:r>
      <w:r w:rsidRPr="003A24F7">
        <w:rPr>
          <w:i/>
          <w:iCs/>
          <w:noProof/>
        </w:rPr>
        <w:t>Nature Publishing Group</w:t>
      </w:r>
      <w:r w:rsidRPr="003A24F7">
        <w:rPr>
          <w:noProof/>
        </w:rPr>
        <w:t xml:space="preserve">, </w:t>
      </w:r>
      <w:r w:rsidRPr="003A24F7">
        <w:rPr>
          <w:i/>
          <w:iCs/>
          <w:noProof/>
        </w:rPr>
        <w:t>543</w:t>
      </w:r>
      <w:r w:rsidRPr="003A24F7">
        <w:rPr>
          <w:noProof/>
        </w:rPr>
        <w:t>(7647), 665–669. https://doi.org/10.1038/nature21708</w:t>
      </w:r>
    </w:p>
    <w:p w14:paraId="32A70651" w14:textId="77777777" w:rsidR="003A24F7" w:rsidRPr="003A24F7" w:rsidRDefault="003A24F7" w:rsidP="003E53E3">
      <w:pPr>
        <w:widowControl w:val="0"/>
        <w:autoSpaceDE w:val="0"/>
        <w:autoSpaceDN w:val="0"/>
        <w:adjustRightInd w:val="0"/>
        <w:ind w:left="480" w:hanging="480"/>
        <w:rPr>
          <w:noProof/>
        </w:rPr>
      </w:pPr>
      <w:r w:rsidRPr="003A24F7">
        <w:rPr>
          <w:noProof/>
        </w:rPr>
        <w:t xml:space="preserve">Greiber, T., Janki, M., Orellana, M., Savaresi, A., &amp; Shelton, D. (2009). </w:t>
      </w:r>
      <w:r w:rsidRPr="003A24F7">
        <w:rPr>
          <w:i/>
          <w:iCs/>
          <w:noProof/>
        </w:rPr>
        <w:t>Conservation with Justice</w:t>
      </w:r>
      <w:r w:rsidRPr="003A24F7">
        <w:rPr>
          <w:noProof/>
        </w:rPr>
        <w:t xml:space="preserve">. </w:t>
      </w:r>
      <w:r w:rsidRPr="003A24F7">
        <w:rPr>
          <w:i/>
          <w:iCs/>
          <w:noProof/>
        </w:rPr>
        <w:t>Environmental Policy and Law</w:t>
      </w:r>
      <w:r w:rsidRPr="003A24F7">
        <w:rPr>
          <w:noProof/>
        </w:rPr>
        <w:t>. https://doi.org/10.2305/IUCN.CH.2009.EPLP.71.en</w:t>
      </w:r>
    </w:p>
    <w:p w14:paraId="4CAA25F2" w14:textId="77777777" w:rsidR="003A24F7" w:rsidRPr="00DD3199" w:rsidRDefault="003A24F7" w:rsidP="003E53E3">
      <w:pPr>
        <w:widowControl w:val="0"/>
        <w:autoSpaceDE w:val="0"/>
        <w:autoSpaceDN w:val="0"/>
        <w:adjustRightInd w:val="0"/>
        <w:ind w:left="480" w:hanging="480"/>
        <w:rPr>
          <w:noProof/>
          <w:lang w:val="es-US"/>
        </w:rPr>
      </w:pPr>
      <w:r w:rsidRPr="003A24F7">
        <w:rPr>
          <w:noProof/>
        </w:rPr>
        <w:t xml:space="preserve">Hansen, M. C., Potapov, P. V., Moore, R., Hancher, M., Turubanova, S. A., Tyukavina, A., … Townshend, J. R. G. (2013). High-Resolution Global Maps of 21st-Century Forest Cover Change. </w:t>
      </w:r>
      <w:r w:rsidRPr="00DD3199">
        <w:rPr>
          <w:i/>
          <w:iCs/>
          <w:noProof/>
          <w:lang w:val="es-US"/>
        </w:rPr>
        <w:t>Science</w:t>
      </w:r>
      <w:r w:rsidRPr="00DD3199">
        <w:rPr>
          <w:noProof/>
          <w:lang w:val="es-US"/>
        </w:rPr>
        <w:t xml:space="preserve">, </w:t>
      </w:r>
      <w:r w:rsidRPr="00DD3199">
        <w:rPr>
          <w:i/>
          <w:iCs/>
          <w:noProof/>
          <w:lang w:val="es-US"/>
        </w:rPr>
        <w:t>342</w:t>
      </w:r>
      <w:r w:rsidRPr="00DD3199">
        <w:rPr>
          <w:noProof/>
          <w:lang w:val="es-US"/>
        </w:rPr>
        <w:t>(6160), 850–853. https://doi.org/10.1126/science.1244693</w:t>
      </w:r>
    </w:p>
    <w:p w14:paraId="367E8A8F" w14:textId="77777777" w:rsidR="003A24F7" w:rsidRPr="003A24F7" w:rsidRDefault="003A24F7" w:rsidP="003E53E3">
      <w:pPr>
        <w:widowControl w:val="0"/>
        <w:autoSpaceDE w:val="0"/>
        <w:autoSpaceDN w:val="0"/>
        <w:adjustRightInd w:val="0"/>
        <w:ind w:left="480" w:hanging="480"/>
        <w:rPr>
          <w:noProof/>
        </w:rPr>
      </w:pPr>
      <w:r w:rsidRPr="00DD3199">
        <w:rPr>
          <w:noProof/>
          <w:lang w:val="es-US"/>
        </w:rPr>
        <w:t xml:space="preserve">Herrejón, J. C. R., Morales-Vela, B., Ortega-Argueta, A., Pozo, C., &amp; Olivera-Gómez, L. D. (2020). </w:t>
      </w:r>
      <w:r w:rsidRPr="003A24F7">
        <w:rPr>
          <w:noProof/>
        </w:rPr>
        <w:t xml:space="preserve">Management effectiveness in marine protected areas for conservation of Antillean manatees on the eastern coast of the Yucatan Peninsula, Mexico. </w:t>
      </w:r>
      <w:r w:rsidRPr="003A24F7">
        <w:rPr>
          <w:i/>
          <w:iCs/>
          <w:noProof/>
        </w:rPr>
        <w:t>Aquatic Conservation: Marine Freshwater Ecosystems</w:t>
      </w:r>
      <w:r w:rsidRPr="003A24F7">
        <w:rPr>
          <w:noProof/>
        </w:rPr>
        <w:t xml:space="preserve">, </w:t>
      </w:r>
      <w:r w:rsidRPr="003A24F7">
        <w:rPr>
          <w:i/>
          <w:iCs/>
          <w:noProof/>
        </w:rPr>
        <w:t>30</w:t>
      </w:r>
      <w:r w:rsidRPr="003A24F7">
        <w:rPr>
          <w:noProof/>
        </w:rPr>
        <w:t>, 1182–1193. https://doi.org/10.1002/aqc.3323</w:t>
      </w:r>
    </w:p>
    <w:p w14:paraId="2F965B07" w14:textId="77777777" w:rsidR="003A24F7" w:rsidRPr="003A24F7" w:rsidRDefault="003A24F7" w:rsidP="003E53E3">
      <w:pPr>
        <w:widowControl w:val="0"/>
        <w:autoSpaceDE w:val="0"/>
        <w:autoSpaceDN w:val="0"/>
        <w:adjustRightInd w:val="0"/>
        <w:ind w:left="480" w:hanging="480"/>
        <w:rPr>
          <w:noProof/>
        </w:rPr>
      </w:pPr>
      <w:r w:rsidRPr="003A24F7">
        <w:rPr>
          <w:noProof/>
        </w:rPr>
        <w:t xml:space="preserve">Hockings, M., Cook, C. N., &amp; Leverington, F. (2015). Protected Area Management Effectiveness. In G. L. Worboys, M. Lockwood, A. Kothari, S. Feary, &amp; I. Pulsford (Eds.), </w:t>
      </w:r>
      <w:r w:rsidRPr="003A24F7">
        <w:rPr>
          <w:i/>
          <w:iCs/>
          <w:noProof/>
        </w:rPr>
        <w:t>Protected Area Governance and Management</w:t>
      </w:r>
      <w:r w:rsidRPr="003A24F7">
        <w:rPr>
          <w:noProof/>
        </w:rPr>
        <w:t xml:space="preserve"> (pp. 889–928). Canberra: ANU Press.</w:t>
      </w:r>
    </w:p>
    <w:p w14:paraId="362EF588" w14:textId="77777777" w:rsidR="003A24F7" w:rsidRPr="003A24F7" w:rsidRDefault="003A24F7" w:rsidP="003E53E3">
      <w:pPr>
        <w:widowControl w:val="0"/>
        <w:autoSpaceDE w:val="0"/>
        <w:autoSpaceDN w:val="0"/>
        <w:adjustRightInd w:val="0"/>
        <w:ind w:left="480" w:hanging="480"/>
        <w:rPr>
          <w:noProof/>
        </w:rPr>
      </w:pPr>
      <w:r w:rsidRPr="003A24F7">
        <w:rPr>
          <w:noProof/>
        </w:rPr>
        <w:t xml:space="preserve">Hockings, M., Stolton, S., Leverington, F., Dudley, N., Courrau, J., &amp; Valentine, P. (2006). </w:t>
      </w:r>
      <w:r w:rsidRPr="003A24F7">
        <w:rPr>
          <w:i/>
          <w:iCs/>
          <w:noProof/>
        </w:rPr>
        <w:t>Evaluating effectiveness: A framework for assessing management effectiveness of protected areas</w:t>
      </w:r>
      <w:r w:rsidRPr="003A24F7">
        <w:rPr>
          <w:noProof/>
        </w:rPr>
        <w:t xml:space="preserve">. </w:t>
      </w:r>
      <w:r w:rsidRPr="003A24F7">
        <w:rPr>
          <w:i/>
          <w:iCs/>
          <w:noProof/>
        </w:rPr>
        <w:t>IUCN</w:t>
      </w:r>
      <w:r w:rsidRPr="003A24F7">
        <w:rPr>
          <w:noProof/>
        </w:rPr>
        <w:t>. https://doi.org/10.2305/IUCN.CH.2006.PAG.14.en</w:t>
      </w:r>
    </w:p>
    <w:p w14:paraId="428E4204" w14:textId="77777777" w:rsidR="003A24F7" w:rsidRPr="003A24F7" w:rsidRDefault="003A24F7" w:rsidP="003E53E3">
      <w:pPr>
        <w:widowControl w:val="0"/>
        <w:autoSpaceDE w:val="0"/>
        <w:autoSpaceDN w:val="0"/>
        <w:adjustRightInd w:val="0"/>
        <w:ind w:left="480" w:hanging="480"/>
        <w:rPr>
          <w:noProof/>
        </w:rPr>
      </w:pPr>
      <w:r w:rsidRPr="003A24F7">
        <w:rPr>
          <w:noProof/>
        </w:rPr>
        <w:lastRenderedPageBreak/>
        <w:t xml:space="preserve">Imbens, G. W., &amp; Rubin, D. B. (2015). </w:t>
      </w:r>
      <w:r w:rsidRPr="003A24F7">
        <w:rPr>
          <w:i/>
          <w:iCs/>
          <w:noProof/>
        </w:rPr>
        <w:t>Causal Inference for Statistics, Social, and Biomedical Sciences</w:t>
      </w:r>
      <w:r w:rsidRPr="003A24F7">
        <w:rPr>
          <w:noProof/>
        </w:rPr>
        <w:t>. New York, NY: Cambridge University Press.</w:t>
      </w:r>
    </w:p>
    <w:p w14:paraId="66876499" w14:textId="77777777" w:rsidR="003A24F7" w:rsidRPr="003A24F7" w:rsidRDefault="003A24F7" w:rsidP="003E53E3">
      <w:pPr>
        <w:widowControl w:val="0"/>
        <w:autoSpaceDE w:val="0"/>
        <w:autoSpaceDN w:val="0"/>
        <w:adjustRightInd w:val="0"/>
        <w:ind w:left="480" w:hanging="480"/>
        <w:rPr>
          <w:noProof/>
        </w:rPr>
      </w:pPr>
      <w:r w:rsidRPr="003A24F7">
        <w:rPr>
          <w:noProof/>
        </w:rPr>
        <w:t>IUCN, &amp; UNEP-WCMC. (2019). World Database on Protected Areas (WDPA). Cambridge (UK): UNEP World Conservation Monitoring Center. Available at: www.protectedplanet.net.</w:t>
      </w:r>
    </w:p>
    <w:p w14:paraId="732B36EB" w14:textId="77777777" w:rsidR="003A24F7" w:rsidRPr="003A24F7" w:rsidRDefault="003A24F7" w:rsidP="003E53E3">
      <w:pPr>
        <w:widowControl w:val="0"/>
        <w:autoSpaceDE w:val="0"/>
        <w:autoSpaceDN w:val="0"/>
        <w:adjustRightInd w:val="0"/>
        <w:ind w:left="480" w:hanging="480"/>
        <w:rPr>
          <w:noProof/>
        </w:rPr>
      </w:pPr>
      <w:r w:rsidRPr="00DD3199">
        <w:rPr>
          <w:noProof/>
          <w:lang w:val="es-US"/>
        </w:rPr>
        <w:t xml:space="preserve">Joppa, Lucas N., &amp; Pfaff, A. (2009). </w:t>
      </w:r>
      <w:r w:rsidRPr="003A24F7">
        <w:rPr>
          <w:noProof/>
        </w:rPr>
        <w:t xml:space="preserve">High and far: Biases in the location of protected areas. </w:t>
      </w:r>
      <w:r w:rsidRPr="003A24F7">
        <w:rPr>
          <w:i/>
          <w:iCs/>
          <w:noProof/>
        </w:rPr>
        <w:t>PLoS ONE</w:t>
      </w:r>
      <w:r w:rsidRPr="003A24F7">
        <w:rPr>
          <w:noProof/>
        </w:rPr>
        <w:t xml:space="preserve">, </w:t>
      </w:r>
      <w:r w:rsidRPr="003A24F7">
        <w:rPr>
          <w:i/>
          <w:iCs/>
          <w:noProof/>
        </w:rPr>
        <w:t>4</w:t>
      </w:r>
      <w:r w:rsidRPr="003A24F7">
        <w:rPr>
          <w:noProof/>
        </w:rPr>
        <w:t>(12), 1–6. https://doi.org/10.1371/journal.pone.0008273</w:t>
      </w:r>
    </w:p>
    <w:p w14:paraId="5BE6C071" w14:textId="77777777" w:rsidR="003A24F7" w:rsidRPr="00DD3199" w:rsidRDefault="003A24F7" w:rsidP="003E53E3">
      <w:pPr>
        <w:widowControl w:val="0"/>
        <w:autoSpaceDE w:val="0"/>
        <w:autoSpaceDN w:val="0"/>
        <w:adjustRightInd w:val="0"/>
        <w:ind w:left="480" w:hanging="480"/>
        <w:rPr>
          <w:noProof/>
          <w:lang w:val="es-US"/>
        </w:rPr>
      </w:pPr>
      <w:r w:rsidRPr="003A24F7">
        <w:rPr>
          <w:noProof/>
        </w:rPr>
        <w:t xml:space="preserve">Kere, E. N., Choumert, J., Combes Motel, P., Combes, J. L., Santoni, O., &amp; Schwartz, S. (2017). Addressing Contextual and Location Biases in the Assessment of Protected Areas Effectiveness on Deforestation in the Brazilian Amazônia. </w:t>
      </w:r>
      <w:r w:rsidRPr="00DD3199">
        <w:rPr>
          <w:i/>
          <w:iCs/>
          <w:noProof/>
          <w:lang w:val="es-US"/>
        </w:rPr>
        <w:t>Ecological Economics</w:t>
      </w:r>
      <w:r w:rsidRPr="00DD3199">
        <w:rPr>
          <w:noProof/>
          <w:lang w:val="es-US"/>
        </w:rPr>
        <w:t xml:space="preserve">, </w:t>
      </w:r>
      <w:r w:rsidRPr="00DD3199">
        <w:rPr>
          <w:i/>
          <w:iCs/>
          <w:noProof/>
          <w:lang w:val="es-US"/>
        </w:rPr>
        <w:t>136</w:t>
      </w:r>
      <w:r w:rsidRPr="00DD3199">
        <w:rPr>
          <w:noProof/>
          <w:lang w:val="es-US"/>
        </w:rPr>
        <w:t>(2017), 148–158. https://doi.org/10.1016/j.ecolecon.2017.02.018</w:t>
      </w:r>
    </w:p>
    <w:p w14:paraId="3E719E9F" w14:textId="77777777" w:rsidR="003A24F7" w:rsidRPr="003A24F7" w:rsidRDefault="003A24F7" w:rsidP="003E53E3">
      <w:pPr>
        <w:widowControl w:val="0"/>
        <w:autoSpaceDE w:val="0"/>
        <w:autoSpaceDN w:val="0"/>
        <w:adjustRightInd w:val="0"/>
        <w:ind w:left="480" w:hanging="480"/>
        <w:rPr>
          <w:noProof/>
        </w:rPr>
      </w:pPr>
      <w:r w:rsidRPr="00DD3199">
        <w:rPr>
          <w:noProof/>
          <w:lang w:val="es-US"/>
        </w:rPr>
        <w:t xml:space="preserve">Leberger, R., Rosa, I. M. D., Guerra, C. A., Wolf, F., &amp; Pereira, H. M. (2019). </w:t>
      </w:r>
      <w:r w:rsidRPr="003A24F7">
        <w:rPr>
          <w:noProof/>
        </w:rPr>
        <w:t xml:space="preserve">Global patterns of forest loss across IUCN categories of protected areas. </w:t>
      </w:r>
      <w:r w:rsidRPr="003A24F7">
        <w:rPr>
          <w:i/>
          <w:iCs/>
          <w:noProof/>
        </w:rPr>
        <w:t>Biological Conservation</w:t>
      </w:r>
      <w:r w:rsidRPr="003A24F7">
        <w:rPr>
          <w:noProof/>
        </w:rPr>
        <w:t>. https://doi.org/10.1016/j.biocon.2019.108299</w:t>
      </w:r>
    </w:p>
    <w:p w14:paraId="27DEFEFF" w14:textId="77777777" w:rsidR="003A24F7" w:rsidRPr="003A24F7" w:rsidRDefault="003A24F7" w:rsidP="003E53E3">
      <w:pPr>
        <w:widowControl w:val="0"/>
        <w:autoSpaceDE w:val="0"/>
        <w:autoSpaceDN w:val="0"/>
        <w:adjustRightInd w:val="0"/>
        <w:ind w:left="480" w:hanging="480"/>
        <w:rPr>
          <w:noProof/>
        </w:rPr>
      </w:pPr>
      <w:r w:rsidRPr="003A24F7">
        <w:rPr>
          <w:noProof/>
        </w:rPr>
        <w:t xml:space="preserve">Legendre, P. (1993). Spatial autocorrelation: Trouble or new paradigm? </w:t>
      </w:r>
      <w:r w:rsidRPr="003A24F7">
        <w:rPr>
          <w:i/>
          <w:iCs/>
          <w:noProof/>
        </w:rPr>
        <w:t>Ecology</w:t>
      </w:r>
      <w:r w:rsidRPr="003A24F7">
        <w:rPr>
          <w:noProof/>
        </w:rPr>
        <w:t xml:space="preserve">, </w:t>
      </w:r>
      <w:r w:rsidRPr="003A24F7">
        <w:rPr>
          <w:i/>
          <w:iCs/>
          <w:noProof/>
        </w:rPr>
        <w:t>74</w:t>
      </w:r>
      <w:r w:rsidRPr="003A24F7">
        <w:rPr>
          <w:noProof/>
        </w:rPr>
        <w:t>(6), 1659–1673.</w:t>
      </w:r>
    </w:p>
    <w:p w14:paraId="30E9502F" w14:textId="77777777" w:rsidR="003A24F7" w:rsidRPr="003A24F7" w:rsidRDefault="003A24F7" w:rsidP="003E53E3">
      <w:pPr>
        <w:widowControl w:val="0"/>
        <w:autoSpaceDE w:val="0"/>
        <w:autoSpaceDN w:val="0"/>
        <w:adjustRightInd w:val="0"/>
        <w:ind w:left="480" w:hanging="480"/>
        <w:rPr>
          <w:noProof/>
        </w:rPr>
      </w:pPr>
      <w:r w:rsidRPr="003A24F7">
        <w:rPr>
          <w:noProof/>
        </w:rPr>
        <w:t xml:space="preserve">Leverington, F., Costa, K. L., Pavese, H., Lisle, A., &amp; Hockings, M. (2010). A global analysis of protected area management effectiveness. </w:t>
      </w:r>
      <w:r w:rsidRPr="003A24F7">
        <w:rPr>
          <w:i/>
          <w:iCs/>
          <w:noProof/>
        </w:rPr>
        <w:t>Environmental Management</w:t>
      </w:r>
      <w:r w:rsidRPr="003A24F7">
        <w:rPr>
          <w:noProof/>
        </w:rPr>
        <w:t xml:space="preserve">, </w:t>
      </w:r>
      <w:r w:rsidRPr="003A24F7">
        <w:rPr>
          <w:i/>
          <w:iCs/>
          <w:noProof/>
        </w:rPr>
        <w:t>46</w:t>
      </w:r>
      <w:r w:rsidRPr="003A24F7">
        <w:rPr>
          <w:noProof/>
        </w:rPr>
        <w:t>(5), 685–698. https://doi.org/10.1007/s00267-010-9564-5</w:t>
      </w:r>
    </w:p>
    <w:p w14:paraId="01B5E2DC" w14:textId="77777777" w:rsidR="003A24F7" w:rsidRPr="003A24F7" w:rsidRDefault="003A24F7" w:rsidP="003E53E3">
      <w:pPr>
        <w:widowControl w:val="0"/>
        <w:autoSpaceDE w:val="0"/>
        <w:autoSpaceDN w:val="0"/>
        <w:adjustRightInd w:val="0"/>
        <w:ind w:left="480" w:hanging="480"/>
        <w:rPr>
          <w:noProof/>
        </w:rPr>
      </w:pPr>
      <w:r w:rsidRPr="00DD3199">
        <w:rPr>
          <w:noProof/>
          <w:lang w:val="es-US"/>
        </w:rPr>
        <w:t xml:space="preserve">Macura, B., Secco, L., &amp; Pullin, A. S. (2015). </w:t>
      </w:r>
      <w:r w:rsidRPr="003A24F7">
        <w:rPr>
          <w:noProof/>
        </w:rPr>
        <w:t xml:space="preserve">What evidence exists on the impact of governance type on the conservation effectiveness of forest protected areas? Knowledge base and evidence gaps. </w:t>
      </w:r>
      <w:r w:rsidRPr="003A24F7">
        <w:rPr>
          <w:i/>
          <w:iCs/>
          <w:noProof/>
        </w:rPr>
        <w:t>Environmental Evidence</w:t>
      </w:r>
      <w:r w:rsidRPr="003A24F7">
        <w:rPr>
          <w:noProof/>
        </w:rPr>
        <w:t xml:space="preserve">, </w:t>
      </w:r>
      <w:r w:rsidRPr="003A24F7">
        <w:rPr>
          <w:i/>
          <w:iCs/>
          <w:noProof/>
        </w:rPr>
        <w:t>4</w:t>
      </w:r>
      <w:r w:rsidRPr="003A24F7">
        <w:rPr>
          <w:noProof/>
        </w:rPr>
        <w:t>(24), 1–29. https://doi.org/10.1186/s13750-015-0051-6</w:t>
      </w:r>
    </w:p>
    <w:p w14:paraId="39CCC5D9" w14:textId="77777777" w:rsidR="003A24F7" w:rsidRPr="003A24F7" w:rsidRDefault="003A24F7" w:rsidP="003E53E3">
      <w:pPr>
        <w:widowControl w:val="0"/>
        <w:autoSpaceDE w:val="0"/>
        <w:autoSpaceDN w:val="0"/>
        <w:adjustRightInd w:val="0"/>
        <w:ind w:left="480" w:hanging="480"/>
        <w:rPr>
          <w:noProof/>
        </w:rPr>
      </w:pPr>
      <w:r w:rsidRPr="003A24F7">
        <w:rPr>
          <w:noProof/>
        </w:rPr>
        <w:t xml:space="preserve">Muñoz Brenes, C. L., Jones, K. W., Schlesinger, P., Robalino, J., &amp; Vierling, L. (2018). The impact of protected area governance and management capacity on ecosystem function in Central America. </w:t>
      </w:r>
      <w:r w:rsidRPr="003A24F7">
        <w:rPr>
          <w:i/>
          <w:iCs/>
          <w:noProof/>
        </w:rPr>
        <w:t>PLoS One</w:t>
      </w:r>
      <w:r w:rsidRPr="003A24F7">
        <w:rPr>
          <w:noProof/>
        </w:rPr>
        <w:t xml:space="preserve">, </w:t>
      </w:r>
      <w:r w:rsidRPr="003A24F7">
        <w:rPr>
          <w:i/>
          <w:iCs/>
          <w:noProof/>
        </w:rPr>
        <w:t>13</w:t>
      </w:r>
      <w:r w:rsidRPr="003A24F7">
        <w:rPr>
          <w:noProof/>
        </w:rPr>
        <w:t>(10).</w:t>
      </w:r>
    </w:p>
    <w:p w14:paraId="7FCEEAF3" w14:textId="77777777" w:rsidR="003A24F7" w:rsidRPr="003A24F7" w:rsidRDefault="003A24F7" w:rsidP="003E53E3">
      <w:pPr>
        <w:widowControl w:val="0"/>
        <w:autoSpaceDE w:val="0"/>
        <w:autoSpaceDN w:val="0"/>
        <w:adjustRightInd w:val="0"/>
        <w:ind w:left="480" w:hanging="480"/>
        <w:rPr>
          <w:noProof/>
        </w:rPr>
      </w:pPr>
      <w:r w:rsidRPr="003A24F7">
        <w:rPr>
          <w:noProof/>
        </w:rPr>
        <w:t xml:space="preserve">Negret, P. J., Marco, M. Di, Sonter, L. J., Rhodes, J., Possingham, H. P., &amp; Maron, M. (2020). Effects of spatial autocorrelation and sampling design on estimates of protected area effectiveness. </w:t>
      </w:r>
      <w:r w:rsidRPr="003A24F7">
        <w:rPr>
          <w:i/>
          <w:iCs/>
          <w:noProof/>
        </w:rPr>
        <w:t>Conservation Biology</w:t>
      </w:r>
      <w:r w:rsidRPr="003A24F7">
        <w:rPr>
          <w:noProof/>
        </w:rPr>
        <w:t xml:space="preserve">, </w:t>
      </w:r>
      <w:r w:rsidRPr="003A24F7">
        <w:rPr>
          <w:i/>
          <w:iCs/>
          <w:noProof/>
        </w:rPr>
        <w:t>00</w:t>
      </w:r>
      <w:r w:rsidRPr="003A24F7">
        <w:rPr>
          <w:noProof/>
        </w:rPr>
        <w:t>(0), 1–11. https://doi.org/10.1111/cobi.13522</w:t>
      </w:r>
    </w:p>
    <w:p w14:paraId="40186A4F" w14:textId="77777777" w:rsidR="003A24F7" w:rsidRPr="003A24F7" w:rsidRDefault="003A24F7" w:rsidP="003E53E3">
      <w:pPr>
        <w:widowControl w:val="0"/>
        <w:autoSpaceDE w:val="0"/>
        <w:autoSpaceDN w:val="0"/>
        <w:adjustRightInd w:val="0"/>
        <w:ind w:left="480" w:hanging="480"/>
        <w:rPr>
          <w:noProof/>
        </w:rPr>
      </w:pPr>
      <w:r w:rsidRPr="003A24F7">
        <w:rPr>
          <w:noProof/>
        </w:rPr>
        <w:t xml:space="preserve">Nolte, C., Agrawal, A., Silvius, K. M., &amp; Soares-Filho, B. S. (2013). Governance regime and location influence avoided deforestation success of protected areas in the Brazilian Amazon. </w:t>
      </w:r>
      <w:r w:rsidRPr="003A24F7">
        <w:rPr>
          <w:i/>
          <w:iCs/>
          <w:noProof/>
        </w:rPr>
        <w:t>Proceedings of the National Academy of Sciences</w:t>
      </w:r>
      <w:r w:rsidRPr="003A24F7">
        <w:rPr>
          <w:noProof/>
        </w:rPr>
        <w:t xml:space="preserve">, </w:t>
      </w:r>
      <w:r w:rsidRPr="003A24F7">
        <w:rPr>
          <w:i/>
          <w:iCs/>
          <w:noProof/>
        </w:rPr>
        <w:t>110</w:t>
      </w:r>
      <w:r w:rsidRPr="003A24F7">
        <w:rPr>
          <w:noProof/>
        </w:rPr>
        <w:t>(13), 4956–4961. https://doi.org/10.1073/pnas.1214786110</w:t>
      </w:r>
    </w:p>
    <w:p w14:paraId="03B32042" w14:textId="77777777" w:rsidR="003A24F7" w:rsidRPr="003A24F7" w:rsidRDefault="003A24F7" w:rsidP="003E53E3">
      <w:pPr>
        <w:widowControl w:val="0"/>
        <w:autoSpaceDE w:val="0"/>
        <w:autoSpaceDN w:val="0"/>
        <w:adjustRightInd w:val="0"/>
        <w:ind w:left="480" w:hanging="480"/>
        <w:rPr>
          <w:noProof/>
        </w:rPr>
      </w:pPr>
      <w:r w:rsidRPr="003A24F7">
        <w:rPr>
          <w:noProof/>
        </w:rPr>
        <w:t xml:space="preserve">Nolte, Christoph, &amp; Agrawal, A. (2013). Linking Management Effectiveness Indicators to Observed Effects of Protected Areas on Fire Occurrence in the Amazon Rainforest. </w:t>
      </w:r>
      <w:r w:rsidRPr="003A24F7">
        <w:rPr>
          <w:i/>
          <w:iCs/>
          <w:noProof/>
        </w:rPr>
        <w:t>Conservation Biology</w:t>
      </w:r>
      <w:r w:rsidRPr="003A24F7">
        <w:rPr>
          <w:noProof/>
        </w:rPr>
        <w:t xml:space="preserve">, </w:t>
      </w:r>
      <w:r w:rsidRPr="003A24F7">
        <w:rPr>
          <w:i/>
          <w:iCs/>
          <w:noProof/>
        </w:rPr>
        <w:t>27</w:t>
      </w:r>
      <w:r w:rsidRPr="003A24F7">
        <w:rPr>
          <w:noProof/>
        </w:rPr>
        <w:t>(1), 155–165. https://doi.org/10.1111/j.1523-1739.2012.01930.x</w:t>
      </w:r>
    </w:p>
    <w:p w14:paraId="09E9495D" w14:textId="77777777" w:rsidR="003A24F7" w:rsidRPr="003A24F7" w:rsidRDefault="003A24F7" w:rsidP="003E53E3">
      <w:pPr>
        <w:widowControl w:val="0"/>
        <w:autoSpaceDE w:val="0"/>
        <w:autoSpaceDN w:val="0"/>
        <w:adjustRightInd w:val="0"/>
        <w:ind w:left="480" w:hanging="480"/>
        <w:rPr>
          <w:noProof/>
        </w:rPr>
      </w:pPr>
      <w:r w:rsidRPr="003A24F7">
        <w:rPr>
          <w:noProof/>
        </w:rPr>
        <w:t xml:space="preserve">Nolte, Christoph, Agrawal, A., &amp; Barreto, P. (2013). Setting priorities to avoid deforestation in Amazon protected areas: Are we choosing the right indicators? </w:t>
      </w:r>
      <w:r w:rsidRPr="003A24F7">
        <w:rPr>
          <w:i/>
          <w:iCs/>
          <w:noProof/>
        </w:rPr>
        <w:t>Environmental Research Letters</w:t>
      </w:r>
      <w:r w:rsidRPr="003A24F7">
        <w:rPr>
          <w:noProof/>
        </w:rPr>
        <w:t xml:space="preserve">, </w:t>
      </w:r>
      <w:r w:rsidRPr="003A24F7">
        <w:rPr>
          <w:i/>
          <w:iCs/>
          <w:noProof/>
        </w:rPr>
        <w:t>8</w:t>
      </w:r>
      <w:r w:rsidRPr="003A24F7">
        <w:rPr>
          <w:noProof/>
        </w:rPr>
        <w:t>(1). https://doi.org/10.1088/1748-9326/8/1/015039</w:t>
      </w:r>
    </w:p>
    <w:p w14:paraId="55B02FE7" w14:textId="77777777" w:rsidR="003A24F7" w:rsidRPr="003A24F7" w:rsidRDefault="003A24F7" w:rsidP="003E53E3">
      <w:pPr>
        <w:widowControl w:val="0"/>
        <w:autoSpaceDE w:val="0"/>
        <w:autoSpaceDN w:val="0"/>
        <w:adjustRightInd w:val="0"/>
        <w:ind w:left="480" w:hanging="480"/>
        <w:rPr>
          <w:noProof/>
        </w:rPr>
      </w:pPr>
      <w:r w:rsidRPr="003A24F7">
        <w:rPr>
          <w:noProof/>
        </w:rPr>
        <w:t xml:space="preserve">Oldekop, J. A., Holmes, G., Harris, W. E., &amp; Evans, K. L. (2016). A global assessment of the social and conservation outcomes of protected areas. </w:t>
      </w:r>
      <w:r w:rsidRPr="003A24F7">
        <w:rPr>
          <w:i/>
          <w:iCs/>
          <w:noProof/>
        </w:rPr>
        <w:t>Conservation Biology</w:t>
      </w:r>
      <w:r w:rsidRPr="003A24F7">
        <w:rPr>
          <w:noProof/>
        </w:rPr>
        <w:t xml:space="preserve">, </w:t>
      </w:r>
      <w:r w:rsidRPr="003A24F7">
        <w:rPr>
          <w:i/>
          <w:iCs/>
          <w:noProof/>
        </w:rPr>
        <w:t>30</w:t>
      </w:r>
      <w:r w:rsidRPr="003A24F7">
        <w:rPr>
          <w:noProof/>
        </w:rPr>
        <w:t>(1), 133–141. https://doi.org/10.1111/cobi.12568</w:t>
      </w:r>
    </w:p>
    <w:p w14:paraId="632A96D2" w14:textId="77777777" w:rsidR="003A24F7" w:rsidRPr="003A24F7" w:rsidRDefault="003A24F7" w:rsidP="003E53E3">
      <w:pPr>
        <w:widowControl w:val="0"/>
        <w:autoSpaceDE w:val="0"/>
        <w:autoSpaceDN w:val="0"/>
        <w:adjustRightInd w:val="0"/>
        <w:ind w:left="480" w:hanging="480"/>
        <w:rPr>
          <w:noProof/>
        </w:rPr>
      </w:pPr>
      <w:r w:rsidRPr="003A24F7">
        <w:rPr>
          <w:noProof/>
        </w:rPr>
        <w:t xml:space="preserve">Oliveira, P. J. C., Asner, G. P., Knapp, D. E., Almeyda, A., Galván-gildemeister, R., Keene, S., … Smith, R. C. (2007). Land-use Allocation Protected the Peruvian Amazon. </w:t>
      </w:r>
      <w:r w:rsidRPr="003A24F7">
        <w:rPr>
          <w:i/>
          <w:iCs/>
          <w:noProof/>
        </w:rPr>
        <w:t>Science</w:t>
      </w:r>
      <w:r w:rsidRPr="003A24F7">
        <w:rPr>
          <w:noProof/>
        </w:rPr>
        <w:t xml:space="preserve">, </w:t>
      </w:r>
      <w:r w:rsidRPr="003A24F7">
        <w:rPr>
          <w:i/>
          <w:iCs/>
          <w:noProof/>
        </w:rPr>
        <w:t>317</w:t>
      </w:r>
      <w:r w:rsidRPr="003A24F7">
        <w:rPr>
          <w:noProof/>
        </w:rPr>
        <w:t>, 1233–1237.</w:t>
      </w:r>
    </w:p>
    <w:p w14:paraId="73E8D153" w14:textId="77777777" w:rsidR="003A24F7" w:rsidRPr="003A24F7" w:rsidRDefault="003A24F7" w:rsidP="003E53E3">
      <w:pPr>
        <w:widowControl w:val="0"/>
        <w:autoSpaceDE w:val="0"/>
        <w:autoSpaceDN w:val="0"/>
        <w:adjustRightInd w:val="0"/>
        <w:ind w:left="480" w:hanging="480"/>
        <w:rPr>
          <w:noProof/>
        </w:rPr>
      </w:pPr>
      <w:r w:rsidRPr="003A24F7">
        <w:rPr>
          <w:noProof/>
        </w:rPr>
        <w:t xml:space="preserve">Pfaff, A., Santiago-Ávila, F., &amp; Joppa, L. (2017). Evolving protected-area impacts in Mexico: </w:t>
      </w:r>
      <w:r w:rsidRPr="003A24F7">
        <w:rPr>
          <w:noProof/>
        </w:rPr>
        <w:lastRenderedPageBreak/>
        <w:t xml:space="preserve">Political shifts as suggested by impact evaluations. </w:t>
      </w:r>
      <w:r w:rsidRPr="003A24F7">
        <w:rPr>
          <w:i/>
          <w:iCs/>
          <w:noProof/>
        </w:rPr>
        <w:t>Forests</w:t>
      </w:r>
      <w:r w:rsidRPr="003A24F7">
        <w:rPr>
          <w:noProof/>
        </w:rPr>
        <w:t xml:space="preserve">, </w:t>
      </w:r>
      <w:r w:rsidRPr="003A24F7">
        <w:rPr>
          <w:i/>
          <w:iCs/>
          <w:noProof/>
        </w:rPr>
        <w:t>8</w:t>
      </w:r>
      <w:r w:rsidRPr="003A24F7">
        <w:rPr>
          <w:noProof/>
        </w:rPr>
        <w:t>(1), 1–14. https://doi.org/10.3390/f8010017</w:t>
      </w:r>
    </w:p>
    <w:p w14:paraId="45B35197" w14:textId="77777777" w:rsidR="003A24F7" w:rsidRPr="003A24F7" w:rsidRDefault="003A24F7" w:rsidP="003E53E3">
      <w:pPr>
        <w:widowControl w:val="0"/>
        <w:autoSpaceDE w:val="0"/>
        <w:autoSpaceDN w:val="0"/>
        <w:adjustRightInd w:val="0"/>
        <w:ind w:left="480" w:hanging="480"/>
        <w:rPr>
          <w:noProof/>
        </w:rPr>
      </w:pPr>
      <w:r w:rsidRPr="003A24F7">
        <w:rPr>
          <w:noProof/>
        </w:rPr>
        <w:t xml:space="preserve">Porter-Bolland, L., Ellis, E. A., Guariguata, M. R., Ruiz-Mallén, I., Negrete-Yankelevich, S., &amp; Reyes-García, V. (2012). Community managed forests and forest protected areas: An assessment of their conservation effectiveness across the tropics. </w:t>
      </w:r>
      <w:r w:rsidRPr="003A24F7">
        <w:rPr>
          <w:i/>
          <w:iCs/>
          <w:noProof/>
        </w:rPr>
        <w:t>Forest Ecology and Management</w:t>
      </w:r>
      <w:r w:rsidRPr="003A24F7">
        <w:rPr>
          <w:noProof/>
        </w:rPr>
        <w:t xml:space="preserve">, </w:t>
      </w:r>
      <w:r w:rsidRPr="003A24F7">
        <w:rPr>
          <w:i/>
          <w:iCs/>
          <w:noProof/>
        </w:rPr>
        <w:t>268</w:t>
      </w:r>
      <w:r w:rsidRPr="003A24F7">
        <w:rPr>
          <w:noProof/>
        </w:rPr>
        <w:t>, 6–17. https://doi.org/10.1016/j.foreco.2011.05.034</w:t>
      </w:r>
    </w:p>
    <w:p w14:paraId="0B4DF230" w14:textId="77777777" w:rsidR="003A24F7" w:rsidRPr="003A24F7" w:rsidRDefault="003A24F7" w:rsidP="003E53E3">
      <w:pPr>
        <w:widowControl w:val="0"/>
        <w:autoSpaceDE w:val="0"/>
        <w:autoSpaceDN w:val="0"/>
        <w:adjustRightInd w:val="0"/>
        <w:ind w:left="480" w:hanging="480"/>
        <w:rPr>
          <w:noProof/>
        </w:rPr>
      </w:pPr>
      <w:r w:rsidRPr="003A24F7">
        <w:rPr>
          <w:noProof/>
        </w:rPr>
        <w:t xml:space="preserve">Pressey, R. L., Visconti, P., &amp; Ferraro, P. J. (2015). Making parks make a difference: poor alignment of policy, planning and management with protected-area impact, and ways forward. </w:t>
      </w:r>
      <w:r w:rsidRPr="003A24F7">
        <w:rPr>
          <w:i/>
          <w:iCs/>
          <w:noProof/>
        </w:rPr>
        <w:t>Philosophical Transactions Royal Society B</w:t>
      </w:r>
      <w:r w:rsidRPr="003A24F7">
        <w:rPr>
          <w:noProof/>
        </w:rPr>
        <w:t xml:space="preserve">, </w:t>
      </w:r>
      <w:r w:rsidRPr="003A24F7">
        <w:rPr>
          <w:i/>
          <w:iCs/>
          <w:noProof/>
        </w:rPr>
        <w:t>370</w:t>
      </w:r>
      <w:r w:rsidRPr="003A24F7">
        <w:rPr>
          <w:noProof/>
        </w:rPr>
        <w:t>, 20140280.</w:t>
      </w:r>
    </w:p>
    <w:p w14:paraId="4850D73B" w14:textId="77777777" w:rsidR="003A24F7" w:rsidRPr="003A24F7" w:rsidRDefault="003A24F7" w:rsidP="003E53E3">
      <w:pPr>
        <w:widowControl w:val="0"/>
        <w:autoSpaceDE w:val="0"/>
        <w:autoSpaceDN w:val="0"/>
        <w:adjustRightInd w:val="0"/>
        <w:ind w:left="480" w:hanging="480"/>
        <w:rPr>
          <w:noProof/>
        </w:rPr>
      </w:pPr>
      <w:r w:rsidRPr="003A24F7">
        <w:rPr>
          <w:noProof/>
        </w:rPr>
        <w:t xml:space="preserve">Rosenbaum, P. R. (2002). Overt bias in observational studies. In </w:t>
      </w:r>
      <w:r w:rsidRPr="003A24F7">
        <w:rPr>
          <w:i/>
          <w:iCs/>
          <w:noProof/>
        </w:rPr>
        <w:t>Observational Studies</w:t>
      </w:r>
      <w:r w:rsidRPr="003A24F7">
        <w:rPr>
          <w:noProof/>
        </w:rPr>
        <w:t xml:space="preserve"> (pp. 71–104). New York, NY: Springer.</w:t>
      </w:r>
    </w:p>
    <w:p w14:paraId="605DCA53" w14:textId="77777777" w:rsidR="003A24F7" w:rsidRPr="00DD3199" w:rsidRDefault="003A24F7" w:rsidP="003E53E3">
      <w:pPr>
        <w:widowControl w:val="0"/>
        <w:autoSpaceDE w:val="0"/>
        <w:autoSpaceDN w:val="0"/>
        <w:adjustRightInd w:val="0"/>
        <w:ind w:left="480" w:hanging="480"/>
        <w:rPr>
          <w:noProof/>
          <w:lang w:val="es-US"/>
        </w:rPr>
      </w:pPr>
      <w:r w:rsidRPr="00DD3199">
        <w:rPr>
          <w:noProof/>
          <w:lang w:val="es-US"/>
        </w:rPr>
        <w:t xml:space="preserve">Sánchez-Cordero, V., Figueroa, F., Illoldi-rangel, P., &amp; Linaje, M. (2011). Efectividad del Sistema de Áreas Protegidas para conservar la vegetación natural. </w:t>
      </w:r>
      <w:r w:rsidRPr="00DD3199">
        <w:rPr>
          <w:i/>
          <w:iCs/>
          <w:noProof/>
          <w:lang w:val="es-US"/>
        </w:rPr>
        <w:t>Planeación Para La Conservación de La Biodiversidad Terrestre En México: Retos En Un País Megadiverso</w:t>
      </w:r>
      <w:r w:rsidRPr="00DD3199">
        <w:rPr>
          <w:noProof/>
          <w:lang w:val="es-US"/>
        </w:rPr>
        <w:t>, (January), 59–86.</w:t>
      </w:r>
    </w:p>
    <w:p w14:paraId="0927AE78" w14:textId="77777777" w:rsidR="003A24F7" w:rsidRPr="003A24F7" w:rsidRDefault="003A24F7" w:rsidP="003E53E3">
      <w:pPr>
        <w:widowControl w:val="0"/>
        <w:autoSpaceDE w:val="0"/>
        <w:autoSpaceDN w:val="0"/>
        <w:adjustRightInd w:val="0"/>
        <w:ind w:left="480" w:hanging="480"/>
        <w:rPr>
          <w:noProof/>
        </w:rPr>
      </w:pPr>
      <w:r w:rsidRPr="003A24F7">
        <w:rPr>
          <w:noProof/>
        </w:rPr>
        <w:t xml:space="preserve">Schleicher, J., Eklund, J., Barnes, M. D., Geldmann, J., Oldekop, J. A., &amp; Jones, J. P. G. (2019). Statistical matching for conservation science. </w:t>
      </w:r>
      <w:r w:rsidRPr="003A24F7">
        <w:rPr>
          <w:i/>
          <w:iCs/>
          <w:noProof/>
        </w:rPr>
        <w:t>Conservation Biology</w:t>
      </w:r>
      <w:r w:rsidRPr="003A24F7">
        <w:rPr>
          <w:noProof/>
        </w:rPr>
        <w:t xml:space="preserve">, </w:t>
      </w:r>
      <w:r w:rsidRPr="003A24F7">
        <w:rPr>
          <w:i/>
          <w:iCs/>
          <w:noProof/>
        </w:rPr>
        <w:t>34</w:t>
      </w:r>
      <w:r w:rsidRPr="003A24F7">
        <w:rPr>
          <w:noProof/>
        </w:rPr>
        <w:t>(3), 538–549. https://doi.org/10.1111/cobi.13448</w:t>
      </w:r>
    </w:p>
    <w:p w14:paraId="525CDCAD" w14:textId="77777777" w:rsidR="003A24F7" w:rsidRPr="003A24F7" w:rsidRDefault="003A24F7" w:rsidP="003E53E3">
      <w:pPr>
        <w:widowControl w:val="0"/>
        <w:autoSpaceDE w:val="0"/>
        <w:autoSpaceDN w:val="0"/>
        <w:adjustRightInd w:val="0"/>
        <w:ind w:left="480" w:hanging="480"/>
        <w:rPr>
          <w:noProof/>
        </w:rPr>
      </w:pPr>
      <w:r w:rsidRPr="003A24F7">
        <w:rPr>
          <w:noProof/>
        </w:rPr>
        <w:t xml:space="preserve">Secretariat of the Convention on Biological Diversity. (2020). </w:t>
      </w:r>
      <w:r w:rsidRPr="003A24F7">
        <w:rPr>
          <w:i/>
          <w:iCs/>
          <w:noProof/>
        </w:rPr>
        <w:t>Global Biodiversity Outlook 5</w:t>
      </w:r>
      <w:r w:rsidRPr="003A24F7">
        <w:rPr>
          <w:noProof/>
        </w:rPr>
        <w:t>. Montreal.</w:t>
      </w:r>
    </w:p>
    <w:p w14:paraId="4F8AC3B2" w14:textId="77777777" w:rsidR="003A24F7" w:rsidRPr="003A24F7" w:rsidRDefault="003A24F7" w:rsidP="003E53E3">
      <w:pPr>
        <w:widowControl w:val="0"/>
        <w:autoSpaceDE w:val="0"/>
        <w:autoSpaceDN w:val="0"/>
        <w:adjustRightInd w:val="0"/>
        <w:ind w:left="480" w:hanging="480"/>
        <w:rPr>
          <w:noProof/>
        </w:rPr>
      </w:pPr>
      <w:r w:rsidRPr="003A24F7">
        <w:rPr>
          <w:noProof/>
        </w:rPr>
        <w:t xml:space="preserve">Sills, E. O., &amp; Jones, K. (2018). </w:t>
      </w:r>
      <w:r w:rsidRPr="003A24F7">
        <w:rPr>
          <w:i/>
          <w:iCs/>
          <w:noProof/>
        </w:rPr>
        <w:t>Chapter 9 - Causal inference in environmental conservation: The role of institutions</w:t>
      </w:r>
      <w:r w:rsidRPr="003A24F7">
        <w:rPr>
          <w:noProof/>
        </w:rPr>
        <w:t xml:space="preserve">. </w:t>
      </w:r>
      <w:r w:rsidRPr="003A24F7">
        <w:rPr>
          <w:i/>
          <w:iCs/>
          <w:noProof/>
        </w:rPr>
        <w:t>Handbook of Environmental Economics</w:t>
      </w:r>
      <w:r w:rsidRPr="003A24F7">
        <w:rPr>
          <w:noProof/>
        </w:rPr>
        <w:t xml:space="preserve"> (Vol. 4). Elsevier B.V. https://doi.org/10.1016/bs.hesenv.2018.09.001</w:t>
      </w:r>
    </w:p>
    <w:p w14:paraId="19825E41" w14:textId="77777777" w:rsidR="003A24F7" w:rsidRPr="003A24F7" w:rsidRDefault="003A24F7" w:rsidP="003E53E3">
      <w:pPr>
        <w:widowControl w:val="0"/>
        <w:autoSpaceDE w:val="0"/>
        <w:autoSpaceDN w:val="0"/>
        <w:adjustRightInd w:val="0"/>
        <w:ind w:left="480" w:hanging="480"/>
        <w:rPr>
          <w:noProof/>
        </w:rPr>
      </w:pPr>
      <w:r w:rsidRPr="00DD3199">
        <w:rPr>
          <w:noProof/>
          <w:lang w:val="es-US"/>
        </w:rPr>
        <w:t xml:space="preserve">Sims, K. R. E., &amp; Alix-Garcia, J. M. (2017). </w:t>
      </w:r>
      <w:r w:rsidRPr="003A24F7">
        <w:rPr>
          <w:noProof/>
        </w:rPr>
        <w:t xml:space="preserve">Parks versus PES: Evaluating direct and incentive-based land conservation in Mexico. </w:t>
      </w:r>
      <w:r w:rsidRPr="003A24F7">
        <w:rPr>
          <w:i/>
          <w:iCs/>
          <w:noProof/>
        </w:rPr>
        <w:t>Journal of Environmental Economics and Management</w:t>
      </w:r>
      <w:r w:rsidRPr="003A24F7">
        <w:rPr>
          <w:noProof/>
        </w:rPr>
        <w:t xml:space="preserve">, </w:t>
      </w:r>
      <w:r w:rsidRPr="003A24F7">
        <w:rPr>
          <w:i/>
          <w:iCs/>
          <w:noProof/>
        </w:rPr>
        <w:t>86</w:t>
      </w:r>
      <w:r w:rsidRPr="003A24F7">
        <w:rPr>
          <w:noProof/>
        </w:rPr>
        <w:t>, 8–28. https://doi.org/10.1016/j.jeem.2016.11.010</w:t>
      </w:r>
    </w:p>
    <w:p w14:paraId="3966AE3E" w14:textId="77777777" w:rsidR="003A24F7" w:rsidRPr="003A24F7" w:rsidRDefault="003A24F7" w:rsidP="003E53E3">
      <w:pPr>
        <w:widowControl w:val="0"/>
        <w:autoSpaceDE w:val="0"/>
        <w:autoSpaceDN w:val="0"/>
        <w:adjustRightInd w:val="0"/>
        <w:ind w:left="480" w:hanging="480"/>
        <w:rPr>
          <w:noProof/>
        </w:rPr>
      </w:pPr>
      <w:r w:rsidRPr="003A24F7">
        <w:rPr>
          <w:noProof/>
        </w:rPr>
        <w:t xml:space="preserve">Stem, C., Margoluis, R., Salafsky, N., &amp; Brown, M. (2005). Monitoring and evaluation in conservation: a review of trends and appraoches. </w:t>
      </w:r>
      <w:r w:rsidRPr="003A24F7">
        <w:rPr>
          <w:i/>
          <w:iCs/>
          <w:noProof/>
        </w:rPr>
        <w:t>Conservation Biology</w:t>
      </w:r>
      <w:r w:rsidRPr="003A24F7">
        <w:rPr>
          <w:noProof/>
        </w:rPr>
        <w:t xml:space="preserve">, </w:t>
      </w:r>
      <w:r w:rsidRPr="003A24F7">
        <w:rPr>
          <w:i/>
          <w:iCs/>
          <w:noProof/>
        </w:rPr>
        <w:t>19</w:t>
      </w:r>
      <w:r w:rsidRPr="003A24F7">
        <w:rPr>
          <w:noProof/>
        </w:rPr>
        <w:t>(2), 295–309. https://doi.org/10.1111/j.1523-1739.2005.00594.x</w:t>
      </w:r>
    </w:p>
    <w:p w14:paraId="33375711" w14:textId="77777777" w:rsidR="003A24F7" w:rsidRPr="003A24F7" w:rsidRDefault="003A24F7" w:rsidP="003E53E3">
      <w:pPr>
        <w:widowControl w:val="0"/>
        <w:autoSpaceDE w:val="0"/>
        <w:autoSpaceDN w:val="0"/>
        <w:adjustRightInd w:val="0"/>
        <w:ind w:left="480" w:hanging="480"/>
        <w:rPr>
          <w:noProof/>
        </w:rPr>
      </w:pPr>
      <w:r w:rsidRPr="003A24F7">
        <w:rPr>
          <w:noProof/>
        </w:rPr>
        <w:t xml:space="preserve">Stolton, S., &amp; Dudley, N. (2016). </w:t>
      </w:r>
      <w:r w:rsidRPr="003A24F7">
        <w:rPr>
          <w:i/>
          <w:iCs/>
          <w:noProof/>
        </w:rPr>
        <w:t>METT Handbook: A guide to using the Management Effectiveness Tracking Tool (METT)</w:t>
      </w:r>
      <w:r w:rsidRPr="003A24F7">
        <w:rPr>
          <w:noProof/>
        </w:rPr>
        <w:t xml:space="preserve">. </w:t>
      </w:r>
      <w:r w:rsidRPr="003A24F7">
        <w:rPr>
          <w:i/>
          <w:iCs/>
          <w:noProof/>
        </w:rPr>
        <w:t>WWF-UK</w:t>
      </w:r>
      <w:r w:rsidRPr="003A24F7">
        <w:rPr>
          <w:noProof/>
        </w:rPr>
        <w:t>.</w:t>
      </w:r>
    </w:p>
    <w:p w14:paraId="6D13F925" w14:textId="77777777" w:rsidR="003A24F7" w:rsidRPr="003A24F7" w:rsidRDefault="003A24F7" w:rsidP="003E53E3">
      <w:pPr>
        <w:widowControl w:val="0"/>
        <w:autoSpaceDE w:val="0"/>
        <w:autoSpaceDN w:val="0"/>
        <w:adjustRightInd w:val="0"/>
        <w:ind w:left="480" w:hanging="480"/>
        <w:rPr>
          <w:noProof/>
        </w:rPr>
      </w:pPr>
      <w:r w:rsidRPr="003A24F7">
        <w:rPr>
          <w:noProof/>
        </w:rPr>
        <w:t xml:space="preserve">Stuart, E. A. (2010). Matching methods for causal inference: A review and a look forward. </w:t>
      </w:r>
      <w:r w:rsidRPr="003A24F7">
        <w:rPr>
          <w:i/>
          <w:iCs/>
          <w:noProof/>
        </w:rPr>
        <w:t>Stat Science</w:t>
      </w:r>
      <w:r w:rsidRPr="003A24F7">
        <w:rPr>
          <w:noProof/>
        </w:rPr>
        <w:t xml:space="preserve">, </w:t>
      </w:r>
      <w:r w:rsidRPr="003A24F7">
        <w:rPr>
          <w:i/>
          <w:iCs/>
          <w:noProof/>
        </w:rPr>
        <w:t>25</w:t>
      </w:r>
      <w:r w:rsidRPr="003A24F7">
        <w:rPr>
          <w:noProof/>
        </w:rPr>
        <w:t>(1), 1–21. https://doi.org/10.1214/09-STS313.Matching</w:t>
      </w:r>
    </w:p>
    <w:p w14:paraId="3249F5B5" w14:textId="77777777" w:rsidR="003A24F7" w:rsidRPr="003A24F7" w:rsidRDefault="003A24F7" w:rsidP="003E53E3">
      <w:pPr>
        <w:widowControl w:val="0"/>
        <w:autoSpaceDE w:val="0"/>
        <w:autoSpaceDN w:val="0"/>
        <w:adjustRightInd w:val="0"/>
        <w:ind w:left="480" w:hanging="480"/>
        <w:rPr>
          <w:noProof/>
        </w:rPr>
      </w:pPr>
      <w:r w:rsidRPr="003A24F7">
        <w:rPr>
          <w:noProof/>
        </w:rPr>
        <w:t>UNEP-WCMC. (2020). Protected Area Profile for Mexico from the World Database of Protected Areas. Retrieved from www.protectedplanet.net</w:t>
      </w:r>
    </w:p>
    <w:p w14:paraId="5A63DE92" w14:textId="77777777" w:rsidR="003A24F7" w:rsidRPr="003A24F7" w:rsidRDefault="003A24F7" w:rsidP="003E53E3">
      <w:pPr>
        <w:widowControl w:val="0"/>
        <w:autoSpaceDE w:val="0"/>
        <w:autoSpaceDN w:val="0"/>
        <w:adjustRightInd w:val="0"/>
        <w:ind w:left="480" w:hanging="480"/>
        <w:rPr>
          <w:noProof/>
        </w:rPr>
      </w:pPr>
      <w:r w:rsidRPr="003A24F7">
        <w:rPr>
          <w:noProof/>
        </w:rPr>
        <w:t xml:space="preserve">Vucetich, J. A., Burnham, D., Macdonald, E. A., Bruskotter, J. T., Marchini, S., Zimmermann, A., &amp; Macdonald, D. W. (2018). Just conservation: What is it and should we pursue it? </w:t>
      </w:r>
      <w:r w:rsidRPr="003A24F7">
        <w:rPr>
          <w:i/>
          <w:iCs/>
          <w:noProof/>
        </w:rPr>
        <w:t>Biological Conservation</w:t>
      </w:r>
      <w:r w:rsidRPr="003A24F7">
        <w:rPr>
          <w:noProof/>
        </w:rPr>
        <w:t xml:space="preserve">, </w:t>
      </w:r>
      <w:r w:rsidRPr="003A24F7">
        <w:rPr>
          <w:i/>
          <w:iCs/>
          <w:noProof/>
        </w:rPr>
        <w:t>221</w:t>
      </w:r>
      <w:r w:rsidRPr="003A24F7">
        <w:rPr>
          <w:noProof/>
        </w:rPr>
        <w:t>(February), 23–33. https://doi.org/10.1016/j.biocon.2018.02.022</w:t>
      </w:r>
    </w:p>
    <w:p w14:paraId="445E5B42" w14:textId="77777777" w:rsidR="003A24F7" w:rsidRPr="003A24F7" w:rsidRDefault="003A24F7" w:rsidP="003E53E3">
      <w:pPr>
        <w:widowControl w:val="0"/>
        <w:autoSpaceDE w:val="0"/>
        <w:autoSpaceDN w:val="0"/>
        <w:adjustRightInd w:val="0"/>
        <w:ind w:left="480" w:hanging="480"/>
        <w:rPr>
          <w:noProof/>
        </w:rPr>
      </w:pPr>
      <w:r w:rsidRPr="003A24F7">
        <w:rPr>
          <w:noProof/>
        </w:rPr>
        <w:t xml:space="preserve">Waldron, A., Miller, D. C., Redding, D., Mooers, A., Kuhn, T. S., Nibbelink, N., … Gittleman, J. L. (2017). Reductions in global biodiversity loss predicted from conservation spending. </w:t>
      </w:r>
      <w:r w:rsidRPr="003A24F7">
        <w:rPr>
          <w:i/>
          <w:iCs/>
          <w:noProof/>
        </w:rPr>
        <w:t>Nature</w:t>
      </w:r>
      <w:r w:rsidRPr="003A24F7">
        <w:rPr>
          <w:noProof/>
        </w:rPr>
        <w:t xml:space="preserve">, </w:t>
      </w:r>
      <w:r w:rsidRPr="003A24F7">
        <w:rPr>
          <w:i/>
          <w:iCs/>
          <w:noProof/>
        </w:rPr>
        <w:t>551</w:t>
      </w:r>
      <w:r w:rsidRPr="003A24F7">
        <w:rPr>
          <w:noProof/>
        </w:rPr>
        <w:t>(7680), 364–367. https://doi.org/10.1038/nature24295</w:t>
      </w:r>
    </w:p>
    <w:p w14:paraId="72DFD31B" w14:textId="77777777" w:rsidR="003A24F7" w:rsidRPr="003A24F7" w:rsidRDefault="003A24F7" w:rsidP="003E53E3">
      <w:pPr>
        <w:widowControl w:val="0"/>
        <w:autoSpaceDE w:val="0"/>
        <w:autoSpaceDN w:val="0"/>
        <w:adjustRightInd w:val="0"/>
        <w:ind w:left="480" w:hanging="480"/>
        <w:rPr>
          <w:noProof/>
        </w:rPr>
      </w:pPr>
      <w:r w:rsidRPr="003A24F7">
        <w:rPr>
          <w:noProof/>
        </w:rPr>
        <w:t xml:space="preserve">Zafra-Calvo, N., Pascual, U., Brockington, D., Coolsaet, B., Cortes-Vazquez, J. A., Gross-Camp, N., … Burgess, N. D. (2017). Towards an indicator system to assess equitable management in protected areas. </w:t>
      </w:r>
      <w:r w:rsidRPr="003A24F7">
        <w:rPr>
          <w:i/>
          <w:iCs/>
          <w:noProof/>
        </w:rPr>
        <w:t>Biological Conservation</w:t>
      </w:r>
      <w:r w:rsidRPr="003A24F7">
        <w:rPr>
          <w:noProof/>
        </w:rPr>
        <w:t xml:space="preserve">, </w:t>
      </w:r>
      <w:r w:rsidRPr="003A24F7">
        <w:rPr>
          <w:i/>
          <w:iCs/>
          <w:noProof/>
        </w:rPr>
        <w:t>211</w:t>
      </w:r>
      <w:r w:rsidRPr="003A24F7">
        <w:rPr>
          <w:noProof/>
        </w:rPr>
        <w:t>(May), 134–141. https://doi.org/10.1016/j.biocon.2017.05.014</w:t>
      </w:r>
    </w:p>
    <w:p w14:paraId="31646612" w14:textId="545AE1C9" w:rsidR="00AE4727" w:rsidRPr="00721AC2" w:rsidRDefault="00F6492F" w:rsidP="00721AC2">
      <w:pPr>
        <w:widowControl w:val="0"/>
        <w:autoSpaceDE w:val="0"/>
        <w:autoSpaceDN w:val="0"/>
        <w:adjustRightInd w:val="0"/>
        <w:rPr>
          <w:color w:val="000000" w:themeColor="text1"/>
        </w:rPr>
      </w:pPr>
      <w:r>
        <w:rPr>
          <w:b/>
          <w:bCs/>
        </w:rPr>
        <w:lastRenderedPageBreak/>
        <w:fldChar w:fldCharType="end"/>
      </w:r>
    </w:p>
    <w:sectPr w:rsidR="00AE4727" w:rsidRPr="00721AC2" w:rsidSect="003E53E3">
      <w:footerReference w:type="even" r:id="rId15"/>
      <w:footerReference w:type="default" r:id="rId16"/>
      <w:pgSz w:w="12240" w:h="15840"/>
      <w:pgMar w:top="1440" w:right="1440" w:bottom="1440" w:left="1440" w:header="720" w:footer="720" w:gutter="0"/>
      <w:lnNumType w:countBy="1" w:restart="continuou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C7B38D" w14:textId="77777777" w:rsidR="008B6A4A" w:rsidRDefault="008B6A4A" w:rsidP="004705B9">
      <w:r>
        <w:separator/>
      </w:r>
    </w:p>
  </w:endnote>
  <w:endnote w:type="continuationSeparator" w:id="0">
    <w:p w14:paraId="7C5C88D1" w14:textId="77777777" w:rsidR="008B6A4A" w:rsidRDefault="008B6A4A" w:rsidP="004705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Times New Roman (Headings CS)">
    <w:altName w:val="Times New Roman"/>
    <w:panose1 w:val="020B0604020202020204"/>
    <w:charset w:val="00"/>
    <w:family w:val="roman"/>
    <w:pitch w:val="default"/>
  </w:font>
  <w:font w:name="Book Antiqua">
    <w:panose1 w:val="02040602050305030304"/>
    <w:charset w:val="00"/>
    <w:family w:val="roman"/>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Times">
    <w:altName w:val="﷽﷽﷽﷽﷽﷽⺨ଢ଼"/>
    <w:panose1 w:val="02000500000000000000"/>
    <w:charset w:val="00"/>
    <w:family w:val="auto"/>
    <w:pitch w:val="variable"/>
    <w:sig w:usb0="E00002FF" w:usb1="5000205A"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585971190"/>
      <w:docPartObj>
        <w:docPartGallery w:val="Page Numbers (Bottom of Page)"/>
        <w:docPartUnique/>
      </w:docPartObj>
    </w:sdtPr>
    <w:sdtEndPr>
      <w:rPr>
        <w:rStyle w:val="PageNumber"/>
      </w:rPr>
    </w:sdtEndPr>
    <w:sdtContent>
      <w:p w14:paraId="3033579F" w14:textId="11980EA8" w:rsidR="00A3289E" w:rsidRDefault="00A3289E" w:rsidP="0020390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CC016B1" w14:textId="77777777" w:rsidR="00A3289E" w:rsidRDefault="00A3289E" w:rsidP="0020390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871452979"/>
      <w:docPartObj>
        <w:docPartGallery w:val="Page Numbers (Bottom of Page)"/>
        <w:docPartUnique/>
      </w:docPartObj>
    </w:sdtPr>
    <w:sdtEndPr>
      <w:rPr>
        <w:rStyle w:val="PageNumber"/>
      </w:rPr>
    </w:sdtEndPr>
    <w:sdtContent>
      <w:p w14:paraId="29E6BBC1" w14:textId="4CDF2E8F" w:rsidR="00A3289E" w:rsidRDefault="00A3289E" w:rsidP="00664A5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61FB2C52" w14:textId="77777777" w:rsidR="00A3289E" w:rsidRDefault="00A3289E" w:rsidP="0020390B">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06153195"/>
      <w:docPartObj>
        <w:docPartGallery w:val="Page Numbers (Bottom of Page)"/>
        <w:docPartUnique/>
      </w:docPartObj>
    </w:sdtPr>
    <w:sdtEndPr>
      <w:rPr>
        <w:rStyle w:val="PageNumber"/>
      </w:rPr>
    </w:sdtEndPr>
    <w:sdtContent>
      <w:p w14:paraId="6D209EF7" w14:textId="77777777" w:rsidR="00A3289E" w:rsidRDefault="00A3289E" w:rsidP="00596BD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77F5A6D" w14:textId="77777777" w:rsidR="00A3289E" w:rsidRDefault="00A3289E" w:rsidP="00596BDD">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991712364"/>
      <w:docPartObj>
        <w:docPartGallery w:val="Page Numbers (Bottom of Page)"/>
        <w:docPartUnique/>
      </w:docPartObj>
    </w:sdtPr>
    <w:sdtEndPr>
      <w:rPr>
        <w:rStyle w:val="PageNumber"/>
      </w:rPr>
    </w:sdtEndPr>
    <w:sdtContent>
      <w:p w14:paraId="63758D28" w14:textId="77777777" w:rsidR="00A3289E" w:rsidRDefault="00A3289E" w:rsidP="00596BD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FB52B4C" w14:textId="77777777" w:rsidR="00A3289E" w:rsidRDefault="00A3289E" w:rsidP="00596BD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0CE9B0" w14:textId="77777777" w:rsidR="008B6A4A" w:rsidRDefault="008B6A4A" w:rsidP="004705B9">
      <w:r>
        <w:separator/>
      </w:r>
    </w:p>
  </w:footnote>
  <w:footnote w:type="continuationSeparator" w:id="0">
    <w:p w14:paraId="147B704E" w14:textId="77777777" w:rsidR="008B6A4A" w:rsidRDefault="008B6A4A" w:rsidP="004705B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F64BC1"/>
    <w:multiLevelType w:val="multilevel"/>
    <w:tmpl w:val="EE04D6EE"/>
    <w:lvl w:ilvl="0">
      <w:start w:val="3"/>
      <w:numFmt w:val="decimal"/>
      <w:lvlText w:val="%1"/>
      <w:lvlJc w:val="left"/>
      <w:pPr>
        <w:ind w:left="480" w:hanging="480"/>
      </w:pPr>
      <w:rPr>
        <w:rFonts w:hint="default"/>
      </w:rPr>
    </w:lvl>
    <w:lvl w:ilvl="1">
      <w:start w:val="3"/>
      <w:numFmt w:val="decimal"/>
      <w:lvlText w:val="%1.%2"/>
      <w:lvlJc w:val="left"/>
      <w:pPr>
        <w:ind w:left="1200" w:hanging="480"/>
      </w:pPr>
      <w:rPr>
        <w:rFonts w:hint="default"/>
      </w:rPr>
    </w:lvl>
    <w:lvl w:ilvl="2">
      <w:start w:val="2"/>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EE81140"/>
    <w:multiLevelType w:val="hybridMultilevel"/>
    <w:tmpl w:val="4AB440CE"/>
    <w:lvl w:ilvl="0" w:tplc="84F2B31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7A2B43"/>
    <w:multiLevelType w:val="multilevel"/>
    <w:tmpl w:val="E326E0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A3100F0"/>
    <w:multiLevelType w:val="hybridMultilevel"/>
    <w:tmpl w:val="3FC61146"/>
    <w:lvl w:ilvl="0" w:tplc="818A03B0">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45ED65FA"/>
    <w:multiLevelType w:val="multilevel"/>
    <w:tmpl w:val="798C6D2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48BD4477"/>
    <w:multiLevelType w:val="multilevel"/>
    <w:tmpl w:val="891431E0"/>
    <w:lvl w:ilvl="0">
      <w:start w:val="3"/>
      <w:numFmt w:val="decimal"/>
      <w:lvlText w:val="%1"/>
      <w:lvlJc w:val="left"/>
      <w:pPr>
        <w:ind w:left="480" w:hanging="480"/>
      </w:pPr>
      <w:rPr>
        <w:rFonts w:hint="default"/>
      </w:rPr>
    </w:lvl>
    <w:lvl w:ilvl="1">
      <w:start w:val="3"/>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6B0578CB"/>
    <w:multiLevelType w:val="hybridMultilevel"/>
    <w:tmpl w:val="0FD0E08C"/>
    <w:lvl w:ilvl="0" w:tplc="EB769B02">
      <w:start w:val="1"/>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D82729F"/>
    <w:multiLevelType w:val="hybridMultilevel"/>
    <w:tmpl w:val="7F08E546"/>
    <w:lvl w:ilvl="0" w:tplc="23CCB05E">
      <w:start w:val="1"/>
      <w:numFmt w:val="bullet"/>
      <w:lvlText w:val=""/>
      <w:lvlJc w:val="left"/>
      <w:pPr>
        <w:ind w:left="420" w:hanging="360"/>
      </w:pPr>
      <w:rPr>
        <w:rFonts w:ascii="Wingdings" w:eastAsia="Times New Roman" w:hAnsi="Wingdings" w:cs="Times New Roman" w:hint="default"/>
      </w:rPr>
    </w:lvl>
    <w:lvl w:ilvl="1" w:tplc="04090003" w:tentative="1">
      <w:start w:val="1"/>
      <w:numFmt w:val="bullet"/>
      <w:lvlText w:val="o"/>
      <w:lvlJc w:val="left"/>
      <w:pPr>
        <w:ind w:left="1140" w:hanging="360"/>
      </w:pPr>
      <w:rPr>
        <w:rFonts w:ascii="Courier New" w:hAnsi="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8" w15:restartNumberingAfterBreak="0">
    <w:nsid w:val="6EFF6A0F"/>
    <w:multiLevelType w:val="hybridMultilevel"/>
    <w:tmpl w:val="889EB226"/>
    <w:lvl w:ilvl="0" w:tplc="C12A1F2E">
      <w:numFmt w:val="bullet"/>
      <w:lvlText w:val="-"/>
      <w:lvlJc w:val="left"/>
      <w:pPr>
        <w:ind w:left="720" w:hanging="360"/>
      </w:pPr>
      <w:rPr>
        <w:rFonts w:ascii="Calibri" w:eastAsiaTheme="minorHAnsi" w:hAnsi="Calibri" w:cstheme="minorHAns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28A6F21"/>
    <w:multiLevelType w:val="hybridMultilevel"/>
    <w:tmpl w:val="7B6C6ABE"/>
    <w:lvl w:ilvl="0" w:tplc="46DCB210">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8FF31D4"/>
    <w:multiLevelType w:val="hybridMultilevel"/>
    <w:tmpl w:val="87625D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C1E4E68"/>
    <w:multiLevelType w:val="hybridMultilevel"/>
    <w:tmpl w:val="DD8A9B1A"/>
    <w:lvl w:ilvl="0" w:tplc="69F419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9"/>
  </w:num>
  <w:num w:numId="3">
    <w:abstractNumId w:val="8"/>
  </w:num>
  <w:num w:numId="4">
    <w:abstractNumId w:val="1"/>
  </w:num>
  <w:num w:numId="5">
    <w:abstractNumId w:val="11"/>
  </w:num>
  <w:num w:numId="6">
    <w:abstractNumId w:val="7"/>
  </w:num>
  <w:num w:numId="7">
    <w:abstractNumId w:val="6"/>
  </w:num>
  <w:num w:numId="8">
    <w:abstractNumId w:val="4"/>
  </w:num>
  <w:num w:numId="9">
    <w:abstractNumId w:val="5"/>
  </w:num>
  <w:num w:numId="10">
    <w:abstractNumId w:val="0"/>
  </w:num>
  <w:num w:numId="11">
    <w:abstractNumId w:val="2"/>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4"/>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05B9"/>
    <w:rsid w:val="00000265"/>
    <w:rsid w:val="00000BDE"/>
    <w:rsid w:val="00000CFC"/>
    <w:rsid w:val="00001A7B"/>
    <w:rsid w:val="00001EC7"/>
    <w:rsid w:val="000036CD"/>
    <w:rsid w:val="00003846"/>
    <w:rsid w:val="00004B51"/>
    <w:rsid w:val="00005CBE"/>
    <w:rsid w:val="00006903"/>
    <w:rsid w:val="00006FBA"/>
    <w:rsid w:val="0000711D"/>
    <w:rsid w:val="000076D2"/>
    <w:rsid w:val="00007E94"/>
    <w:rsid w:val="00011047"/>
    <w:rsid w:val="00011815"/>
    <w:rsid w:val="00011C28"/>
    <w:rsid w:val="00012C36"/>
    <w:rsid w:val="00014634"/>
    <w:rsid w:val="000156AE"/>
    <w:rsid w:val="00016291"/>
    <w:rsid w:val="00016415"/>
    <w:rsid w:val="00016B66"/>
    <w:rsid w:val="0002096B"/>
    <w:rsid w:val="00021ACB"/>
    <w:rsid w:val="00021BFE"/>
    <w:rsid w:val="000221CE"/>
    <w:rsid w:val="00022B12"/>
    <w:rsid w:val="000232FD"/>
    <w:rsid w:val="00023832"/>
    <w:rsid w:val="00023862"/>
    <w:rsid w:val="000269CC"/>
    <w:rsid w:val="0003094F"/>
    <w:rsid w:val="00030D25"/>
    <w:rsid w:val="000310D0"/>
    <w:rsid w:val="0003174F"/>
    <w:rsid w:val="00033C4A"/>
    <w:rsid w:val="00033CFB"/>
    <w:rsid w:val="00033FEB"/>
    <w:rsid w:val="000342F7"/>
    <w:rsid w:val="00034F77"/>
    <w:rsid w:val="00036838"/>
    <w:rsid w:val="00036BDB"/>
    <w:rsid w:val="00036C17"/>
    <w:rsid w:val="0004250A"/>
    <w:rsid w:val="00042BFA"/>
    <w:rsid w:val="00043545"/>
    <w:rsid w:val="00043A58"/>
    <w:rsid w:val="0004507C"/>
    <w:rsid w:val="00045E78"/>
    <w:rsid w:val="0004618E"/>
    <w:rsid w:val="000465E5"/>
    <w:rsid w:val="00046AF1"/>
    <w:rsid w:val="00046D17"/>
    <w:rsid w:val="00050A13"/>
    <w:rsid w:val="00051018"/>
    <w:rsid w:val="0005119F"/>
    <w:rsid w:val="00052673"/>
    <w:rsid w:val="00052EC6"/>
    <w:rsid w:val="00053093"/>
    <w:rsid w:val="00053172"/>
    <w:rsid w:val="000533A0"/>
    <w:rsid w:val="000556BD"/>
    <w:rsid w:val="00055A1E"/>
    <w:rsid w:val="000563B2"/>
    <w:rsid w:val="000564D5"/>
    <w:rsid w:val="00056F77"/>
    <w:rsid w:val="000614BE"/>
    <w:rsid w:val="00061883"/>
    <w:rsid w:val="00061E81"/>
    <w:rsid w:val="00063585"/>
    <w:rsid w:val="000635FF"/>
    <w:rsid w:val="000642AB"/>
    <w:rsid w:val="00065A94"/>
    <w:rsid w:val="00065F5C"/>
    <w:rsid w:val="00066BB9"/>
    <w:rsid w:val="00066F9C"/>
    <w:rsid w:val="00067023"/>
    <w:rsid w:val="000671CF"/>
    <w:rsid w:val="00067DBB"/>
    <w:rsid w:val="00070C29"/>
    <w:rsid w:val="00071000"/>
    <w:rsid w:val="00072E4C"/>
    <w:rsid w:val="00073C65"/>
    <w:rsid w:val="000744B1"/>
    <w:rsid w:val="000753ED"/>
    <w:rsid w:val="00077795"/>
    <w:rsid w:val="00077880"/>
    <w:rsid w:val="0008015B"/>
    <w:rsid w:val="00080F9B"/>
    <w:rsid w:val="00081671"/>
    <w:rsid w:val="0008197D"/>
    <w:rsid w:val="00081F1D"/>
    <w:rsid w:val="000857C1"/>
    <w:rsid w:val="00086F25"/>
    <w:rsid w:val="00087AE3"/>
    <w:rsid w:val="00087AEB"/>
    <w:rsid w:val="00091038"/>
    <w:rsid w:val="00091F90"/>
    <w:rsid w:val="000957E8"/>
    <w:rsid w:val="00097F39"/>
    <w:rsid w:val="000A05B3"/>
    <w:rsid w:val="000A082E"/>
    <w:rsid w:val="000A0A66"/>
    <w:rsid w:val="000A143A"/>
    <w:rsid w:val="000A1525"/>
    <w:rsid w:val="000A20A9"/>
    <w:rsid w:val="000A3372"/>
    <w:rsid w:val="000A3520"/>
    <w:rsid w:val="000A3C59"/>
    <w:rsid w:val="000A3E14"/>
    <w:rsid w:val="000A3FBA"/>
    <w:rsid w:val="000A448B"/>
    <w:rsid w:val="000A51AD"/>
    <w:rsid w:val="000A55A4"/>
    <w:rsid w:val="000A5C5C"/>
    <w:rsid w:val="000A6700"/>
    <w:rsid w:val="000A6F18"/>
    <w:rsid w:val="000A7889"/>
    <w:rsid w:val="000B0216"/>
    <w:rsid w:val="000B0CF2"/>
    <w:rsid w:val="000B23B4"/>
    <w:rsid w:val="000B2FA6"/>
    <w:rsid w:val="000B33FA"/>
    <w:rsid w:val="000B364B"/>
    <w:rsid w:val="000B4411"/>
    <w:rsid w:val="000B49DA"/>
    <w:rsid w:val="000B5924"/>
    <w:rsid w:val="000B5BA0"/>
    <w:rsid w:val="000B6349"/>
    <w:rsid w:val="000C277D"/>
    <w:rsid w:val="000C293F"/>
    <w:rsid w:val="000C294D"/>
    <w:rsid w:val="000C2E1F"/>
    <w:rsid w:val="000C35B8"/>
    <w:rsid w:val="000C3BE5"/>
    <w:rsid w:val="000C50DD"/>
    <w:rsid w:val="000C5758"/>
    <w:rsid w:val="000C57DD"/>
    <w:rsid w:val="000C58E7"/>
    <w:rsid w:val="000C6244"/>
    <w:rsid w:val="000C75DC"/>
    <w:rsid w:val="000C7BC2"/>
    <w:rsid w:val="000C7C65"/>
    <w:rsid w:val="000D1595"/>
    <w:rsid w:val="000D2A9A"/>
    <w:rsid w:val="000D30BB"/>
    <w:rsid w:val="000D314D"/>
    <w:rsid w:val="000D4450"/>
    <w:rsid w:val="000D4AD5"/>
    <w:rsid w:val="000D4C06"/>
    <w:rsid w:val="000D4E90"/>
    <w:rsid w:val="000D50A9"/>
    <w:rsid w:val="000D5A88"/>
    <w:rsid w:val="000D5BC8"/>
    <w:rsid w:val="000D739A"/>
    <w:rsid w:val="000D775B"/>
    <w:rsid w:val="000E024C"/>
    <w:rsid w:val="000E1AD2"/>
    <w:rsid w:val="000E43BC"/>
    <w:rsid w:val="000E46CE"/>
    <w:rsid w:val="000E4A7D"/>
    <w:rsid w:val="000E4BC0"/>
    <w:rsid w:val="000E5D06"/>
    <w:rsid w:val="000E6A59"/>
    <w:rsid w:val="000E6C05"/>
    <w:rsid w:val="000E745E"/>
    <w:rsid w:val="000E7964"/>
    <w:rsid w:val="000F26A2"/>
    <w:rsid w:val="000F2755"/>
    <w:rsid w:val="000F67B7"/>
    <w:rsid w:val="000F714B"/>
    <w:rsid w:val="000F74F5"/>
    <w:rsid w:val="00100074"/>
    <w:rsid w:val="00100EFA"/>
    <w:rsid w:val="00102386"/>
    <w:rsid w:val="001023B3"/>
    <w:rsid w:val="001037CB"/>
    <w:rsid w:val="00104771"/>
    <w:rsid w:val="00105169"/>
    <w:rsid w:val="00107EBF"/>
    <w:rsid w:val="0011078D"/>
    <w:rsid w:val="0011237E"/>
    <w:rsid w:val="00114D04"/>
    <w:rsid w:val="00114DA3"/>
    <w:rsid w:val="00114E38"/>
    <w:rsid w:val="0011508A"/>
    <w:rsid w:val="00115323"/>
    <w:rsid w:val="00116305"/>
    <w:rsid w:val="0011644B"/>
    <w:rsid w:val="00116998"/>
    <w:rsid w:val="0011731A"/>
    <w:rsid w:val="001175A3"/>
    <w:rsid w:val="001203AF"/>
    <w:rsid w:val="00121891"/>
    <w:rsid w:val="00121AFB"/>
    <w:rsid w:val="001248DE"/>
    <w:rsid w:val="00124F8F"/>
    <w:rsid w:val="00125EE1"/>
    <w:rsid w:val="00127014"/>
    <w:rsid w:val="0013049F"/>
    <w:rsid w:val="00131488"/>
    <w:rsid w:val="00131844"/>
    <w:rsid w:val="00131861"/>
    <w:rsid w:val="00132799"/>
    <w:rsid w:val="001327BF"/>
    <w:rsid w:val="00132B47"/>
    <w:rsid w:val="00132F1A"/>
    <w:rsid w:val="00133B41"/>
    <w:rsid w:val="00133CC8"/>
    <w:rsid w:val="001343E2"/>
    <w:rsid w:val="001350F2"/>
    <w:rsid w:val="00135434"/>
    <w:rsid w:val="00135A5B"/>
    <w:rsid w:val="00135CC0"/>
    <w:rsid w:val="00136092"/>
    <w:rsid w:val="001363FF"/>
    <w:rsid w:val="00136573"/>
    <w:rsid w:val="00136F70"/>
    <w:rsid w:val="00137BA0"/>
    <w:rsid w:val="0014062E"/>
    <w:rsid w:val="00140D6B"/>
    <w:rsid w:val="00141FD7"/>
    <w:rsid w:val="00142E6E"/>
    <w:rsid w:val="001431B0"/>
    <w:rsid w:val="00143487"/>
    <w:rsid w:val="001448A6"/>
    <w:rsid w:val="001457A6"/>
    <w:rsid w:val="00145E08"/>
    <w:rsid w:val="00146BEE"/>
    <w:rsid w:val="00147C85"/>
    <w:rsid w:val="00147E7D"/>
    <w:rsid w:val="0015036F"/>
    <w:rsid w:val="00150DD1"/>
    <w:rsid w:val="001513BC"/>
    <w:rsid w:val="00151CB6"/>
    <w:rsid w:val="00151ECA"/>
    <w:rsid w:val="00153208"/>
    <w:rsid w:val="00154E26"/>
    <w:rsid w:val="00155467"/>
    <w:rsid w:val="001555E5"/>
    <w:rsid w:val="0015643C"/>
    <w:rsid w:val="00156A2D"/>
    <w:rsid w:val="00156C5A"/>
    <w:rsid w:val="00157539"/>
    <w:rsid w:val="001603DC"/>
    <w:rsid w:val="001606E5"/>
    <w:rsid w:val="00160861"/>
    <w:rsid w:val="00160D9C"/>
    <w:rsid w:val="00162197"/>
    <w:rsid w:val="001621AC"/>
    <w:rsid w:val="0016238F"/>
    <w:rsid w:val="00163337"/>
    <w:rsid w:val="0016426E"/>
    <w:rsid w:val="00164378"/>
    <w:rsid w:val="00165284"/>
    <w:rsid w:val="00165860"/>
    <w:rsid w:val="00165A56"/>
    <w:rsid w:val="00170EA4"/>
    <w:rsid w:val="00172100"/>
    <w:rsid w:val="00172D7F"/>
    <w:rsid w:val="00173C6C"/>
    <w:rsid w:val="001743F3"/>
    <w:rsid w:val="00176758"/>
    <w:rsid w:val="00176DFC"/>
    <w:rsid w:val="00176E41"/>
    <w:rsid w:val="001807C9"/>
    <w:rsid w:val="001816B6"/>
    <w:rsid w:val="0018275B"/>
    <w:rsid w:val="00183E6A"/>
    <w:rsid w:val="00184039"/>
    <w:rsid w:val="00185123"/>
    <w:rsid w:val="00185850"/>
    <w:rsid w:val="00185D29"/>
    <w:rsid w:val="001877E5"/>
    <w:rsid w:val="00190D24"/>
    <w:rsid w:val="00191BC1"/>
    <w:rsid w:val="00191CF4"/>
    <w:rsid w:val="00192A47"/>
    <w:rsid w:val="00193E93"/>
    <w:rsid w:val="001945A5"/>
    <w:rsid w:val="001952AD"/>
    <w:rsid w:val="001953E8"/>
    <w:rsid w:val="00196143"/>
    <w:rsid w:val="00197D99"/>
    <w:rsid w:val="00197E06"/>
    <w:rsid w:val="00197EA9"/>
    <w:rsid w:val="001A137E"/>
    <w:rsid w:val="001A329F"/>
    <w:rsid w:val="001A342F"/>
    <w:rsid w:val="001A34F1"/>
    <w:rsid w:val="001A38FC"/>
    <w:rsid w:val="001A3BBA"/>
    <w:rsid w:val="001A3FB3"/>
    <w:rsid w:val="001A6EB4"/>
    <w:rsid w:val="001B040F"/>
    <w:rsid w:val="001B1424"/>
    <w:rsid w:val="001B3444"/>
    <w:rsid w:val="001B34B3"/>
    <w:rsid w:val="001B4B40"/>
    <w:rsid w:val="001B545E"/>
    <w:rsid w:val="001B54A5"/>
    <w:rsid w:val="001B6203"/>
    <w:rsid w:val="001B661A"/>
    <w:rsid w:val="001B6D6C"/>
    <w:rsid w:val="001B6E79"/>
    <w:rsid w:val="001B718F"/>
    <w:rsid w:val="001B797C"/>
    <w:rsid w:val="001C0AFE"/>
    <w:rsid w:val="001C0F08"/>
    <w:rsid w:val="001C2765"/>
    <w:rsid w:val="001C3834"/>
    <w:rsid w:val="001C4226"/>
    <w:rsid w:val="001C4913"/>
    <w:rsid w:val="001C508C"/>
    <w:rsid w:val="001C56C5"/>
    <w:rsid w:val="001C5E85"/>
    <w:rsid w:val="001D0294"/>
    <w:rsid w:val="001D03CA"/>
    <w:rsid w:val="001D1711"/>
    <w:rsid w:val="001D171E"/>
    <w:rsid w:val="001D1C9F"/>
    <w:rsid w:val="001D587E"/>
    <w:rsid w:val="001D6D60"/>
    <w:rsid w:val="001D6DCC"/>
    <w:rsid w:val="001D7220"/>
    <w:rsid w:val="001D7AAF"/>
    <w:rsid w:val="001E0131"/>
    <w:rsid w:val="001E0491"/>
    <w:rsid w:val="001E1847"/>
    <w:rsid w:val="001E322F"/>
    <w:rsid w:val="001E3905"/>
    <w:rsid w:val="001E455E"/>
    <w:rsid w:val="001E4AD2"/>
    <w:rsid w:val="001E6A87"/>
    <w:rsid w:val="001E721C"/>
    <w:rsid w:val="001E7349"/>
    <w:rsid w:val="001F0537"/>
    <w:rsid w:val="001F0A86"/>
    <w:rsid w:val="001F0D21"/>
    <w:rsid w:val="001F0E73"/>
    <w:rsid w:val="001F0EA3"/>
    <w:rsid w:val="001F1950"/>
    <w:rsid w:val="001F232F"/>
    <w:rsid w:val="001F2DFC"/>
    <w:rsid w:val="001F3916"/>
    <w:rsid w:val="001F3BFE"/>
    <w:rsid w:val="001F4B70"/>
    <w:rsid w:val="001F5110"/>
    <w:rsid w:val="001F5818"/>
    <w:rsid w:val="001F67D2"/>
    <w:rsid w:val="001F7645"/>
    <w:rsid w:val="001F7F79"/>
    <w:rsid w:val="0020096B"/>
    <w:rsid w:val="00200B07"/>
    <w:rsid w:val="00200BA9"/>
    <w:rsid w:val="00200FFA"/>
    <w:rsid w:val="0020189C"/>
    <w:rsid w:val="0020224F"/>
    <w:rsid w:val="00203226"/>
    <w:rsid w:val="00203249"/>
    <w:rsid w:val="0020390B"/>
    <w:rsid w:val="0021032D"/>
    <w:rsid w:val="00210987"/>
    <w:rsid w:val="0021098E"/>
    <w:rsid w:val="00210DD0"/>
    <w:rsid w:val="00210FA7"/>
    <w:rsid w:val="00211189"/>
    <w:rsid w:val="002124C8"/>
    <w:rsid w:val="0021339F"/>
    <w:rsid w:val="00214445"/>
    <w:rsid w:val="00214AEF"/>
    <w:rsid w:val="00214C3E"/>
    <w:rsid w:val="00215220"/>
    <w:rsid w:val="00215F40"/>
    <w:rsid w:val="00217DB8"/>
    <w:rsid w:val="002205B6"/>
    <w:rsid w:val="00220DA2"/>
    <w:rsid w:val="00221506"/>
    <w:rsid w:val="002216EA"/>
    <w:rsid w:val="00221E1C"/>
    <w:rsid w:val="00221F4E"/>
    <w:rsid w:val="00222635"/>
    <w:rsid w:val="0022376F"/>
    <w:rsid w:val="002241D4"/>
    <w:rsid w:val="00224F47"/>
    <w:rsid w:val="00225C76"/>
    <w:rsid w:val="0022733B"/>
    <w:rsid w:val="00227564"/>
    <w:rsid w:val="0022795E"/>
    <w:rsid w:val="002310DF"/>
    <w:rsid w:val="0023142C"/>
    <w:rsid w:val="002317A0"/>
    <w:rsid w:val="00232115"/>
    <w:rsid w:val="00232D4C"/>
    <w:rsid w:val="00233952"/>
    <w:rsid w:val="002342F1"/>
    <w:rsid w:val="00234DBC"/>
    <w:rsid w:val="00236EE8"/>
    <w:rsid w:val="002374F8"/>
    <w:rsid w:val="00237F13"/>
    <w:rsid w:val="00240D2F"/>
    <w:rsid w:val="00240E24"/>
    <w:rsid w:val="00241D67"/>
    <w:rsid w:val="002421AC"/>
    <w:rsid w:val="002431AA"/>
    <w:rsid w:val="002441CE"/>
    <w:rsid w:val="00244AFF"/>
    <w:rsid w:val="00244E40"/>
    <w:rsid w:val="00245191"/>
    <w:rsid w:val="0024529D"/>
    <w:rsid w:val="00245DB6"/>
    <w:rsid w:val="00245FEB"/>
    <w:rsid w:val="00246D02"/>
    <w:rsid w:val="0024731E"/>
    <w:rsid w:val="00250402"/>
    <w:rsid w:val="0025059E"/>
    <w:rsid w:val="00250A03"/>
    <w:rsid w:val="00251A5C"/>
    <w:rsid w:val="00251BC7"/>
    <w:rsid w:val="002537E1"/>
    <w:rsid w:val="0025384F"/>
    <w:rsid w:val="002543A3"/>
    <w:rsid w:val="00254C18"/>
    <w:rsid w:val="0025510E"/>
    <w:rsid w:val="002551CC"/>
    <w:rsid w:val="002552B2"/>
    <w:rsid w:val="00255534"/>
    <w:rsid w:val="00255EDB"/>
    <w:rsid w:val="002562B7"/>
    <w:rsid w:val="002576D7"/>
    <w:rsid w:val="0026009E"/>
    <w:rsid w:val="00260649"/>
    <w:rsid w:val="00260FF5"/>
    <w:rsid w:val="00261CA6"/>
    <w:rsid w:val="00261D3D"/>
    <w:rsid w:val="00262A91"/>
    <w:rsid w:val="00263C37"/>
    <w:rsid w:val="002666BF"/>
    <w:rsid w:val="002672A3"/>
    <w:rsid w:val="002675A7"/>
    <w:rsid w:val="00267B99"/>
    <w:rsid w:val="0027038F"/>
    <w:rsid w:val="00270899"/>
    <w:rsid w:val="00270C8F"/>
    <w:rsid w:val="00270F08"/>
    <w:rsid w:val="00271AE1"/>
    <w:rsid w:val="00272113"/>
    <w:rsid w:val="00272ACB"/>
    <w:rsid w:val="0027318C"/>
    <w:rsid w:val="00276BEC"/>
    <w:rsid w:val="0027715C"/>
    <w:rsid w:val="0027794E"/>
    <w:rsid w:val="002803B8"/>
    <w:rsid w:val="0028061C"/>
    <w:rsid w:val="002811BE"/>
    <w:rsid w:val="00281A4C"/>
    <w:rsid w:val="00281AC8"/>
    <w:rsid w:val="00281D4D"/>
    <w:rsid w:val="00283C1A"/>
    <w:rsid w:val="00284697"/>
    <w:rsid w:val="00284897"/>
    <w:rsid w:val="002860DD"/>
    <w:rsid w:val="00287CC1"/>
    <w:rsid w:val="002907F3"/>
    <w:rsid w:val="00290D05"/>
    <w:rsid w:val="00290D35"/>
    <w:rsid w:val="00290DC3"/>
    <w:rsid w:val="00291585"/>
    <w:rsid w:val="00291A57"/>
    <w:rsid w:val="00291B26"/>
    <w:rsid w:val="00291E1D"/>
    <w:rsid w:val="00292D10"/>
    <w:rsid w:val="0029302C"/>
    <w:rsid w:val="00293205"/>
    <w:rsid w:val="0029360B"/>
    <w:rsid w:val="0029398D"/>
    <w:rsid w:val="00293A10"/>
    <w:rsid w:val="002941B1"/>
    <w:rsid w:val="002951F8"/>
    <w:rsid w:val="0029527F"/>
    <w:rsid w:val="00295C0C"/>
    <w:rsid w:val="00295E5B"/>
    <w:rsid w:val="00296087"/>
    <w:rsid w:val="00296111"/>
    <w:rsid w:val="002A0600"/>
    <w:rsid w:val="002A0A94"/>
    <w:rsid w:val="002A1998"/>
    <w:rsid w:val="002A1FCE"/>
    <w:rsid w:val="002A2155"/>
    <w:rsid w:val="002A259E"/>
    <w:rsid w:val="002A2631"/>
    <w:rsid w:val="002A2A46"/>
    <w:rsid w:val="002A33AA"/>
    <w:rsid w:val="002A352D"/>
    <w:rsid w:val="002A37B8"/>
    <w:rsid w:val="002A4626"/>
    <w:rsid w:val="002A508A"/>
    <w:rsid w:val="002A50BF"/>
    <w:rsid w:val="002A5F66"/>
    <w:rsid w:val="002A6C6C"/>
    <w:rsid w:val="002A709B"/>
    <w:rsid w:val="002A7668"/>
    <w:rsid w:val="002A7D68"/>
    <w:rsid w:val="002B0A56"/>
    <w:rsid w:val="002B0AE7"/>
    <w:rsid w:val="002B0C2F"/>
    <w:rsid w:val="002B1B44"/>
    <w:rsid w:val="002B3E43"/>
    <w:rsid w:val="002B4F4F"/>
    <w:rsid w:val="002B5285"/>
    <w:rsid w:val="002B55AD"/>
    <w:rsid w:val="002B60B0"/>
    <w:rsid w:val="002B7261"/>
    <w:rsid w:val="002B7731"/>
    <w:rsid w:val="002B7C78"/>
    <w:rsid w:val="002C0366"/>
    <w:rsid w:val="002C0590"/>
    <w:rsid w:val="002C0641"/>
    <w:rsid w:val="002C0D91"/>
    <w:rsid w:val="002C0EB5"/>
    <w:rsid w:val="002C2317"/>
    <w:rsid w:val="002C50E0"/>
    <w:rsid w:val="002C5810"/>
    <w:rsid w:val="002C6208"/>
    <w:rsid w:val="002C7561"/>
    <w:rsid w:val="002C79B9"/>
    <w:rsid w:val="002C7FCC"/>
    <w:rsid w:val="002D0244"/>
    <w:rsid w:val="002D1C9B"/>
    <w:rsid w:val="002D1D22"/>
    <w:rsid w:val="002D2CFD"/>
    <w:rsid w:val="002D2FA7"/>
    <w:rsid w:val="002D4B17"/>
    <w:rsid w:val="002D4EA8"/>
    <w:rsid w:val="002D5B1E"/>
    <w:rsid w:val="002D5F57"/>
    <w:rsid w:val="002D5F7B"/>
    <w:rsid w:val="002D6C24"/>
    <w:rsid w:val="002D712F"/>
    <w:rsid w:val="002D7851"/>
    <w:rsid w:val="002E0D9F"/>
    <w:rsid w:val="002E13BF"/>
    <w:rsid w:val="002E28C3"/>
    <w:rsid w:val="002E3430"/>
    <w:rsid w:val="002E45C0"/>
    <w:rsid w:val="002E59AB"/>
    <w:rsid w:val="002E59E6"/>
    <w:rsid w:val="002E656E"/>
    <w:rsid w:val="002E7E18"/>
    <w:rsid w:val="002F06BB"/>
    <w:rsid w:val="002F079C"/>
    <w:rsid w:val="002F55F7"/>
    <w:rsid w:val="002F6E75"/>
    <w:rsid w:val="00300516"/>
    <w:rsid w:val="00301CE9"/>
    <w:rsid w:val="00301D23"/>
    <w:rsid w:val="00302E6A"/>
    <w:rsid w:val="00303317"/>
    <w:rsid w:val="00303E66"/>
    <w:rsid w:val="00304968"/>
    <w:rsid w:val="00305717"/>
    <w:rsid w:val="00306179"/>
    <w:rsid w:val="00306E58"/>
    <w:rsid w:val="003107A8"/>
    <w:rsid w:val="00311232"/>
    <w:rsid w:val="003115A4"/>
    <w:rsid w:val="00311F0B"/>
    <w:rsid w:val="0031200D"/>
    <w:rsid w:val="00314318"/>
    <w:rsid w:val="00315156"/>
    <w:rsid w:val="003158FA"/>
    <w:rsid w:val="00315B03"/>
    <w:rsid w:val="00315CE6"/>
    <w:rsid w:val="00316033"/>
    <w:rsid w:val="00316EE1"/>
    <w:rsid w:val="003170B2"/>
    <w:rsid w:val="00317E7D"/>
    <w:rsid w:val="00317FF4"/>
    <w:rsid w:val="0032089B"/>
    <w:rsid w:val="003209B2"/>
    <w:rsid w:val="00320D4A"/>
    <w:rsid w:val="00321DC7"/>
    <w:rsid w:val="00322EF2"/>
    <w:rsid w:val="0032635C"/>
    <w:rsid w:val="00326D2B"/>
    <w:rsid w:val="003276AB"/>
    <w:rsid w:val="003310E2"/>
    <w:rsid w:val="00331362"/>
    <w:rsid w:val="003325E7"/>
    <w:rsid w:val="00332F5B"/>
    <w:rsid w:val="0033392C"/>
    <w:rsid w:val="003343FE"/>
    <w:rsid w:val="003377D1"/>
    <w:rsid w:val="00340509"/>
    <w:rsid w:val="00341693"/>
    <w:rsid w:val="0034605B"/>
    <w:rsid w:val="003466E5"/>
    <w:rsid w:val="00350F3D"/>
    <w:rsid w:val="00351327"/>
    <w:rsid w:val="00351B78"/>
    <w:rsid w:val="0035217E"/>
    <w:rsid w:val="0035246B"/>
    <w:rsid w:val="00352CA3"/>
    <w:rsid w:val="00353A95"/>
    <w:rsid w:val="00353DE6"/>
    <w:rsid w:val="00353E33"/>
    <w:rsid w:val="0035479E"/>
    <w:rsid w:val="00355ACF"/>
    <w:rsid w:val="00355CBA"/>
    <w:rsid w:val="003561FC"/>
    <w:rsid w:val="003562A2"/>
    <w:rsid w:val="00356386"/>
    <w:rsid w:val="00360DB5"/>
    <w:rsid w:val="00361144"/>
    <w:rsid w:val="00362D5D"/>
    <w:rsid w:val="00363490"/>
    <w:rsid w:val="0036428D"/>
    <w:rsid w:val="0036482D"/>
    <w:rsid w:val="00364926"/>
    <w:rsid w:val="00364F61"/>
    <w:rsid w:val="003658A6"/>
    <w:rsid w:val="0036645A"/>
    <w:rsid w:val="00370223"/>
    <w:rsid w:val="00370AC0"/>
    <w:rsid w:val="00370C8C"/>
    <w:rsid w:val="00370CE8"/>
    <w:rsid w:val="00371B31"/>
    <w:rsid w:val="00373288"/>
    <w:rsid w:val="00374D6C"/>
    <w:rsid w:val="00375989"/>
    <w:rsid w:val="00375F5C"/>
    <w:rsid w:val="003760BD"/>
    <w:rsid w:val="00376331"/>
    <w:rsid w:val="00376AAC"/>
    <w:rsid w:val="00377101"/>
    <w:rsid w:val="003811F6"/>
    <w:rsid w:val="00382252"/>
    <w:rsid w:val="00383CF7"/>
    <w:rsid w:val="00385460"/>
    <w:rsid w:val="003855CC"/>
    <w:rsid w:val="00387583"/>
    <w:rsid w:val="00387FC2"/>
    <w:rsid w:val="00391F59"/>
    <w:rsid w:val="003928DC"/>
    <w:rsid w:val="00393ED5"/>
    <w:rsid w:val="00395F09"/>
    <w:rsid w:val="00396BCB"/>
    <w:rsid w:val="00397F2D"/>
    <w:rsid w:val="003A0474"/>
    <w:rsid w:val="003A12EB"/>
    <w:rsid w:val="003A143F"/>
    <w:rsid w:val="003A1984"/>
    <w:rsid w:val="003A213C"/>
    <w:rsid w:val="003A24F7"/>
    <w:rsid w:val="003A2AC2"/>
    <w:rsid w:val="003A2F2B"/>
    <w:rsid w:val="003A422E"/>
    <w:rsid w:val="003A5BC3"/>
    <w:rsid w:val="003A65D9"/>
    <w:rsid w:val="003A781C"/>
    <w:rsid w:val="003A7DFC"/>
    <w:rsid w:val="003B02CD"/>
    <w:rsid w:val="003B112B"/>
    <w:rsid w:val="003B14AC"/>
    <w:rsid w:val="003B1AFA"/>
    <w:rsid w:val="003B1B6F"/>
    <w:rsid w:val="003B293C"/>
    <w:rsid w:val="003B2EB0"/>
    <w:rsid w:val="003B42E0"/>
    <w:rsid w:val="003B4E99"/>
    <w:rsid w:val="003B5C2F"/>
    <w:rsid w:val="003B6C00"/>
    <w:rsid w:val="003B7D70"/>
    <w:rsid w:val="003C085F"/>
    <w:rsid w:val="003C14DF"/>
    <w:rsid w:val="003C1B1E"/>
    <w:rsid w:val="003C296A"/>
    <w:rsid w:val="003C2E83"/>
    <w:rsid w:val="003C31D9"/>
    <w:rsid w:val="003C3A8C"/>
    <w:rsid w:val="003C3D3E"/>
    <w:rsid w:val="003C5FAC"/>
    <w:rsid w:val="003C665E"/>
    <w:rsid w:val="003C78E8"/>
    <w:rsid w:val="003D0E07"/>
    <w:rsid w:val="003D0F74"/>
    <w:rsid w:val="003D104F"/>
    <w:rsid w:val="003D2444"/>
    <w:rsid w:val="003D366E"/>
    <w:rsid w:val="003D3F75"/>
    <w:rsid w:val="003D406C"/>
    <w:rsid w:val="003D481C"/>
    <w:rsid w:val="003D5477"/>
    <w:rsid w:val="003D58E4"/>
    <w:rsid w:val="003D6EEF"/>
    <w:rsid w:val="003E145A"/>
    <w:rsid w:val="003E1AAB"/>
    <w:rsid w:val="003E2338"/>
    <w:rsid w:val="003E24E7"/>
    <w:rsid w:val="003E3C38"/>
    <w:rsid w:val="003E40A9"/>
    <w:rsid w:val="003E5178"/>
    <w:rsid w:val="003E53E3"/>
    <w:rsid w:val="003E55ED"/>
    <w:rsid w:val="003E6595"/>
    <w:rsid w:val="003E6D4C"/>
    <w:rsid w:val="003E7DF7"/>
    <w:rsid w:val="003F0123"/>
    <w:rsid w:val="003F09D3"/>
    <w:rsid w:val="003F0ED1"/>
    <w:rsid w:val="003F163E"/>
    <w:rsid w:val="003F1B9A"/>
    <w:rsid w:val="003F3D37"/>
    <w:rsid w:val="003F4462"/>
    <w:rsid w:val="003F501B"/>
    <w:rsid w:val="003F51CE"/>
    <w:rsid w:val="004000DC"/>
    <w:rsid w:val="004026E1"/>
    <w:rsid w:val="00405136"/>
    <w:rsid w:val="00406211"/>
    <w:rsid w:val="00406640"/>
    <w:rsid w:val="004072C3"/>
    <w:rsid w:val="00410261"/>
    <w:rsid w:val="004102E1"/>
    <w:rsid w:val="00411D97"/>
    <w:rsid w:val="0041211F"/>
    <w:rsid w:val="00412980"/>
    <w:rsid w:val="004133DE"/>
    <w:rsid w:val="004149B9"/>
    <w:rsid w:val="00414F9C"/>
    <w:rsid w:val="004163E5"/>
    <w:rsid w:val="0041688B"/>
    <w:rsid w:val="004173DF"/>
    <w:rsid w:val="00417D6F"/>
    <w:rsid w:val="004201D0"/>
    <w:rsid w:val="00420BFC"/>
    <w:rsid w:val="004215DC"/>
    <w:rsid w:val="00421EE7"/>
    <w:rsid w:val="00422675"/>
    <w:rsid w:val="00422FA1"/>
    <w:rsid w:val="00423592"/>
    <w:rsid w:val="004248A0"/>
    <w:rsid w:val="004250FC"/>
    <w:rsid w:val="004256D8"/>
    <w:rsid w:val="0042593C"/>
    <w:rsid w:val="00425971"/>
    <w:rsid w:val="00425A30"/>
    <w:rsid w:val="00426AA4"/>
    <w:rsid w:val="00427349"/>
    <w:rsid w:val="00427B1E"/>
    <w:rsid w:val="00430A4D"/>
    <w:rsid w:val="00430AC1"/>
    <w:rsid w:val="00430E21"/>
    <w:rsid w:val="00430E45"/>
    <w:rsid w:val="00430F1F"/>
    <w:rsid w:val="004318B7"/>
    <w:rsid w:val="00431D22"/>
    <w:rsid w:val="00432FAE"/>
    <w:rsid w:val="0043388F"/>
    <w:rsid w:val="004343F0"/>
    <w:rsid w:val="0043705D"/>
    <w:rsid w:val="0043744C"/>
    <w:rsid w:val="00437FB2"/>
    <w:rsid w:val="004400FC"/>
    <w:rsid w:val="00440190"/>
    <w:rsid w:val="004421D6"/>
    <w:rsid w:val="00442308"/>
    <w:rsid w:val="00442EFE"/>
    <w:rsid w:val="004430B4"/>
    <w:rsid w:val="00443BBA"/>
    <w:rsid w:val="004450DA"/>
    <w:rsid w:val="004451DD"/>
    <w:rsid w:val="00445BCD"/>
    <w:rsid w:val="00446009"/>
    <w:rsid w:val="004467AC"/>
    <w:rsid w:val="00451925"/>
    <w:rsid w:val="00452008"/>
    <w:rsid w:val="00452C68"/>
    <w:rsid w:val="00452DFF"/>
    <w:rsid w:val="00452EFB"/>
    <w:rsid w:val="00452F89"/>
    <w:rsid w:val="00453160"/>
    <w:rsid w:val="00453B90"/>
    <w:rsid w:val="00453E4E"/>
    <w:rsid w:val="0045449D"/>
    <w:rsid w:val="00454B30"/>
    <w:rsid w:val="00454EE8"/>
    <w:rsid w:val="004559AA"/>
    <w:rsid w:val="00455E94"/>
    <w:rsid w:val="00456849"/>
    <w:rsid w:val="00456C89"/>
    <w:rsid w:val="00456CB5"/>
    <w:rsid w:val="0046038C"/>
    <w:rsid w:val="00460469"/>
    <w:rsid w:val="0046214D"/>
    <w:rsid w:val="00462997"/>
    <w:rsid w:val="00462C97"/>
    <w:rsid w:val="00463DB7"/>
    <w:rsid w:val="00464F86"/>
    <w:rsid w:val="0046662A"/>
    <w:rsid w:val="00466CEF"/>
    <w:rsid w:val="00467893"/>
    <w:rsid w:val="004703C6"/>
    <w:rsid w:val="004705B9"/>
    <w:rsid w:val="00471D16"/>
    <w:rsid w:val="0047262A"/>
    <w:rsid w:val="004731A1"/>
    <w:rsid w:val="0047374D"/>
    <w:rsid w:val="004738C6"/>
    <w:rsid w:val="004738FF"/>
    <w:rsid w:val="00475322"/>
    <w:rsid w:val="0047592A"/>
    <w:rsid w:val="00475A5E"/>
    <w:rsid w:val="00476618"/>
    <w:rsid w:val="00476D61"/>
    <w:rsid w:val="00477129"/>
    <w:rsid w:val="00477B8F"/>
    <w:rsid w:val="00480B46"/>
    <w:rsid w:val="00481604"/>
    <w:rsid w:val="00481A98"/>
    <w:rsid w:val="00481F9A"/>
    <w:rsid w:val="004833CB"/>
    <w:rsid w:val="00483BFF"/>
    <w:rsid w:val="004845C2"/>
    <w:rsid w:val="00484AFD"/>
    <w:rsid w:val="00485587"/>
    <w:rsid w:val="00485658"/>
    <w:rsid w:val="004858E6"/>
    <w:rsid w:val="0048617E"/>
    <w:rsid w:val="00491204"/>
    <w:rsid w:val="00491B60"/>
    <w:rsid w:val="00492634"/>
    <w:rsid w:val="00493CE0"/>
    <w:rsid w:val="00494401"/>
    <w:rsid w:val="00494421"/>
    <w:rsid w:val="0049442F"/>
    <w:rsid w:val="0049466B"/>
    <w:rsid w:val="00494BFA"/>
    <w:rsid w:val="0049509B"/>
    <w:rsid w:val="00496D38"/>
    <w:rsid w:val="00497308"/>
    <w:rsid w:val="0049746F"/>
    <w:rsid w:val="004977B6"/>
    <w:rsid w:val="00497F44"/>
    <w:rsid w:val="004A0813"/>
    <w:rsid w:val="004A1B1C"/>
    <w:rsid w:val="004A2B5C"/>
    <w:rsid w:val="004A56FF"/>
    <w:rsid w:val="004A5A17"/>
    <w:rsid w:val="004A5F3B"/>
    <w:rsid w:val="004A61C6"/>
    <w:rsid w:val="004A64E8"/>
    <w:rsid w:val="004A76B4"/>
    <w:rsid w:val="004B0521"/>
    <w:rsid w:val="004B0E9E"/>
    <w:rsid w:val="004B2262"/>
    <w:rsid w:val="004B28EF"/>
    <w:rsid w:val="004B363A"/>
    <w:rsid w:val="004B4208"/>
    <w:rsid w:val="004B5057"/>
    <w:rsid w:val="004B5862"/>
    <w:rsid w:val="004B5C78"/>
    <w:rsid w:val="004B6268"/>
    <w:rsid w:val="004B6B0F"/>
    <w:rsid w:val="004B6DFC"/>
    <w:rsid w:val="004B7A61"/>
    <w:rsid w:val="004C121E"/>
    <w:rsid w:val="004C252C"/>
    <w:rsid w:val="004C3705"/>
    <w:rsid w:val="004C3AF6"/>
    <w:rsid w:val="004C5D1F"/>
    <w:rsid w:val="004C5E0A"/>
    <w:rsid w:val="004C6416"/>
    <w:rsid w:val="004C6BDF"/>
    <w:rsid w:val="004C7D09"/>
    <w:rsid w:val="004C7F80"/>
    <w:rsid w:val="004D0935"/>
    <w:rsid w:val="004D0C7C"/>
    <w:rsid w:val="004D2305"/>
    <w:rsid w:val="004D48BC"/>
    <w:rsid w:val="004D5708"/>
    <w:rsid w:val="004D6776"/>
    <w:rsid w:val="004D680C"/>
    <w:rsid w:val="004E046C"/>
    <w:rsid w:val="004E0712"/>
    <w:rsid w:val="004E080F"/>
    <w:rsid w:val="004E0A5A"/>
    <w:rsid w:val="004E1DE0"/>
    <w:rsid w:val="004E23E9"/>
    <w:rsid w:val="004E2FAA"/>
    <w:rsid w:val="004E4161"/>
    <w:rsid w:val="004E46DA"/>
    <w:rsid w:val="004E4C0B"/>
    <w:rsid w:val="004E7B66"/>
    <w:rsid w:val="004F00D6"/>
    <w:rsid w:val="004F12B1"/>
    <w:rsid w:val="004F1588"/>
    <w:rsid w:val="004F159A"/>
    <w:rsid w:val="004F1667"/>
    <w:rsid w:val="004F3EE9"/>
    <w:rsid w:val="004F4909"/>
    <w:rsid w:val="004F4A09"/>
    <w:rsid w:val="004F4DB8"/>
    <w:rsid w:val="004F5978"/>
    <w:rsid w:val="004F5BF1"/>
    <w:rsid w:val="004F6DB9"/>
    <w:rsid w:val="004F7874"/>
    <w:rsid w:val="0050080E"/>
    <w:rsid w:val="00500ABC"/>
    <w:rsid w:val="00501A41"/>
    <w:rsid w:val="00501EE8"/>
    <w:rsid w:val="0050226C"/>
    <w:rsid w:val="00502419"/>
    <w:rsid w:val="00504A12"/>
    <w:rsid w:val="00504C16"/>
    <w:rsid w:val="00505C75"/>
    <w:rsid w:val="005073F7"/>
    <w:rsid w:val="00510160"/>
    <w:rsid w:val="00511B37"/>
    <w:rsid w:val="00512649"/>
    <w:rsid w:val="00513657"/>
    <w:rsid w:val="00516DE4"/>
    <w:rsid w:val="00517D57"/>
    <w:rsid w:val="00517F79"/>
    <w:rsid w:val="00521458"/>
    <w:rsid w:val="00522302"/>
    <w:rsid w:val="0052583F"/>
    <w:rsid w:val="00526C4E"/>
    <w:rsid w:val="00530044"/>
    <w:rsid w:val="00530CAA"/>
    <w:rsid w:val="00530FC5"/>
    <w:rsid w:val="00532407"/>
    <w:rsid w:val="00533249"/>
    <w:rsid w:val="005334E7"/>
    <w:rsid w:val="00537AF2"/>
    <w:rsid w:val="0054014D"/>
    <w:rsid w:val="00540156"/>
    <w:rsid w:val="00540685"/>
    <w:rsid w:val="005409B2"/>
    <w:rsid w:val="00540DF8"/>
    <w:rsid w:val="005417B9"/>
    <w:rsid w:val="00542A38"/>
    <w:rsid w:val="0054309B"/>
    <w:rsid w:val="00543F2C"/>
    <w:rsid w:val="00543F90"/>
    <w:rsid w:val="00544A60"/>
    <w:rsid w:val="00545769"/>
    <w:rsid w:val="00545B3A"/>
    <w:rsid w:val="00545EBD"/>
    <w:rsid w:val="00547482"/>
    <w:rsid w:val="00547579"/>
    <w:rsid w:val="00547F4A"/>
    <w:rsid w:val="00550B61"/>
    <w:rsid w:val="00550ED0"/>
    <w:rsid w:val="00551520"/>
    <w:rsid w:val="00551FF0"/>
    <w:rsid w:val="00552976"/>
    <w:rsid w:val="00553D82"/>
    <w:rsid w:val="00554E4B"/>
    <w:rsid w:val="005556EB"/>
    <w:rsid w:val="00555BE6"/>
    <w:rsid w:val="00555C28"/>
    <w:rsid w:val="00556155"/>
    <w:rsid w:val="005564A9"/>
    <w:rsid w:val="00556656"/>
    <w:rsid w:val="00556A32"/>
    <w:rsid w:val="00557404"/>
    <w:rsid w:val="00557722"/>
    <w:rsid w:val="005579B9"/>
    <w:rsid w:val="00557D05"/>
    <w:rsid w:val="005602CE"/>
    <w:rsid w:val="00560F18"/>
    <w:rsid w:val="00561F32"/>
    <w:rsid w:val="0056323A"/>
    <w:rsid w:val="00564C6B"/>
    <w:rsid w:val="00564F9B"/>
    <w:rsid w:val="00565B1C"/>
    <w:rsid w:val="00566851"/>
    <w:rsid w:val="0056712D"/>
    <w:rsid w:val="005678CD"/>
    <w:rsid w:val="00567D22"/>
    <w:rsid w:val="00570708"/>
    <w:rsid w:val="005714DE"/>
    <w:rsid w:val="00572430"/>
    <w:rsid w:val="00572BDD"/>
    <w:rsid w:val="00573E68"/>
    <w:rsid w:val="00574087"/>
    <w:rsid w:val="0057425E"/>
    <w:rsid w:val="005751F9"/>
    <w:rsid w:val="005753B9"/>
    <w:rsid w:val="00576DF2"/>
    <w:rsid w:val="0057769E"/>
    <w:rsid w:val="00577C3D"/>
    <w:rsid w:val="00582B3F"/>
    <w:rsid w:val="005838C4"/>
    <w:rsid w:val="005839A4"/>
    <w:rsid w:val="00583DA2"/>
    <w:rsid w:val="00585C6B"/>
    <w:rsid w:val="00586E75"/>
    <w:rsid w:val="005877B4"/>
    <w:rsid w:val="00587E74"/>
    <w:rsid w:val="005922C8"/>
    <w:rsid w:val="005928C7"/>
    <w:rsid w:val="005955D9"/>
    <w:rsid w:val="00596BDD"/>
    <w:rsid w:val="00597A8F"/>
    <w:rsid w:val="00597AEF"/>
    <w:rsid w:val="005A05C9"/>
    <w:rsid w:val="005A05E5"/>
    <w:rsid w:val="005A18AE"/>
    <w:rsid w:val="005A2550"/>
    <w:rsid w:val="005A325F"/>
    <w:rsid w:val="005A334B"/>
    <w:rsid w:val="005A4B03"/>
    <w:rsid w:val="005A57F8"/>
    <w:rsid w:val="005A5992"/>
    <w:rsid w:val="005A5F9C"/>
    <w:rsid w:val="005B0054"/>
    <w:rsid w:val="005B0AF3"/>
    <w:rsid w:val="005B2426"/>
    <w:rsid w:val="005B2515"/>
    <w:rsid w:val="005B2E68"/>
    <w:rsid w:val="005B3A62"/>
    <w:rsid w:val="005B4A5C"/>
    <w:rsid w:val="005B6A98"/>
    <w:rsid w:val="005C0CCE"/>
    <w:rsid w:val="005C1557"/>
    <w:rsid w:val="005C17D1"/>
    <w:rsid w:val="005C24C6"/>
    <w:rsid w:val="005C2DCE"/>
    <w:rsid w:val="005C42F0"/>
    <w:rsid w:val="005C63FD"/>
    <w:rsid w:val="005D0225"/>
    <w:rsid w:val="005D0F57"/>
    <w:rsid w:val="005D1DAE"/>
    <w:rsid w:val="005D2424"/>
    <w:rsid w:val="005D3E62"/>
    <w:rsid w:val="005D56BA"/>
    <w:rsid w:val="005E0115"/>
    <w:rsid w:val="005E0A7D"/>
    <w:rsid w:val="005E0B74"/>
    <w:rsid w:val="005E1E77"/>
    <w:rsid w:val="005E30E1"/>
    <w:rsid w:val="005E3927"/>
    <w:rsid w:val="005E3EF0"/>
    <w:rsid w:val="005E45D0"/>
    <w:rsid w:val="005E48DB"/>
    <w:rsid w:val="005E4F1A"/>
    <w:rsid w:val="005E5084"/>
    <w:rsid w:val="005E515F"/>
    <w:rsid w:val="005E5DA9"/>
    <w:rsid w:val="005F35D7"/>
    <w:rsid w:val="005F361A"/>
    <w:rsid w:val="005F3844"/>
    <w:rsid w:val="005F3A0F"/>
    <w:rsid w:val="005F3C2E"/>
    <w:rsid w:val="005F3E2D"/>
    <w:rsid w:val="005F403F"/>
    <w:rsid w:val="005F4127"/>
    <w:rsid w:val="005F471F"/>
    <w:rsid w:val="005F498C"/>
    <w:rsid w:val="005F4D4E"/>
    <w:rsid w:val="005F5763"/>
    <w:rsid w:val="005F58D3"/>
    <w:rsid w:val="005F6530"/>
    <w:rsid w:val="005F6A4D"/>
    <w:rsid w:val="006015EC"/>
    <w:rsid w:val="00603796"/>
    <w:rsid w:val="006046E9"/>
    <w:rsid w:val="0060677C"/>
    <w:rsid w:val="0060720E"/>
    <w:rsid w:val="00610B9A"/>
    <w:rsid w:val="00612627"/>
    <w:rsid w:val="00612650"/>
    <w:rsid w:val="00612773"/>
    <w:rsid w:val="006128BE"/>
    <w:rsid w:val="0061304B"/>
    <w:rsid w:val="006137DC"/>
    <w:rsid w:val="00613CE7"/>
    <w:rsid w:val="006152B2"/>
    <w:rsid w:val="00616F7B"/>
    <w:rsid w:val="00617482"/>
    <w:rsid w:val="00617EB6"/>
    <w:rsid w:val="006202C4"/>
    <w:rsid w:val="0062070B"/>
    <w:rsid w:val="00620F02"/>
    <w:rsid w:val="00621140"/>
    <w:rsid w:val="006220AC"/>
    <w:rsid w:val="00623216"/>
    <w:rsid w:val="006236E8"/>
    <w:rsid w:val="006259E9"/>
    <w:rsid w:val="006261BB"/>
    <w:rsid w:val="00626FAE"/>
    <w:rsid w:val="006271C7"/>
    <w:rsid w:val="0062746F"/>
    <w:rsid w:val="00627782"/>
    <w:rsid w:val="006279F5"/>
    <w:rsid w:val="006310B6"/>
    <w:rsid w:val="00631575"/>
    <w:rsid w:val="00632F0F"/>
    <w:rsid w:val="00633F0B"/>
    <w:rsid w:val="00634DA6"/>
    <w:rsid w:val="0063512A"/>
    <w:rsid w:val="006356FF"/>
    <w:rsid w:val="00636094"/>
    <w:rsid w:val="00636B7A"/>
    <w:rsid w:val="0063736E"/>
    <w:rsid w:val="00637F2F"/>
    <w:rsid w:val="006409F9"/>
    <w:rsid w:val="00640E33"/>
    <w:rsid w:val="00641902"/>
    <w:rsid w:val="0064279E"/>
    <w:rsid w:val="0064475E"/>
    <w:rsid w:val="006452C9"/>
    <w:rsid w:val="0064534B"/>
    <w:rsid w:val="00645ED3"/>
    <w:rsid w:val="00646471"/>
    <w:rsid w:val="006469A3"/>
    <w:rsid w:val="00646C76"/>
    <w:rsid w:val="006504D8"/>
    <w:rsid w:val="0065069D"/>
    <w:rsid w:val="00651318"/>
    <w:rsid w:val="006515A4"/>
    <w:rsid w:val="0065237E"/>
    <w:rsid w:val="0065316C"/>
    <w:rsid w:val="00654681"/>
    <w:rsid w:val="006547F8"/>
    <w:rsid w:val="00655663"/>
    <w:rsid w:val="006559C7"/>
    <w:rsid w:val="006559ED"/>
    <w:rsid w:val="00655BA4"/>
    <w:rsid w:val="006564FA"/>
    <w:rsid w:val="00656742"/>
    <w:rsid w:val="006574A0"/>
    <w:rsid w:val="006578B7"/>
    <w:rsid w:val="00660304"/>
    <w:rsid w:val="0066154C"/>
    <w:rsid w:val="00663355"/>
    <w:rsid w:val="00663F9C"/>
    <w:rsid w:val="00664A54"/>
    <w:rsid w:val="00664C61"/>
    <w:rsid w:val="00666132"/>
    <w:rsid w:val="00666FCE"/>
    <w:rsid w:val="0067132E"/>
    <w:rsid w:val="00671C4F"/>
    <w:rsid w:val="00672E41"/>
    <w:rsid w:val="0067335B"/>
    <w:rsid w:val="00673941"/>
    <w:rsid w:val="00674010"/>
    <w:rsid w:val="006752DF"/>
    <w:rsid w:val="0068042D"/>
    <w:rsid w:val="00680E80"/>
    <w:rsid w:val="00681271"/>
    <w:rsid w:val="00681D89"/>
    <w:rsid w:val="00683B62"/>
    <w:rsid w:val="006848AB"/>
    <w:rsid w:val="00684AE8"/>
    <w:rsid w:val="00685040"/>
    <w:rsid w:val="006850B1"/>
    <w:rsid w:val="00685366"/>
    <w:rsid w:val="00685993"/>
    <w:rsid w:val="00685AB6"/>
    <w:rsid w:val="00685DA3"/>
    <w:rsid w:val="00685ED2"/>
    <w:rsid w:val="00686884"/>
    <w:rsid w:val="00691122"/>
    <w:rsid w:val="00692188"/>
    <w:rsid w:val="00692ACA"/>
    <w:rsid w:val="00693271"/>
    <w:rsid w:val="006938C1"/>
    <w:rsid w:val="00693B58"/>
    <w:rsid w:val="006953BE"/>
    <w:rsid w:val="00695FDC"/>
    <w:rsid w:val="00697413"/>
    <w:rsid w:val="006979A2"/>
    <w:rsid w:val="00697AC9"/>
    <w:rsid w:val="00697C25"/>
    <w:rsid w:val="00697CD4"/>
    <w:rsid w:val="006A0E5E"/>
    <w:rsid w:val="006A46F1"/>
    <w:rsid w:val="006A4709"/>
    <w:rsid w:val="006A4874"/>
    <w:rsid w:val="006A54E2"/>
    <w:rsid w:val="006A6316"/>
    <w:rsid w:val="006A6411"/>
    <w:rsid w:val="006B01E4"/>
    <w:rsid w:val="006B2563"/>
    <w:rsid w:val="006B3D6A"/>
    <w:rsid w:val="006B42B3"/>
    <w:rsid w:val="006B4F51"/>
    <w:rsid w:val="006B4FD7"/>
    <w:rsid w:val="006B677B"/>
    <w:rsid w:val="006B70E3"/>
    <w:rsid w:val="006B783B"/>
    <w:rsid w:val="006B7F1C"/>
    <w:rsid w:val="006C0737"/>
    <w:rsid w:val="006C09BB"/>
    <w:rsid w:val="006C0E5B"/>
    <w:rsid w:val="006C143B"/>
    <w:rsid w:val="006C1B67"/>
    <w:rsid w:val="006C1C4E"/>
    <w:rsid w:val="006C22CC"/>
    <w:rsid w:val="006C2509"/>
    <w:rsid w:val="006C37C9"/>
    <w:rsid w:val="006C4919"/>
    <w:rsid w:val="006C4AAB"/>
    <w:rsid w:val="006C5A10"/>
    <w:rsid w:val="006C79E2"/>
    <w:rsid w:val="006C7EEE"/>
    <w:rsid w:val="006C7F45"/>
    <w:rsid w:val="006D0448"/>
    <w:rsid w:val="006D191C"/>
    <w:rsid w:val="006D1B43"/>
    <w:rsid w:val="006D1E59"/>
    <w:rsid w:val="006D2F4E"/>
    <w:rsid w:val="006D39CE"/>
    <w:rsid w:val="006D3A32"/>
    <w:rsid w:val="006D3B76"/>
    <w:rsid w:val="006D42A4"/>
    <w:rsid w:val="006D43E1"/>
    <w:rsid w:val="006D63D3"/>
    <w:rsid w:val="006D6754"/>
    <w:rsid w:val="006D6BA8"/>
    <w:rsid w:val="006D6F61"/>
    <w:rsid w:val="006E0A3E"/>
    <w:rsid w:val="006E0DF3"/>
    <w:rsid w:val="006E2822"/>
    <w:rsid w:val="006E5B08"/>
    <w:rsid w:val="006E7482"/>
    <w:rsid w:val="006E7ECA"/>
    <w:rsid w:val="006F1C7B"/>
    <w:rsid w:val="006F2192"/>
    <w:rsid w:val="006F2613"/>
    <w:rsid w:val="006F3017"/>
    <w:rsid w:val="006F449E"/>
    <w:rsid w:val="006F4D04"/>
    <w:rsid w:val="006F5338"/>
    <w:rsid w:val="006F5D4B"/>
    <w:rsid w:val="006F6100"/>
    <w:rsid w:val="006F6EFB"/>
    <w:rsid w:val="006F74DC"/>
    <w:rsid w:val="006F7578"/>
    <w:rsid w:val="006F7986"/>
    <w:rsid w:val="006F7AAE"/>
    <w:rsid w:val="00704438"/>
    <w:rsid w:val="00705802"/>
    <w:rsid w:val="00705B19"/>
    <w:rsid w:val="00706DA4"/>
    <w:rsid w:val="00706DD5"/>
    <w:rsid w:val="00706FC7"/>
    <w:rsid w:val="007075EE"/>
    <w:rsid w:val="00711566"/>
    <w:rsid w:val="00712058"/>
    <w:rsid w:val="00712449"/>
    <w:rsid w:val="00713E76"/>
    <w:rsid w:val="00714482"/>
    <w:rsid w:val="007153C6"/>
    <w:rsid w:val="00715FDD"/>
    <w:rsid w:val="007164A2"/>
    <w:rsid w:val="007171E5"/>
    <w:rsid w:val="007174C5"/>
    <w:rsid w:val="007179FD"/>
    <w:rsid w:val="007205D2"/>
    <w:rsid w:val="00721AC2"/>
    <w:rsid w:val="00722141"/>
    <w:rsid w:val="00722429"/>
    <w:rsid w:val="007228EA"/>
    <w:rsid w:val="007239ED"/>
    <w:rsid w:val="00724253"/>
    <w:rsid w:val="00724BED"/>
    <w:rsid w:val="00724CB1"/>
    <w:rsid w:val="00725939"/>
    <w:rsid w:val="00725B25"/>
    <w:rsid w:val="00725B27"/>
    <w:rsid w:val="00725E39"/>
    <w:rsid w:val="00726793"/>
    <w:rsid w:val="00726EF0"/>
    <w:rsid w:val="00727CD7"/>
    <w:rsid w:val="007314E7"/>
    <w:rsid w:val="00732C66"/>
    <w:rsid w:val="0073433D"/>
    <w:rsid w:val="00735CEF"/>
    <w:rsid w:val="00736603"/>
    <w:rsid w:val="00736760"/>
    <w:rsid w:val="0073686B"/>
    <w:rsid w:val="00737910"/>
    <w:rsid w:val="007401FE"/>
    <w:rsid w:val="00740599"/>
    <w:rsid w:val="00741019"/>
    <w:rsid w:val="00741C15"/>
    <w:rsid w:val="00743852"/>
    <w:rsid w:val="00743B55"/>
    <w:rsid w:val="00744121"/>
    <w:rsid w:val="00744540"/>
    <w:rsid w:val="00744C73"/>
    <w:rsid w:val="0074546F"/>
    <w:rsid w:val="00745EB2"/>
    <w:rsid w:val="0074780B"/>
    <w:rsid w:val="007514C3"/>
    <w:rsid w:val="00751C26"/>
    <w:rsid w:val="00752581"/>
    <w:rsid w:val="00753C75"/>
    <w:rsid w:val="0075422B"/>
    <w:rsid w:val="00754F04"/>
    <w:rsid w:val="00755CC0"/>
    <w:rsid w:val="007564C7"/>
    <w:rsid w:val="0075753A"/>
    <w:rsid w:val="00760359"/>
    <w:rsid w:val="007610A8"/>
    <w:rsid w:val="00761809"/>
    <w:rsid w:val="00762C5F"/>
    <w:rsid w:val="00762F19"/>
    <w:rsid w:val="00765F7F"/>
    <w:rsid w:val="0076745C"/>
    <w:rsid w:val="00767A89"/>
    <w:rsid w:val="00767ACD"/>
    <w:rsid w:val="00767C34"/>
    <w:rsid w:val="00767DD7"/>
    <w:rsid w:val="00767F03"/>
    <w:rsid w:val="00772195"/>
    <w:rsid w:val="00772583"/>
    <w:rsid w:val="00773C85"/>
    <w:rsid w:val="00773F7E"/>
    <w:rsid w:val="007749CC"/>
    <w:rsid w:val="00775775"/>
    <w:rsid w:val="007771E4"/>
    <w:rsid w:val="00777CE6"/>
    <w:rsid w:val="00780CB9"/>
    <w:rsid w:val="0078144A"/>
    <w:rsid w:val="00781621"/>
    <w:rsid w:val="00781EDF"/>
    <w:rsid w:val="0078654F"/>
    <w:rsid w:val="00786C14"/>
    <w:rsid w:val="0078710B"/>
    <w:rsid w:val="007874B8"/>
    <w:rsid w:val="00787C03"/>
    <w:rsid w:val="00787F8E"/>
    <w:rsid w:val="007926B5"/>
    <w:rsid w:val="00793039"/>
    <w:rsid w:val="00793131"/>
    <w:rsid w:val="0079333A"/>
    <w:rsid w:val="00793F8B"/>
    <w:rsid w:val="00795AD1"/>
    <w:rsid w:val="00795EA1"/>
    <w:rsid w:val="00796157"/>
    <w:rsid w:val="007963FC"/>
    <w:rsid w:val="007964A6"/>
    <w:rsid w:val="00797349"/>
    <w:rsid w:val="007975B5"/>
    <w:rsid w:val="007976EC"/>
    <w:rsid w:val="00797DC4"/>
    <w:rsid w:val="007A0548"/>
    <w:rsid w:val="007A118D"/>
    <w:rsid w:val="007A1347"/>
    <w:rsid w:val="007A1569"/>
    <w:rsid w:val="007A1661"/>
    <w:rsid w:val="007A2A55"/>
    <w:rsid w:val="007A4814"/>
    <w:rsid w:val="007A5609"/>
    <w:rsid w:val="007A58AD"/>
    <w:rsid w:val="007A62AD"/>
    <w:rsid w:val="007A78CA"/>
    <w:rsid w:val="007A7F09"/>
    <w:rsid w:val="007B16DE"/>
    <w:rsid w:val="007B29E7"/>
    <w:rsid w:val="007B45C8"/>
    <w:rsid w:val="007B47F7"/>
    <w:rsid w:val="007B48DF"/>
    <w:rsid w:val="007B4F5C"/>
    <w:rsid w:val="007B5031"/>
    <w:rsid w:val="007B5599"/>
    <w:rsid w:val="007B62F5"/>
    <w:rsid w:val="007B7134"/>
    <w:rsid w:val="007B757F"/>
    <w:rsid w:val="007C0AD2"/>
    <w:rsid w:val="007C1358"/>
    <w:rsid w:val="007C258C"/>
    <w:rsid w:val="007C3BE7"/>
    <w:rsid w:val="007C3F4F"/>
    <w:rsid w:val="007C3F51"/>
    <w:rsid w:val="007C5AE4"/>
    <w:rsid w:val="007C62E7"/>
    <w:rsid w:val="007C66CE"/>
    <w:rsid w:val="007C6D16"/>
    <w:rsid w:val="007C78CD"/>
    <w:rsid w:val="007C7FC6"/>
    <w:rsid w:val="007D073E"/>
    <w:rsid w:val="007D0C4C"/>
    <w:rsid w:val="007D1B3D"/>
    <w:rsid w:val="007D1B6C"/>
    <w:rsid w:val="007D1B9C"/>
    <w:rsid w:val="007D31CC"/>
    <w:rsid w:val="007D3A6C"/>
    <w:rsid w:val="007D42EB"/>
    <w:rsid w:val="007D6F40"/>
    <w:rsid w:val="007D74ED"/>
    <w:rsid w:val="007D7595"/>
    <w:rsid w:val="007E0CFF"/>
    <w:rsid w:val="007E1280"/>
    <w:rsid w:val="007E1712"/>
    <w:rsid w:val="007E2264"/>
    <w:rsid w:val="007E2454"/>
    <w:rsid w:val="007E2829"/>
    <w:rsid w:val="007E2D29"/>
    <w:rsid w:val="007E4376"/>
    <w:rsid w:val="007E5AC7"/>
    <w:rsid w:val="007E70DB"/>
    <w:rsid w:val="007F00A0"/>
    <w:rsid w:val="007F0871"/>
    <w:rsid w:val="007F0C92"/>
    <w:rsid w:val="007F1106"/>
    <w:rsid w:val="007F1371"/>
    <w:rsid w:val="007F14D0"/>
    <w:rsid w:val="007F172B"/>
    <w:rsid w:val="007F1D7D"/>
    <w:rsid w:val="007F24A9"/>
    <w:rsid w:val="007F364A"/>
    <w:rsid w:val="007F501E"/>
    <w:rsid w:val="007F555D"/>
    <w:rsid w:val="007F5A6F"/>
    <w:rsid w:val="007F64E0"/>
    <w:rsid w:val="007F6DA0"/>
    <w:rsid w:val="007F71B5"/>
    <w:rsid w:val="007F73DF"/>
    <w:rsid w:val="007F7BC7"/>
    <w:rsid w:val="008002AA"/>
    <w:rsid w:val="00801C84"/>
    <w:rsid w:val="0080357C"/>
    <w:rsid w:val="00803D85"/>
    <w:rsid w:val="00803DA6"/>
    <w:rsid w:val="00804B2F"/>
    <w:rsid w:val="00805A66"/>
    <w:rsid w:val="00807A66"/>
    <w:rsid w:val="00810016"/>
    <w:rsid w:val="0081060F"/>
    <w:rsid w:val="00810A25"/>
    <w:rsid w:val="00810FD3"/>
    <w:rsid w:val="008111C2"/>
    <w:rsid w:val="00811339"/>
    <w:rsid w:val="0081167C"/>
    <w:rsid w:val="00811A92"/>
    <w:rsid w:val="00812BFF"/>
    <w:rsid w:val="00813234"/>
    <w:rsid w:val="00816CF4"/>
    <w:rsid w:val="00816F90"/>
    <w:rsid w:val="00817C5D"/>
    <w:rsid w:val="008200D8"/>
    <w:rsid w:val="008209BB"/>
    <w:rsid w:val="00820EF5"/>
    <w:rsid w:val="0082112A"/>
    <w:rsid w:val="008249D4"/>
    <w:rsid w:val="00825E0F"/>
    <w:rsid w:val="008269F4"/>
    <w:rsid w:val="00827B68"/>
    <w:rsid w:val="0083180A"/>
    <w:rsid w:val="00831BBB"/>
    <w:rsid w:val="0083348F"/>
    <w:rsid w:val="00833931"/>
    <w:rsid w:val="0083464A"/>
    <w:rsid w:val="00834EC1"/>
    <w:rsid w:val="008356DC"/>
    <w:rsid w:val="00836077"/>
    <w:rsid w:val="00836508"/>
    <w:rsid w:val="00836A81"/>
    <w:rsid w:val="00836F57"/>
    <w:rsid w:val="00842477"/>
    <w:rsid w:val="00842BB6"/>
    <w:rsid w:val="0084300F"/>
    <w:rsid w:val="00843401"/>
    <w:rsid w:val="008444C0"/>
    <w:rsid w:val="00844AB4"/>
    <w:rsid w:val="00846A5B"/>
    <w:rsid w:val="0085084E"/>
    <w:rsid w:val="00850CFE"/>
    <w:rsid w:val="008510FF"/>
    <w:rsid w:val="00851805"/>
    <w:rsid w:val="008520A4"/>
    <w:rsid w:val="00852DAD"/>
    <w:rsid w:val="0085508A"/>
    <w:rsid w:val="008573EB"/>
    <w:rsid w:val="008576CE"/>
    <w:rsid w:val="0086234F"/>
    <w:rsid w:val="00862BD2"/>
    <w:rsid w:val="00864BB4"/>
    <w:rsid w:val="00865288"/>
    <w:rsid w:val="00865564"/>
    <w:rsid w:val="00865B19"/>
    <w:rsid w:val="00865EBD"/>
    <w:rsid w:val="008704C8"/>
    <w:rsid w:val="008706F7"/>
    <w:rsid w:val="00870AF1"/>
    <w:rsid w:val="00871051"/>
    <w:rsid w:val="008711DB"/>
    <w:rsid w:val="008722B5"/>
    <w:rsid w:val="0087237D"/>
    <w:rsid w:val="00873067"/>
    <w:rsid w:val="008738F4"/>
    <w:rsid w:val="00874D13"/>
    <w:rsid w:val="0087568E"/>
    <w:rsid w:val="00875DDC"/>
    <w:rsid w:val="00880274"/>
    <w:rsid w:val="00880C6F"/>
    <w:rsid w:val="00882152"/>
    <w:rsid w:val="00883713"/>
    <w:rsid w:val="008839B9"/>
    <w:rsid w:val="00883A0E"/>
    <w:rsid w:val="00883F3C"/>
    <w:rsid w:val="00887135"/>
    <w:rsid w:val="008877D0"/>
    <w:rsid w:val="0089084E"/>
    <w:rsid w:val="008939B8"/>
    <w:rsid w:val="00894519"/>
    <w:rsid w:val="00895406"/>
    <w:rsid w:val="008976AC"/>
    <w:rsid w:val="00897AE9"/>
    <w:rsid w:val="008A0882"/>
    <w:rsid w:val="008A0D76"/>
    <w:rsid w:val="008A1239"/>
    <w:rsid w:val="008A1DA5"/>
    <w:rsid w:val="008A271A"/>
    <w:rsid w:val="008A2ABF"/>
    <w:rsid w:val="008A4E7A"/>
    <w:rsid w:val="008A5DAF"/>
    <w:rsid w:val="008A603C"/>
    <w:rsid w:val="008A6385"/>
    <w:rsid w:val="008A65D1"/>
    <w:rsid w:val="008A6CED"/>
    <w:rsid w:val="008A74F7"/>
    <w:rsid w:val="008A77EC"/>
    <w:rsid w:val="008A7B6F"/>
    <w:rsid w:val="008B0635"/>
    <w:rsid w:val="008B067D"/>
    <w:rsid w:val="008B06B3"/>
    <w:rsid w:val="008B0F95"/>
    <w:rsid w:val="008B0FE2"/>
    <w:rsid w:val="008B1DF9"/>
    <w:rsid w:val="008B2B56"/>
    <w:rsid w:val="008B2F34"/>
    <w:rsid w:val="008B3D28"/>
    <w:rsid w:val="008B4979"/>
    <w:rsid w:val="008B4E0A"/>
    <w:rsid w:val="008B6A4A"/>
    <w:rsid w:val="008C0DE7"/>
    <w:rsid w:val="008C0FEF"/>
    <w:rsid w:val="008C14E9"/>
    <w:rsid w:val="008C4336"/>
    <w:rsid w:val="008C44DC"/>
    <w:rsid w:val="008C75B4"/>
    <w:rsid w:val="008C7F50"/>
    <w:rsid w:val="008D06CC"/>
    <w:rsid w:val="008D1CD2"/>
    <w:rsid w:val="008D3B8C"/>
    <w:rsid w:val="008D49E1"/>
    <w:rsid w:val="008D4F64"/>
    <w:rsid w:val="008D50EB"/>
    <w:rsid w:val="008D56FF"/>
    <w:rsid w:val="008D688C"/>
    <w:rsid w:val="008D6D26"/>
    <w:rsid w:val="008D6EF1"/>
    <w:rsid w:val="008D7E3E"/>
    <w:rsid w:val="008E1122"/>
    <w:rsid w:val="008E1479"/>
    <w:rsid w:val="008E1885"/>
    <w:rsid w:val="008E1B0B"/>
    <w:rsid w:val="008E3AA1"/>
    <w:rsid w:val="008E4AE1"/>
    <w:rsid w:val="008E60DA"/>
    <w:rsid w:val="008E6426"/>
    <w:rsid w:val="008F1CF5"/>
    <w:rsid w:val="008F210F"/>
    <w:rsid w:val="008F27CE"/>
    <w:rsid w:val="008F4087"/>
    <w:rsid w:val="008F4C94"/>
    <w:rsid w:val="008F5803"/>
    <w:rsid w:val="008F6199"/>
    <w:rsid w:val="008F6340"/>
    <w:rsid w:val="008F7373"/>
    <w:rsid w:val="0090026E"/>
    <w:rsid w:val="00900E40"/>
    <w:rsid w:val="00901AD4"/>
    <w:rsid w:val="00902658"/>
    <w:rsid w:val="00903AF4"/>
    <w:rsid w:val="00904C5D"/>
    <w:rsid w:val="00904D0D"/>
    <w:rsid w:val="00905C85"/>
    <w:rsid w:val="00910AF1"/>
    <w:rsid w:val="00910B53"/>
    <w:rsid w:val="009126F3"/>
    <w:rsid w:val="009129FD"/>
    <w:rsid w:val="009146B8"/>
    <w:rsid w:val="0091512B"/>
    <w:rsid w:val="00916DDE"/>
    <w:rsid w:val="0092031C"/>
    <w:rsid w:val="0092055E"/>
    <w:rsid w:val="0092128B"/>
    <w:rsid w:val="0092272D"/>
    <w:rsid w:val="00923456"/>
    <w:rsid w:val="00923EFA"/>
    <w:rsid w:val="00924C3D"/>
    <w:rsid w:val="00924E0F"/>
    <w:rsid w:val="00924E4D"/>
    <w:rsid w:val="009251A4"/>
    <w:rsid w:val="0092549F"/>
    <w:rsid w:val="00926BAA"/>
    <w:rsid w:val="00926F60"/>
    <w:rsid w:val="009273F1"/>
    <w:rsid w:val="00927CB1"/>
    <w:rsid w:val="009319D9"/>
    <w:rsid w:val="00931E90"/>
    <w:rsid w:val="00932FBE"/>
    <w:rsid w:val="009333CA"/>
    <w:rsid w:val="0093343A"/>
    <w:rsid w:val="0093371B"/>
    <w:rsid w:val="009338F5"/>
    <w:rsid w:val="00933E91"/>
    <w:rsid w:val="0093405D"/>
    <w:rsid w:val="00934D35"/>
    <w:rsid w:val="0093535A"/>
    <w:rsid w:val="009358AF"/>
    <w:rsid w:val="00936798"/>
    <w:rsid w:val="00936C73"/>
    <w:rsid w:val="00936CE6"/>
    <w:rsid w:val="00937F96"/>
    <w:rsid w:val="0094025B"/>
    <w:rsid w:val="00941DD7"/>
    <w:rsid w:val="0094201D"/>
    <w:rsid w:val="00942789"/>
    <w:rsid w:val="00942CB9"/>
    <w:rsid w:val="00943669"/>
    <w:rsid w:val="00943719"/>
    <w:rsid w:val="009438A8"/>
    <w:rsid w:val="00943DA4"/>
    <w:rsid w:val="00944EE0"/>
    <w:rsid w:val="009454A1"/>
    <w:rsid w:val="0094614D"/>
    <w:rsid w:val="00946264"/>
    <w:rsid w:val="00946833"/>
    <w:rsid w:val="00947F62"/>
    <w:rsid w:val="009506DC"/>
    <w:rsid w:val="00950B40"/>
    <w:rsid w:val="00950BE0"/>
    <w:rsid w:val="00950F96"/>
    <w:rsid w:val="0095167F"/>
    <w:rsid w:val="00951717"/>
    <w:rsid w:val="00951BCB"/>
    <w:rsid w:val="009526CA"/>
    <w:rsid w:val="00952965"/>
    <w:rsid w:val="00952F60"/>
    <w:rsid w:val="00953649"/>
    <w:rsid w:val="00953BE3"/>
    <w:rsid w:val="00955099"/>
    <w:rsid w:val="00957FA7"/>
    <w:rsid w:val="0096224D"/>
    <w:rsid w:val="00962822"/>
    <w:rsid w:val="00963EFD"/>
    <w:rsid w:val="00964919"/>
    <w:rsid w:val="0096512F"/>
    <w:rsid w:val="00966C18"/>
    <w:rsid w:val="00970426"/>
    <w:rsid w:val="00970A21"/>
    <w:rsid w:val="00971F5D"/>
    <w:rsid w:val="0097213F"/>
    <w:rsid w:val="0097352B"/>
    <w:rsid w:val="00973CAC"/>
    <w:rsid w:val="00975160"/>
    <w:rsid w:val="0097540D"/>
    <w:rsid w:val="00975B96"/>
    <w:rsid w:val="009762B7"/>
    <w:rsid w:val="009766EB"/>
    <w:rsid w:val="00977E0C"/>
    <w:rsid w:val="00980649"/>
    <w:rsid w:val="00982708"/>
    <w:rsid w:val="009834DF"/>
    <w:rsid w:val="00983FE3"/>
    <w:rsid w:val="00986232"/>
    <w:rsid w:val="00986F4B"/>
    <w:rsid w:val="009910A9"/>
    <w:rsid w:val="00991F8B"/>
    <w:rsid w:val="00992D00"/>
    <w:rsid w:val="00993E4C"/>
    <w:rsid w:val="00994C25"/>
    <w:rsid w:val="009954B7"/>
    <w:rsid w:val="00995BED"/>
    <w:rsid w:val="0099796C"/>
    <w:rsid w:val="009A066F"/>
    <w:rsid w:val="009A068E"/>
    <w:rsid w:val="009A10C4"/>
    <w:rsid w:val="009A1B81"/>
    <w:rsid w:val="009A1D67"/>
    <w:rsid w:val="009A3C1A"/>
    <w:rsid w:val="009A43C3"/>
    <w:rsid w:val="009A4937"/>
    <w:rsid w:val="009A4C56"/>
    <w:rsid w:val="009A5848"/>
    <w:rsid w:val="009A585B"/>
    <w:rsid w:val="009A5EBF"/>
    <w:rsid w:val="009A6C2A"/>
    <w:rsid w:val="009A709E"/>
    <w:rsid w:val="009B214E"/>
    <w:rsid w:val="009B3208"/>
    <w:rsid w:val="009B39BE"/>
    <w:rsid w:val="009B4FE4"/>
    <w:rsid w:val="009B600F"/>
    <w:rsid w:val="009B62FB"/>
    <w:rsid w:val="009B66CD"/>
    <w:rsid w:val="009B674D"/>
    <w:rsid w:val="009B79D0"/>
    <w:rsid w:val="009B7E96"/>
    <w:rsid w:val="009C1498"/>
    <w:rsid w:val="009C16C1"/>
    <w:rsid w:val="009C2004"/>
    <w:rsid w:val="009C31EB"/>
    <w:rsid w:val="009C3F5F"/>
    <w:rsid w:val="009C3F8D"/>
    <w:rsid w:val="009C4247"/>
    <w:rsid w:val="009C4A7C"/>
    <w:rsid w:val="009C5881"/>
    <w:rsid w:val="009C6639"/>
    <w:rsid w:val="009C6756"/>
    <w:rsid w:val="009C6D00"/>
    <w:rsid w:val="009C6DAC"/>
    <w:rsid w:val="009C72B8"/>
    <w:rsid w:val="009D03A6"/>
    <w:rsid w:val="009D1304"/>
    <w:rsid w:val="009D1784"/>
    <w:rsid w:val="009D28A4"/>
    <w:rsid w:val="009D3B76"/>
    <w:rsid w:val="009D3F56"/>
    <w:rsid w:val="009D60BC"/>
    <w:rsid w:val="009D742F"/>
    <w:rsid w:val="009E050E"/>
    <w:rsid w:val="009E1101"/>
    <w:rsid w:val="009E137B"/>
    <w:rsid w:val="009E1C5E"/>
    <w:rsid w:val="009E2926"/>
    <w:rsid w:val="009E3477"/>
    <w:rsid w:val="009E3860"/>
    <w:rsid w:val="009E3B48"/>
    <w:rsid w:val="009E47FD"/>
    <w:rsid w:val="009E5B5B"/>
    <w:rsid w:val="009E71D3"/>
    <w:rsid w:val="009E7293"/>
    <w:rsid w:val="009E7486"/>
    <w:rsid w:val="009E768F"/>
    <w:rsid w:val="009E76B9"/>
    <w:rsid w:val="009F0170"/>
    <w:rsid w:val="009F0BBA"/>
    <w:rsid w:val="009F14C1"/>
    <w:rsid w:val="009F1C62"/>
    <w:rsid w:val="009F2859"/>
    <w:rsid w:val="009F3CBA"/>
    <w:rsid w:val="009F3CBC"/>
    <w:rsid w:val="009F43DC"/>
    <w:rsid w:val="009F5FF9"/>
    <w:rsid w:val="009F67B7"/>
    <w:rsid w:val="009F69A0"/>
    <w:rsid w:val="009F6DA5"/>
    <w:rsid w:val="009F73A0"/>
    <w:rsid w:val="009F7E6A"/>
    <w:rsid w:val="00A005B0"/>
    <w:rsid w:val="00A00ABC"/>
    <w:rsid w:val="00A043F2"/>
    <w:rsid w:val="00A0488F"/>
    <w:rsid w:val="00A05405"/>
    <w:rsid w:val="00A05720"/>
    <w:rsid w:val="00A05EA4"/>
    <w:rsid w:val="00A0787E"/>
    <w:rsid w:val="00A10227"/>
    <w:rsid w:val="00A10ABE"/>
    <w:rsid w:val="00A12113"/>
    <w:rsid w:val="00A12D19"/>
    <w:rsid w:val="00A13224"/>
    <w:rsid w:val="00A15C88"/>
    <w:rsid w:val="00A168F4"/>
    <w:rsid w:val="00A169A3"/>
    <w:rsid w:val="00A16E7C"/>
    <w:rsid w:val="00A1752F"/>
    <w:rsid w:val="00A17EEC"/>
    <w:rsid w:val="00A214B1"/>
    <w:rsid w:val="00A21567"/>
    <w:rsid w:val="00A21899"/>
    <w:rsid w:val="00A224E7"/>
    <w:rsid w:val="00A23B4A"/>
    <w:rsid w:val="00A24D39"/>
    <w:rsid w:val="00A24EDC"/>
    <w:rsid w:val="00A25BBA"/>
    <w:rsid w:val="00A270A6"/>
    <w:rsid w:val="00A30929"/>
    <w:rsid w:val="00A3289E"/>
    <w:rsid w:val="00A333FD"/>
    <w:rsid w:val="00A3374E"/>
    <w:rsid w:val="00A339E6"/>
    <w:rsid w:val="00A34007"/>
    <w:rsid w:val="00A34745"/>
    <w:rsid w:val="00A34DD0"/>
    <w:rsid w:val="00A3554E"/>
    <w:rsid w:val="00A356FF"/>
    <w:rsid w:val="00A35907"/>
    <w:rsid w:val="00A35DF7"/>
    <w:rsid w:val="00A35FD0"/>
    <w:rsid w:val="00A36180"/>
    <w:rsid w:val="00A37233"/>
    <w:rsid w:val="00A37A10"/>
    <w:rsid w:val="00A4094C"/>
    <w:rsid w:val="00A41156"/>
    <w:rsid w:val="00A41A6B"/>
    <w:rsid w:val="00A41FE5"/>
    <w:rsid w:val="00A42E10"/>
    <w:rsid w:val="00A4359A"/>
    <w:rsid w:val="00A4376D"/>
    <w:rsid w:val="00A43CBB"/>
    <w:rsid w:val="00A43F01"/>
    <w:rsid w:val="00A44D88"/>
    <w:rsid w:val="00A45441"/>
    <w:rsid w:val="00A45E83"/>
    <w:rsid w:val="00A46512"/>
    <w:rsid w:val="00A470DE"/>
    <w:rsid w:val="00A5035C"/>
    <w:rsid w:val="00A50375"/>
    <w:rsid w:val="00A50648"/>
    <w:rsid w:val="00A50762"/>
    <w:rsid w:val="00A51F9E"/>
    <w:rsid w:val="00A52433"/>
    <w:rsid w:val="00A52B01"/>
    <w:rsid w:val="00A53D20"/>
    <w:rsid w:val="00A543E7"/>
    <w:rsid w:val="00A54CC1"/>
    <w:rsid w:val="00A5654D"/>
    <w:rsid w:val="00A5750A"/>
    <w:rsid w:val="00A576DF"/>
    <w:rsid w:val="00A5799B"/>
    <w:rsid w:val="00A609CF"/>
    <w:rsid w:val="00A60CC5"/>
    <w:rsid w:val="00A622B5"/>
    <w:rsid w:val="00A6257C"/>
    <w:rsid w:val="00A62628"/>
    <w:rsid w:val="00A628A5"/>
    <w:rsid w:val="00A62BDE"/>
    <w:rsid w:val="00A632CF"/>
    <w:rsid w:val="00A636C2"/>
    <w:rsid w:val="00A63BA2"/>
    <w:rsid w:val="00A6735B"/>
    <w:rsid w:val="00A675F3"/>
    <w:rsid w:val="00A67B28"/>
    <w:rsid w:val="00A67D8C"/>
    <w:rsid w:val="00A67FFB"/>
    <w:rsid w:val="00A70246"/>
    <w:rsid w:val="00A72C6A"/>
    <w:rsid w:val="00A73132"/>
    <w:rsid w:val="00A736EB"/>
    <w:rsid w:val="00A73D7F"/>
    <w:rsid w:val="00A747D5"/>
    <w:rsid w:val="00A74819"/>
    <w:rsid w:val="00A751A4"/>
    <w:rsid w:val="00A753C8"/>
    <w:rsid w:val="00A75B3C"/>
    <w:rsid w:val="00A801C6"/>
    <w:rsid w:val="00A80CE9"/>
    <w:rsid w:val="00A80F81"/>
    <w:rsid w:val="00A81828"/>
    <w:rsid w:val="00A81A9A"/>
    <w:rsid w:val="00A81C19"/>
    <w:rsid w:val="00A82E7C"/>
    <w:rsid w:val="00A837C0"/>
    <w:rsid w:val="00A838AF"/>
    <w:rsid w:val="00A8760B"/>
    <w:rsid w:val="00A9031F"/>
    <w:rsid w:val="00A905AB"/>
    <w:rsid w:val="00A91131"/>
    <w:rsid w:val="00A9196D"/>
    <w:rsid w:val="00A92830"/>
    <w:rsid w:val="00A94124"/>
    <w:rsid w:val="00A942B7"/>
    <w:rsid w:val="00A942E9"/>
    <w:rsid w:val="00A94349"/>
    <w:rsid w:val="00A9459C"/>
    <w:rsid w:val="00A9555C"/>
    <w:rsid w:val="00A96415"/>
    <w:rsid w:val="00A978EC"/>
    <w:rsid w:val="00AA014E"/>
    <w:rsid w:val="00AA331D"/>
    <w:rsid w:val="00AA4B43"/>
    <w:rsid w:val="00AA4EE1"/>
    <w:rsid w:val="00AA5940"/>
    <w:rsid w:val="00AA5FD3"/>
    <w:rsid w:val="00AA69D9"/>
    <w:rsid w:val="00AA6C3E"/>
    <w:rsid w:val="00AB0496"/>
    <w:rsid w:val="00AB0849"/>
    <w:rsid w:val="00AB08D3"/>
    <w:rsid w:val="00AB2A0C"/>
    <w:rsid w:val="00AB2B7A"/>
    <w:rsid w:val="00AB2E9F"/>
    <w:rsid w:val="00AB42C5"/>
    <w:rsid w:val="00AB4908"/>
    <w:rsid w:val="00AB4EEE"/>
    <w:rsid w:val="00AB4FB7"/>
    <w:rsid w:val="00AB51E0"/>
    <w:rsid w:val="00AB6576"/>
    <w:rsid w:val="00AB69AF"/>
    <w:rsid w:val="00AB6F5E"/>
    <w:rsid w:val="00AB7088"/>
    <w:rsid w:val="00AB754A"/>
    <w:rsid w:val="00AB7FBE"/>
    <w:rsid w:val="00AC0331"/>
    <w:rsid w:val="00AC21AF"/>
    <w:rsid w:val="00AC26A0"/>
    <w:rsid w:val="00AC3E05"/>
    <w:rsid w:val="00AC4AAC"/>
    <w:rsid w:val="00AC4C83"/>
    <w:rsid w:val="00AC4D3D"/>
    <w:rsid w:val="00AC4D9B"/>
    <w:rsid w:val="00AC62D7"/>
    <w:rsid w:val="00AC6968"/>
    <w:rsid w:val="00AD001F"/>
    <w:rsid w:val="00AD0318"/>
    <w:rsid w:val="00AD05D8"/>
    <w:rsid w:val="00AD12FA"/>
    <w:rsid w:val="00AD2CE7"/>
    <w:rsid w:val="00AD2EF7"/>
    <w:rsid w:val="00AD3C1D"/>
    <w:rsid w:val="00AD4DAA"/>
    <w:rsid w:val="00AD4FB7"/>
    <w:rsid w:val="00AD532A"/>
    <w:rsid w:val="00AD5865"/>
    <w:rsid w:val="00AD5C3F"/>
    <w:rsid w:val="00AD5C4B"/>
    <w:rsid w:val="00AD7157"/>
    <w:rsid w:val="00AD7193"/>
    <w:rsid w:val="00AE04E5"/>
    <w:rsid w:val="00AE0B56"/>
    <w:rsid w:val="00AE0FB3"/>
    <w:rsid w:val="00AE105E"/>
    <w:rsid w:val="00AE10A4"/>
    <w:rsid w:val="00AE217B"/>
    <w:rsid w:val="00AE2973"/>
    <w:rsid w:val="00AE2F0F"/>
    <w:rsid w:val="00AE36DB"/>
    <w:rsid w:val="00AE398A"/>
    <w:rsid w:val="00AE400A"/>
    <w:rsid w:val="00AE4158"/>
    <w:rsid w:val="00AE46E4"/>
    <w:rsid w:val="00AE4727"/>
    <w:rsid w:val="00AE4819"/>
    <w:rsid w:val="00AE4C80"/>
    <w:rsid w:val="00AE5F19"/>
    <w:rsid w:val="00AE73D7"/>
    <w:rsid w:val="00AF0997"/>
    <w:rsid w:val="00AF1C73"/>
    <w:rsid w:val="00AF291F"/>
    <w:rsid w:val="00AF444A"/>
    <w:rsid w:val="00B002A4"/>
    <w:rsid w:val="00B00B44"/>
    <w:rsid w:val="00B01A66"/>
    <w:rsid w:val="00B01D44"/>
    <w:rsid w:val="00B026F0"/>
    <w:rsid w:val="00B0285B"/>
    <w:rsid w:val="00B02904"/>
    <w:rsid w:val="00B03295"/>
    <w:rsid w:val="00B039B8"/>
    <w:rsid w:val="00B0457C"/>
    <w:rsid w:val="00B054C1"/>
    <w:rsid w:val="00B066BF"/>
    <w:rsid w:val="00B0791C"/>
    <w:rsid w:val="00B07E12"/>
    <w:rsid w:val="00B07EE7"/>
    <w:rsid w:val="00B10507"/>
    <w:rsid w:val="00B1351C"/>
    <w:rsid w:val="00B1460C"/>
    <w:rsid w:val="00B150E0"/>
    <w:rsid w:val="00B16BD2"/>
    <w:rsid w:val="00B1775A"/>
    <w:rsid w:val="00B212CB"/>
    <w:rsid w:val="00B21F52"/>
    <w:rsid w:val="00B2246A"/>
    <w:rsid w:val="00B225EC"/>
    <w:rsid w:val="00B2345C"/>
    <w:rsid w:val="00B234EA"/>
    <w:rsid w:val="00B238BB"/>
    <w:rsid w:val="00B240FD"/>
    <w:rsid w:val="00B25198"/>
    <w:rsid w:val="00B251E8"/>
    <w:rsid w:val="00B257B2"/>
    <w:rsid w:val="00B25A0B"/>
    <w:rsid w:val="00B266F7"/>
    <w:rsid w:val="00B26966"/>
    <w:rsid w:val="00B26F9B"/>
    <w:rsid w:val="00B3045E"/>
    <w:rsid w:val="00B30DF3"/>
    <w:rsid w:val="00B3197B"/>
    <w:rsid w:val="00B31B68"/>
    <w:rsid w:val="00B325BC"/>
    <w:rsid w:val="00B32F26"/>
    <w:rsid w:val="00B343D6"/>
    <w:rsid w:val="00B373E7"/>
    <w:rsid w:val="00B40070"/>
    <w:rsid w:val="00B402E5"/>
    <w:rsid w:val="00B40BCD"/>
    <w:rsid w:val="00B41960"/>
    <w:rsid w:val="00B41B2C"/>
    <w:rsid w:val="00B43C73"/>
    <w:rsid w:val="00B45EDF"/>
    <w:rsid w:val="00B466B4"/>
    <w:rsid w:val="00B46C29"/>
    <w:rsid w:val="00B46E8F"/>
    <w:rsid w:val="00B50E4E"/>
    <w:rsid w:val="00B512E4"/>
    <w:rsid w:val="00B51B01"/>
    <w:rsid w:val="00B51EF6"/>
    <w:rsid w:val="00B52722"/>
    <w:rsid w:val="00B52F45"/>
    <w:rsid w:val="00B53825"/>
    <w:rsid w:val="00B53DFD"/>
    <w:rsid w:val="00B550DE"/>
    <w:rsid w:val="00B55219"/>
    <w:rsid w:val="00B560CC"/>
    <w:rsid w:val="00B56EC0"/>
    <w:rsid w:val="00B603EC"/>
    <w:rsid w:val="00B607EF"/>
    <w:rsid w:val="00B61092"/>
    <w:rsid w:val="00B614BC"/>
    <w:rsid w:val="00B61661"/>
    <w:rsid w:val="00B61A1E"/>
    <w:rsid w:val="00B61C3B"/>
    <w:rsid w:val="00B61D54"/>
    <w:rsid w:val="00B6222A"/>
    <w:rsid w:val="00B636A0"/>
    <w:rsid w:val="00B63EB7"/>
    <w:rsid w:val="00B64F60"/>
    <w:rsid w:val="00B65099"/>
    <w:rsid w:val="00B65B35"/>
    <w:rsid w:val="00B65E78"/>
    <w:rsid w:val="00B6751B"/>
    <w:rsid w:val="00B67E78"/>
    <w:rsid w:val="00B701F9"/>
    <w:rsid w:val="00B702B7"/>
    <w:rsid w:val="00B703C1"/>
    <w:rsid w:val="00B708CE"/>
    <w:rsid w:val="00B725D3"/>
    <w:rsid w:val="00B726E2"/>
    <w:rsid w:val="00B72956"/>
    <w:rsid w:val="00B73DE6"/>
    <w:rsid w:val="00B740FC"/>
    <w:rsid w:val="00B7623C"/>
    <w:rsid w:val="00B76F8F"/>
    <w:rsid w:val="00B76FEF"/>
    <w:rsid w:val="00B806AD"/>
    <w:rsid w:val="00B81287"/>
    <w:rsid w:val="00B81D9A"/>
    <w:rsid w:val="00B84287"/>
    <w:rsid w:val="00B849E2"/>
    <w:rsid w:val="00B84A98"/>
    <w:rsid w:val="00B85260"/>
    <w:rsid w:val="00B8598F"/>
    <w:rsid w:val="00B86A1E"/>
    <w:rsid w:val="00B87882"/>
    <w:rsid w:val="00B9058F"/>
    <w:rsid w:val="00B91212"/>
    <w:rsid w:val="00B93C19"/>
    <w:rsid w:val="00B93C7A"/>
    <w:rsid w:val="00B95980"/>
    <w:rsid w:val="00B96C52"/>
    <w:rsid w:val="00B9751E"/>
    <w:rsid w:val="00BA0BF6"/>
    <w:rsid w:val="00BA22E7"/>
    <w:rsid w:val="00BA3B8C"/>
    <w:rsid w:val="00BA7179"/>
    <w:rsid w:val="00BA793E"/>
    <w:rsid w:val="00BA7ACD"/>
    <w:rsid w:val="00BB10F9"/>
    <w:rsid w:val="00BB14FF"/>
    <w:rsid w:val="00BB1828"/>
    <w:rsid w:val="00BB2027"/>
    <w:rsid w:val="00BB24B5"/>
    <w:rsid w:val="00BB292C"/>
    <w:rsid w:val="00BB4500"/>
    <w:rsid w:val="00BB5ADF"/>
    <w:rsid w:val="00BB67BD"/>
    <w:rsid w:val="00BB7663"/>
    <w:rsid w:val="00BC1AAF"/>
    <w:rsid w:val="00BC2880"/>
    <w:rsid w:val="00BC3322"/>
    <w:rsid w:val="00BC4503"/>
    <w:rsid w:val="00BC4AC3"/>
    <w:rsid w:val="00BC6927"/>
    <w:rsid w:val="00BC7749"/>
    <w:rsid w:val="00BC7979"/>
    <w:rsid w:val="00BD12AC"/>
    <w:rsid w:val="00BD15FD"/>
    <w:rsid w:val="00BD431C"/>
    <w:rsid w:val="00BD4582"/>
    <w:rsid w:val="00BD4782"/>
    <w:rsid w:val="00BD47C2"/>
    <w:rsid w:val="00BD552B"/>
    <w:rsid w:val="00BD5676"/>
    <w:rsid w:val="00BD600D"/>
    <w:rsid w:val="00BE0C9F"/>
    <w:rsid w:val="00BE165B"/>
    <w:rsid w:val="00BE2DC9"/>
    <w:rsid w:val="00BE34DC"/>
    <w:rsid w:val="00BE3D1C"/>
    <w:rsid w:val="00BE412E"/>
    <w:rsid w:val="00BE526C"/>
    <w:rsid w:val="00BE68A9"/>
    <w:rsid w:val="00BE7671"/>
    <w:rsid w:val="00BE77F2"/>
    <w:rsid w:val="00BF2454"/>
    <w:rsid w:val="00BF313C"/>
    <w:rsid w:val="00BF35CC"/>
    <w:rsid w:val="00BF3ED8"/>
    <w:rsid w:val="00BF50E3"/>
    <w:rsid w:val="00BF74EB"/>
    <w:rsid w:val="00C003C1"/>
    <w:rsid w:val="00C035D4"/>
    <w:rsid w:val="00C035FA"/>
    <w:rsid w:val="00C04C6B"/>
    <w:rsid w:val="00C050A0"/>
    <w:rsid w:val="00C05256"/>
    <w:rsid w:val="00C054C2"/>
    <w:rsid w:val="00C059E3"/>
    <w:rsid w:val="00C05BD5"/>
    <w:rsid w:val="00C065DA"/>
    <w:rsid w:val="00C07974"/>
    <w:rsid w:val="00C07AD7"/>
    <w:rsid w:val="00C103D1"/>
    <w:rsid w:val="00C1080B"/>
    <w:rsid w:val="00C11183"/>
    <w:rsid w:val="00C12035"/>
    <w:rsid w:val="00C1277C"/>
    <w:rsid w:val="00C1293F"/>
    <w:rsid w:val="00C12FDE"/>
    <w:rsid w:val="00C15F8F"/>
    <w:rsid w:val="00C165EB"/>
    <w:rsid w:val="00C16920"/>
    <w:rsid w:val="00C17381"/>
    <w:rsid w:val="00C179BB"/>
    <w:rsid w:val="00C20AF8"/>
    <w:rsid w:val="00C21595"/>
    <w:rsid w:val="00C21F5F"/>
    <w:rsid w:val="00C2250C"/>
    <w:rsid w:val="00C237AC"/>
    <w:rsid w:val="00C2396F"/>
    <w:rsid w:val="00C245BE"/>
    <w:rsid w:val="00C259DF"/>
    <w:rsid w:val="00C25CF7"/>
    <w:rsid w:val="00C260A9"/>
    <w:rsid w:val="00C262C8"/>
    <w:rsid w:val="00C2634C"/>
    <w:rsid w:val="00C26FCA"/>
    <w:rsid w:val="00C270D2"/>
    <w:rsid w:val="00C279C0"/>
    <w:rsid w:val="00C27AD5"/>
    <w:rsid w:val="00C30CAC"/>
    <w:rsid w:val="00C30DC6"/>
    <w:rsid w:val="00C3106B"/>
    <w:rsid w:val="00C319AB"/>
    <w:rsid w:val="00C31DF3"/>
    <w:rsid w:val="00C328A5"/>
    <w:rsid w:val="00C32B53"/>
    <w:rsid w:val="00C3309E"/>
    <w:rsid w:val="00C35400"/>
    <w:rsid w:val="00C3548B"/>
    <w:rsid w:val="00C355F4"/>
    <w:rsid w:val="00C368B3"/>
    <w:rsid w:val="00C36B88"/>
    <w:rsid w:val="00C36F4D"/>
    <w:rsid w:val="00C41BA5"/>
    <w:rsid w:val="00C42829"/>
    <w:rsid w:val="00C42E81"/>
    <w:rsid w:val="00C44A87"/>
    <w:rsid w:val="00C46426"/>
    <w:rsid w:val="00C46BF7"/>
    <w:rsid w:val="00C46FFF"/>
    <w:rsid w:val="00C5006B"/>
    <w:rsid w:val="00C508A2"/>
    <w:rsid w:val="00C52A9C"/>
    <w:rsid w:val="00C52BDF"/>
    <w:rsid w:val="00C52F5C"/>
    <w:rsid w:val="00C55264"/>
    <w:rsid w:val="00C55F75"/>
    <w:rsid w:val="00C56EAD"/>
    <w:rsid w:val="00C57681"/>
    <w:rsid w:val="00C57930"/>
    <w:rsid w:val="00C57EE6"/>
    <w:rsid w:val="00C61474"/>
    <w:rsid w:val="00C6188B"/>
    <w:rsid w:val="00C61C76"/>
    <w:rsid w:val="00C62291"/>
    <w:rsid w:val="00C62D43"/>
    <w:rsid w:val="00C63A3A"/>
    <w:rsid w:val="00C63C55"/>
    <w:rsid w:val="00C66172"/>
    <w:rsid w:val="00C66575"/>
    <w:rsid w:val="00C71076"/>
    <w:rsid w:val="00C72119"/>
    <w:rsid w:val="00C72E3D"/>
    <w:rsid w:val="00C74210"/>
    <w:rsid w:val="00C74283"/>
    <w:rsid w:val="00C74D5C"/>
    <w:rsid w:val="00C76F63"/>
    <w:rsid w:val="00C7763D"/>
    <w:rsid w:val="00C802B7"/>
    <w:rsid w:val="00C80527"/>
    <w:rsid w:val="00C81D65"/>
    <w:rsid w:val="00C82DA5"/>
    <w:rsid w:val="00C83E5F"/>
    <w:rsid w:val="00C8463A"/>
    <w:rsid w:val="00C84AA1"/>
    <w:rsid w:val="00C85DE6"/>
    <w:rsid w:val="00C8643D"/>
    <w:rsid w:val="00C868D0"/>
    <w:rsid w:val="00C8697C"/>
    <w:rsid w:val="00C87EFA"/>
    <w:rsid w:val="00C90FEC"/>
    <w:rsid w:val="00C91666"/>
    <w:rsid w:val="00C91EED"/>
    <w:rsid w:val="00C92137"/>
    <w:rsid w:val="00C92987"/>
    <w:rsid w:val="00C93D2B"/>
    <w:rsid w:val="00C94481"/>
    <w:rsid w:val="00C9525E"/>
    <w:rsid w:val="00C9550E"/>
    <w:rsid w:val="00C9653F"/>
    <w:rsid w:val="00C9684F"/>
    <w:rsid w:val="00C97FA3"/>
    <w:rsid w:val="00C97FB1"/>
    <w:rsid w:val="00CA01C5"/>
    <w:rsid w:val="00CA0381"/>
    <w:rsid w:val="00CA082D"/>
    <w:rsid w:val="00CA25C2"/>
    <w:rsid w:val="00CA25D4"/>
    <w:rsid w:val="00CA33E7"/>
    <w:rsid w:val="00CA3781"/>
    <w:rsid w:val="00CA56CE"/>
    <w:rsid w:val="00CA595F"/>
    <w:rsid w:val="00CA5A65"/>
    <w:rsid w:val="00CA6E80"/>
    <w:rsid w:val="00CA7D14"/>
    <w:rsid w:val="00CB1836"/>
    <w:rsid w:val="00CB3C20"/>
    <w:rsid w:val="00CB3E9D"/>
    <w:rsid w:val="00CB65E4"/>
    <w:rsid w:val="00CB6907"/>
    <w:rsid w:val="00CC07F3"/>
    <w:rsid w:val="00CC089E"/>
    <w:rsid w:val="00CC0935"/>
    <w:rsid w:val="00CC172C"/>
    <w:rsid w:val="00CC2895"/>
    <w:rsid w:val="00CC3CD6"/>
    <w:rsid w:val="00CC4C1D"/>
    <w:rsid w:val="00CC4C1E"/>
    <w:rsid w:val="00CC5291"/>
    <w:rsid w:val="00CC6BAC"/>
    <w:rsid w:val="00CC7B4C"/>
    <w:rsid w:val="00CD0A11"/>
    <w:rsid w:val="00CD13E4"/>
    <w:rsid w:val="00CD292B"/>
    <w:rsid w:val="00CD3029"/>
    <w:rsid w:val="00CD33DF"/>
    <w:rsid w:val="00CD3C48"/>
    <w:rsid w:val="00CD421A"/>
    <w:rsid w:val="00CD64D0"/>
    <w:rsid w:val="00CD7610"/>
    <w:rsid w:val="00CD76A4"/>
    <w:rsid w:val="00CE0AB8"/>
    <w:rsid w:val="00CE0DA8"/>
    <w:rsid w:val="00CE0E69"/>
    <w:rsid w:val="00CE137E"/>
    <w:rsid w:val="00CE1414"/>
    <w:rsid w:val="00CE148E"/>
    <w:rsid w:val="00CE1E38"/>
    <w:rsid w:val="00CE2232"/>
    <w:rsid w:val="00CE251B"/>
    <w:rsid w:val="00CE39B9"/>
    <w:rsid w:val="00CE56E0"/>
    <w:rsid w:val="00CE583F"/>
    <w:rsid w:val="00CE604B"/>
    <w:rsid w:val="00CE6370"/>
    <w:rsid w:val="00CE6802"/>
    <w:rsid w:val="00CE724F"/>
    <w:rsid w:val="00CF0A5A"/>
    <w:rsid w:val="00CF0B9B"/>
    <w:rsid w:val="00CF0CA8"/>
    <w:rsid w:val="00CF134F"/>
    <w:rsid w:val="00CF1F8E"/>
    <w:rsid w:val="00CF26A8"/>
    <w:rsid w:val="00CF2B3B"/>
    <w:rsid w:val="00CF37E0"/>
    <w:rsid w:val="00CF3991"/>
    <w:rsid w:val="00CF39F0"/>
    <w:rsid w:val="00CF3BCB"/>
    <w:rsid w:val="00CF529E"/>
    <w:rsid w:val="00CF6D7B"/>
    <w:rsid w:val="00CF72F2"/>
    <w:rsid w:val="00CF7E5B"/>
    <w:rsid w:val="00CF7E81"/>
    <w:rsid w:val="00D00A5E"/>
    <w:rsid w:val="00D01A66"/>
    <w:rsid w:val="00D01CD9"/>
    <w:rsid w:val="00D035AF"/>
    <w:rsid w:val="00D03D71"/>
    <w:rsid w:val="00D04D07"/>
    <w:rsid w:val="00D0503E"/>
    <w:rsid w:val="00D050C2"/>
    <w:rsid w:val="00D051F2"/>
    <w:rsid w:val="00D06486"/>
    <w:rsid w:val="00D06820"/>
    <w:rsid w:val="00D06E4A"/>
    <w:rsid w:val="00D06F25"/>
    <w:rsid w:val="00D100DA"/>
    <w:rsid w:val="00D1025A"/>
    <w:rsid w:val="00D12763"/>
    <w:rsid w:val="00D12941"/>
    <w:rsid w:val="00D1305B"/>
    <w:rsid w:val="00D146F2"/>
    <w:rsid w:val="00D14B35"/>
    <w:rsid w:val="00D17A15"/>
    <w:rsid w:val="00D20000"/>
    <w:rsid w:val="00D21B0A"/>
    <w:rsid w:val="00D21FD2"/>
    <w:rsid w:val="00D2223F"/>
    <w:rsid w:val="00D22270"/>
    <w:rsid w:val="00D234A6"/>
    <w:rsid w:val="00D25308"/>
    <w:rsid w:val="00D27DF7"/>
    <w:rsid w:val="00D308F3"/>
    <w:rsid w:val="00D30CFF"/>
    <w:rsid w:val="00D332E0"/>
    <w:rsid w:val="00D349F5"/>
    <w:rsid w:val="00D34F4E"/>
    <w:rsid w:val="00D357CB"/>
    <w:rsid w:val="00D36F91"/>
    <w:rsid w:val="00D37CD5"/>
    <w:rsid w:val="00D42E97"/>
    <w:rsid w:val="00D4442C"/>
    <w:rsid w:val="00D449C5"/>
    <w:rsid w:val="00D45F81"/>
    <w:rsid w:val="00D4688A"/>
    <w:rsid w:val="00D46CE9"/>
    <w:rsid w:val="00D47F4D"/>
    <w:rsid w:val="00D50329"/>
    <w:rsid w:val="00D508A9"/>
    <w:rsid w:val="00D5145B"/>
    <w:rsid w:val="00D52106"/>
    <w:rsid w:val="00D52213"/>
    <w:rsid w:val="00D5317E"/>
    <w:rsid w:val="00D54530"/>
    <w:rsid w:val="00D55203"/>
    <w:rsid w:val="00D56096"/>
    <w:rsid w:val="00D56A8B"/>
    <w:rsid w:val="00D576CD"/>
    <w:rsid w:val="00D57BB7"/>
    <w:rsid w:val="00D60200"/>
    <w:rsid w:val="00D602EE"/>
    <w:rsid w:val="00D6323B"/>
    <w:rsid w:val="00D638B9"/>
    <w:rsid w:val="00D6407D"/>
    <w:rsid w:val="00D657D4"/>
    <w:rsid w:val="00D66AC6"/>
    <w:rsid w:val="00D66FD1"/>
    <w:rsid w:val="00D67075"/>
    <w:rsid w:val="00D67688"/>
    <w:rsid w:val="00D71DDF"/>
    <w:rsid w:val="00D72452"/>
    <w:rsid w:val="00D73DA7"/>
    <w:rsid w:val="00D74DB4"/>
    <w:rsid w:val="00D7558E"/>
    <w:rsid w:val="00D75C21"/>
    <w:rsid w:val="00D77DD7"/>
    <w:rsid w:val="00D812CD"/>
    <w:rsid w:val="00D81387"/>
    <w:rsid w:val="00D819EE"/>
    <w:rsid w:val="00D820D2"/>
    <w:rsid w:val="00D8324D"/>
    <w:rsid w:val="00D83D4F"/>
    <w:rsid w:val="00D840EE"/>
    <w:rsid w:val="00D84537"/>
    <w:rsid w:val="00D84CAA"/>
    <w:rsid w:val="00D84D6D"/>
    <w:rsid w:val="00D850F3"/>
    <w:rsid w:val="00D851DD"/>
    <w:rsid w:val="00D85231"/>
    <w:rsid w:val="00D85AE3"/>
    <w:rsid w:val="00D865A2"/>
    <w:rsid w:val="00D86EA5"/>
    <w:rsid w:val="00D87208"/>
    <w:rsid w:val="00D876CB"/>
    <w:rsid w:val="00D87779"/>
    <w:rsid w:val="00D87F79"/>
    <w:rsid w:val="00D910CE"/>
    <w:rsid w:val="00D91216"/>
    <w:rsid w:val="00D92CB6"/>
    <w:rsid w:val="00D92FD5"/>
    <w:rsid w:val="00D942E6"/>
    <w:rsid w:val="00D94814"/>
    <w:rsid w:val="00D9517B"/>
    <w:rsid w:val="00D96923"/>
    <w:rsid w:val="00DA024C"/>
    <w:rsid w:val="00DA2043"/>
    <w:rsid w:val="00DA20D7"/>
    <w:rsid w:val="00DA2F5C"/>
    <w:rsid w:val="00DA3789"/>
    <w:rsid w:val="00DA48F5"/>
    <w:rsid w:val="00DA4B4E"/>
    <w:rsid w:val="00DA4EDC"/>
    <w:rsid w:val="00DA5F4C"/>
    <w:rsid w:val="00DA6110"/>
    <w:rsid w:val="00DA6120"/>
    <w:rsid w:val="00DA66C1"/>
    <w:rsid w:val="00DA6831"/>
    <w:rsid w:val="00DA717E"/>
    <w:rsid w:val="00DB010D"/>
    <w:rsid w:val="00DB0E8B"/>
    <w:rsid w:val="00DB18B0"/>
    <w:rsid w:val="00DB1D3F"/>
    <w:rsid w:val="00DB1F31"/>
    <w:rsid w:val="00DB3936"/>
    <w:rsid w:val="00DB43C9"/>
    <w:rsid w:val="00DB4954"/>
    <w:rsid w:val="00DB77C3"/>
    <w:rsid w:val="00DB78A8"/>
    <w:rsid w:val="00DC17E2"/>
    <w:rsid w:val="00DC192C"/>
    <w:rsid w:val="00DC1AC9"/>
    <w:rsid w:val="00DC1FB3"/>
    <w:rsid w:val="00DC2A70"/>
    <w:rsid w:val="00DC2AF5"/>
    <w:rsid w:val="00DC2B57"/>
    <w:rsid w:val="00DC2D3E"/>
    <w:rsid w:val="00DC2E39"/>
    <w:rsid w:val="00DC369A"/>
    <w:rsid w:val="00DC3D1C"/>
    <w:rsid w:val="00DC4121"/>
    <w:rsid w:val="00DC4369"/>
    <w:rsid w:val="00DC5157"/>
    <w:rsid w:val="00DC5E91"/>
    <w:rsid w:val="00DC6744"/>
    <w:rsid w:val="00DC7B89"/>
    <w:rsid w:val="00DD18D3"/>
    <w:rsid w:val="00DD1F49"/>
    <w:rsid w:val="00DD3199"/>
    <w:rsid w:val="00DD3928"/>
    <w:rsid w:val="00DD39B8"/>
    <w:rsid w:val="00DD5CFF"/>
    <w:rsid w:val="00DD60BA"/>
    <w:rsid w:val="00DD784D"/>
    <w:rsid w:val="00DD7E32"/>
    <w:rsid w:val="00DD7F1E"/>
    <w:rsid w:val="00DE05C4"/>
    <w:rsid w:val="00DE0A76"/>
    <w:rsid w:val="00DE0C67"/>
    <w:rsid w:val="00DE0C98"/>
    <w:rsid w:val="00DE0D51"/>
    <w:rsid w:val="00DE2921"/>
    <w:rsid w:val="00DE2A0F"/>
    <w:rsid w:val="00DE312E"/>
    <w:rsid w:val="00DE3E3F"/>
    <w:rsid w:val="00DE4C72"/>
    <w:rsid w:val="00DE5854"/>
    <w:rsid w:val="00DE5BCF"/>
    <w:rsid w:val="00DE5F0F"/>
    <w:rsid w:val="00DE69DC"/>
    <w:rsid w:val="00DE779E"/>
    <w:rsid w:val="00DF269D"/>
    <w:rsid w:val="00DF26B4"/>
    <w:rsid w:val="00DF2FC3"/>
    <w:rsid w:val="00DF31AC"/>
    <w:rsid w:val="00DF3819"/>
    <w:rsid w:val="00DF415F"/>
    <w:rsid w:val="00DF66A5"/>
    <w:rsid w:val="00DF7273"/>
    <w:rsid w:val="00DF7DEE"/>
    <w:rsid w:val="00E00624"/>
    <w:rsid w:val="00E00760"/>
    <w:rsid w:val="00E02D7A"/>
    <w:rsid w:val="00E031B9"/>
    <w:rsid w:val="00E0373B"/>
    <w:rsid w:val="00E03C7F"/>
    <w:rsid w:val="00E052D1"/>
    <w:rsid w:val="00E054D5"/>
    <w:rsid w:val="00E06188"/>
    <w:rsid w:val="00E06835"/>
    <w:rsid w:val="00E068CB"/>
    <w:rsid w:val="00E0715A"/>
    <w:rsid w:val="00E0727E"/>
    <w:rsid w:val="00E07388"/>
    <w:rsid w:val="00E11F31"/>
    <w:rsid w:val="00E14867"/>
    <w:rsid w:val="00E151C7"/>
    <w:rsid w:val="00E151D3"/>
    <w:rsid w:val="00E173DC"/>
    <w:rsid w:val="00E219B0"/>
    <w:rsid w:val="00E225FB"/>
    <w:rsid w:val="00E23DD0"/>
    <w:rsid w:val="00E2431E"/>
    <w:rsid w:val="00E25894"/>
    <w:rsid w:val="00E259EE"/>
    <w:rsid w:val="00E26443"/>
    <w:rsid w:val="00E26E8E"/>
    <w:rsid w:val="00E305FE"/>
    <w:rsid w:val="00E30B2B"/>
    <w:rsid w:val="00E3117F"/>
    <w:rsid w:val="00E32735"/>
    <w:rsid w:val="00E3447C"/>
    <w:rsid w:val="00E3580C"/>
    <w:rsid w:val="00E36EF7"/>
    <w:rsid w:val="00E37413"/>
    <w:rsid w:val="00E40622"/>
    <w:rsid w:val="00E40C0B"/>
    <w:rsid w:val="00E4201A"/>
    <w:rsid w:val="00E420B3"/>
    <w:rsid w:val="00E420E9"/>
    <w:rsid w:val="00E42706"/>
    <w:rsid w:val="00E448C1"/>
    <w:rsid w:val="00E457C8"/>
    <w:rsid w:val="00E45F94"/>
    <w:rsid w:val="00E46151"/>
    <w:rsid w:val="00E504ED"/>
    <w:rsid w:val="00E50E11"/>
    <w:rsid w:val="00E51192"/>
    <w:rsid w:val="00E52112"/>
    <w:rsid w:val="00E525A7"/>
    <w:rsid w:val="00E54138"/>
    <w:rsid w:val="00E555A9"/>
    <w:rsid w:val="00E5587B"/>
    <w:rsid w:val="00E55C8E"/>
    <w:rsid w:val="00E55E34"/>
    <w:rsid w:val="00E567F1"/>
    <w:rsid w:val="00E56D27"/>
    <w:rsid w:val="00E60351"/>
    <w:rsid w:val="00E60D57"/>
    <w:rsid w:val="00E62640"/>
    <w:rsid w:val="00E63058"/>
    <w:rsid w:val="00E632F1"/>
    <w:rsid w:val="00E63516"/>
    <w:rsid w:val="00E63A96"/>
    <w:rsid w:val="00E65100"/>
    <w:rsid w:val="00E65386"/>
    <w:rsid w:val="00E6555D"/>
    <w:rsid w:val="00E65E72"/>
    <w:rsid w:val="00E660CE"/>
    <w:rsid w:val="00E6714C"/>
    <w:rsid w:val="00E67498"/>
    <w:rsid w:val="00E67AE5"/>
    <w:rsid w:val="00E67DED"/>
    <w:rsid w:val="00E70354"/>
    <w:rsid w:val="00E71101"/>
    <w:rsid w:val="00E71625"/>
    <w:rsid w:val="00E71646"/>
    <w:rsid w:val="00E71D96"/>
    <w:rsid w:val="00E72E38"/>
    <w:rsid w:val="00E731A0"/>
    <w:rsid w:val="00E73D6C"/>
    <w:rsid w:val="00E756ED"/>
    <w:rsid w:val="00E75FCB"/>
    <w:rsid w:val="00E77860"/>
    <w:rsid w:val="00E80004"/>
    <w:rsid w:val="00E801D2"/>
    <w:rsid w:val="00E805AD"/>
    <w:rsid w:val="00E807FF"/>
    <w:rsid w:val="00E81A19"/>
    <w:rsid w:val="00E81A26"/>
    <w:rsid w:val="00E8231B"/>
    <w:rsid w:val="00E82749"/>
    <w:rsid w:val="00E82FEC"/>
    <w:rsid w:val="00E8379C"/>
    <w:rsid w:val="00E84841"/>
    <w:rsid w:val="00E858C2"/>
    <w:rsid w:val="00E85ACC"/>
    <w:rsid w:val="00E86A2D"/>
    <w:rsid w:val="00E86DC4"/>
    <w:rsid w:val="00E9055F"/>
    <w:rsid w:val="00E912F0"/>
    <w:rsid w:val="00E917E9"/>
    <w:rsid w:val="00E91A3A"/>
    <w:rsid w:val="00E91ACD"/>
    <w:rsid w:val="00E91C5C"/>
    <w:rsid w:val="00E91E65"/>
    <w:rsid w:val="00E931BE"/>
    <w:rsid w:val="00E948CB"/>
    <w:rsid w:val="00E94D73"/>
    <w:rsid w:val="00E94F56"/>
    <w:rsid w:val="00E95145"/>
    <w:rsid w:val="00E952BF"/>
    <w:rsid w:val="00E969FB"/>
    <w:rsid w:val="00E97B10"/>
    <w:rsid w:val="00E97CF9"/>
    <w:rsid w:val="00E97E15"/>
    <w:rsid w:val="00EA0DE7"/>
    <w:rsid w:val="00EA1046"/>
    <w:rsid w:val="00EA1A81"/>
    <w:rsid w:val="00EA2452"/>
    <w:rsid w:val="00EA303D"/>
    <w:rsid w:val="00EA31D0"/>
    <w:rsid w:val="00EA6308"/>
    <w:rsid w:val="00EA759C"/>
    <w:rsid w:val="00EB01D2"/>
    <w:rsid w:val="00EB054B"/>
    <w:rsid w:val="00EB28EC"/>
    <w:rsid w:val="00EB3D84"/>
    <w:rsid w:val="00EB3ED5"/>
    <w:rsid w:val="00EB4062"/>
    <w:rsid w:val="00EB6CF3"/>
    <w:rsid w:val="00EB73FF"/>
    <w:rsid w:val="00EC0835"/>
    <w:rsid w:val="00EC0E7A"/>
    <w:rsid w:val="00EC1E7C"/>
    <w:rsid w:val="00EC4FA7"/>
    <w:rsid w:val="00EC5184"/>
    <w:rsid w:val="00EC5960"/>
    <w:rsid w:val="00EC711B"/>
    <w:rsid w:val="00ED1137"/>
    <w:rsid w:val="00ED225E"/>
    <w:rsid w:val="00ED27E4"/>
    <w:rsid w:val="00ED2EBF"/>
    <w:rsid w:val="00ED3DCD"/>
    <w:rsid w:val="00ED4053"/>
    <w:rsid w:val="00ED46B1"/>
    <w:rsid w:val="00ED6CA9"/>
    <w:rsid w:val="00ED6CDC"/>
    <w:rsid w:val="00ED723C"/>
    <w:rsid w:val="00ED7698"/>
    <w:rsid w:val="00ED76D6"/>
    <w:rsid w:val="00ED7998"/>
    <w:rsid w:val="00ED7C0F"/>
    <w:rsid w:val="00EE055C"/>
    <w:rsid w:val="00EE0F11"/>
    <w:rsid w:val="00EE111B"/>
    <w:rsid w:val="00EE34E5"/>
    <w:rsid w:val="00EE38B9"/>
    <w:rsid w:val="00EE534E"/>
    <w:rsid w:val="00EE5562"/>
    <w:rsid w:val="00EE7309"/>
    <w:rsid w:val="00EF1CBF"/>
    <w:rsid w:val="00EF2ACB"/>
    <w:rsid w:val="00EF2AF3"/>
    <w:rsid w:val="00EF3226"/>
    <w:rsid w:val="00EF5D00"/>
    <w:rsid w:val="00EF5D16"/>
    <w:rsid w:val="00EF5DBB"/>
    <w:rsid w:val="00EF62AC"/>
    <w:rsid w:val="00EF6CF2"/>
    <w:rsid w:val="00F0052F"/>
    <w:rsid w:val="00F00D94"/>
    <w:rsid w:val="00F01D1E"/>
    <w:rsid w:val="00F02532"/>
    <w:rsid w:val="00F03DEE"/>
    <w:rsid w:val="00F03ED4"/>
    <w:rsid w:val="00F0604D"/>
    <w:rsid w:val="00F066C6"/>
    <w:rsid w:val="00F102D2"/>
    <w:rsid w:val="00F10809"/>
    <w:rsid w:val="00F10BEF"/>
    <w:rsid w:val="00F10F20"/>
    <w:rsid w:val="00F129EE"/>
    <w:rsid w:val="00F12A1F"/>
    <w:rsid w:val="00F12AAE"/>
    <w:rsid w:val="00F1341F"/>
    <w:rsid w:val="00F15368"/>
    <w:rsid w:val="00F16B08"/>
    <w:rsid w:val="00F20A4C"/>
    <w:rsid w:val="00F20BD1"/>
    <w:rsid w:val="00F2179A"/>
    <w:rsid w:val="00F22C33"/>
    <w:rsid w:val="00F230ED"/>
    <w:rsid w:val="00F23734"/>
    <w:rsid w:val="00F23F4D"/>
    <w:rsid w:val="00F245F5"/>
    <w:rsid w:val="00F246F7"/>
    <w:rsid w:val="00F248CE"/>
    <w:rsid w:val="00F25095"/>
    <w:rsid w:val="00F26D02"/>
    <w:rsid w:val="00F26E18"/>
    <w:rsid w:val="00F27D65"/>
    <w:rsid w:val="00F31CDF"/>
    <w:rsid w:val="00F325E1"/>
    <w:rsid w:val="00F32918"/>
    <w:rsid w:val="00F33209"/>
    <w:rsid w:val="00F35921"/>
    <w:rsid w:val="00F37817"/>
    <w:rsid w:val="00F4119D"/>
    <w:rsid w:val="00F42308"/>
    <w:rsid w:val="00F42F4C"/>
    <w:rsid w:val="00F43415"/>
    <w:rsid w:val="00F43F93"/>
    <w:rsid w:val="00F440EE"/>
    <w:rsid w:val="00F44E11"/>
    <w:rsid w:val="00F44F2F"/>
    <w:rsid w:val="00F45320"/>
    <w:rsid w:val="00F46136"/>
    <w:rsid w:val="00F463CD"/>
    <w:rsid w:val="00F46499"/>
    <w:rsid w:val="00F4655C"/>
    <w:rsid w:val="00F50E80"/>
    <w:rsid w:val="00F50EC7"/>
    <w:rsid w:val="00F517E8"/>
    <w:rsid w:val="00F5222A"/>
    <w:rsid w:val="00F541B0"/>
    <w:rsid w:val="00F5620A"/>
    <w:rsid w:val="00F5751D"/>
    <w:rsid w:val="00F579DC"/>
    <w:rsid w:val="00F6425F"/>
    <w:rsid w:val="00F64705"/>
    <w:rsid w:val="00F6492F"/>
    <w:rsid w:val="00F65895"/>
    <w:rsid w:val="00F67072"/>
    <w:rsid w:val="00F67CCB"/>
    <w:rsid w:val="00F67D3E"/>
    <w:rsid w:val="00F71292"/>
    <w:rsid w:val="00F7141E"/>
    <w:rsid w:val="00F7178C"/>
    <w:rsid w:val="00F71B9B"/>
    <w:rsid w:val="00F7257E"/>
    <w:rsid w:val="00F74544"/>
    <w:rsid w:val="00F74A92"/>
    <w:rsid w:val="00F757A4"/>
    <w:rsid w:val="00F76A92"/>
    <w:rsid w:val="00F76C7D"/>
    <w:rsid w:val="00F80D12"/>
    <w:rsid w:val="00F81DA3"/>
    <w:rsid w:val="00F8496B"/>
    <w:rsid w:val="00F850F3"/>
    <w:rsid w:val="00F86C03"/>
    <w:rsid w:val="00F906B5"/>
    <w:rsid w:val="00F90ADD"/>
    <w:rsid w:val="00F936A7"/>
    <w:rsid w:val="00F93856"/>
    <w:rsid w:val="00F94DDC"/>
    <w:rsid w:val="00F951C6"/>
    <w:rsid w:val="00F957B3"/>
    <w:rsid w:val="00F95E73"/>
    <w:rsid w:val="00F966D8"/>
    <w:rsid w:val="00F971B3"/>
    <w:rsid w:val="00F9762D"/>
    <w:rsid w:val="00FA01D3"/>
    <w:rsid w:val="00FA0688"/>
    <w:rsid w:val="00FA2648"/>
    <w:rsid w:val="00FA2756"/>
    <w:rsid w:val="00FA41BA"/>
    <w:rsid w:val="00FA5AEB"/>
    <w:rsid w:val="00FA5EC7"/>
    <w:rsid w:val="00FA798A"/>
    <w:rsid w:val="00FB0FC0"/>
    <w:rsid w:val="00FB233E"/>
    <w:rsid w:val="00FB2371"/>
    <w:rsid w:val="00FB2D7A"/>
    <w:rsid w:val="00FB461C"/>
    <w:rsid w:val="00FB46E3"/>
    <w:rsid w:val="00FB47A8"/>
    <w:rsid w:val="00FB4E3C"/>
    <w:rsid w:val="00FB7337"/>
    <w:rsid w:val="00FC0179"/>
    <w:rsid w:val="00FC1223"/>
    <w:rsid w:val="00FC3681"/>
    <w:rsid w:val="00FC521A"/>
    <w:rsid w:val="00FC5CEE"/>
    <w:rsid w:val="00FD06F6"/>
    <w:rsid w:val="00FD1547"/>
    <w:rsid w:val="00FD1A4F"/>
    <w:rsid w:val="00FD29A8"/>
    <w:rsid w:val="00FD2F8F"/>
    <w:rsid w:val="00FD3146"/>
    <w:rsid w:val="00FD414D"/>
    <w:rsid w:val="00FD4836"/>
    <w:rsid w:val="00FD5110"/>
    <w:rsid w:val="00FD53A5"/>
    <w:rsid w:val="00FD5403"/>
    <w:rsid w:val="00FD5EAD"/>
    <w:rsid w:val="00FD610B"/>
    <w:rsid w:val="00FD66AF"/>
    <w:rsid w:val="00FD7BDA"/>
    <w:rsid w:val="00FE1431"/>
    <w:rsid w:val="00FE1769"/>
    <w:rsid w:val="00FE1C13"/>
    <w:rsid w:val="00FE1F31"/>
    <w:rsid w:val="00FE210B"/>
    <w:rsid w:val="00FE347B"/>
    <w:rsid w:val="00FE384E"/>
    <w:rsid w:val="00FE3A22"/>
    <w:rsid w:val="00FE43C4"/>
    <w:rsid w:val="00FE5A99"/>
    <w:rsid w:val="00FE6198"/>
    <w:rsid w:val="00FE75CE"/>
    <w:rsid w:val="00FF0897"/>
    <w:rsid w:val="00FF0AA4"/>
    <w:rsid w:val="00FF0C80"/>
    <w:rsid w:val="00FF0D78"/>
    <w:rsid w:val="00FF1F35"/>
    <w:rsid w:val="00FF321D"/>
    <w:rsid w:val="00FF527B"/>
    <w:rsid w:val="00FF52B9"/>
    <w:rsid w:val="00FF60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4F882C"/>
  <w15:chartTrackingRefBased/>
  <w15:docId w15:val="{BF115FB9-0DF2-A143-A8BA-1697DF2FBB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79FD"/>
    <w:rPr>
      <w:rFonts w:ascii="Times New Roman" w:eastAsia="Times New Roman" w:hAnsi="Times New Roman" w:cs="Times New Roman"/>
    </w:rPr>
  </w:style>
  <w:style w:type="paragraph" w:styleId="Heading1">
    <w:name w:val="heading 1"/>
    <w:aliases w:val="title"/>
    <w:basedOn w:val="Normal"/>
    <w:next w:val="Normal"/>
    <w:link w:val="Heading1Char"/>
    <w:uiPriority w:val="9"/>
    <w:qFormat/>
    <w:rsid w:val="004705B9"/>
    <w:pPr>
      <w:keepNext/>
      <w:keepLines/>
      <w:spacing w:before="240"/>
      <w:outlineLvl w:val="0"/>
    </w:pPr>
    <w:rPr>
      <w:rFonts w:eastAsiaTheme="majorEastAsia" w:cs="Times New Roman (Headings CS)"/>
      <w:caps/>
      <w:color w:val="000000" w:themeColor="text1"/>
      <w:szCs w:val="32"/>
    </w:rPr>
  </w:style>
  <w:style w:type="paragraph" w:styleId="Heading2">
    <w:name w:val="heading 2"/>
    <w:aliases w:val="Sub-section 1"/>
    <w:basedOn w:val="Normal"/>
    <w:next w:val="Normal"/>
    <w:link w:val="Heading2Char"/>
    <w:autoRedefine/>
    <w:uiPriority w:val="9"/>
    <w:unhideWhenUsed/>
    <w:qFormat/>
    <w:rsid w:val="004705B9"/>
    <w:pPr>
      <w:pBdr>
        <w:top w:val="single" w:sz="24" w:space="0" w:color="FFFFFF" w:themeColor="background1"/>
        <w:left w:val="single" w:sz="24" w:space="0" w:color="FFFFFF" w:themeColor="background1"/>
        <w:bottom w:val="single" w:sz="24" w:space="0" w:color="FFFFFF" w:themeColor="background1"/>
        <w:right w:val="single" w:sz="24" w:space="0" w:color="FFFFFF" w:themeColor="background1"/>
      </w:pBdr>
      <w:spacing w:before="200"/>
      <w:outlineLvl w:val="1"/>
    </w:pPr>
    <w:rPr>
      <w:rFonts w:eastAsiaTheme="minorEastAsia"/>
      <w:b/>
      <w:color w:val="000000" w:themeColor="text1"/>
      <w:spacing w:val="15"/>
      <w:szCs w:val="22"/>
    </w:rPr>
  </w:style>
  <w:style w:type="paragraph" w:styleId="Heading3">
    <w:name w:val="heading 3"/>
    <w:basedOn w:val="Normal"/>
    <w:next w:val="Normal"/>
    <w:link w:val="Heading3Char"/>
    <w:uiPriority w:val="9"/>
    <w:unhideWhenUsed/>
    <w:qFormat/>
    <w:rsid w:val="004705B9"/>
    <w:pPr>
      <w:keepNext/>
      <w:keepLines/>
      <w:spacing w:before="40"/>
      <w:outlineLvl w:val="2"/>
    </w:pPr>
    <w:rPr>
      <w:rFonts w:eastAsiaTheme="majorEastAsia" w:cstheme="majorBidi"/>
      <w:i/>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ub-section">
    <w:name w:val="Sub-section"/>
    <w:basedOn w:val="Normal"/>
    <w:qFormat/>
    <w:rsid w:val="002D2CFD"/>
    <w:pPr>
      <w:spacing w:after="160" w:line="360" w:lineRule="auto"/>
      <w:ind w:firstLine="720"/>
    </w:pPr>
    <w:rPr>
      <w:i/>
      <w:shd w:val="clear" w:color="auto" w:fill="FFFFFF"/>
    </w:rPr>
  </w:style>
  <w:style w:type="paragraph" w:styleId="BalloonText">
    <w:name w:val="Balloon Text"/>
    <w:basedOn w:val="Normal"/>
    <w:link w:val="BalloonTextChar"/>
    <w:uiPriority w:val="99"/>
    <w:semiHidden/>
    <w:unhideWhenUsed/>
    <w:rsid w:val="004705B9"/>
    <w:rPr>
      <w:rFonts w:eastAsiaTheme="minorHAnsi"/>
      <w:sz w:val="18"/>
      <w:szCs w:val="18"/>
    </w:rPr>
  </w:style>
  <w:style w:type="character" w:customStyle="1" w:styleId="BalloonTextChar">
    <w:name w:val="Balloon Text Char"/>
    <w:basedOn w:val="DefaultParagraphFont"/>
    <w:link w:val="BalloonText"/>
    <w:uiPriority w:val="99"/>
    <w:semiHidden/>
    <w:rsid w:val="004705B9"/>
    <w:rPr>
      <w:rFonts w:ascii="Times New Roman" w:hAnsi="Times New Roman" w:cs="Times New Roman"/>
      <w:sz w:val="18"/>
      <w:szCs w:val="18"/>
    </w:rPr>
  </w:style>
  <w:style w:type="character" w:customStyle="1" w:styleId="Heading1Char">
    <w:name w:val="Heading 1 Char"/>
    <w:aliases w:val="title Char"/>
    <w:basedOn w:val="DefaultParagraphFont"/>
    <w:link w:val="Heading1"/>
    <w:uiPriority w:val="9"/>
    <w:rsid w:val="004705B9"/>
    <w:rPr>
      <w:rFonts w:ascii="Times New Roman" w:eastAsiaTheme="majorEastAsia" w:hAnsi="Times New Roman" w:cs="Times New Roman (Headings CS)"/>
      <w:caps/>
      <w:color w:val="000000" w:themeColor="text1"/>
      <w:szCs w:val="32"/>
    </w:rPr>
  </w:style>
  <w:style w:type="character" w:customStyle="1" w:styleId="Heading2Char">
    <w:name w:val="Heading 2 Char"/>
    <w:aliases w:val="Sub-section 1 Char"/>
    <w:basedOn w:val="DefaultParagraphFont"/>
    <w:link w:val="Heading2"/>
    <w:uiPriority w:val="9"/>
    <w:rsid w:val="004705B9"/>
    <w:rPr>
      <w:rFonts w:ascii="Times New Roman" w:eastAsiaTheme="minorEastAsia" w:hAnsi="Times New Roman" w:cs="Times New Roman"/>
      <w:b/>
      <w:color w:val="000000" w:themeColor="text1"/>
      <w:spacing w:val="15"/>
      <w:szCs w:val="22"/>
    </w:rPr>
  </w:style>
  <w:style w:type="character" w:customStyle="1" w:styleId="Heading3Char">
    <w:name w:val="Heading 3 Char"/>
    <w:basedOn w:val="DefaultParagraphFont"/>
    <w:link w:val="Heading3"/>
    <w:uiPriority w:val="9"/>
    <w:rsid w:val="004705B9"/>
    <w:rPr>
      <w:rFonts w:ascii="Times New Roman" w:eastAsiaTheme="majorEastAsia" w:hAnsi="Times New Roman" w:cstheme="majorBidi"/>
      <w:i/>
      <w:color w:val="000000" w:themeColor="text1"/>
    </w:rPr>
  </w:style>
  <w:style w:type="paragraph" w:styleId="Caption">
    <w:name w:val="caption"/>
    <w:basedOn w:val="Normal"/>
    <w:next w:val="Normal"/>
    <w:uiPriority w:val="35"/>
    <w:unhideWhenUsed/>
    <w:qFormat/>
    <w:rsid w:val="004705B9"/>
    <w:pPr>
      <w:spacing w:before="200" w:after="200" w:line="276" w:lineRule="auto"/>
    </w:pPr>
    <w:rPr>
      <w:rFonts w:eastAsiaTheme="minorEastAsia"/>
      <w:b/>
      <w:bCs/>
      <w:color w:val="2F5496" w:themeColor="accent1" w:themeShade="BF"/>
      <w:sz w:val="16"/>
      <w:szCs w:val="16"/>
    </w:rPr>
  </w:style>
  <w:style w:type="character" w:styleId="CommentReference">
    <w:name w:val="annotation reference"/>
    <w:basedOn w:val="DefaultParagraphFont"/>
    <w:uiPriority w:val="99"/>
    <w:semiHidden/>
    <w:unhideWhenUsed/>
    <w:rsid w:val="004705B9"/>
    <w:rPr>
      <w:sz w:val="16"/>
      <w:szCs w:val="16"/>
    </w:rPr>
  </w:style>
  <w:style w:type="paragraph" w:styleId="CommentText">
    <w:name w:val="annotation text"/>
    <w:basedOn w:val="Normal"/>
    <w:link w:val="CommentTextChar"/>
    <w:uiPriority w:val="99"/>
    <w:unhideWhenUsed/>
    <w:rsid w:val="004705B9"/>
    <w:pPr>
      <w:spacing w:before="200" w:after="200"/>
    </w:pPr>
    <w:rPr>
      <w:rFonts w:eastAsiaTheme="minorEastAsia"/>
      <w:sz w:val="20"/>
      <w:szCs w:val="20"/>
    </w:rPr>
  </w:style>
  <w:style w:type="character" w:customStyle="1" w:styleId="CommentTextChar">
    <w:name w:val="Comment Text Char"/>
    <w:basedOn w:val="DefaultParagraphFont"/>
    <w:link w:val="CommentText"/>
    <w:uiPriority w:val="99"/>
    <w:rsid w:val="004705B9"/>
    <w:rPr>
      <w:rFonts w:ascii="Times New Roman" w:eastAsiaTheme="minorEastAsia" w:hAnsi="Times New Roman" w:cs="Times New Roman"/>
      <w:sz w:val="20"/>
      <w:szCs w:val="20"/>
    </w:rPr>
  </w:style>
  <w:style w:type="paragraph" w:styleId="FootnoteText">
    <w:name w:val="footnote text"/>
    <w:basedOn w:val="Normal"/>
    <w:link w:val="FootnoteTextChar"/>
    <w:uiPriority w:val="99"/>
    <w:semiHidden/>
    <w:unhideWhenUsed/>
    <w:rsid w:val="004705B9"/>
    <w:rPr>
      <w:sz w:val="20"/>
      <w:szCs w:val="20"/>
    </w:rPr>
  </w:style>
  <w:style w:type="character" w:customStyle="1" w:styleId="FootnoteTextChar">
    <w:name w:val="Footnote Text Char"/>
    <w:basedOn w:val="DefaultParagraphFont"/>
    <w:link w:val="FootnoteText"/>
    <w:uiPriority w:val="99"/>
    <w:semiHidden/>
    <w:rsid w:val="004705B9"/>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4705B9"/>
    <w:rPr>
      <w:vertAlign w:val="superscript"/>
    </w:rPr>
  </w:style>
  <w:style w:type="paragraph" w:styleId="Bibliography">
    <w:name w:val="Bibliography"/>
    <w:basedOn w:val="Normal"/>
    <w:next w:val="Normal"/>
    <w:uiPriority w:val="37"/>
    <w:semiHidden/>
    <w:unhideWhenUsed/>
    <w:rsid w:val="004705B9"/>
  </w:style>
  <w:style w:type="paragraph" w:styleId="Header">
    <w:name w:val="header"/>
    <w:basedOn w:val="Normal"/>
    <w:link w:val="HeaderChar"/>
    <w:uiPriority w:val="99"/>
    <w:unhideWhenUsed/>
    <w:rsid w:val="009E71D3"/>
    <w:pPr>
      <w:tabs>
        <w:tab w:val="center" w:pos="4680"/>
        <w:tab w:val="right" w:pos="9360"/>
      </w:tabs>
    </w:pPr>
  </w:style>
  <w:style w:type="character" w:customStyle="1" w:styleId="HeaderChar">
    <w:name w:val="Header Char"/>
    <w:basedOn w:val="DefaultParagraphFont"/>
    <w:link w:val="Header"/>
    <w:uiPriority w:val="99"/>
    <w:rsid w:val="009E71D3"/>
    <w:rPr>
      <w:rFonts w:ascii="Times New Roman" w:eastAsia="Times New Roman" w:hAnsi="Times New Roman" w:cs="Times New Roman"/>
    </w:rPr>
  </w:style>
  <w:style w:type="paragraph" w:styleId="Footer">
    <w:name w:val="footer"/>
    <w:basedOn w:val="Normal"/>
    <w:link w:val="FooterChar"/>
    <w:uiPriority w:val="99"/>
    <w:unhideWhenUsed/>
    <w:rsid w:val="009E71D3"/>
    <w:pPr>
      <w:tabs>
        <w:tab w:val="center" w:pos="4680"/>
        <w:tab w:val="right" w:pos="9360"/>
      </w:tabs>
    </w:pPr>
  </w:style>
  <w:style w:type="character" w:customStyle="1" w:styleId="FooterChar">
    <w:name w:val="Footer Char"/>
    <w:basedOn w:val="DefaultParagraphFont"/>
    <w:link w:val="Footer"/>
    <w:uiPriority w:val="99"/>
    <w:rsid w:val="009E71D3"/>
    <w:rPr>
      <w:rFonts w:ascii="Times New Roman" w:eastAsia="Times New Roman" w:hAnsi="Times New Roman" w:cs="Times New Roman"/>
    </w:rPr>
  </w:style>
  <w:style w:type="paragraph" w:customStyle="1" w:styleId="Author-names">
    <w:name w:val="Author-names"/>
    <w:basedOn w:val="Normal"/>
    <w:link w:val="Author-namesChar"/>
    <w:qFormat/>
    <w:rsid w:val="009E71D3"/>
    <w:pPr>
      <w:spacing w:line="480" w:lineRule="auto"/>
      <w:ind w:firstLine="720"/>
      <w:jc w:val="center"/>
    </w:pPr>
    <w:rPr>
      <w:rFonts w:ascii="Book Antiqua" w:eastAsiaTheme="minorHAnsi" w:hAnsi="Book Antiqua" w:cstheme="minorBidi"/>
      <w:sz w:val="22"/>
      <w:szCs w:val="22"/>
    </w:rPr>
  </w:style>
  <w:style w:type="paragraph" w:customStyle="1" w:styleId="Author-address">
    <w:name w:val="Author-address"/>
    <w:basedOn w:val="Normal"/>
    <w:link w:val="Author-addressChar"/>
    <w:qFormat/>
    <w:rsid w:val="009E71D3"/>
    <w:pPr>
      <w:spacing w:line="480" w:lineRule="auto"/>
      <w:ind w:firstLine="720"/>
    </w:pPr>
    <w:rPr>
      <w:rFonts w:ascii="Book Antiqua" w:eastAsiaTheme="minorHAnsi" w:hAnsi="Book Antiqua" w:cstheme="minorBidi"/>
      <w:sz w:val="22"/>
      <w:szCs w:val="22"/>
    </w:rPr>
  </w:style>
  <w:style w:type="character" w:customStyle="1" w:styleId="Author-namesChar">
    <w:name w:val="Author-names Char"/>
    <w:basedOn w:val="DefaultParagraphFont"/>
    <w:link w:val="Author-names"/>
    <w:rsid w:val="009E71D3"/>
    <w:rPr>
      <w:rFonts w:ascii="Book Antiqua" w:hAnsi="Book Antiqua"/>
      <w:sz w:val="22"/>
      <w:szCs w:val="22"/>
    </w:rPr>
  </w:style>
  <w:style w:type="character" w:customStyle="1" w:styleId="Author-addressChar">
    <w:name w:val="Author-address Char"/>
    <w:basedOn w:val="DefaultParagraphFont"/>
    <w:link w:val="Author-address"/>
    <w:rsid w:val="009E71D3"/>
    <w:rPr>
      <w:rFonts w:ascii="Book Antiqua" w:hAnsi="Book Antiqua"/>
      <w:sz w:val="22"/>
      <w:szCs w:val="22"/>
    </w:rPr>
  </w:style>
  <w:style w:type="table" w:styleId="PlainTable4">
    <w:name w:val="Plain Table 4"/>
    <w:basedOn w:val="TableNormal"/>
    <w:uiPriority w:val="44"/>
    <w:rsid w:val="00FC1223"/>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istParagraph">
    <w:name w:val="List Paragraph"/>
    <w:basedOn w:val="Normal"/>
    <w:uiPriority w:val="34"/>
    <w:qFormat/>
    <w:rsid w:val="0034605B"/>
    <w:pPr>
      <w:ind w:left="720"/>
      <w:contextualSpacing/>
    </w:pPr>
  </w:style>
  <w:style w:type="paragraph" w:styleId="NormalWeb">
    <w:name w:val="Normal (Web)"/>
    <w:basedOn w:val="Normal"/>
    <w:uiPriority w:val="99"/>
    <w:unhideWhenUsed/>
    <w:rsid w:val="00E912F0"/>
    <w:pPr>
      <w:spacing w:before="100" w:beforeAutospacing="1" w:after="100" w:afterAutospacing="1"/>
    </w:pPr>
  </w:style>
  <w:style w:type="paragraph" w:styleId="CommentSubject">
    <w:name w:val="annotation subject"/>
    <w:basedOn w:val="CommentText"/>
    <w:next w:val="CommentText"/>
    <w:link w:val="CommentSubjectChar"/>
    <w:uiPriority w:val="99"/>
    <w:semiHidden/>
    <w:unhideWhenUsed/>
    <w:rsid w:val="00E259EE"/>
    <w:pPr>
      <w:spacing w:before="0" w:after="0"/>
    </w:pPr>
    <w:rPr>
      <w:rFonts w:eastAsia="Times New Roman"/>
      <w:b/>
      <w:bCs/>
    </w:rPr>
  </w:style>
  <w:style w:type="character" w:customStyle="1" w:styleId="CommentSubjectChar">
    <w:name w:val="Comment Subject Char"/>
    <w:basedOn w:val="CommentTextChar"/>
    <w:link w:val="CommentSubject"/>
    <w:uiPriority w:val="99"/>
    <w:semiHidden/>
    <w:rsid w:val="00E259EE"/>
    <w:rPr>
      <w:rFonts w:ascii="Times New Roman" w:eastAsia="Times New Roman" w:hAnsi="Times New Roman" w:cs="Times New Roman"/>
      <w:b/>
      <w:bCs/>
      <w:sz w:val="20"/>
      <w:szCs w:val="20"/>
    </w:rPr>
  </w:style>
  <w:style w:type="table" w:styleId="TableGrid">
    <w:name w:val="Table Grid"/>
    <w:basedOn w:val="TableNormal"/>
    <w:uiPriority w:val="39"/>
    <w:rsid w:val="006274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A0381"/>
    <w:rPr>
      <w:color w:val="0563C1" w:themeColor="hyperlink"/>
      <w:u w:val="single"/>
    </w:rPr>
  </w:style>
  <w:style w:type="character" w:styleId="UnresolvedMention">
    <w:name w:val="Unresolved Mention"/>
    <w:basedOn w:val="DefaultParagraphFont"/>
    <w:uiPriority w:val="99"/>
    <w:semiHidden/>
    <w:unhideWhenUsed/>
    <w:rsid w:val="00CA0381"/>
    <w:rPr>
      <w:color w:val="605E5C"/>
      <w:shd w:val="clear" w:color="auto" w:fill="E1DFDD"/>
    </w:rPr>
  </w:style>
  <w:style w:type="paragraph" w:styleId="Revision">
    <w:name w:val="Revision"/>
    <w:hidden/>
    <w:uiPriority w:val="99"/>
    <w:semiHidden/>
    <w:rsid w:val="009C6756"/>
    <w:rPr>
      <w:rFonts w:ascii="Times New Roman" w:eastAsia="Times New Roman" w:hAnsi="Times New Roman" w:cs="Times New Roman"/>
    </w:rPr>
  </w:style>
  <w:style w:type="character" w:styleId="FollowedHyperlink">
    <w:name w:val="FollowedHyperlink"/>
    <w:basedOn w:val="DefaultParagraphFont"/>
    <w:uiPriority w:val="99"/>
    <w:semiHidden/>
    <w:unhideWhenUsed/>
    <w:rsid w:val="0094025B"/>
    <w:rPr>
      <w:color w:val="954F72" w:themeColor="followedHyperlink"/>
      <w:u w:val="single"/>
    </w:rPr>
  </w:style>
  <w:style w:type="character" w:styleId="PageNumber">
    <w:name w:val="page number"/>
    <w:basedOn w:val="DefaultParagraphFont"/>
    <w:uiPriority w:val="99"/>
    <w:semiHidden/>
    <w:unhideWhenUsed/>
    <w:rsid w:val="00AD05D8"/>
  </w:style>
  <w:style w:type="paragraph" w:customStyle="1" w:styleId="Default">
    <w:name w:val="Default"/>
    <w:rsid w:val="00411D97"/>
    <w:pPr>
      <w:autoSpaceDE w:val="0"/>
      <w:autoSpaceDN w:val="0"/>
      <w:adjustRightInd w:val="0"/>
    </w:pPr>
    <w:rPr>
      <w:rFonts w:ascii="Cambria Math" w:hAnsi="Cambria Math" w:cs="Cambria Math"/>
      <w:color w:val="000000"/>
    </w:rPr>
  </w:style>
  <w:style w:type="character" w:customStyle="1" w:styleId="mjx-char">
    <w:name w:val="mjx-char"/>
    <w:basedOn w:val="DefaultParagraphFont"/>
    <w:rsid w:val="00A9555C"/>
  </w:style>
  <w:style w:type="character" w:styleId="PlaceholderText">
    <w:name w:val="Placeholder Text"/>
    <w:basedOn w:val="DefaultParagraphFont"/>
    <w:uiPriority w:val="99"/>
    <w:semiHidden/>
    <w:rsid w:val="007179FD"/>
    <w:rPr>
      <w:color w:val="808080"/>
    </w:rPr>
  </w:style>
  <w:style w:type="character" w:styleId="LineNumber">
    <w:name w:val="line number"/>
    <w:basedOn w:val="DefaultParagraphFont"/>
    <w:uiPriority w:val="99"/>
    <w:semiHidden/>
    <w:unhideWhenUsed/>
    <w:rsid w:val="003E53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0036534">
      <w:bodyDiv w:val="1"/>
      <w:marLeft w:val="0"/>
      <w:marRight w:val="0"/>
      <w:marTop w:val="0"/>
      <w:marBottom w:val="0"/>
      <w:divBdr>
        <w:top w:val="none" w:sz="0" w:space="0" w:color="auto"/>
        <w:left w:val="none" w:sz="0" w:space="0" w:color="auto"/>
        <w:bottom w:val="none" w:sz="0" w:space="0" w:color="auto"/>
        <w:right w:val="none" w:sz="0" w:space="0" w:color="auto"/>
      </w:divBdr>
    </w:div>
    <w:div w:id="58526460">
      <w:bodyDiv w:val="1"/>
      <w:marLeft w:val="0"/>
      <w:marRight w:val="0"/>
      <w:marTop w:val="0"/>
      <w:marBottom w:val="0"/>
      <w:divBdr>
        <w:top w:val="none" w:sz="0" w:space="0" w:color="auto"/>
        <w:left w:val="none" w:sz="0" w:space="0" w:color="auto"/>
        <w:bottom w:val="none" w:sz="0" w:space="0" w:color="auto"/>
        <w:right w:val="none" w:sz="0" w:space="0" w:color="auto"/>
      </w:divBdr>
    </w:div>
    <w:div w:id="91559718">
      <w:bodyDiv w:val="1"/>
      <w:marLeft w:val="0"/>
      <w:marRight w:val="0"/>
      <w:marTop w:val="0"/>
      <w:marBottom w:val="0"/>
      <w:divBdr>
        <w:top w:val="none" w:sz="0" w:space="0" w:color="auto"/>
        <w:left w:val="none" w:sz="0" w:space="0" w:color="auto"/>
        <w:bottom w:val="none" w:sz="0" w:space="0" w:color="auto"/>
        <w:right w:val="none" w:sz="0" w:space="0" w:color="auto"/>
      </w:divBdr>
    </w:div>
    <w:div w:id="213011244">
      <w:bodyDiv w:val="1"/>
      <w:marLeft w:val="0"/>
      <w:marRight w:val="0"/>
      <w:marTop w:val="0"/>
      <w:marBottom w:val="0"/>
      <w:divBdr>
        <w:top w:val="none" w:sz="0" w:space="0" w:color="auto"/>
        <w:left w:val="none" w:sz="0" w:space="0" w:color="auto"/>
        <w:bottom w:val="none" w:sz="0" w:space="0" w:color="auto"/>
        <w:right w:val="none" w:sz="0" w:space="0" w:color="auto"/>
      </w:divBdr>
    </w:div>
    <w:div w:id="220793129">
      <w:bodyDiv w:val="1"/>
      <w:marLeft w:val="0"/>
      <w:marRight w:val="0"/>
      <w:marTop w:val="0"/>
      <w:marBottom w:val="0"/>
      <w:divBdr>
        <w:top w:val="none" w:sz="0" w:space="0" w:color="auto"/>
        <w:left w:val="none" w:sz="0" w:space="0" w:color="auto"/>
        <w:bottom w:val="none" w:sz="0" w:space="0" w:color="auto"/>
        <w:right w:val="none" w:sz="0" w:space="0" w:color="auto"/>
      </w:divBdr>
    </w:div>
    <w:div w:id="236407003">
      <w:bodyDiv w:val="1"/>
      <w:marLeft w:val="0"/>
      <w:marRight w:val="0"/>
      <w:marTop w:val="0"/>
      <w:marBottom w:val="0"/>
      <w:divBdr>
        <w:top w:val="none" w:sz="0" w:space="0" w:color="auto"/>
        <w:left w:val="none" w:sz="0" w:space="0" w:color="auto"/>
        <w:bottom w:val="none" w:sz="0" w:space="0" w:color="auto"/>
        <w:right w:val="none" w:sz="0" w:space="0" w:color="auto"/>
      </w:divBdr>
    </w:div>
    <w:div w:id="278805264">
      <w:bodyDiv w:val="1"/>
      <w:marLeft w:val="0"/>
      <w:marRight w:val="0"/>
      <w:marTop w:val="0"/>
      <w:marBottom w:val="0"/>
      <w:divBdr>
        <w:top w:val="none" w:sz="0" w:space="0" w:color="auto"/>
        <w:left w:val="none" w:sz="0" w:space="0" w:color="auto"/>
        <w:bottom w:val="none" w:sz="0" w:space="0" w:color="auto"/>
        <w:right w:val="none" w:sz="0" w:space="0" w:color="auto"/>
      </w:divBdr>
    </w:div>
    <w:div w:id="310982094">
      <w:bodyDiv w:val="1"/>
      <w:marLeft w:val="0"/>
      <w:marRight w:val="0"/>
      <w:marTop w:val="0"/>
      <w:marBottom w:val="0"/>
      <w:divBdr>
        <w:top w:val="none" w:sz="0" w:space="0" w:color="auto"/>
        <w:left w:val="none" w:sz="0" w:space="0" w:color="auto"/>
        <w:bottom w:val="none" w:sz="0" w:space="0" w:color="auto"/>
        <w:right w:val="none" w:sz="0" w:space="0" w:color="auto"/>
      </w:divBdr>
    </w:div>
    <w:div w:id="374934467">
      <w:bodyDiv w:val="1"/>
      <w:marLeft w:val="0"/>
      <w:marRight w:val="0"/>
      <w:marTop w:val="0"/>
      <w:marBottom w:val="0"/>
      <w:divBdr>
        <w:top w:val="none" w:sz="0" w:space="0" w:color="auto"/>
        <w:left w:val="none" w:sz="0" w:space="0" w:color="auto"/>
        <w:bottom w:val="none" w:sz="0" w:space="0" w:color="auto"/>
        <w:right w:val="none" w:sz="0" w:space="0" w:color="auto"/>
      </w:divBdr>
    </w:div>
    <w:div w:id="406221484">
      <w:bodyDiv w:val="1"/>
      <w:marLeft w:val="0"/>
      <w:marRight w:val="0"/>
      <w:marTop w:val="0"/>
      <w:marBottom w:val="0"/>
      <w:divBdr>
        <w:top w:val="none" w:sz="0" w:space="0" w:color="auto"/>
        <w:left w:val="none" w:sz="0" w:space="0" w:color="auto"/>
        <w:bottom w:val="none" w:sz="0" w:space="0" w:color="auto"/>
        <w:right w:val="none" w:sz="0" w:space="0" w:color="auto"/>
      </w:divBdr>
    </w:div>
    <w:div w:id="587689064">
      <w:bodyDiv w:val="1"/>
      <w:marLeft w:val="0"/>
      <w:marRight w:val="0"/>
      <w:marTop w:val="0"/>
      <w:marBottom w:val="0"/>
      <w:divBdr>
        <w:top w:val="none" w:sz="0" w:space="0" w:color="auto"/>
        <w:left w:val="none" w:sz="0" w:space="0" w:color="auto"/>
        <w:bottom w:val="none" w:sz="0" w:space="0" w:color="auto"/>
        <w:right w:val="none" w:sz="0" w:space="0" w:color="auto"/>
      </w:divBdr>
    </w:div>
    <w:div w:id="588077949">
      <w:bodyDiv w:val="1"/>
      <w:marLeft w:val="0"/>
      <w:marRight w:val="0"/>
      <w:marTop w:val="0"/>
      <w:marBottom w:val="0"/>
      <w:divBdr>
        <w:top w:val="none" w:sz="0" w:space="0" w:color="auto"/>
        <w:left w:val="none" w:sz="0" w:space="0" w:color="auto"/>
        <w:bottom w:val="none" w:sz="0" w:space="0" w:color="auto"/>
        <w:right w:val="none" w:sz="0" w:space="0" w:color="auto"/>
      </w:divBdr>
    </w:div>
    <w:div w:id="599607596">
      <w:bodyDiv w:val="1"/>
      <w:marLeft w:val="0"/>
      <w:marRight w:val="0"/>
      <w:marTop w:val="0"/>
      <w:marBottom w:val="0"/>
      <w:divBdr>
        <w:top w:val="none" w:sz="0" w:space="0" w:color="auto"/>
        <w:left w:val="none" w:sz="0" w:space="0" w:color="auto"/>
        <w:bottom w:val="none" w:sz="0" w:space="0" w:color="auto"/>
        <w:right w:val="none" w:sz="0" w:space="0" w:color="auto"/>
      </w:divBdr>
    </w:div>
    <w:div w:id="608315012">
      <w:bodyDiv w:val="1"/>
      <w:marLeft w:val="0"/>
      <w:marRight w:val="0"/>
      <w:marTop w:val="0"/>
      <w:marBottom w:val="0"/>
      <w:divBdr>
        <w:top w:val="none" w:sz="0" w:space="0" w:color="auto"/>
        <w:left w:val="none" w:sz="0" w:space="0" w:color="auto"/>
        <w:bottom w:val="none" w:sz="0" w:space="0" w:color="auto"/>
        <w:right w:val="none" w:sz="0" w:space="0" w:color="auto"/>
      </w:divBdr>
    </w:div>
    <w:div w:id="636373500">
      <w:bodyDiv w:val="1"/>
      <w:marLeft w:val="0"/>
      <w:marRight w:val="0"/>
      <w:marTop w:val="0"/>
      <w:marBottom w:val="0"/>
      <w:divBdr>
        <w:top w:val="none" w:sz="0" w:space="0" w:color="auto"/>
        <w:left w:val="none" w:sz="0" w:space="0" w:color="auto"/>
        <w:bottom w:val="none" w:sz="0" w:space="0" w:color="auto"/>
        <w:right w:val="none" w:sz="0" w:space="0" w:color="auto"/>
      </w:divBdr>
    </w:div>
    <w:div w:id="665324132">
      <w:bodyDiv w:val="1"/>
      <w:marLeft w:val="0"/>
      <w:marRight w:val="0"/>
      <w:marTop w:val="0"/>
      <w:marBottom w:val="0"/>
      <w:divBdr>
        <w:top w:val="none" w:sz="0" w:space="0" w:color="auto"/>
        <w:left w:val="none" w:sz="0" w:space="0" w:color="auto"/>
        <w:bottom w:val="none" w:sz="0" w:space="0" w:color="auto"/>
        <w:right w:val="none" w:sz="0" w:space="0" w:color="auto"/>
      </w:divBdr>
    </w:div>
    <w:div w:id="673264505">
      <w:bodyDiv w:val="1"/>
      <w:marLeft w:val="0"/>
      <w:marRight w:val="0"/>
      <w:marTop w:val="0"/>
      <w:marBottom w:val="0"/>
      <w:divBdr>
        <w:top w:val="none" w:sz="0" w:space="0" w:color="auto"/>
        <w:left w:val="none" w:sz="0" w:space="0" w:color="auto"/>
        <w:bottom w:val="none" w:sz="0" w:space="0" w:color="auto"/>
        <w:right w:val="none" w:sz="0" w:space="0" w:color="auto"/>
      </w:divBdr>
    </w:div>
    <w:div w:id="695810621">
      <w:bodyDiv w:val="1"/>
      <w:marLeft w:val="0"/>
      <w:marRight w:val="0"/>
      <w:marTop w:val="0"/>
      <w:marBottom w:val="0"/>
      <w:divBdr>
        <w:top w:val="none" w:sz="0" w:space="0" w:color="auto"/>
        <w:left w:val="none" w:sz="0" w:space="0" w:color="auto"/>
        <w:bottom w:val="none" w:sz="0" w:space="0" w:color="auto"/>
        <w:right w:val="none" w:sz="0" w:space="0" w:color="auto"/>
      </w:divBdr>
    </w:div>
    <w:div w:id="701248754">
      <w:bodyDiv w:val="1"/>
      <w:marLeft w:val="0"/>
      <w:marRight w:val="0"/>
      <w:marTop w:val="0"/>
      <w:marBottom w:val="0"/>
      <w:divBdr>
        <w:top w:val="none" w:sz="0" w:space="0" w:color="auto"/>
        <w:left w:val="none" w:sz="0" w:space="0" w:color="auto"/>
        <w:bottom w:val="none" w:sz="0" w:space="0" w:color="auto"/>
        <w:right w:val="none" w:sz="0" w:space="0" w:color="auto"/>
      </w:divBdr>
    </w:div>
    <w:div w:id="845753935">
      <w:bodyDiv w:val="1"/>
      <w:marLeft w:val="0"/>
      <w:marRight w:val="0"/>
      <w:marTop w:val="0"/>
      <w:marBottom w:val="0"/>
      <w:divBdr>
        <w:top w:val="none" w:sz="0" w:space="0" w:color="auto"/>
        <w:left w:val="none" w:sz="0" w:space="0" w:color="auto"/>
        <w:bottom w:val="none" w:sz="0" w:space="0" w:color="auto"/>
        <w:right w:val="none" w:sz="0" w:space="0" w:color="auto"/>
      </w:divBdr>
    </w:div>
    <w:div w:id="927234438">
      <w:bodyDiv w:val="1"/>
      <w:marLeft w:val="0"/>
      <w:marRight w:val="0"/>
      <w:marTop w:val="0"/>
      <w:marBottom w:val="0"/>
      <w:divBdr>
        <w:top w:val="none" w:sz="0" w:space="0" w:color="auto"/>
        <w:left w:val="none" w:sz="0" w:space="0" w:color="auto"/>
        <w:bottom w:val="none" w:sz="0" w:space="0" w:color="auto"/>
        <w:right w:val="none" w:sz="0" w:space="0" w:color="auto"/>
      </w:divBdr>
    </w:div>
    <w:div w:id="928660180">
      <w:bodyDiv w:val="1"/>
      <w:marLeft w:val="0"/>
      <w:marRight w:val="0"/>
      <w:marTop w:val="0"/>
      <w:marBottom w:val="0"/>
      <w:divBdr>
        <w:top w:val="none" w:sz="0" w:space="0" w:color="auto"/>
        <w:left w:val="none" w:sz="0" w:space="0" w:color="auto"/>
        <w:bottom w:val="none" w:sz="0" w:space="0" w:color="auto"/>
        <w:right w:val="none" w:sz="0" w:space="0" w:color="auto"/>
      </w:divBdr>
    </w:div>
    <w:div w:id="969827968">
      <w:bodyDiv w:val="1"/>
      <w:marLeft w:val="0"/>
      <w:marRight w:val="0"/>
      <w:marTop w:val="0"/>
      <w:marBottom w:val="0"/>
      <w:divBdr>
        <w:top w:val="none" w:sz="0" w:space="0" w:color="auto"/>
        <w:left w:val="none" w:sz="0" w:space="0" w:color="auto"/>
        <w:bottom w:val="none" w:sz="0" w:space="0" w:color="auto"/>
        <w:right w:val="none" w:sz="0" w:space="0" w:color="auto"/>
      </w:divBdr>
    </w:div>
    <w:div w:id="973411567">
      <w:bodyDiv w:val="1"/>
      <w:marLeft w:val="0"/>
      <w:marRight w:val="0"/>
      <w:marTop w:val="0"/>
      <w:marBottom w:val="0"/>
      <w:divBdr>
        <w:top w:val="none" w:sz="0" w:space="0" w:color="auto"/>
        <w:left w:val="none" w:sz="0" w:space="0" w:color="auto"/>
        <w:bottom w:val="none" w:sz="0" w:space="0" w:color="auto"/>
        <w:right w:val="none" w:sz="0" w:space="0" w:color="auto"/>
      </w:divBdr>
    </w:div>
    <w:div w:id="1015421021">
      <w:bodyDiv w:val="1"/>
      <w:marLeft w:val="0"/>
      <w:marRight w:val="0"/>
      <w:marTop w:val="0"/>
      <w:marBottom w:val="0"/>
      <w:divBdr>
        <w:top w:val="none" w:sz="0" w:space="0" w:color="auto"/>
        <w:left w:val="none" w:sz="0" w:space="0" w:color="auto"/>
        <w:bottom w:val="none" w:sz="0" w:space="0" w:color="auto"/>
        <w:right w:val="none" w:sz="0" w:space="0" w:color="auto"/>
      </w:divBdr>
    </w:div>
    <w:div w:id="1194608809">
      <w:bodyDiv w:val="1"/>
      <w:marLeft w:val="0"/>
      <w:marRight w:val="0"/>
      <w:marTop w:val="0"/>
      <w:marBottom w:val="0"/>
      <w:divBdr>
        <w:top w:val="none" w:sz="0" w:space="0" w:color="auto"/>
        <w:left w:val="none" w:sz="0" w:space="0" w:color="auto"/>
        <w:bottom w:val="none" w:sz="0" w:space="0" w:color="auto"/>
        <w:right w:val="none" w:sz="0" w:space="0" w:color="auto"/>
      </w:divBdr>
    </w:div>
    <w:div w:id="1194688028">
      <w:bodyDiv w:val="1"/>
      <w:marLeft w:val="0"/>
      <w:marRight w:val="0"/>
      <w:marTop w:val="0"/>
      <w:marBottom w:val="0"/>
      <w:divBdr>
        <w:top w:val="none" w:sz="0" w:space="0" w:color="auto"/>
        <w:left w:val="none" w:sz="0" w:space="0" w:color="auto"/>
        <w:bottom w:val="none" w:sz="0" w:space="0" w:color="auto"/>
        <w:right w:val="none" w:sz="0" w:space="0" w:color="auto"/>
      </w:divBdr>
    </w:div>
    <w:div w:id="1232732175">
      <w:bodyDiv w:val="1"/>
      <w:marLeft w:val="0"/>
      <w:marRight w:val="0"/>
      <w:marTop w:val="0"/>
      <w:marBottom w:val="0"/>
      <w:divBdr>
        <w:top w:val="none" w:sz="0" w:space="0" w:color="auto"/>
        <w:left w:val="none" w:sz="0" w:space="0" w:color="auto"/>
        <w:bottom w:val="none" w:sz="0" w:space="0" w:color="auto"/>
        <w:right w:val="none" w:sz="0" w:space="0" w:color="auto"/>
      </w:divBdr>
    </w:div>
    <w:div w:id="1328635528">
      <w:bodyDiv w:val="1"/>
      <w:marLeft w:val="0"/>
      <w:marRight w:val="0"/>
      <w:marTop w:val="0"/>
      <w:marBottom w:val="0"/>
      <w:divBdr>
        <w:top w:val="none" w:sz="0" w:space="0" w:color="auto"/>
        <w:left w:val="none" w:sz="0" w:space="0" w:color="auto"/>
        <w:bottom w:val="none" w:sz="0" w:space="0" w:color="auto"/>
        <w:right w:val="none" w:sz="0" w:space="0" w:color="auto"/>
      </w:divBdr>
    </w:div>
    <w:div w:id="1332609433">
      <w:bodyDiv w:val="1"/>
      <w:marLeft w:val="0"/>
      <w:marRight w:val="0"/>
      <w:marTop w:val="0"/>
      <w:marBottom w:val="0"/>
      <w:divBdr>
        <w:top w:val="none" w:sz="0" w:space="0" w:color="auto"/>
        <w:left w:val="none" w:sz="0" w:space="0" w:color="auto"/>
        <w:bottom w:val="none" w:sz="0" w:space="0" w:color="auto"/>
        <w:right w:val="none" w:sz="0" w:space="0" w:color="auto"/>
      </w:divBdr>
    </w:div>
    <w:div w:id="1339456962">
      <w:bodyDiv w:val="1"/>
      <w:marLeft w:val="0"/>
      <w:marRight w:val="0"/>
      <w:marTop w:val="0"/>
      <w:marBottom w:val="0"/>
      <w:divBdr>
        <w:top w:val="none" w:sz="0" w:space="0" w:color="auto"/>
        <w:left w:val="none" w:sz="0" w:space="0" w:color="auto"/>
        <w:bottom w:val="none" w:sz="0" w:space="0" w:color="auto"/>
        <w:right w:val="none" w:sz="0" w:space="0" w:color="auto"/>
      </w:divBdr>
    </w:div>
    <w:div w:id="1340739579">
      <w:bodyDiv w:val="1"/>
      <w:marLeft w:val="0"/>
      <w:marRight w:val="0"/>
      <w:marTop w:val="0"/>
      <w:marBottom w:val="0"/>
      <w:divBdr>
        <w:top w:val="none" w:sz="0" w:space="0" w:color="auto"/>
        <w:left w:val="none" w:sz="0" w:space="0" w:color="auto"/>
        <w:bottom w:val="none" w:sz="0" w:space="0" w:color="auto"/>
        <w:right w:val="none" w:sz="0" w:space="0" w:color="auto"/>
      </w:divBdr>
    </w:div>
    <w:div w:id="1363630482">
      <w:bodyDiv w:val="1"/>
      <w:marLeft w:val="0"/>
      <w:marRight w:val="0"/>
      <w:marTop w:val="0"/>
      <w:marBottom w:val="0"/>
      <w:divBdr>
        <w:top w:val="none" w:sz="0" w:space="0" w:color="auto"/>
        <w:left w:val="none" w:sz="0" w:space="0" w:color="auto"/>
        <w:bottom w:val="none" w:sz="0" w:space="0" w:color="auto"/>
        <w:right w:val="none" w:sz="0" w:space="0" w:color="auto"/>
      </w:divBdr>
    </w:div>
    <w:div w:id="1400785279">
      <w:bodyDiv w:val="1"/>
      <w:marLeft w:val="0"/>
      <w:marRight w:val="0"/>
      <w:marTop w:val="0"/>
      <w:marBottom w:val="0"/>
      <w:divBdr>
        <w:top w:val="none" w:sz="0" w:space="0" w:color="auto"/>
        <w:left w:val="none" w:sz="0" w:space="0" w:color="auto"/>
        <w:bottom w:val="none" w:sz="0" w:space="0" w:color="auto"/>
        <w:right w:val="none" w:sz="0" w:space="0" w:color="auto"/>
      </w:divBdr>
    </w:div>
    <w:div w:id="1435439189">
      <w:bodyDiv w:val="1"/>
      <w:marLeft w:val="0"/>
      <w:marRight w:val="0"/>
      <w:marTop w:val="0"/>
      <w:marBottom w:val="0"/>
      <w:divBdr>
        <w:top w:val="none" w:sz="0" w:space="0" w:color="auto"/>
        <w:left w:val="none" w:sz="0" w:space="0" w:color="auto"/>
        <w:bottom w:val="none" w:sz="0" w:space="0" w:color="auto"/>
        <w:right w:val="none" w:sz="0" w:space="0" w:color="auto"/>
      </w:divBdr>
    </w:div>
    <w:div w:id="1476137981">
      <w:bodyDiv w:val="1"/>
      <w:marLeft w:val="0"/>
      <w:marRight w:val="0"/>
      <w:marTop w:val="0"/>
      <w:marBottom w:val="0"/>
      <w:divBdr>
        <w:top w:val="none" w:sz="0" w:space="0" w:color="auto"/>
        <w:left w:val="none" w:sz="0" w:space="0" w:color="auto"/>
        <w:bottom w:val="none" w:sz="0" w:space="0" w:color="auto"/>
        <w:right w:val="none" w:sz="0" w:space="0" w:color="auto"/>
      </w:divBdr>
    </w:div>
    <w:div w:id="1482691700">
      <w:bodyDiv w:val="1"/>
      <w:marLeft w:val="0"/>
      <w:marRight w:val="0"/>
      <w:marTop w:val="0"/>
      <w:marBottom w:val="0"/>
      <w:divBdr>
        <w:top w:val="none" w:sz="0" w:space="0" w:color="auto"/>
        <w:left w:val="none" w:sz="0" w:space="0" w:color="auto"/>
        <w:bottom w:val="none" w:sz="0" w:space="0" w:color="auto"/>
        <w:right w:val="none" w:sz="0" w:space="0" w:color="auto"/>
      </w:divBdr>
    </w:div>
    <w:div w:id="1515147905">
      <w:bodyDiv w:val="1"/>
      <w:marLeft w:val="0"/>
      <w:marRight w:val="0"/>
      <w:marTop w:val="0"/>
      <w:marBottom w:val="0"/>
      <w:divBdr>
        <w:top w:val="none" w:sz="0" w:space="0" w:color="auto"/>
        <w:left w:val="none" w:sz="0" w:space="0" w:color="auto"/>
        <w:bottom w:val="none" w:sz="0" w:space="0" w:color="auto"/>
        <w:right w:val="none" w:sz="0" w:space="0" w:color="auto"/>
      </w:divBdr>
    </w:div>
    <w:div w:id="1601639955">
      <w:bodyDiv w:val="1"/>
      <w:marLeft w:val="0"/>
      <w:marRight w:val="0"/>
      <w:marTop w:val="0"/>
      <w:marBottom w:val="0"/>
      <w:divBdr>
        <w:top w:val="none" w:sz="0" w:space="0" w:color="auto"/>
        <w:left w:val="none" w:sz="0" w:space="0" w:color="auto"/>
        <w:bottom w:val="none" w:sz="0" w:space="0" w:color="auto"/>
        <w:right w:val="none" w:sz="0" w:space="0" w:color="auto"/>
      </w:divBdr>
    </w:div>
    <w:div w:id="1601714999">
      <w:bodyDiv w:val="1"/>
      <w:marLeft w:val="0"/>
      <w:marRight w:val="0"/>
      <w:marTop w:val="0"/>
      <w:marBottom w:val="0"/>
      <w:divBdr>
        <w:top w:val="none" w:sz="0" w:space="0" w:color="auto"/>
        <w:left w:val="none" w:sz="0" w:space="0" w:color="auto"/>
        <w:bottom w:val="none" w:sz="0" w:space="0" w:color="auto"/>
        <w:right w:val="none" w:sz="0" w:space="0" w:color="auto"/>
      </w:divBdr>
    </w:div>
    <w:div w:id="1635715887">
      <w:bodyDiv w:val="1"/>
      <w:marLeft w:val="0"/>
      <w:marRight w:val="0"/>
      <w:marTop w:val="0"/>
      <w:marBottom w:val="0"/>
      <w:divBdr>
        <w:top w:val="none" w:sz="0" w:space="0" w:color="auto"/>
        <w:left w:val="none" w:sz="0" w:space="0" w:color="auto"/>
        <w:bottom w:val="none" w:sz="0" w:space="0" w:color="auto"/>
        <w:right w:val="none" w:sz="0" w:space="0" w:color="auto"/>
      </w:divBdr>
    </w:div>
    <w:div w:id="1638146970">
      <w:bodyDiv w:val="1"/>
      <w:marLeft w:val="0"/>
      <w:marRight w:val="0"/>
      <w:marTop w:val="0"/>
      <w:marBottom w:val="0"/>
      <w:divBdr>
        <w:top w:val="none" w:sz="0" w:space="0" w:color="auto"/>
        <w:left w:val="none" w:sz="0" w:space="0" w:color="auto"/>
        <w:bottom w:val="none" w:sz="0" w:space="0" w:color="auto"/>
        <w:right w:val="none" w:sz="0" w:space="0" w:color="auto"/>
      </w:divBdr>
    </w:div>
    <w:div w:id="1649438510">
      <w:bodyDiv w:val="1"/>
      <w:marLeft w:val="0"/>
      <w:marRight w:val="0"/>
      <w:marTop w:val="0"/>
      <w:marBottom w:val="0"/>
      <w:divBdr>
        <w:top w:val="none" w:sz="0" w:space="0" w:color="auto"/>
        <w:left w:val="none" w:sz="0" w:space="0" w:color="auto"/>
        <w:bottom w:val="none" w:sz="0" w:space="0" w:color="auto"/>
        <w:right w:val="none" w:sz="0" w:space="0" w:color="auto"/>
      </w:divBdr>
    </w:div>
    <w:div w:id="1659265413">
      <w:bodyDiv w:val="1"/>
      <w:marLeft w:val="0"/>
      <w:marRight w:val="0"/>
      <w:marTop w:val="0"/>
      <w:marBottom w:val="0"/>
      <w:divBdr>
        <w:top w:val="none" w:sz="0" w:space="0" w:color="auto"/>
        <w:left w:val="none" w:sz="0" w:space="0" w:color="auto"/>
        <w:bottom w:val="none" w:sz="0" w:space="0" w:color="auto"/>
        <w:right w:val="none" w:sz="0" w:space="0" w:color="auto"/>
      </w:divBdr>
    </w:div>
    <w:div w:id="1683775094">
      <w:bodyDiv w:val="1"/>
      <w:marLeft w:val="0"/>
      <w:marRight w:val="0"/>
      <w:marTop w:val="0"/>
      <w:marBottom w:val="0"/>
      <w:divBdr>
        <w:top w:val="none" w:sz="0" w:space="0" w:color="auto"/>
        <w:left w:val="none" w:sz="0" w:space="0" w:color="auto"/>
        <w:bottom w:val="none" w:sz="0" w:space="0" w:color="auto"/>
        <w:right w:val="none" w:sz="0" w:space="0" w:color="auto"/>
      </w:divBdr>
    </w:div>
    <w:div w:id="1687319797">
      <w:bodyDiv w:val="1"/>
      <w:marLeft w:val="0"/>
      <w:marRight w:val="0"/>
      <w:marTop w:val="0"/>
      <w:marBottom w:val="0"/>
      <w:divBdr>
        <w:top w:val="none" w:sz="0" w:space="0" w:color="auto"/>
        <w:left w:val="none" w:sz="0" w:space="0" w:color="auto"/>
        <w:bottom w:val="none" w:sz="0" w:space="0" w:color="auto"/>
        <w:right w:val="none" w:sz="0" w:space="0" w:color="auto"/>
      </w:divBdr>
    </w:div>
    <w:div w:id="1861432909">
      <w:bodyDiv w:val="1"/>
      <w:marLeft w:val="0"/>
      <w:marRight w:val="0"/>
      <w:marTop w:val="0"/>
      <w:marBottom w:val="0"/>
      <w:divBdr>
        <w:top w:val="none" w:sz="0" w:space="0" w:color="auto"/>
        <w:left w:val="none" w:sz="0" w:space="0" w:color="auto"/>
        <w:bottom w:val="none" w:sz="0" w:space="0" w:color="auto"/>
        <w:right w:val="none" w:sz="0" w:space="0" w:color="auto"/>
      </w:divBdr>
    </w:div>
    <w:div w:id="1955283557">
      <w:bodyDiv w:val="1"/>
      <w:marLeft w:val="0"/>
      <w:marRight w:val="0"/>
      <w:marTop w:val="0"/>
      <w:marBottom w:val="0"/>
      <w:divBdr>
        <w:top w:val="none" w:sz="0" w:space="0" w:color="auto"/>
        <w:left w:val="none" w:sz="0" w:space="0" w:color="auto"/>
        <w:bottom w:val="none" w:sz="0" w:space="0" w:color="auto"/>
        <w:right w:val="none" w:sz="0" w:space="0" w:color="auto"/>
      </w:divBdr>
    </w:div>
    <w:div w:id="1973242948">
      <w:bodyDiv w:val="1"/>
      <w:marLeft w:val="0"/>
      <w:marRight w:val="0"/>
      <w:marTop w:val="0"/>
      <w:marBottom w:val="0"/>
      <w:divBdr>
        <w:top w:val="none" w:sz="0" w:space="0" w:color="auto"/>
        <w:left w:val="none" w:sz="0" w:space="0" w:color="auto"/>
        <w:bottom w:val="none" w:sz="0" w:space="0" w:color="auto"/>
        <w:right w:val="none" w:sz="0" w:space="0" w:color="auto"/>
      </w:divBdr>
    </w:div>
    <w:div w:id="1999846742">
      <w:bodyDiv w:val="1"/>
      <w:marLeft w:val="0"/>
      <w:marRight w:val="0"/>
      <w:marTop w:val="0"/>
      <w:marBottom w:val="0"/>
      <w:divBdr>
        <w:top w:val="none" w:sz="0" w:space="0" w:color="auto"/>
        <w:left w:val="none" w:sz="0" w:space="0" w:color="auto"/>
        <w:bottom w:val="none" w:sz="0" w:space="0" w:color="auto"/>
        <w:right w:val="none" w:sz="0" w:space="0" w:color="auto"/>
      </w:divBdr>
    </w:div>
    <w:div w:id="2044934451">
      <w:bodyDiv w:val="1"/>
      <w:marLeft w:val="0"/>
      <w:marRight w:val="0"/>
      <w:marTop w:val="0"/>
      <w:marBottom w:val="0"/>
      <w:divBdr>
        <w:top w:val="none" w:sz="0" w:space="0" w:color="auto"/>
        <w:left w:val="none" w:sz="0" w:space="0" w:color="auto"/>
        <w:bottom w:val="none" w:sz="0" w:space="0" w:color="auto"/>
        <w:right w:val="none" w:sz="0" w:space="0" w:color="auto"/>
      </w:divBdr>
    </w:div>
    <w:div w:id="2058311186">
      <w:bodyDiv w:val="1"/>
      <w:marLeft w:val="0"/>
      <w:marRight w:val="0"/>
      <w:marTop w:val="0"/>
      <w:marBottom w:val="0"/>
      <w:divBdr>
        <w:top w:val="none" w:sz="0" w:space="0" w:color="auto"/>
        <w:left w:val="none" w:sz="0" w:space="0" w:color="auto"/>
        <w:bottom w:val="none" w:sz="0" w:space="0" w:color="auto"/>
        <w:right w:val="none" w:sz="0" w:space="0" w:color="auto"/>
      </w:divBdr>
    </w:div>
    <w:div w:id="2141803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image" Target="media/image1.jp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852EC6-FEB1-4948-B69D-A74B523B35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20</Pages>
  <Words>41262</Words>
  <Characters>235197</Characters>
  <Application>Microsoft Office Word</Application>
  <DocSecurity>0</DocSecurity>
  <Lines>1959</Lines>
  <Paragraphs>551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Powlen,Kathryn</dc:creator>
  <cp:keywords/>
  <dc:description/>
  <cp:lastModifiedBy>Powlen,Kathryn</cp:lastModifiedBy>
  <cp:revision>14</cp:revision>
  <cp:lastPrinted>2020-11-09T17:36:00Z</cp:lastPrinted>
  <dcterms:created xsi:type="dcterms:W3CDTF">2021-04-02T19:31:00Z</dcterms:created>
  <dcterms:modified xsi:type="dcterms:W3CDTF">2021-04-02T19:43:00Z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715392e1-bba4-3510-ba3d-392c54d83564</vt:lpwstr>
  </property>
  <property fmtid="{D5CDD505-2E9C-101B-9397-08002B2CF9AE}" pid="4" name="Mendeley Citation Style_1">
    <vt:lpwstr>http://www.zotero.org/styles/apa</vt:lpwstr>
  </property>
  <property fmtid="{D5CDD505-2E9C-101B-9397-08002B2CF9AE}" pid="5" name="Mendeley Recent Style Id 0_1">
    <vt:lpwstr>http://www.zotero.org/styles/american-political-science-association</vt:lpwstr>
  </property>
  <property fmtid="{D5CDD505-2E9C-101B-9397-08002B2CF9AE}" pid="6" name="Mendeley Recent Style Name 0_1">
    <vt:lpwstr>American Political Science Association</vt:lpwstr>
  </property>
  <property fmtid="{D5CDD505-2E9C-101B-9397-08002B2CF9AE}" pid="7" name="Mendeley Recent Style Id 1_1">
    <vt:lpwstr>http://www.zotero.org/styles/apa</vt:lpwstr>
  </property>
  <property fmtid="{D5CDD505-2E9C-101B-9397-08002B2CF9AE}" pid="8" name="Mendeley Recent Style Name 1_1">
    <vt:lpwstr>American Psychological Association 6th edition</vt:lpwstr>
  </property>
  <property fmtid="{D5CDD505-2E9C-101B-9397-08002B2CF9AE}" pid="9" name="Mendeley Recent Style Id 2_1">
    <vt:lpwstr>http://www.zotero.org/styles/american-sociological-association</vt:lpwstr>
  </property>
  <property fmtid="{D5CDD505-2E9C-101B-9397-08002B2CF9AE}" pid="10" name="Mendeley Recent Style Name 2_1">
    <vt:lpwstr>American Sociological Association</vt:lpwstr>
  </property>
  <property fmtid="{D5CDD505-2E9C-101B-9397-08002B2CF9AE}" pid="11" name="Mendeley Recent Style Id 3_1">
    <vt:lpwstr>http://www.zotero.org/styles/chicago-author-date</vt:lpwstr>
  </property>
  <property fmtid="{D5CDD505-2E9C-101B-9397-08002B2CF9AE}" pid="12" name="Mendeley Recent Style Name 3_1">
    <vt:lpwstr>Chicago Manual of Style 17th edition (author-date)</vt:lpwstr>
  </property>
  <property fmtid="{D5CDD505-2E9C-101B-9397-08002B2CF9AE}" pid="13" name="Mendeley Recent Style Id 4_1">
    <vt:lpwstr>http://www.zotero.org/styles/harvard1</vt:lpwstr>
  </property>
  <property fmtid="{D5CDD505-2E9C-101B-9397-08002B2CF9AE}" pid="14" name="Mendeley Recent Style Name 4_1">
    <vt:lpwstr>Harvard reference format 1 (deprecated)</vt:lpwstr>
  </property>
  <property fmtid="{D5CDD505-2E9C-101B-9397-08002B2CF9AE}" pid="15" name="Mendeley Recent Style Id 5_1">
    <vt:lpwstr>http://www.zotero.org/styles/ieee</vt:lpwstr>
  </property>
  <property fmtid="{D5CDD505-2E9C-101B-9397-08002B2CF9AE}" pid="16" name="Mendeley Recent Style Name 5_1">
    <vt:lpwstr>IEEE</vt:lpwstr>
  </property>
  <property fmtid="{D5CDD505-2E9C-101B-9397-08002B2CF9AE}" pid="17" name="Mendeley Recent Style Id 6_1">
    <vt:lpwstr>http://www.zotero.org/styles/land-use-policy</vt:lpwstr>
  </property>
  <property fmtid="{D5CDD505-2E9C-101B-9397-08002B2CF9AE}" pid="18" name="Mendeley Recent Style Name 6_1">
    <vt:lpwstr>Land Use Policy</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