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187F" w:rsidRDefault="005109BB">
      <w:pPr>
        <w:rPr>
          <w:rFonts w:ascii="Times New Roman" w:eastAsia="Times New Roman" w:hAnsi="Times New Roman" w:cs="Times New Roman"/>
          <w:sz w:val="24"/>
          <w:szCs w:val="24"/>
        </w:rPr>
      </w:pPr>
      <w:r>
        <w:rPr>
          <w:rFonts w:ascii="Times New Roman" w:eastAsia="Times New Roman" w:hAnsi="Times New Roman" w:cs="Times New Roman"/>
          <w:sz w:val="24"/>
          <w:szCs w:val="24"/>
        </w:rPr>
        <w:t>Temporal Change Detection Analysis of Monroe County, NY tree cover from 2009 to 2017</w:t>
      </w:r>
    </w:p>
    <w:p w:rsidR="0098187F" w:rsidRDefault="0098187F">
      <w:pPr>
        <w:rPr>
          <w:rFonts w:ascii="Times New Roman" w:eastAsia="Times New Roman" w:hAnsi="Times New Roman" w:cs="Times New Roman"/>
          <w:sz w:val="24"/>
          <w:szCs w:val="24"/>
        </w:rPr>
      </w:pPr>
    </w:p>
    <w:p w:rsidR="0098187F" w:rsidRDefault="005109BB">
      <w:pPr>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Authors: Sarah Bacchus, Amanda Walker, Kaitlin Stack Whitney</w:t>
      </w:r>
    </w:p>
    <w:p w:rsidR="0098187F" w:rsidRDefault="0098187F">
      <w:pPr>
        <w:spacing w:line="240" w:lineRule="auto"/>
        <w:rPr>
          <w:rFonts w:ascii="Times New Roman" w:eastAsia="Times New Roman" w:hAnsi="Times New Roman" w:cs="Times New Roman"/>
          <w:b/>
          <w:sz w:val="24"/>
          <w:szCs w:val="24"/>
          <w:u w:val="single"/>
        </w:rPr>
      </w:pPr>
    </w:p>
    <w:p w:rsidR="0098187F" w:rsidRDefault="0098187F">
      <w:pPr>
        <w:spacing w:line="240" w:lineRule="auto"/>
        <w:rPr>
          <w:rFonts w:ascii="Times New Roman" w:eastAsia="Times New Roman" w:hAnsi="Times New Roman" w:cs="Times New Roman"/>
          <w:b/>
          <w:sz w:val="24"/>
          <w:szCs w:val="24"/>
          <w:u w:val="single"/>
        </w:rPr>
      </w:pPr>
    </w:p>
    <w:p w:rsidR="0098187F" w:rsidRDefault="005109B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Abstract</w:t>
      </w:r>
    </w:p>
    <w:p w:rsidR="0098187F" w:rsidRDefault="0098187F">
      <w:pPr>
        <w:spacing w:line="240" w:lineRule="auto"/>
        <w:rPr>
          <w:rFonts w:ascii="Times New Roman" w:eastAsia="Times New Roman" w:hAnsi="Times New Roman" w:cs="Times New Roman"/>
          <w:b/>
          <w:sz w:val="24"/>
          <w:szCs w:val="24"/>
          <w:u w:val="single"/>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Forests provide many ecosystem services which are enjoyed by nearby residing communities. This includes pollution and flood mitigation, carbon sequestration, oxygen production, food, fuel, education, recreation, and aesthetics. These ecosystem services als</w:t>
      </w:r>
      <w:r>
        <w:rPr>
          <w:rFonts w:ascii="Times New Roman" w:eastAsia="Times New Roman" w:hAnsi="Times New Roman" w:cs="Times New Roman"/>
          <w:sz w:val="24"/>
          <w:szCs w:val="24"/>
        </w:rPr>
        <w:t>o come from urban and suburban forests. Urban ecosystems, specifically urban green spaces services have been noted to improve human health significantly. Yet urban forests and ecosystem services have not and are not distributed. Understanding where and whe</w:t>
      </w:r>
      <w:r>
        <w:rPr>
          <w:rFonts w:ascii="Times New Roman" w:eastAsia="Times New Roman" w:hAnsi="Times New Roman" w:cs="Times New Roman"/>
          <w:sz w:val="24"/>
          <w:szCs w:val="24"/>
        </w:rPr>
        <w:t>n forest cover and green spaces are changing can give insight into corresponding changes in services and access within and between communities. Thus, our objective was to complete a temporal analysis of the tree canopy-cover in the city of Rochester, NY wa</w:t>
      </w:r>
      <w:r>
        <w:rPr>
          <w:rFonts w:ascii="Times New Roman" w:eastAsia="Times New Roman" w:hAnsi="Times New Roman" w:cs="Times New Roman"/>
          <w:sz w:val="24"/>
          <w:szCs w:val="24"/>
        </w:rPr>
        <w:t xml:space="preserve">s performed to examine change in tree cover and green spaces from 2009-2017. We did this using three-band </w:t>
      </w:r>
      <w:proofErr w:type="spellStart"/>
      <w:r>
        <w:rPr>
          <w:rFonts w:ascii="Times New Roman" w:eastAsia="Times New Roman" w:hAnsi="Times New Roman" w:cs="Times New Roman"/>
          <w:sz w:val="24"/>
          <w:szCs w:val="24"/>
        </w:rPr>
        <w:t>orthorectified</w:t>
      </w:r>
      <w:proofErr w:type="spellEnd"/>
      <w:r>
        <w:rPr>
          <w:rFonts w:ascii="Times New Roman" w:eastAsia="Times New Roman" w:hAnsi="Times New Roman" w:cs="Times New Roman"/>
          <w:sz w:val="24"/>
          <w:szCs w:val="24"/>
        </w:rPr>
        <w:t xml:space="preserve"> data; red, green, and blue bands and unsupervised and supervised classifications. A stacked-PCA image was created and applied to the ch</w:t>
      </w:r>
      <w:r>
        <w:rPr>
          <w:rFonts w:ascii="Times New Roman" w:eastAsia="Times New Roman" w:hAnsi="Times New Roman" w:cs="Times New Roman"/>
          <w:sz w:val="24"/>
          <w:szCs w:val="24"/>
        </w:rPr>
        <w:t>ange-detection PCA technique. In running the stack PCA analysis band 3 was found to be indicative of change, highlighting the expansion of agriculture as a major drive of change. The stacked PCA change detection technique determined that 8,448,898,967 tons</w:t>
      </w:r>
      <w:r>
        <w:rPr>
          <w:rFonts w:ascii="Times New Roman" w:eastAsia="Times New Roman" w:hAnsi="Times New Roman" w:cs="Times New Roman"/>
          <w:sz w:val="24"/>
          <w:szCs w:val="24"/>
        </w:rPr>
        <w:t>/ha of vegetation was gained during these two time periods. The attempted NDVI change detection indicated that 1.890893535</w:t>
      </w:r>
      <w:r>
        <w:rPr>
          <w:rFonts w:ascii="Times New Roman" w:eastAsia="Times New Roman" w:hAnsi="Times New Roman" w:cs="Times New Roman"/>
          <w:sz w:val="24"/>
          <w:szCs w:val="24"/>
          <w:vertAlign w:val="superscript"/>
        </w:rPr>
        <w:t>10</w:t>
      </w:r>
      <w:r>
        <w:rPr>
          <w:rFonts w:ascii="Times New Roman" w:eastAsia="Times New Roman" w:hAnsi="Times New Roman" w:cs="Times New Roman"/>
          <w:sz w:val="24"/>
          <w:szCs w:val="24"/>
        </w:rPr>
        <w:t xml:space="preserve"> tons/ha of vegetation was gained. The NDVI change detection analysis revealed the most vegetation gains occurring in the rural and </w:t>
      </w:r>
      <w:r>
        <w:rPr>
          <w:rFonts w:ascii="Times New Roman" w:eastAsia="Times New Roman" w:hAnsi="Times New Roman" w:cs="Times New Roman"/>
          <w:sz w:val="24"/>
          <w:szCs w:val="24"/>
        </w:rPr>
        <w:t>suburban regions of Monroe County, NY between 2090 and 2017. Given the many benefits of forests and green spaces for health and well-being, we make recommendations for future researchers attempting this kind of assessment for Monroe County and identify loc</w:t>
      </w:r>
      <w:r>
        <w:rPr>
          <w:rFonts w:ascii="Times New Roman" w:eastAsia="Times New Roman" w:hAnsi="Times New Roman" w:cs="Times New Roman"/>
          <w:sz w:val="24"/>
          <w:szCs w:val="24"/>
        </w:rPr>
        <w:t xml:space="preserve">al programs that may be mitigating some of the green space disparities in the county. </w:t>
      </w:r>
    </w:p>
    <w:p w:rsidR="0098187F" w:rsidRDefault="005109BB">
      <w:pPr>
        <w:spacing w:line="240" w:lineRule="auto"/>
        <w:rPr>
          <w:rFonts w:ascii="Times New Roman" w:eastAsia="Times New Roman" w:hAnsi="Times New Roman" w:cs="Times New Roman"/>
          <w:b/>
          <w:sz w:val="24"/>
          <w:szCs w:val="24"/>
          <w:u w:val="single"/>
        </w:rPr>
      </w:pPr>
      <w:r>
        <w:br w:type="page"/>
      </w:r>
    </w:p>
    <w:p w:rsidR="0098187F" w:rsidRDefault="005109B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Introduction</w:t>
      </w:r>
    </w:p>
    <w:p w:rsidR="0098187F" w:rsidRDefault="0098187F">
      <w:pPr>
        <w:spacing w:line="240" w:lineRule="auto"/>
        <w:rPr>
          <w:rFonts w:ascii="Times New Roman" w:eastAsia="Times New Roman" w:hAnsi="Times New Roman" w:cs="Times New Roman"/>
          <w:b/>
          <w:sz w:val="24"/>
          <w:szCs w:val="24"/>
          <w:u w:val="single"/>
        </w:rPr>
      </w:pPr>
    </w:p>
    <w:p w:rsidR="0098187F" w:rsidRDefault="005109BB">
      <w:pPr>
        <w:spacing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Human communities rely heavily on services from natural systems, known as ecosystem </w:t>
      </w:r>
      <w:proofErr w:type="spellStart"/>
      <w:r>
        <w:rPr>
          <w:rFonts w:ascii="Times New Roman" w:eastAsia="Times New Roman" w:hAnsi="Times New Roman" w:cs="Times New Roman"/>
          <w:sz w:val="24"/>
          <w:szCs w:val="24"/>
        </w:rPr>
        <w:t>services.An</w:t>
      </w:r>
      <w:proofErr w:type="spellEnd"/>
      <w:r>
        <w:rPr>
          <w:rFonts w:ascii="Times New Roman" w:eastAsia="Times New Roman" w:hAnsi="Times New Roman" w:cs="Times New Roman"/>
          <w:sz w:val="24"/>
          <w:szCs w:val="24"/>
        </w:rPr>
        <w:t xml:space="preserve"> ecosystem service is any positive benefit that wildlife o</w:t>
      </w:r>
      <w:r>
        <w:rPr>
          <w:rFonts w:ascii="Times New Roman" w:eastAsia="Times New Roman" w:hAnsi="Times New Roman" w:cs="Times New Roman"/>
          <w:sz w:val="24"/>
          <w:szCs w:val="24"/>
        </w:rPr>
        <w:t>r ecosystems provide to people (NWF, 2020). These services are essential for human life: assisting in the cultivation of agriculture for food to eat, regulation of water to drink and bathe in, and air quality to breathe.  Major categories of ecosystem serv</w:t>
      </w:r>
      <w:r>
        <w:rPr>
          <w:rFonts w:ascii="Times New Roman" w:eastAsia="Times New Roman" w:hAnsi="Times New Roman" w:cs="Times New Roman"/>
          <w:sz w:val="24"/>
          <w:szCs w:val="24"/>
        </w:rPr>
        <w:t xml:space="preserve">ices are provisioning, regulating, culture, and supporting services. Provision services supply humans with products from ecosystems; this includes water, crops, and </w:t>
      </w:r>
      <w:proofErr w:type="gramStart"/>
      <w:r>
        <w:rPr>
          <w:rFonts w:ascii="Times New Roman" w:eastAsia="Times New Roman" w:hAnsi="Times New Roman" w:cs="Times New Roman"/>
          <w:sz w:val="24"/>
          <w:szCs w:val="24"/>
        </w:rPr>
        <w:t>timber  (</w:t>
      </w:r>
      <w:proofErr w:type="gramEnd"/>
      <w:r>
        <w:rPr>
          <w:rFonts w:ascii="Times New Roman" w:eastAsia="Times New Roman" w:hAnsi="Times New Roman" w:cs="Times New Roman"/>
          <w:sz w:val="24"/>
          <w:szCs w:val="24"/>
        </w:rPr>
        <w:t>FAO, 2020). Regulating services impact water quality in addition to climate, and w</w:t>
      </w:r>
      <w:r>
        <w:rPr>
          <w:rFonts w:ascii="Times New Roman" w:eastAsia="Times New Roman" w:hAnsi="Times New Roman" w:cs="Times New Roman"/>
          <w:sz w:val="24"/>
          <w:szCs w:val="24"/>
        </w:rPr>
        <w:t>aste. Cultural services refer to the recreational and spiritual experiences that are gained from being in nature; where human and nature values are woven together, forming an anthropological relationship with nature. Supporting services benefits are grante</w:t>
      </w:r>
      <w:r>
        <w:rPr>
          <w:rFonts w:ascii="Times New Roman" w:eastAsia="Times New Roman" w:hAnsi="Times New Roman" w:cs="Times New Roman"/>
          <w:sz w:val="24"/>
          <w:szCs w:val="24"/>
        </w:rPr>
        <w:t xml:space="preserve">d through processes such as carbon sequestration, photosynthesis, and nutrient cycling (MEA, 2005). </w:t>
      </w:r>
    </w:p>
    <w:p w:rsidR="0098187F" w:rsidRDefault="0098187F">
      <w:pPr>
        <w:spacing w:line="240" w:lineRule="auto"/>
        <w:ind w:firstLine="720"/>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Forests provide many ecosystem services which are enjoyed by nearby residing communities. This includes pollution and flood mitigation, carbon sequestrati</w:t>
      </w:r>
      <w:r>
        <w:rPr>
          <w:rFonts w:ascii="Times New Roman" w:eastAsia="Times New Roman" w:hAnsi="Times New Roman" w:cs="Times New Roman"/>
          <w:sz w:val="24"/>
          <w:szCs w:val="24"/>
        </w:rPr>
        <w:t xml:space="preserve">on, oxygen production, food, fuel, education, recreation, and aesthetics (Myers, 1997). Forests also provide land for grazing, wildlife habitats, water sources, and recreational areas; all of which are threatened by anthropological forces such as logging, </w:t>
      </w:r>
      <w:r>
        <w:rPr>
          <w:rFonts w:ascii="Times New Roman" w:eastAsia="Times New Roman" w:hAnsi="Times New Roman" w:cs="Times New Roman"/>
          <w:sz w:val="24"/>
          <w:szCs w:val="24"/>
        </w:rPr>
        <w:t xml:space="preserve">illegal cutting, </w:t>
      </w:r>
      <w:proofErr w:type="gramStart"/>
      <w:r>
        <w:rPr>
          <w:rFonts w:ascii="Times New Roman" w:eastAsia="Times New Roman" w:hAnsi="Times New Roman" w:cs="Times New Roman"/>
          <w:sz w:val="24"/>
          <w:szCs w:val="24"/>
        </w:rPr>
        <w:t>agricultural</w:t>
      </w:r>
      <w:proofErr w:type="gramEnd"/>
      <w:r>
        <w:rPr>
          <w:rFonts w:ascii="Times New Roman" w:eastAsia="Times New Roman" w:hAnsi="Times New Roman" w:cs="Times New Roman"/>
          <w:sz w:val="24"/>
          <w:szCs w:val="24"/>
        </w:rPr>
        <w:t xml:space="preserve"> expansion and much more (</w:t>
      </w:r>
      <w:proofErr w:type="spellStart"/>
      <w:r>
        <w:rPr>
          <w:rFonts w:ascii="Times New Roman" w:eastAsia="Times New Roman" w:hAnsi="Times New Roman" w:cs="Times New Roman"/>
          <w:sz w:val="24"/>
          <w:szCs w:val="24"/>
        </w:rPr>
        <w:t>Forkuo</w:t>
      </w:r>
      <w:proofErr w:type="spellEnd"/>
      <w:r>
        <w:rPr>
          <w:rFonts w:ascii="Times New Roman" w:eastAsia="Times New Roman" w:hAnsi="Times New Roman" w:cs="Times New Roman"/>
          <w:sz w:val="24"/>
          <w:szCs w:val="24"/>
        </w:rPr>
        <w:t>, E. 2012).  New Zealand forests are notorious for the other products, services, and benefits they provide timber, fiber, and fuel to its communities. The New Zealand Forest Owners Association ha</w:t>
      </w:r>
      <w:r>
        <w:rPr>
          <w:rFonts w:ascii="Times New Roman" w:eastAsia="Times New Roman" w:hAnsi="Times New Roman" w:cs="Times New Roman"/>
          <w:sz w:val="24"/>
          <w:szCs w:val="24"/>
        </w:rPr>
        <w:t xml:space="preserve">s noted that their forest benefits are worth far more in total than the wood, </w:t>
      </w:r>
      <w:proofErr w:type="spellStart"/>
      <w:r>
        <w:rPr>
          <w:rFonts w:ascii="Times New Roman" w:eastAsia="Times New Roman" w:hAnsi="Times New Roman" w:cs="Times New Roman"/>
          <w:sz w:val="24"/>
          <w:szCs w:val="24"/>
        </w:rPr>
        <w:t>fibre</w:t>
      </w:r>
      <w:proofErr w:type="spellEnd"/>
      <w:r>
        <w:rPr>
          <w:rFonts w:ascii="Times New Roman" w:eastAsia="Times New Roman" w:hAnsi="Times New Roman" w:cs="Times New Roman"/>
          <w:sz w:val="24"/>
          <w:szCs w:val="24"/>
        </w:rPr>
        <w:t xml:space="preserve"> and fuel alone (NVFOA, 2020). </w:t>
      </w:r>
    </w:p>
    <w:p w:rsidR="0098187F" w:rsidRDefault="0098187F">
      <w:pPr>
        <w:spacing w:line="240" w:lineRule="auto"/>
        <w:ind w:firstLine="720"/>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Urban ecosystems, specifically urban green spaces services have been noted to improve human health significantly (</w:t>
      </w:r>
      <w:proofErr w:type="spellStart"/>
      <w:r>
        <w:rPr>
          <w:rFonts w:ascii="Times New Roman" w:eastAsia="Times New Roman" w:hAnsi="Times New Roman" w:cs="Times New Roman"/>
          <w:sz w:val="24"/>
          <w:szCs w:val="24"/>
        </w:rPr>
        <w:t>Haase</w:t>
      </w:r>
      <w:proofErr w:type="spellEnd"/>
      <w:r>
        <w:rPr>
          <w:rFonts w:ascii="Times New Roman" w:eastAsia="Times New Roman" w:hAnsi="Times New Roman" w:cs="Times New Roman"/>
          <w:sz w:val="24"/>
          <w:szCs w:val="24"/>
        </w:rPr>
        <w:t xml:space="preserve">, D., et al. 2014).  </w:t>
      </w:r>
      <w:r>
        <w:rPr>
          <w:rFonts w:ascii="Times New Roman" w:eastAsia="Times New Roman" w:hAnsi="Times New Roman" w:cs="Times New Roman"/>
          <w:sz w:val="24"/>
          <w:szCs w:val="24"/>
        </w:rPr>
        <w:t>Some urban ecosystems take the form of green spaces and tree cover; lawns, parks, wetlands, trees, and fields. These urban green spaces provide ecosystem service benefits such as air filtration, climate regulation, sewage treatments (</w:t>
      </w:r>
      <w:proofErr w:type="spellStart"/>
      <w:r>
        <w:rPr>
          <w:rFonts w:ascii="Times New Roman" w:eastAsia="Times New Roman" w:hAnsi="Times New Roman" w:cs="Times New Roman"/>
          <w:sz w:val="24"/>
          <w:szCs w:val="24"/>
        </w:rPr>
        <w:t>Bolund</w:t>
      </w:r>
      <w:proofErr w:type="spellEnd"/>
      <w:r>
        <w:rPr>
          <w:rFonts w:ascii="Times New Roman" w:eastAsia="Times New Roman" w:hAnsi="Times New Roman" w:cs="Times New Roman"/>
          <w:sz w:val="24"/>
          <w:szCs w:val="24"/>
        </w:rPr>
        <w:t xml:space="preserve">, P., &amp; </w:t>
      </w:r>
      <w:proofErr w:type="spellStart"/>
      <w:r>
        <w:rPr>
          <w:rFonts w:ascii="Times New Roman" w:eastAsia="Times New Roman" w:hAnsi="Times New Roman" w:cs="Times New Roman"/>
          <w:sz w:val="24"/>
          <w:szCs w:val="24"/>
        </w:rPr>
        <w:t>Hunhamma</w:t>
      </w:r>
      <w:r>
        <w:rPr>
          <w:rFonts w:ascii="Times New Roman" w:eastAsia="Times New Roman" w:hAnsi="Times New Roman" w:cs="Times New Roman"/>
          <w:sz w:val="24"/>
          <w:szCs w:val="24"/>
        </w:rPr>
        <w:t>r</w:t>
      </w:r>
      <w:proofErr w:type="spellEnd"/>
      <w:r>
        <w:rPr>
          <w:rFonts w:ascii="Times New Roman" w:eastAsia="Times New Roman" w:hAnsi="Times New Roman" w:cs="Times New Roman"/>
          <w:sz w:val="24"/>
          <w:szCs w:val="24"/>
        </w:rPr>
        <w:t xml:space="preserve">, S. 1999). According to </w:t>
      </w:r>
      <w:proofErr w:type="spellStart"/>
      <w:r>
        <w:rPr>
          <w:rFonts w:ascii="Times New Roman" w:eastAsia="Times New Roman" w:hAnsi="Times New Roman" w:cs="Times New Roman"/>
          <w:sz w:val="24"/>
          <w:szCs w:val="24"/>
        </w:rPr>
        <w:t>Nutsford</w:t>
      </w:r>
      <w:proofErr w:type="spellEnd"/>
      <w:r>
        <w:rPr>
          <w:rFonts w:ascii="Times New Roman" w:eastAsia="Times New Roman" w:hAnsi="Times New Roman" w:cs="Times New Roman"/>
          <w:sz w:val="24"/>
          <w:szCs w:val="24"/>
        </w:rPr>
        <w:t xml:space="preserve">, D., Pearson, A. L., and </w:t>
      </w:r>
      <w:proofErr w:type="spellStart"/>
      <w:r>
        <w:rPr>
          <w:rFonts w:ascii="Times New Roman" w:eastAsia="Times New Roman" w:hAnsi="Times New Roman" w:cs="Times New Roman"/>
          <w:sz w:val="24"/>
          <w:szCs w:val="24"/>
        </w:rPr>
        <w:t>Kingham</w:t>
      </w:r>
      <w:proofErr w:type="spellEnd"/>
      <w:r>
        <w:rPr>
          <w:rFonts w:ascii="Times New Roman" w:eastAsia="Times New Roman" w:hAnsi="Times New Roman" w:cs="Times New Roman"/>
          <w:sz w:val="24"/>
          <w:szCs w:val="24"/>
        </w:rPr>
        <w:t xml:space="preserve">, S. (2013), urban green spaces are shown to improve mental health for those that have access to and usability of them.  Increased access to green spaces has been linked to numerous health </w:t>
      </w:r>
      <w:r>
        <w:rPr>
          <w:rFonts w:ascii="Times New Roman" w:eastAsia="Times New Roman" w:hAnsi="Times New Roman" w:cs="Times New Roman"/>
          <w:sz w:val="24"/>
          <w:szCs w:val="24"/>
        </w:rPr>
        <w:t>benefits, such as decreased risk for diabetes and heart disease, as well as decreased blood pressure and cortisol levels (</w:t>
      </w:r>
      <w:proofErr w:type="spellStart"/>
      <w:r>
        <w:rPr>
          <w:rFonts w:ascii="Times New Roman" w:eastAsia="Times New Roman" w:hAnsi="Times New Roman" w:cs="Times New Roman"/>
          <w:sz w:val="24"/>
          <w:szCs w:val="24"/>
        </w:rPr>
        <w:t>Twohig</w:t>
      </w:r>
      <w:proofErr w:type="spellEnd"/>
      <w:r>
        <w:rPr>
          <w:rFonts w:ascii="Times New Roman" w:eastAsia="Times New Roman" w:hAnsi="Times New Roman" w:cs="Times New Roman"/>
          <w:sz w:val="24"/>
          <w:szCs w:val="24"/>
        </w:rPr>
        <w:t>-Bennett, 2018). Disparities and disproportional access to urban green spaces represent unfair access to an important health-pro</w:t>
      </w:r>
      <w:r>
        <w:rPr>
          <w:rFonts w:ascii="Times New Roman" w:eastAsia="Times New Roman" w:hAnsi="Times New Roman" w:cs="Times New Roman"/>
          <w:sz w:val="24"/>
          <w:szCs w:val="24"/>
        </w:rPr>
        <w:t xml:space="preserve">moting resource and, as a result, unequal health outcomes (Liu, D., Kwan, M., </w:t>
      </w:r>
      <w:proofErr w:type="spellStart"/>
      <w:r>
        <w:rPr>
          <w:rFonts w:ascii="Times New Roman" w:eastAsia="Times New Roman" w:hAnsi="Times New Roman" w:cs="Times New Roman"/>
          <w:sz w:val="24"/>
          <w:szCs w:val="24"/>
        </w:rPr>
        <w:t>Kan</w:t>
      </w:r>
      <w:proofErr w:type="spellEnd"/>
      <w:r>
        <w:rPr>
          <w:rFonts w:ascii="Times New Roman" w:eastAsia="Times New Roman" w:hAnsi="Times New Roman" w:cs="Times New Roman"/>
          <w:sz w:val="24"/>
          <w:szCs w:val="24"/>
        </w:rPr>
        <w:t xml:space="preserve">, Z. 2021). Areas that lack urban green spaces in turn have a dearth of ecosystem services that could support the mental and physical health of urban residents. </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Urban fores</w:t>
      </w:r>
      <w:r>
        <w:rPr>
          <w:rFonts w:ascii="Times New Roman" w:eastAsia="Times New Roman" w:hAnsi="Times New Roman" w:cs="Times New Roman"/>
          <w:sz w:val="24"/>
          <w:szCs w:val="24"/>
        </w:rPr>
        <w:t xml:space="preserve">ts and ecosystem services have not and are not distributed evenly through cities and urban areas. An assessment of the spatial variation </w:t>
      </w:r>
      <w:proofErr w:type="gramStart"/>
      <w:r>
        <w:rPr>
          <w:rFonts w:ascii="Times New Roman" w:eastAsia="Times New Roman" w:hAnsi="Times New Roman" w:cs="Times New Roman"/>
          <w:sz w:val="24"/>
          <w:szCs w:val="24"/>
        </w:rPr>
        <w:t>in  urban</w:t>
      </w:r>
      <w:proofErr w:type="gramEnd"/>
      <w:r>
        <w:rPr>
          <w:rFonts w:ascii="Times New Roman" w:eastAsia="Times New Roman" w:hAnsi="Times New Roman" w:cs="Times New Roman"/>
          <w:sz w:val="24"/>
          <w:szCs w:val="24"/>
        </w:rPr>
        <w:t xml:space="preserve"> ecosystem services was conducted in Rotterdam, in the Netherlands using high resolution special and thematic </w:t>
      </w:r>
      <w:r>
        <w:rPr>
          <w:rFonts w:ascii="Times New Roman" w:eastAsia="Times New Roman" w:hAnsi="Times New Roman" w:cs="Times New Roman"/>
          <w:sz w:val="24"/>
          <w:szCs w:val="24"/>
        </w:rPr>
        <w:t>images. It was determined that Rotterdam had a high spatial variation in urban green spaces. It was also concluded that the more urban green spaces there are, the more ecosystem services will be present (</w:t>
      </w:r>
      <w:proofErr w:type="spellStart"/>
      <w:r>
        <w:rPr>
          <w:rFonts w:ascii="Times New Roman" w:eastAsia="Times New Roman" w:hAnsi="Times New Roman" w:cs="Times New Roman"/>
          <w:sz w:val="24"/>
          <w:szCs w:val="24"/>
        </w:rPr>
        <w:t>Derkzen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w:t>
      </w:r>
      <w:proofErr w:type="gramStart"/>
      <w:r>
        <w:rPr>
          <w:rFonts w:ascii="Times New Roman" w:eastAsia="Times New Roman" w:hAnsi="Times New Roman" w:cs="Times New Roman"/>
          <w:sz w:val="24"/>
          <w:szCs w:val="24"/>
        </w:rPr>
        <w:t>,et</w:t>
      </w:r>
      <w:proofErr w:type="spellEnd"/>
      <w:proofErr w:type="gramEnd"/>
      <w:r>
        <w:rPr>
          <w:rFonts w:ascii="Times New Roman" w:eastAsia="Times New Roman" w:hAnsi="Times New Roman" w:cs="Times New Roman"/>
          <w:sz w:val="24"/>
          <w:szCs w:val="24"/>
        </w:rPr>
        <w:t xml:space="preserve"> al. 2015). A green space accessibilit</w:t>
      </w:r>
      <w:r>
        <w:rPr>
          <w:rFonts w:ascii="Times New Roman" w:eastAsia="Times New Roman" w:hAnsi="Times New Roman" w:cs="Times New Roman"/>
          <w:sz w:val="24"/>
          <w:szCs w:val="24"/>
        </w:rPr>
        <w:t xml:space="preserve">y analysis in Chicago, IL USA found the urban  green spaces were distributed mostly throughout white-majority census tracts in the city of Chicago, indicating that they enjoy significantly better urban green spaces than minority </w:t>
      </w:r>
      <w:r>
        <w:rPr>
          <w:rFonts w:ascii="Times New Roman" w:eastAsia="Times New Roman" w:hAnsi="Times New Roman" w:cs="Times New Roman"/>
          <w:sz w:val="24"/>
          <w:szCs w:val="24"/>
        </w:rPr>
        <w:lastRenderedPageBreak/>
        <w:t xml:space="preserve">groups (Liu, D., Kwan, M., </w:t>
      </w:r>
      <w:proofErr w:type="spellStart"/>
      <w:r>
        <w:rPr>
          <w:rFonts w:ascii="Times New Roman" w:eastAsia="Times New Roman" w:hAnsi="Times New Roman" w:cs="Times New Roman"/>
          <w:sz w:val="24"/>
          <w:szCs w:val="24"/>
        </w:rPr>
        <w:t>Kan</w:t>
      </w:r>
      <w:proofErr w:type="spellEnd"/>
      <w:r>
        <w:rPr>
          <w:rFonts w:ascii="Times New Roman" w:eastAsia="Times New Roman" w:hAnsi="Times New Roman" w:cs="Times New Roman"/>
          <w:sz w:val="24"/>
          <w:szCs w:val="24"/>
        </w:rPr>
        <w:t>, Z. 2021). This study also recognized that urban green spaces deliver stress and depression reduction, and noise and heat reduction services to nearby residents.</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Yet while urban areas can provide ecosystem services through green spaces and other proce</w:t>
      </w:r>
      <w:r>
        <w:rPr>
          <w:rFonts w:ascii="Times New Roman" w:eastAsia="Times New Roman" w:hAnsi="Times New Roman" w:cs="Times New Roman"/>
          <w:sz w:val="24"/>
          <w:szCs w:val="24"/>
        </w:rPr>
        <w:t>sses, urbanization itself can threaten the health of urban ecosystems and therefore the benefits they provide (</w:t>
      </w:r>
      <w:proofErr w:type="spellStart"/>
      <w:r>
        <w:rPr>
          <w:rFonts w:ascii="Times New Roman" w:eastAsia="Times New Roman" w:hAnsi="Times New Roman" w:cs="Times New Roman"/>
          <w:sz w:val="24"/>
          <w:szCs w:val="24"/>
        </w:rPr>
        <w:t>Bolund</w:t>
      </w:r>
      <w:proofErr w:type="spellEnd"/>
      <w:r>
        <w:rPr>
          <w:rFonts w:ascii="Times New Roman" w:eastAsia="Times New Roman" w:hAnsi="Times New Roman" w:cs="Times New Roman"/>
          <w:sz w:val="24"/>
          <w:szCs w:val="24"/>
        </w:rPr>
        <w:t xml:space="preserve">, P., &amp; </w:t>
      </w:r>
      <w:proofErr w:type="spellStart"/>
      <w:r>
        <w:rPr>
          <w:rFonts w:ascii="Times New Roman" w:eastAsia="Times New Roman" w:hAnsi="Times New Roman" w:cs="Times New Roman"/>
          <w:sz w:val="24"/>
          <w:szCs w:val="24"/>
        </w:rPr>
        <w:t>Hunhammar</w:t>
      </w:r>
      <w:proofErr w:type="spellEnd"/>
      <w:r>
        <w:rPr>
          <w:rFonts w:ascii="Times New Roman" w:eastAsia="Times New Roman" w:hAnsi="Times New Roman" w:cs="Times New Roman"/>
          <w:sz w:val="24"/>
          <w:szCs w:val="24"/>
        </w:rPr>
        <w:t>, S. 1999). However, issues like deforestation, intended especially for agricultural purposes and further development of u</w:t>
      </w:r>
      <w:r>
        <w:rPr>
          <w:rFonts w:ascii="Times New Roman" w:eastAsia="Times New Roman" w:hAnsi="Times New Roman" w:cs="Times New Roman"/>
          <w:sz w:val="24"/>
          <w:szCs w:val="24"/>
        </w:rPr>
        <w:t>rban-residential spaces, have become more prevalent in low-income urban areas (Richardson, J., et al. 2020). This issue can be heavily exacerbated depending on where an individual resides, with inner cities and urban-fringes generally having the least acce</w:t>
      </w:r>
      <w:r>
        <w:rPr>
          <w:rFonts w:ascii="Times New Roman" w:eastAsia="Times New Roman" w:hAnsi="Times New Roman" w:cs="Times New Roman"/>
          <w:sz w:val="24"/>
          <w:szCs w:val="24"/>
        </w:rPr>
        <w:t>ss to the services that forests and green spaces provide (</w:t>
      </w:r>
      <w:proofErr w:type="spellStart"/>
      <w:r>
        <w:rPr>
          <w:rFonts w:ascii="Times New Roman" w:eastAsia="Times New Roman" w:hAnsi="Times New Roman" w:cs="Times New Roman"/>
          <w:sz w:val="24"/>
          <w:szCs w:val="24"/>
        </w:rPr>
        <w:t>McGranahan</w:t>
      </w:r>
      <w:proofErr w:type="spellEnd"/>
      <w:r>
        <w:rPr>
          <w:rFonts w:ascii="Times New Roman" w:eastAsia="Times New Roman" w:hAnsi="Times New Roman" w:cs="Times New Roman"/>
          <w:sz w:val="24"/>
          <w:szCs w:val="24"/>
        </w:rPr>
        <w:t>, et al., 2004). Communities with the most need for urban forests and ecosystem services thus may be at the highest risk of their green spaces disappearing.</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where and when f</w:t>
      </w:r>
      <w:r>
        <w:rPr>
          <w:rFonts w:ascii="Times New Roman" w:eastAsia="Times New Roman" w:hAnsi="Times New Roman" w:cs="Times New Roman"/>
          <w:sz w:val="24"/>
          <w:szCs w:val="24"/>
        </w:rPr>
        <w:t xml:space="preserve">orest cover and green spaces are changing can give insight into corresponding changes in services and access within and between communities. Temporal change detection analysis research conducted on the </w:t>
      </w:r>
      <w:proofErr w:type="spellStart"/>
      <w:r>
        <w:rPr>
          <w:rFonts w:ascii="Times New Roman" w:eastAsia="Times New Roman" w:hAnsi="Times New Roman" w:cs="Times New Roman"/>
          <w:sz w:val="24"/>
          <w:szCs w:val="24"/>
        </w:rPr>
        <w:t>Owabi</w:t>
      </w:r>
      <w:proofErr w:type="spellEnd"/>
      <w:r>
        <w:rPr>
          <w:rFonts w:ascii="Times New Roman" w:eastAsia="Times New Roman" w:hAnsi="Times New Roman" w:cs="Times New Roman"/>
          <w:sz w:val="24"/>
          <w:szCs w:val="24"/>
        </w:rPr>
        <w:t xml:space="preserve"> forest reserve area in Ghana found that 4347.27 </w:t>
      </w:r>
      <w:r>
        <w:rPr>
          <w:rFonts w:ascii="Times New Roman" w:eastAsia="Times New Roman" w:hAnsi="Times New Roman" w:cs="Times New Roman"/>
          <w:sz w:val="24"/>
          <w:szCs w:val="24"/>
        </w:rPr>
        <w:t>ha of high density forests in 1986 decreased to 2383.32 ha by 2002, which was then reduced to 1363.95 as of 2007 (</w:t>
      </w:r>
      <w:proofErr w:type="spellStart"/>
      <w:r>
        <w:rPr>
          <w:rFonts w:ascii="Times New Roman" w:eastAsia="Times New Roman" w:hAnsi="Times New Roman" w:cs="Times New Roman"/>
          <w:sz w:val="24"/>
          <w:szCs w:val="24"/>
        </w:rPr>
        <w:t>Forkuo</w:t>
      </w:r>
      <w:proofErr w:type="spellEnd"/>
      <w:r>
        <w:rPr>
          <w:rFonts w:ascii="Times New Roman" w:eastAsia="Times New Roman" w:hAnsi="Times New Roman" w:cs="Times New Roman"/>
          <w:sz w:val="24"/>
          <w:szCs w:val="24"/>
        </w:rPr>
        <w:t>, E. 2012). The degradation of forests were observed from cultivation and land allocation practices of nearby communities. In another st</w:t>
      </w:r>
      <w:r>
        <w:rPr>
          <w:rFonts w:ascii="Times New Roman" w:eastAsia="Times New Roman" w:hAnsi="Times New Roman" w:cs="Times New Roman"/>
          <w:sz w:val="24"/>
          <w:szCs w:val="24"/>
        </w:rPr>
        <w:t xml:space="preserve">udy from Ghana, in the </w:t>
      </w:r>
      <w:proofErr w:type="spellStart"/>
      <w:r>
        <w:rPr>
          <w:rFonts w:ascii="Times New Roman" w:eastAsia="Times New Roman" w:hAnsi="Times New Roman" w:cs="Times New Roman"/>
          <w:sz w:val="24"/>
          <w:szCs w:val="24"/>
        </w:rPr>
        <w:t>Barekese</w:t>
      </w:r>
      <w:proofErr w:type="spellEnd"/>
      <w:r>
        <w:rPr>
          <w:rFonts w:ascii="Times New Roman" w:eastAsia="Times New Roman" w:hAnsi="Times New Roman" w:cs="Times New Roman"/>
          <w:sz w:val="24"/>
          <w:szCs w:val="24"/>
        </w:rPr>
        <w:t xml:space="preserve"> catchment area, average biomass for forested land was being diminished drastically for their observed period of 1973-2000 (</w:t>
      </w:r>
      <w:proofErr w:type="spellStart"/>
      <w:r>
        <w:rPr>
          <w:rFonts w:ascii="Times New Roman" w:eastAsia="Times New Roman" w:hAnsi="Times New Roman" w:cs="Times New Roman"/>
          <w:sz w:val="24"/>
          <w:szCs w:val="24"/>
        </w:rPr>
        <w:t>Boakye</w:t>
      </w:r>
      <w:proofErr w:type="spellEnd"/>
      <w:r>
        <w:rPr>
          <w:rFonts w:ascii="Times New Roman" w:eastAsia="Times New Roman" w:hAnsi="Times New Roman" w:cs="Times New Roman"/>
          <w:sz w:val="24"/>
          <w:szCs w:val="24"/>
        </w:rPr>
        <w:t>, E., et al. 2008). They found that grassland and open area/town had increased significantly wh</w:t>
      </w:r>
      <w:r>
        <w:rPr>
          <w:rFonts w:ascii="Times New Roman" w:eastAsia="Times New Roman" w:hAnsi="Times New Roman" w:cs="Times New Roman"/>
          <w:sz w:val="24"/>
          <w:szCs w:val="24"/>
        </w:rPr>
        <w:t>ich forested lands decreased over the observed years (</w:t>
      </w:r>
      <w:proofErr w:type="spellStart"/>
      <w:r>
        <w:rPr>
          <w:rFonts w:ascii="Times New Roman" w:eastAsia="Times New Roman" w:hAnsi="Times New Roman" w:cs="Times New Roman"/>
          <w:sz w:val="24"/>
          <w:szCs w:val="24"/>
        </w:rPr>
        <w:t>Boakye</w:t>
      </w:r>
      <w:proofErr w:type="spellEnd"/>
      <w:r>
        <w:rPr>
          <w:rFonts w:ascii="Times New Roman" w:eastAsia="Times New Roman" w:hAnsi="Times New Roman" w:cs="Times New Roman"/>
          <w:sz w:val="24"/>
          <w:szCs w:val="24"/>
        </w:rPr>
        <w:t>, E., et al. 2008). This was done to make way for expansion of agriculture as a source of income to accommodate for the human population growth occurring in this part of Ghana during 1973-2008. An</w:t>
      </w:r>
      <w:r>
        <w:rPr>
          <w:rFonts w:ascii="Times New Roman" w:eastAsia="Times New Roman" w:hAnsi="Times New Roman" w:cs="Times New Roman"/>
          <w:sz w:val="24"/>
          <w:szCs w:val="24"/>
        </w:rPr>
        <w:t>other study quoted a American Forestry Association survey which reported New York City’s change in tree cover experiencing a 25% loss in street trees from 1977-1987 (</w:t>
      </w:r>
      <w:proofErr w:type="spellStart"/>
      <w:r>
        <w:rPr>
          <w:rFonts w:ascii="Times New Roman" w:eastAsia="Times New Roman" w:hAnsi="Times New Roman" w:cs="Times New Roman"/>
          <w:sz w:val="24"/>
          <w:szCs w:val="24"/>
        </w:rPr>
        <w:t>Bolund</w:t>
      </w:r>
      <w:proofErr w:type="spellEnd"/>
      <w:r>
        <w:rPr>
          <w:rFonts w:ascii="Times New Roman" w:eastAsia="Times New Roman" w:hAnsi="Times New Roman" w:cs="Times New Roman"/>
          <w:sz w:val="24"/>
          <w:szCs w:val="24"/>
        </w:rPr>
        <w:t xml:space="preserve">, P., &amp; </w:t>
      </w:r>
      <w:proofErr w:type="spellStart"/>
      <w:r>
        <w:rPr>
          <w:rFonts w:ascii="Times New Roman" w:eastAsia="Times New Roman" w:hAnsi="Times New Roman" w:cs="Times New Roman"/>
          <w:sz w:val="24"/>
          <w:szCs w:val="24"/>
        </w:rPr>
        <w:t>Hunhammar</w:t>
      </w:r>
      <w:proofErr w:type="spellEnd"/>
      <w:r>
        <w:rPr>
          <w:rFonts w:ascii="Times New Roman" w:eastAsia="Times New Roman" w:hAnsi="Times New Roman" w:cs="Times New Roman"/>
          <w:sz w:val="24"/>
          <w:szCs w:val="24"/>
        </w:rPr>
        <w:t xml:space="preserve">, S. 1999).  </w:t>
      </w:r>
    </w:p>
    <w:p w:rsidR="0098187F" w:rsidRDefault="0098187F">
      <w:pPr>
        <w:spacing w:line="240" w:lineRule="auto"/>
        <w:ind w:firstLine="720"/>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Our research objective was thus to assess whether ov</w:t>
      </w:r>
      <w:r>
        <w:rPr>
          <w:rFonts w:ascii="Times New Roman" w:eastAsia="Times New Roman" w:hAnsi="Times New Roman" w:cs="Times New Roman"/>
          <w:sz w:val="24"/>
          <w:szCs w:val="24"/>
        </w:rPr>
        <w:t xml:space="preserve">erall forest cover and vegetation (green space) has increased in urban residential areas in Monroe County, NY. Additionally, we wanted to identify which areas of the county saw the most change over this time period. We hypothesized that suburban and rural </w:t>
      </w:r>
      <w:r>
        <w:rPr>
          <w:rFonts w:ascii="Times New Roman" w:eastAsia="Times New Roman" w:hAnsi="Times New Roman" w:cs="Times New Roman"/>
          <w:sz w:val="24"/>
          <w:szCs w:val="24"/>
        </w:rPr>
        <w:t>residential areas would experience a significant increase in tree cover. We expected this because past studies have reported that cities are losing vegetation over time (</w:t>
      </w:r>
      <w:proofErr w:type="spellStart"/>
      <w:r>
        <w:rPr>
          <w:rFonts w:ascii="Times New Roman" w:eastAsia="Times New Roman" w:hAnsi="Times New Roman" w:cs="Times New Roman"/>
          <w:sz w:val="24"/>
          <w:szCs w:val="24"/>
        </w:rPr>
        <w:t>Bolund</w:t>
      </w:r>
      <w:proofErr w:type="spellEnd"/>
      <w:r>
        <w:rPr>
          <w:rFonts w:ascii="Times New Roman" w:eastAsia="Times New Roman" w:hAnsi="Times New Roman" w:cs="Times New Roman"/>
          <w:sz w:val="24"/>
          <w:szCs w:val="24"/>
        </w:rPr>
        <w:t xml:space="preserve">, P., &amp; </w:t>
      </w:r>
      <w:proofErr w:type="spellStart"/>
      <w:r>
        <w:rPr>
          <w:rFonts w:ascii="Times New Roman" w:eastAsia="Times New Roman" w:hAnsi="Times New Roman" w:cs="Times New Roman"/>
          <w:sz w:val="24"/>
          <w:szCs w:val="24"/>
        </w:rPr>
        <w:t>Hunhammar</w:t>
      </w:r>
      <w:proofErr w:type="spellEnd"/>
      <w:r>
        <w:rPr>
          <w:rFonts w:ascii="Times New Roman" w:eastAsia="Times New Roman" w:hAnsi="Times New Roman" w:cs="Times New Roman"/>
          <w:sz w:val="24"/>
          <w:szCs w:val="24"/>
        </w:rPr>
        <w:t>, S. 1999). This work identifies distribution of tree canopy co</w:t>
      </w:r>
      <w:r>
        <w:rPr>
          <w:rFonts w:ascii="Times New Roman" w:eastAsia="Times New Roman" w:hAnsi="Times New Roman" w:cs="Times New Roman"/>
          <w:sz w:val="24"/>
          <w:szCs w:val="24"/>
        </w:rPr>
        <w:t xml:space="preserve">ver in Monroe County, NY. Our results can equip urban city planners and environmental scientists with knowledge of the locations that have experienced reductions in vegetation, potentially enabling offsets elsewhere. </w:t>
      </w:r>
    </w:p>
    <w:p w:rsidR="0098187F" w:rsidRDefault="0098187F">
      <w:pPr>
        <w:spacing w:line="240" w:lineRule="auto"/>
        <w:rPr>
          <w:rFonts w:ascii="Times New Roman" w:eastAsia="Times New Roman" w:hAnsi="Times New Roman" w:cs="Times New Roman"/>
          <w:b/>
          <w:sz w:val="24"/>
          <w:szCs w:val="24"/>
          <w:u w:val="single"/>
        </w:rPr>
      </w:pPr>
    </w:p>
    <w:p w:rsidR="0098187F" w:rsidRDefault="005109BB">
      <w:pPr>
        <w:spacing w:line="240" w:lineRule="auto"/>
        <w:rPr>
          <w:rFonts w:ascii="Times New Roman" w:eastAsia="Times New Roman" w:hAnsi="Times New Roman" w:cs="Times New Roman"/>
          <w:b/>
          <w:sz w:val="24"/>
          <w:szCs w:val="24"/>
          <w:u w:val="single"/>
        </w:rPr>
      </w:pPr>
      <w:r>
        <w:br w:type="page"/>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lastRenderedPageBreak/>
        <w:t>Methodology</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Overall approach</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examine vegetation and tree canopy change over time in Monroe County, NY, we used three-band </w:t>
      </w:r>
      <w:proofErr w:type="spellStart"/>
      <w:r>
        <w:rPr>
          <w:rFonts w:ascii="Times New Roman" w:eastAsia="Times New Roman" w:hAnsi="Times New Roman" w:cs="Times New Roman"/>
          <w:sz w:val="24"/>
          <w:szCs w:val="24"/>
        </w:rPr>
        <w:t>orthorectified</w:t>
      </w:r>
      <w:proofErr w:type="spellEnd"/>
      <w:r>
        <w:rPr>
          <w:rFonts w:ascii="Times New Roman" w:eastAsia="Times New Roman" w:hAnsi="Times New Roman" w:cs="Times New Roman"/>
          <w:sz w:val="24"/>
          <w:szCs w:val="24"/>
        </w:rPr>
        <w:t xml:space="preserve"> imagery of Monroe County (NAIP, 2020). The 2009-2017 examination period was selected because these were the only available datasets for this anal</w:t>
      </w:r>
      <w:r>
        <w:rPr>
          <w:rFonts w:ascii="Times New Roman" w:eastAsia="Times New Roman" w:hAnsi="Times New Roman" w:cs="Times New Roman"/>
          <w:sz w:val="24"/>
          <w:szCs w:val="24"/>
        </w:rPr>
        <w:t xml:space="preserve">ysis. </w:t>
      </w:r>
      <w:proofErr w:type="gramStart"/>
      <w:r>
        <w:rPr>
          <w:rFonts w:ascii="Times New Roman" w:eastAsia="Times New Roman" w:hAnsi="Times New Roman" w:cs="Times New Roman"/>
          <w:sz w:val="24"/>
          <w:szCs w:val="24"/>
        </w:rPr>
        <w:t>We  performed</w:t>
      </w:r>
      <w:proofErr w:type="gramEnd"/>
      <w:r>
        <w:rPr>
          <w:rFonts w:ascii="Times New Roman" w:eastAsia="Times New Roman" w:hAnsi="Times New Roman" w:cs="Times New Roman"/>
          <w:sz w:val="24"/>
          <w:szCs w:val="24"/>
        </w:rPr>
        <w:t xml:space="preserve"> several change detection analyses, including stack Principal Component Analysis (PCA), Normalized Difference Vegetation Index (NDVI) change detection, and both supervised and unsupervised change detection. This analysis is based on the </w:t>
      </w:r>
      <w:r>
        <w:rPr>
          <w:rFonts w:ascii="Times New Roman" w:eastAsia="Times New Roman" w:hAnsi="Times New Roman" w:cs="Times New Roman"/>
          <w:sz w:val="24"/>
          <w:szCs w:val="24"/>
        </w:rPr>
        <w:t xml:space="preserve">methods outlined in Coppin’s 2004 review, </w:t>
      </w:r>
      <w:r>
        <w:rPr>
          <w:rFonts w:ascii="Times New Roman" w:eastAsia="Times New Roman" w:hAnsi="Times New Roman" w:cs="Times New Roman"/>
          <w:i/>
          <w:sz w:val="24"/>
          <w:szCs w:val="24"/>
        </w:rPr>
        <w:t xml:space="preserve">Digital change detection methods in ecosystem monitoring: a review, </w:t>
      </w:r>
      <w:r>
        <w:rPr>
          <w:rFonts w:ascii="Times New Roman" w:eastAsia="Times New Roman" w:hAnsi="Times New Roman" w:cs="Times New Roman"/>
          <w:sz w:val="24"/>
          <w:szCs w:val="24"/>
        </w:rPr>
        <w:t>such as bi-temporal change detection and univariate image differencing (NDVI) (Coppin, 2004).</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Supervised Classification Attempt</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Beginning supervised classification, we generated training sites for water, grass, trees, roads, and agriculture classes. Following the examination of the </w:t>
      </w:r>
      <w:proofErr w:type="spellStart"/>
      <w:r>
        <w:rPr>
          <w:rFonts w:ascii="Times New Roman" w:eastAsia="Times New Roman" w:hAnsi="Times New Roman" w:cs="Times New Roman"/>
          <w:sz w:val="24"/>
          <w:szCs w:val="24"/>
        </w:rPr>
        <w:t>separability</w:t>
      </w:r>
      <w:proofErr w:type="spellEnd"/>
      <w:r>
        <w:rPr>
          <w:rFonts w:ascii="Times New Roman" w:eastAsia="Times New Roman" w:hAnsi="Times New Roman" w:cs="Times New Roman"/>
          <w:sz w:val="24"/>
          <w:szCs w:val="24"/>
        </w:rPr>
        <w:t xml:space="preserve">, we revamped the training sites to increase definition of each. Once satisfactory </w:t>
      </w:r>
      <w:proofErr w:type="spellStart"/>
      <w:r>
        <w:rPr>
          <w:rFonts w:ascii="Times New Roman" w:eastAsia="Times New Roman" w:hAnsi="Times New Roman" w:cs="Times New Roman"/>
          <w:sz w:val="24"/>
          <w:szCs w:val="24"/>
        </w:rPr>
        <w:t>separa</w:t>
      </w:r>
      <w:r>
        <w:rPr>
          <w:rFonts w:ascii="Times New Roman" w:eastAsia="Times New Roman" w:hAnsi="Times New Roman" w:cs="Times New Roman"/>
          <w:sz w:val="24"/>
          <w:szCs w:val="24"/>
        </w:rPr>
        <w:t>bility</w:t>
      </w:r>
      <w:proofErr w:type="spellEnd"/>
      <w:r>
        <w:rPr>
          <w:rFonts w:ascii="Times New Roman" w:eastAsia="Times New Roman" w:hAnsi="Times New Roman" w:cs="Times New Roman"/>
          <w:sz w:val="24"/>
          <w:szCs w:val="24"/>
        </w:rPr>
        <w:t xml:space="preserve"> levels were met, we performed a Maximum Likelihood Classification. This was repeated to ensure that both time periods were classified. We attempted the construction of the thematic change workflow map with the supervised classification.</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Unsupervise</w:t>
      </w:r>
      <w:r>
        <w:rPr>
          <w:rFonts w:ascii="Times New Roman" w:eastAsia="Times New Roman" w:hAnsi="Times New Roman" w:cs="Times New Roman"/>
          <w:i/>
          <w:sz w:val="24"/>
          <w:szCs w:val="24"/>
        </w:rPr>
        <w:t>d Classification Attempt</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the unsupervised classification, we ran the classification on both the 2009 and 2017 data with a minimum of 5 and maximum of 10 classes, which yielded 7 classes. We deemed these classes too inaccurate because of the resulting p</w:t>
      </w:r>
      <w:r>
        <w:rPr>
          <w:rFonts w:ascii="Times New Roman" w:eastAsia="Times New Roman" w:hAnsi="Times New Roman" w:cs="Times New Roman"/>
          <w:sz w:val="24"/>
          <w:szCs w:val="24"/>
        </w:rPr>
        <w:t>ixel confusion amongst classes. This led us to run another classification on each dataset with a minimum of 8 classes and maximum of 14, which yielded 11 classes. We condensed these classes into 5 classes and an unclassified class. We also attempted the co</w:t>
      </w:r>
      <w:r>
        <w:rPr>
          <w:rFonts w:ascii="Times New Roman" w:eastAsia="Times New Roman" w:hAnsi="Times New Roman" w:cs="Times New Roman"/>
          <w:sz w:val="24"/>
          <w:szCs w:val="24"/>
        </w:rPr>
        <w:t>nstruction of a thematic change workflow map for the unsupervised classification, but it was unsuccessful due to ENVI software crashing. The attempt remained unsuccessful.</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Stacked PCA Analysis</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implemented the stacked PCA change detection technique by f</w:t>
      </w:r>
      <w:r>
        <w:rPr>
          <w:rFonts w:ascii="Times New Roman" w:eastAsia="Times New Roman" w:hAnsi="Times New Roman" w:cs="Times New Roman"/>
          <w:sz w:val="24"/>
          <w:szCs w:val="24"/>
        </w:rPr>
        <w:t>irst creating a stacked image of the 2009 and 2017 images. We performed a PCA on the stacked image to determine if any of the PCs were indicative of change. We resized the stack PCA image to show the PC of change which was then applied in change detection.</w:t>
      </w:r>
      <w:r>
        <w:rPr>
          <w:rFonts w:ascii="Times New Roman" w:eastAsia="Times New Roman" w:hAnsi="Times New Roman" w:cs="Times New Roman"/>
          <w:sz w:val="24"/>
          <w:szCs w:val="24"/>
        </w:rPr>
        <w:t xml:space="preserve"> We used a threshold value of 23.00 in the rule classifier to adjust the image, making it so that only change pixels were highlighted. We used the histogram of the one-band PC image to gauge this threshold which then captured the most change pixels based o</w:t>
      </w:r>
      <w:r>
        <w:rPr>
          <w:rFonts w:ascii="Times New Roman" w:eastAsia="Times New Roman" w:hAnsi="Times New Roman" w:cs="Times New Roman"/>
          <w:sz w:val="24"/>
          <w:szCs w:val="24"/>
        </w:rPr>
        <w:t xml:space="preserve">n PC band 3. We examined the statistics for this change detection technique to obtain the count of pixels that were above the set threshold; pixels highlighted as change. We were then able to convert these pixels into area (tons/ha) of change. </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NDVI Analy</w:t>
      </w:r>
      <w:r>
        <w:rPr>
          <w:rFonts w:ascii="Times New Roman" w:eastAsia="Times New Roman" w:hAnsi="Times New Roman" w:cs="Times New Roman"/>
          <w:i/>
          <w:sz w:val="24"/>
          <w:szCs w:val="24"/>
        </w:rPr>
        <w:t>sis</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also attempted the calculation of NDVI for both images using the green and red bands. This was due to the absence of the Near Infrared (NIR) band in these images. We created a total of 5 classes, (Change (+2), Change (+1), Change (0), Change (-1), C</w:t>
      </w:r>
      <w:r>
        <w:rPr>
          <w:rFonts w:ascii="Times New Roman" w:eastAsia="Times New Roman" w:hAnsi="Times New Roman" w:cs="Times New Roman"/>
          <w:sz w:val="24"/>
          <w:szCs w:val="24"/>
        </w:rPr>
        <w:t xml:space="preserve">hange (-2)) to define the change thresholds. We turned each class layer on to determine which of the 5 </w:t>
      </w:r>
      <w:proofErr w:type="gramStart"/>
      <w:r>
        <w:rPr>
          <w:rFonts w:ascii="Times New Roman" w:eastAsia="Times New Roman" w:hAnsi="Times New Roman" w:cs="Times New Roman"/>
          <w:sz w:val="24"/>
          <w:szCs w:val="24"/>
        </w:rPr>
        <w:t>was the change class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Through examination of the statistics for the NDVI change detection image, we obtained the count of pixels for the change class and</w:t>
      </w:r>
      <w:r>
        <w:rPr>
          <w:rFonts w:ascii="Times New Roman" w:eastAsia="Times New Roman" w:hAnsi="Times New Roman" w:cs="Times New Roman"/>
          <w:sz w:val="24"/>
          <w:szCs w:val="24"/>
        </w:rPr>
        <w:t xml:space="preserve"> used it to convert change pixels into area (ha) and vegetation lost between the two time periods. </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Results</w:t>
      </w:r>
    </w:p>
    <w:p w:rsidR="0098187F" w:rsidRDefault="0098187F">
      <w:pPr>
        <w:spacing w:line="240" w:lineRule="auto"/>
        <w:rPr>
          <w:rFonts w:ascii="Times New Roman" w:eastAsia="Times New Roman" w:hAnsi="Times New Roman" w:cs="Times New Roman"/>
          <w:b/>
          <w:sz w:val="24"/>
          <w:szCs w:val="24"/>
          <w:u w:val="single"/>
        </w:rPr>
      </w:pPr>
    </w:p>
    <w:p w:rsidR="0098187F" w:rsidRDefault="005109BB">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Stacked-PCA Change Detection</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outputs from these various change detection techniques examine the change in vegetation from 2009-2017 in Monroe </w:t>
      </w:r>
      <w:r>
        <w:rPr>
          <w:rFonts w:ascii="Times New Roman" w:eastAsia="Times New Roman" w:hAnsi="Times New Roman" w:cs="Times New Roman"/>
          <w:sz w:val="24"/>
          <w:szCs w:val="24"/>
        </w:rPr>
        <w:t>County, NY. We found that 8,448,898,967 tons/ha was gained from 2009-2017 in performing the stacked PCA change detection in comparison to 1.890893535</w:t>
      </w:r>
      <w:r>
        <w:rPr>
          <w:rFonts w:ascii="Times New Roman" w:eastAsia="Times New Roman" w:hAnsi="Times New Roman" w:cs="Times New Roman"/>
          <w:sz w:val="24"/>
          <w:szCs w:val="24"/>
          <w:vertAlign w:val="superscript"/>
        </w:rPr>
        <w:t>10</w:t>
      </w:r>
      <w:r>
        <w:rPr>
          <w:rFonts w:ascii="Times New Roman" w:eastAsia="Times New Roman" w:hAnsi="Times New Roman" w:cs="Times New Roman"/>
          <w:sz w:val="24"/>
          <w:szCs w:val="24"/>
        </w:rPr>
        <w:t xml:space="preserve"> tons/ha gained from the NDVI analysis. Most of the vegetation gained occurred in the central region of t</w:t>
      </w:r>
      <w:r>
        <w:rPr>
          <w:rFonts w:ascii="Times New Roman" w:eastAsia="Times New Roman" w:hAnsi="Times New Roman" w:cs="Times New Roman"/>
          <w:sz w:val="24"/>
          <w:szCs w:val="24"/>
        </w:rPr>
        <w:t xml:space="preserve">he city and in rural/suburban areas. The stacked PCA change detection technique indicated that most changes occurred in agriculture-intensive regions (Figure 1). This was interpreted as increased agriculture being one of the main trends driving land cover </w:t>
      </w:r>
      <w:r>
        <w:rPr>
          <w:rFonts w:ascii="Times New Roman" w:eastAsia="Times New Roman" w:hAnsi="Times New Roman" w:cs="Times New Roman"/>
          <w:sz w:val="24"/>
          <w:szCs w:val="24"/>
        </w:rPr>
        <w:t xml:space="preserve">change in Monroe </w:t>
      </w:r>
      <w:proofErr w:type="gramStart"/>
      <w:r>
        <w:rPr>
          <w:rFonts w:ascii="Times New Roman" w:eastAsia="Times New Roman" w:hAnsi="Times New Roman" w:cs="Times New Roman"/>
          <w:sz w:val="24"/>
          <w:szCs w:val="24"/>
        </w:rPr>
        <w:t>county</w:t>
      </w:r>
      <w:proofErr w:type="gramEnd"/>
      <w:r>
        <w:rPr>
          <w:rFonts w:ascii="Times New Roman" w:eastAsia="Times New Roman" w:hAnsi="Times New Roman" w:cs="Times New Roman"/>
          <w:sz w:val="24"/>
          <w:szCs w:val="24"/>
        </w:rPr>
        <w:t>, NY from 2009-2017. With the absence of the NIR band, change in vegetation could not be fully explored, however we used the green band as a replacement for the image subtraction implemented for the NDVI analysis (Figure 2).</w:t>
      </w:r>
    </w:p>
    <w:p w:rsidR="0098187F" w:rsidRDefault="0098187F">
      <w:pPr>
        <w:spacing w:line="240" w:lineRule="auto"/>
        <w:ind w:firstLine="720"/>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NDVI Ch</w:t>
      </w:r>
      <w:r>
        <w:rPr>
          <w:rFonts w:ascii="Times New Roman" w:eastAsia="Times New Roman" w:hAnsi="Times New Roman" w:cs="Times New Roman"/>
          <w:i/>
          <w:sz w:val="24"/>
          <w:szCs w:val="24"/>
        </w:rPr>
        <w:t>ange Detection</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Upon the completion of the NDVI change detection, we found a significantly greater amount of areas that changed compared to the stacked PCA technique. The boxed region in figure 2 demonstrates increased vegetation that was detected by NDVI t</w:t>
      </w:r>
      <w:r>
        <w:rPr>
          <w:rFonts w:ascii="Times New Roman" w:eastAsia="Times New Roman" w:hAnsi="Times New Roman" w:cs="Times New Roman"/>
          <w:sz w:val="24"/>
          <w:szCs w:val="24"/>
        </w:rPr>
        <w:t>ool, but not the stacked PCA tool. As mentioned previously, we found the stacked PCA technique mainly identified agricultural regions that experienced a change in vegetation. The NDVI analysis expresses much more change in vegetation, especially in the cen</w:t>
      </w:r>
      <w:r>
        <w:rPr>
          <w:rFonts w:ascii="Times New Roman" w:eastAsia="Times New Roman" w:hAnsi="Times New Roman" w:cs="Times New Roman"/>
          <w:sz w:val="24"/>
          <w:szCs w:val="24"/>
        </w:rPr>
        <w:t xml:space="preserve">tral region of Monroe </w:t>
      </w:r>
      <w:proofErr w:type="gramStart"/>
      <w:r>
        <w:rPr>
          <w:rFonts w:ascii="Times New Roman" w:eastAsia="Times New Roman" w:hAnsi="Times New Roman" w:cs="Times New Roman"/>
          <w:sz w:val="24"/>
          <w:szCs w:val="24"/>
        </w:rPr>
        <w:t>county</w:t>
      </w:r>
      <w:proofErr w:type="gramEnd"/>
      <w:r>
        <w:rPr>
          <w:rFonts w:ascii="Times New Roman" w:eastAsia="Times New Roman" w:hAnsi="Times New Roman" w:cs="Times New Roman"/>
          <w:sz w:val="24"/>
          <w:szCs w:val="24"/>
        </w:rPr>
        <w:t>, whereas the stacked PCA change detection did not. This is most likely due to the absence of the NIR band for both techniques since they are both spectrally based. Since the green band looks at vegetative vigor, it was determin</w:t>
      </w:r>
      <w:r>
        <w:rPr>
          <w:rFonts w:ascii="Times New Roman" w:eastAsia="Times New Roman" w:hAnsi="Times New Roman" w:cs="Times New Roman"/>
          <w:sz w:val="24"/>
          <w:szCs w:val="24"/>
        </w:rPr>
        <w:t>ed as the best replacement for the NIR band in the NDVI analysis. The additional areas of change in the NDVI change(-1) class were assumed to be vegetation present within residential communities; forms of open and greenspaces such as trees, roadside vegeta</w:t>
      </w:r>
      <w:r>
        <w:rPr>
          <w:rFonts w:ascii="Times New Roman" w:eastAsia="Times New Roman" w:hAnsi="Times New Roman" w:cs="Times New Roman"/>
          <w:sz w:val="24"/>
          <w:szCs w:val="24"/>
        </w:rPr>
        <w:t xml:space="preserve">tion, parks, and fields.  </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Supervised Classification</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was a significant amount of pixel mixing in the supervised classifications (Figure 3 and Figure 4). This was most likely a result of there being too few classes. This also occurred for the unsuper</w:t>
      </w:r>
      <w:r>
        <w:rPr>
          <w:rFonts w:ascii="Times New Roman" w:eastAsia="Times New Roman" w:hAnsi="Times New Roman" w:cs="Times New Roman"/>
          <w:sz w:val="24"/>
          <w:szCs w:val="24"/>
        </w:rPr>
        <w:t>vised classification (Figure 5 and Figure 6). We visually observed that vegetation increased significantly in rural and suburban areas.  Since we created 5 classes to classify the entire image, a majority of the pixels were clumped together in one of the 5</w:t>
      </w:r>
      <w:r>
        <w:rPr>
          <w:rFonts w:ascii="Times New Roman" w:eastAsia="Times New Roman" w:hAnsi="Times New Roman" w:cs="Times New Roman"/>
          <w:sz w:val="24"/>
          <w:szCs w:val="24"/>
        </w:rPr>
        <w:t xml:space="preserve"> because of the similarity in spectral signatures. We identified 35 transition types during the attempt to run the supervised classification thematic workflow within the 5 classes from 2009-2017. This part of the analysis was not successful because the cla</w:t>
      </w:r>
      <w:r>
        <w:rPr>
          <w:rFonts w:ascii="Times New Roman" w:eastAsia="Times New Roman" w:hAnsi="Times New Roman" w:cs="Times New Roman"/>
          <w:sz w:val="24"/>
          <w:szCs w:val="24"/>
        </w:rPr>
        <w:t xml:space="preserve">sses were not generated in the same order across the two time periods. </w:t>
      </w:r>
    </w:p>
    <w:p w:rsidR="0098187F" w:rsidRDefault="0098187F">
      <w:pPr>
        <w:spacing w:line="240" w:lineRule="auto"/>
        <w:ind w:firstLine="720"/>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b/>
          <w:color w:val="FF0000"/>
          <w:sz w:val="24"/>
          <w:szCs w:val="24"/>
          <w:u w:val="single"/>
        </w:rPr>
      </w:pPr>
      <w:r>
        <w:rPr>
          <w:rFonts w:ascii="Times New Roman" w:eastAsia="Times New Roman" w:hAnsi="Times New Roman" w:cs="Times New Roman"/>
          <w:sz w:val="24"/>
          <w:szCs w:val="24"/>
        </w:rPr>
        <w:t xml:space="preserve">In running multiple change detection analyses on Monroe County, we discovered that there had been a significant increase in vegetation from 2009-2017. When we ran both classification </w:t>
      </w:r>
      <w:r>
        <w:rPr>
          <w:rFonts w:ascii="Times New Roman" w:eastAsia="Times New Roman" w:hAnsi="Times New Roman" w:cs="Times New Roman"/>
          <w:sz w:val="24"/>
          <w:szCs w:val="24"/>
        </w:rPr>
        <w:t xml:space="preserve">techniques, much of the pixel mixing was a result of there being too few classes and the absence </w:t>
      </w:r>
      <w:r>
        <w:rPr>
          <w:rFonts w:ascii="Times New Roman" w:eastAsia="Times New Roman" w:hAnsi="Times New Roman" w:cs="Times New Roman"/>
          <w:sz w:val="24"/>
          <w:szCs w:val="24"/>
        </w:rPr>
        <w:lastRenderedPageBreak/>
        <w:t>of the NIR band from the dataset. We found the main overlaps in classification had occurred between agriculture and grass as well as agriculture and roads. Dur</w:t>
      </w:r>
      <w:r>
        <w:rPr>
          <w:rFonts w:ascii="Times New Roman" w:eastAsia="Times New Roman" w:hAnsi="Times New Roman" w:cs="Times New Roman"/>
          <w:sz w:val="24"/>
          <w:szCs w:val="24"/>
        </w:rPr>
        <w:t xml:space="preserve">ing the first attempts of classification the </w:t>
      </w:r>
      <w:proofErr w:type="spellStart"/>
      <w:r>
        <w:rPr>
          <w:rFonts w:ascii="Times New Roman" w:eastAsia="Times New Roman" w:hAnsi="Times New Roman" w:cs="Times New Roman"/>
          <w:sz w:val="24"/>
          <w:szCs w:val="24"/>
        </w:rPr>
        <w:t>separability</w:t>
      </w:r>
      <w:proofErr w:type="spellEnd"/>
      <w:r>
        <w:rPr>
          <w:rFonts w:ascii="Times New Roman" w:eastAsia="Times New Roman" w:hAnsi="Times New Roman" w:cs="Times New Roman"/>
          <w:sz w:val="24"/>
          <w:szCs w:val="24"/>
        </w:rPr>
        <w:t xml:space="preserve"> between agriculture and grass returned very low indicating a significant amount of pixel mixing. Among other classes, the “Water” class was misclassified as grass for a few locations in the 2017 ima</w:t>
      </w:r>
      <w:r>
        <w:rPr>
          <w:rFonts w:ascii="Times New Roman" w:eastAsia="Times New Roman" w:hAnsi="Times New Roman" w:cs="Times New Roman"/>
          <w:sz w:val="24"/>
          <w:szCs w:val="24"/>
        </w:rPr>
        <w:t xml:space="preserve">ge. This was most likely a result of increased algal blooms in Monroe </w:t>
      </w:r>
      <w:proofErr w:type="gramStart"/>
      <w:r>
        <w:rPr>
          <w:rFonts w:ascii="Times New Roman" w:eastAsia="Times New Roman" w:hAnsi="Times New Roman" w:cs="Times New Roman"/>
          <w:sz w:val="24"/>
          <w:szCs w:val="24"/>
        </w:rPr>
        <w:t>county</w:t>
      </w:r>
      <w:proofErr w:type="gramEnd"/>
      <w:r>
        <w:rPr>
          <w:rFonts w:ascii="Times New Roman" w:eastAsia="Times New Roman" w:hAnsi="Times New Roman" w:cs="Times New Roman"/>
          <w:sz w:val="24"/>
          <w:szCs w:val="24"/>
        </w:rPr>
        <w:t xml:space="preserve"> over the examined time periods. This confusion occurred mostly among the agriculture, road, grass, and water classes. To remedy this, we revisited and revamped the ROIs for the su</w:t>
      </w:r>
      <w:r>
        <w:rPr>
          <w:rFonts w:ascii="Times New Roman" w:eastAsia="Times New Roman" w:hAnsi="Times New Roman" w:cs="Times New Roman"/>
          <w:sz w:val="24"/>
          <w:szCs w:val="24"/>
        </w:rPr>
        <w:t xml:space="preserve">pervised classification to enhance class definition. Doing so only slightly increased </w:t>
      </w:r>
      <w:proofErr w:type="spellStart"/>
      <w:r>
        <w:rPr>
          <w:rFonts w:ascii="Times New Roman" w:eastAsia="Times New Roman" w:hAnsi="Times New Roman" w:cs="Times New Roman"/>
          <w:sz w:val="24"/>
          <w:szCs w:val="24"/>
        </w:rPr>
        <w:t>separability</w:t>
      </w:r>
      <w:proofErr w:type="spellEnd"/>
      <w:r>
        <w:rPr>
          <w:rFonts w:ascii="Times New Roman" w:eastAsia="Times New Roman" w:hAnsi="Times New Roman" w:cs="Times New Roman"/>
          <w:sz w:val="24"/>
          <w:szCs w:val="24"/>
        </w:rPr>
        <w:t xml:space="preserve"> between agriculture and grass. The degraded areas in the 2017 image are more defined than in the 2009 image. Revisiting the ROIs and revamping them for the 2</w:t>
      </w:r>
      <w:r>
        <w:rPr>
          <w:rFonts w:ascii="Times New Roman" w:eastAsia="Times New Roman" w:hAnsi="Times New Roman" w:cs="Times New Roman"/>
          <w:sz w:val="24"/>
          <w:szCs w:val="24"/>
        </w:rPr>
        <w:t>009 image is recommended. Alternatively, creating more classes will assist in reducing pixel confusion and increased definition of the land cover. The thematic change workflow for the supervised classification of both time periods was unsuccessful due to t</w:t>
      </w:r>
      <w:r>
        <w:rPr>
          <w:rFonts w:ascii="Times New Roman" w:eastAsia="Times New Roman" w:hAnsi="Times New Roman" w:cs="Times New Roman"/>
          <w:sz w:val="24"/>
          <w:szCs w:val="24"/>
        </w:rPr>
        <w:t>he classes not being in the same order per image. Each classification required a significant amount of time (3+hrs) to run; due to a lack in time and the ENVI software crashing multiple times, repetition of classification with classes in the same order was</w:t>
      </w:r>
      <w:r>
        <w:rPr>
          <w:rFonts w:ascii="Times New Roman" w:eastAsia="Times New Roman" w:hAnsi="Times New Roman" w:cs="Times New Roman"/>
          <w:sz w:val="24"/>
          <w:szCs w:val="24"/>
        </w:rPr>
        <w:t xml:space="preserve"> not possible. </w:t>
      </w:r>
    </w:p>
    <w:p w:rsidR="0098187F" w:rsidRDefault="0098187F">
      <w:pPr>
        <w:spacing w:line="240" w:lineRule="auto"/>
        <w:rPr>
          <w:rFonts w:ascii="Times New Roman" w:eastAsia="Times New Roman" w:hAnsi="Times New Roman" w:cs="Times New Roman"/>
          <w:b/>
          <w:color w:val="FF0000"/>
          <w:sz w:val="24"/>
          <w:szCs w:val="24"/>
          <w:u w:val="single"/>
        </w:rPr>
      </w:pPr>
    </w:p>
    <w:p w:rsidR="0098187F" w:rsidRDefault="005109BB">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Unsupervised Classification</w:t>
      </w:r>
    </w:p>
    <w:p w:rsidR="0098187F" w:rsidRDefault="005109BB">
      <w:pPr>
        <w:spacing w:line="240" w:lineRule="auto"/>
        <w:rPr>
          <w:rFonts w:ascii="Times New Roman" w:eastAsia="Times New Roman" w:hAnsi="Times New Roman" w:cs="Times New Roman"/>
          <w:b/>
          <w:color w:val="FF0000"/>
          <w:sz w:val="24"/>
          <w:szCs w:val="24"/>
          <w:u w:val="single"/>
        </w:rPr>
      </w:pPr>
      <w:r>
        <w:rPr>
          <w:rFonts w:ascii="Times New Roman" w:eastAsia="Times New Roman" w:hAnsi="Times New Roman" w:cs="Times New Roman"/>
          <w:sz w:val="24"/>
          <w:szCs w:val="24"/>
        </w:rPr>
        <w:t>T</w:t>
      </w:r>
      <w:r>
        <w:rPr>
          <w:rFonts w:ascii="Times New Roman" w:eastAsia="Times New Roman" w:hAnsi="Times New Roman" w:cs="Times New Roman"/>
          <w:sz w:val="24"/>
          <w:szCs w:val="24"/>
        </w:rPr>
        <w:t>here was also a lot of pixel mixing in the unsupervised classification, likely due to not enough classes being generated (Figure 5 and Figure 6). In the 2009 classification, there was a lot of mixing between agriculture, water, and vegetation, meaning that</w:t>
      </w:r>
      <w:r>
        <w:rPr>
          <w:rFonts w:ascii="Times New Roman" w:eastAsia="Times New Roman" w:hAnsi="Times New Roman" w:cs="Times New Roman"/>
          <w:sz w:val="24"/>
          <w:szCs w:val="24"/>
        </w:rPr>
        <w:t xml:space="preserve"> many of the pixels had to be incorrectly classified when condensing the classes. Similarly, in the 2017 classification, there was a lot of mixing between agriculture and roads, resulting in a similar issue. This is the cause of most of Lake Ontario being </w:t>
      </w:r>
      <w:r>
        <w:rPr>
          <w:rFonts w:ascii="Times New Roman" w:eastAsia="Times New Roman" w:hAnsi="Times New Roman" w:cs="Times New Roman"/>
          <w:sz w:val="24"/>
          <w:szCs w:val="24"/>
        </w:rPr>
        <w:t>incorrectly classified as trees or grass; the focus while condensing the classes was on correctly classifying the land section of Monroe County, as the focus was on vegetation in this region. However, both land cover classifications are overall somewhat in</w:t>
      </w:r>
      <w:r>
        <w:rPr>
          <w:rFonts w:ascii="Times New Roman" w:eastAsia="Times New Roman" w:hAnsi="Times New Roman" w:cs="Times New Roman"/>
          <w:sz w:val="24"/>
          <w:szCs w:val="24"/>
        </w:rPr>
        <w:t>accurate, most likely due to pixel mixing from too few classes being generated. Due to time constraints, and the ENVI software taking several hours to perform a classification, there was not enough time to perform a classification with more classes. A them</w:t>
      </w:r>
      <w:r>
        <w:rPr>
          <w:rFonts w:ascii="Times New Roman" w:eastAsia="Times New Roman" w:hAnsi="Times New Roman" w:cs="Times New Roman"/>
          <w:sz w:val="24"/>
          <w:szCs w:val="24"/>
        </w:rPr>
        <w:t>atic change workflow for the unsupervised classification was also attempted several times but caused ENVI to crash upon every attempt, and was thus unsuccessful. Troubleshooting was attempted by changing workflow settings, but this was also unsuccessful an</w:t>
      </w:r>
      <w:r>
        <w:rPr>
          <w:rFonts w:ascii="Times New Roman" w:eastAsia="Times New Roman" w:hAnsi="Times New Roman" w:cs="Times New Roman"/>
          <w:sz w:val="24"/>
          <w:szCs w:val="24"/>
        </w:rPr>
        <w:t>d had to be abandoned due to time constraints.</w:t>
      </w:r>
    </w:p>
    <w:p w:rsidR="0098187F" w:rsidRDefault="0098187F">
      <w:pPr>
        <w:spacing w:line="240" w:lineRule="auto"/>
        <w:rPr>
          <w:rFonts w:ascii="Times New Roman" w:eastAsia="Times New Roman" w:hAnsi="Times New Roman" w:cs="Times New Roman"/>
          <w:b/>
          <w:sz w:val="24"/>
          <w:szCs w:val="24"/>
          <w:u w:val="single"/>
        </w:rPr>
      </w:pPr>
    </w:p>
    <w:p w:rsidR="0098187F" w:rsidRDefault="005109BB">
      <w:pPr>
        <w:spacing w:line="240" w:lineRule="auto"/>
        <w:rPr>
          <w:rFonts w:ascii="Times New Roman" w:eastAsia="Times New Roman" w:hAnsi="Times New Roman" w:cs="Times New Roman"/>
          <w:b/>
          <w:sz w:val="24"/>
          <w:szCs w:val="24"/>
          <w:u w:val="single"/>
        </w:rPr>
      </w:pPr>
      <w:r>
        <w:br w:type="page"/>
      </w:r>
    </w:p>
    <w:p w:rsidR="0098187F" w:rsidRDefault="005109BB">
      <w:pPr>
        <w:spacing w:line="240" w:lineRule="auto"/>
        <w:rPr>
          <w:rFonts w:ascii="Times New Roman" w:eastAsia="Times New Roman" w:hAnsi="Times New Roman" w:cs="Times New Roman"/>
          <w:color w:val="FF0000"/>
          <w:sz w:val="24"/>
          <w:szCs w:val="24"/>
          <w:u w:val="single"/>
        </w:rPr>
      </w:pPr>
      <w:r>
        <w:rPr>
          <w:rFonts w:ascii="Times New Roman" w:eastAsia="Times New Roman" w:hAnsi="Times New Roman" w:cs="Times New Roman"/>
          <w:b/>
          <w:sz w:val="24"/>
          <w:szCs w:val="24"/>
          <w:u w:val="single"/>
        </w:rPr>
        <w:lastRenderedPageBreak/>
        <w:t>Discussion</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we found that Monroe </w:t>
      </w:r>
      <w:proofErr w:type="gramStart"/>
      <w:r>
        <w:rPr>
          <w:rFonts w:ascii="Times New Roman" w:eastAsia="Times New Roman" w:hAnsi="Times New Roman" w:cs="Times New Roman"/>
          <w:sz w:val="24"/>
          <w:szCs w:val="24"/>
        </w:rPr>
        <w:t>county</w:t>
      </w:r>
      <w:proofErr w:type="gramEnd"/>
      <w:r>
        <w:rPr>
          <w:rFonts w:ascii="Times New Roman" w:eastAsia="Times New Roman" w:hAnsi="Times New Roman" w:cs="Times New Roman"/>
          <w:sz w:val="24"/>
          <w:szCs w:val="24"/>
        </w:rPr>
        <w:t xml:space="preserve"> experienced significant gains in vegetation; specifically in suburban and rural communities. The gain in vegetation is disproportionate in the city of Rochester in comparison to the outer parts of the county. </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chang</w:t>
      </w:r>
      <w:r>
        <w:rPr>
          <w:rFonts w:ascii="Times New Roman" w:eastAsia="Times New Roman" w:hAnsi="Times New Roman" w:cs="Times New Roman"/>
          <w:sz w:val="24"/>
          <w:szCs w:val="24"/>
        </w:rPr>
        <w:t>e detection analyses demonstrate that the suburban and rural areas in Monroe County, NY experienced increases in vegetation from 2009-2017. Conversely, our stacked-PCA change detection analysis shows the city of Rochester having experienced significantly l</w:t>
      </w:r>
      <w:r>
        <w:rPr>
          <w:rFonts w:ascii="Times New Roman" w:eastAsia="Times New Roman" w:hAnsi="Times New Roman" w:cs="Times New Roman"/>
          <w:sz w:val="24"/>
          <w:szCs w:val="24"/>
        </w:rPr>
        <w:t>ess gains in vegetation compared to the surrounding suburb and rural communities. Similar projects to this one have found similar results. An analysis of the distribution of tree canopy and ecosystem services in the Bronx, NY, found that they were dispropo</w:t>
      </w:r>
      <w:r>
        <w:rPr>
          <w:rFonts w:ascii="Times New Roman" w:eastAsia="Times New Roman" w:hAnsi="Times New Roman" w:cs="Times New Roman"/>
          <w:sz w:val="24"/>
          <w:szCs w:val="24"/>
        </w:rPr>
        <w:t xml:space="preserve">rtionately </w:t>
      </w:r>
      <w:proofErr w:type="spellStart"/>
      <w:r>
        <w:rPr>
          <w:rFonts w:ascii="Times New Roman" w:eastAsia="Times New Roman" w:hAnsi="Times New Roman" w:cs="Times New Roman"/>
          <w:sz w:val="24"/>
          <w:szCs w:val="24"/>
        </w:rPr>
        <w:t>distributed.This</w:t>
      </w:r>
      <w:proofErr w:type="spellEnd"/>
      <w:r>
        <w:rPr>
          <w:rFonts w:ascii="Times New Roman" w:eastAsia="Times New Roman" w:hAnsi="Times New Roman" w:cs="Times New Roman"/>
          <w:sz w:val="24"/>
          <w:szCs w:val="24"/>
        </w:rPr>
        <w:t xml:space="preserve"> study also concluded that disadvantaged socio-demographic and socio-economic block groups are receiving disproportionately lower ecosystem services from urban trees like the Bronx, NY (</w:t>
      </w:r>
      <w:proofErr w:type="spellStart"/>
      <w:r>
        <w:rPr>
          <w:rFonts w:ascii="Times New Roman" w:eastAsia="Times New Roman" w:hAnsi="Times New Roman" w:cs="Times New Roman"/>
          <w:sz w:val="24"/>
          <w:szCs w:val="24"/>
        </w:rPr>
        <w:t>Nyelele</w:t>
      </w:r>
      <w:proofErr w:type="spellEnd"/>
      <w:r>
        <w:rPr>
          <w:rFonts w:ascii="Times New Roman" w:eastAsia="Times New Roman" w:hAnsi="Times New Roman" w:cs="Times New Roman"/>
          <w:sz w:val="24"/>
          <w:szCs w:val="24"/>
        </w:rPr>
        <w:t>, C., &amp;  Kroll, C. N. 2020). However</w:t>
      </w:r>
      <w:r>
        <w:rPr>
          <w:rFonts w:ascii="Times New Roman" w:eastAsia="Times New Roman" w:hAnsi="Times New Roman" w:cs="Times New Roman"/>
          <w:sz w:val="24"/>
          <w:szCs w:val="24"/>
        </w:rPr>
        <w:t>, not all cities have seen this pattern. A different study found no significant change in forest cover in Hangzhou City, China between 2000 and 2003. This pattern was likely due to increased conservation efforts and/or possible misclassification of orchard</w:t>
      </w:r>
      <w:r>
        <w:rPr>
          <w:rFonts w:ascii="Times New Roman" w:eastAsia="Times New Roman" w:hAnsi="Times New Roman" w:cs="Times New Roman"/>
          <w:sz w:val="24"/>
          <w:szCs w:val="24"/>
        </w:rPr>
        <w:t xml:space="preserve">s and forest cover (Deng, 2008). </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Some existing programs in the region may help mitigate the apparent disparity in where tree cover has been gained within the county. Given the many benefits of forests, municipalities have begun taking the initiative to i</w:t>
      </w:r>
      <w:r>
        <w:rPr>
          <w:rFonts w:ascii="Times New Roman" w:eastAsia="Times New Roman" w:hAnsi="Times New Roman" w:cs="Times New Roman"/>
          <w:sz w:val="24"/>
          <w:szCs w:val="24"/>
        </w:rPr>
        <w:t>ncrease the amount of urban forests and greenspaces for its citizens, especially in residential areas. For example, in Rochester, NY, the Rochester Green Team aims to increase the use of environmentally sustainable technology to improve human health of peo</w:t>
      </w:r>
      <w:r>
        <w:rPr>
          <w:rFonts w:ascii="Times New Roman" w:eastAsia="Times New Roman" w:hAnsi="Times New Roman" w:cs="Times New Roman"/>
          <w:sz w:val="24"/>
          <w:szCs w:val="24"/>
        </w:rPr>
        <w:t>ple now and in future generations. In 2010, the Green Team installed a roof garden system which consisted of garden and waterproofing systems, as an addition to the Rochester City Hall building (City of Rochester). The city of Rochester's roof garden was b</w:t>
      </w:r>
      <w:r>
        <w:rPr>
          <w:rFonts w:ascii="Times New Roman" w:eastAsia="Times New Roman" w:hAnsi="Times New Roman" w:cs="Times New Roman"/>
          <w:sz w:val="24"/>
          <w:szCs w:val="24"/>
        </w:rPr>
        <w:t>uilt directly over its waterproofing system. The filtration layer of the waterproofing system was reused for drainage, and sedum mats were placed over this layer in addition to a growing medium. By completing the roof garden project, the city has implement</w:t>
      </w:r>
      <w:r>
        <w:rPr>
          <w:rFonts w:ascii="Times New Roman" w:eastAsia="Times New Roman" w:hAnsi="Times New Roman" w:cs="Times New Roman"/>
          <w:sz w:val="24"/>
          <w:szCs w:val="24"/>
        </w:rPr>
        <w:t>ed environmentally sustainable technology that promotes forest services. In return, they receive the benefits of forest services that are provided by the roof garden; regulating temperature, air and water quality</w:t>
      </w:r>
      <w:proofErr w:type="gramStart"/>
      <w:r>
        <w:rPr>
          <w:rFonts w:ascii="Times New Roman" w:eastAsia="Times New Roman" w:hAnsi="Times New Roman" w:cs="Times New Roman"/>
          <w:sz w:val="24"/>
          <w:szCs w:val="24"/>
        </w:rPr>
        <w:t>,  and</w:t>
      </w:r>
      <w:proofErr w:type="gramEnd"/>
      <w:r>
        <w:rPr>
          <w:rFonts w:ascii="Times New Roman" w:eastAsia="Times New Roman" w:hAnsi="Times New Roman" w:cs="Times New Roman"/>
          <w:sz w:val="24"/>
          <w:szCs w:val="24"/>
        </w:rPr>
        <w:t xml:space="preserve"> reducing the overall.  A similar proj</w:t>
      </w:r>
      <w:r>
        <w:rPr>
          <w:rFonts w:ascii="Times New Roman" w:eastAsia="Times New Roman" w:hAnsi="Times New Roman" w:cs="Times New Roman"/>
          <w:sz w:val="24"/>
          <w:szCs w:val="24"/>
        </w:rPr>
        <w:t>ect was conducted for the City of Chicago's City Hall building. Both entail roof gardens with native grasses, herbaceous plants, and other foliage intended for pollinating species to forage. The installation of the Chicago roof garden project, concluded in</w:t>
      </w:r>
      <w:r>
        <w:rPr>
          <w:rFonts w:ascii="Times New Roman" w:eastAsia="Times New Roman" w:hAnsi="Times New Roman" w:cs="Times New Roman"/>
          <w:sz w:val="24"/>
          <w:szCs w:val="24"/>
        </w:rPr>
        <w:t xml:space="preserve"> 2001, includes over 150 plant species and has been observed to regulate building temperature; keeping the building at cooler temperatures during summer months (TCLF, 2020).    </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recommend future researchers create additional classes to narrow class def</w:t>
      </w:r>
      <w:r>
        <w:rPr>
          <w:rFonts w:ascii="Times New Roman" w:eastAsia="Times New Roman" w:hAnsi="Times New Roman" w:cs="Times New Roman"/>
          <w:sz w:val="24"/>
          <w:szCs w:val="24"/>
        </w:rPr>
        <w:t>inition when performing supervised classification. This will most likely produce images with reduced pixel mixing. According to this analysis, Monroe County NY has experienced a high level of urbanization prior to and within 2009-2017; there are various on</w:t>
      </w:r>
      <w:r>
        <w:rPr>
          <w:rFonts w:ascii="Times New Roman" w:eastAsia="Times New Roman" w:hAnsi="Times New Roman" w:cs="Times New Roman"/>
          <w:sz w:val="24"/>
          <w:szCs w:val="24"/>
        </w:rPr>
        <w:t xml:space="preserve">going human activities such as agriculture and increased urban development in this region that result in similar spectral </w:t>
      </w:r>
      <w:proofErr w:type="spellStart"/>
      <w:r>
        <w:rPr>
          <w:rFonts w:ascii="Times New Roman" w:eastAsia="Times New Roman" w:hAnsi="Times New Roman" w:cs="Times New Roman"/>
          <w:sz w:val="24"/>
          <w:szCs w:val="24"/>
        </w:rPr>
        <w:t>reflectances</w:t>
      </w:r>
      <w:proofErr w:type="spellEnd"/>
      <w:r>
        <w:rPr>
          <w:rFonts w:ascii="Times New Roman" w:eastAsia="Times New Roman" w:hAnsi="Times New Roman" w:cs="Times New Roman"/>
          <w:sz w:val="24"/>
          <w:szCs w:val="24"/>
        </w:rPr>
        <w:t xml:space="preserve">. Creating more classes for classification would assist in classifying these activities uniquely; </w:t>
      </w:r>
      <w:proofErr w:type="spellStart"/>
      <w:r>
        <w:rPr>
          <w:rFonts w:ascii="Times New Roman" w:eastAsia="Times New Roman" w:hAnsi="Times New Roman" w:cs="Times New Roman"/>
          <w:sz w:val="24"/>
          <w:szCs w:val="24"/>
        </w:rPr>
        <w:t>separability</w:t>
      </w:r>
      <w:proofErr w:type="spellEnd"/>
      <w:r>
        <w:rPr>
          <w:rFonts w:ascii="Times New Roman" w:eastAsia="Times New Roman" w:hAnsi="Times New Roman" w:cs="Times New Roman"/>
          <w:sz w:val="24"/>
          <w:szCs w:val="24"/>
        </w:rPr>
        <w:t xml:space="preserve"> among the g</w:t>
      </w:r>
      <w:r>
        <w:rPr>
          <w:rFonts w:ascii="Times New Roman" w:eastAsia="Times New Roman" w:hAnsi="Times New Roman" w:cs="Times New Roman"/>
          <w:sz w:val="24"/>
          <w:szCs w:val="24"/>
        </w:rPr>
        <w:t xml:space="preserve">rass and agriculture classes remained low after visiting and revamping the ROIs, making adding more classes to the classification scheme the ideal improvement here. We also recommend being mindful to create the classes in the same order for </w:t>
      </w:r>
      <w:r>
        <w:rPr>
          <w:rFonts w:ascii="Times New Roman" w:eastAsia="Times New Roman" w:hAnsi="Times New Roman" w:cs="Times New Roman"/>
          <w:sz w:val="24"/>
          <w:szCs w:val="24"/>
        </w:rPr>
        <w:lastRenderedPageBreak/>
        <w:t>both time perio</w:t>
      </w:r>
      <w:r>
        <w:rPr>
          <w:rFonts w:ascii="Times New Roman" w:eastAsia="Times New Roman" w:hAnsi="Times New Roman" w:cs="Times New Roman"/>
          <w:sz w:val="24"/>
          <w:szCs w:val="24"/>
        </w:rPr>
        <w:t xml:space="preserve">ds. Although the stacked PCA found the expansion of agriculture as one of the main drivers of change </w:t>
      </w:r>
      <w:proofErr w:type="gramStart"/>
      <w:r>
        <w:rPr>
          <w:rFonts w:ascii="Times New Roman" w:eastAsia="Times New Roman" w:hAnsi="Times New Roman" w:cs="Times New Roman"/>
          <w:sz w:val="24"/>
          <w:szCs w:val="24"/>
        </w:rPr>
        <w:t>between 2009-2017,</w:t>
      </w:r>
      <w:proofErr w:type="gramEnd"/>
      <w:r>
        <w:rPr>
          <w:rFonts w:ascii="Times New Roman" w:eastAsia="Times New Roman" w:hAnsi="Times New Roman" w:cs="Times New Roman"/>
          <w:sz w:val="24"/>
          <w:szCs w:val="24"/>
        </w:rPr>
        <w:t xml:space="preserve"> using this technique would not be advised if one is trying to identify changes in all types of vegetation. NDVI was the best technique t</w:t>
      </w:r>
      <w:r>
        <w:rPr>
          <w:rFonts w:ascii="Times New Roman" w:eastAsia="Times New Roman" w:hAnsi="Times New Roman" w:cs="Times New Roman"/>
          <w:sz w:val="24"/>
          <w:szCs w:val="24"/>
        </w:rPr>
        <w:t>o implement for the purpose of this project, however with the absence in the NIR band from the datasets, the accuracy of this analysis is thus questionable. The NDVI change detection is based on the green and red bands from the images, assessing vegetation</w:t>
      </w:r>
      <w:r>
        <w:rPr>
          <w:rFonts w:ascii="Times New Roman" w:eastAsia="Times New Roman" w:hAnsi="Times New Roman" w:cs="Times New Roman"/>
          <w:sz w:val="24"/>
          <w:szCs w:val="24"/>
        </w:rPr>
        <w:t xml:space="preserve"> vigor instead of biomass content. When looking for data, we recommend inspecting the associated text files from the dataset to ensure all bands that are required for NDVI analyses are present. Ortho data with NIR bands for this region was unavailable in t</w:t>
      </w:r>
      <w:r>
        <w:rPr>
          <w:rFonts w:ascii="Times New Roman" w:eastAsia="Times New Roman" w:hAnsi="Times New Roman" w:cs="Times New Roman"/>
          <w:sz w:val="24"/>
          <w:szCs w:val="24"/>
        </w:rPr>
        <w:t>his case, in which the green band was used as a replacement; investigation about biomass content would thus be possible.</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our change detection analysis found a great amount of vegetation gained in the suburban and rural regions of Monroe County</w:t>
      </w:r>
      <w:r>
        <w:rPr>
          <w:rFonts w:ascii="Times New Roman" w:eastAsia="Times New Roman" w:hAnsi="Times New Roman" w:cs="Times New Roman"/>
          <w:sz w:val="24"/>
          <w:szCs w:val="24"/>
        </w:rPr>
        <w:t xml:space="preserve">, NY, from 2009-2017. Residents within those communities thus have access to greater ecosystem services compared to those in urban areas. This demonstrates that there was a significant increase in vegetation cover in the rural and suburban areas of Monroe </w:t>
      </w:r>
      <w:r>
        <w:rPr>
          <w:rFonts w:ascii="Times New Roman" w:eastAsia="Times New Roman" w:hAnsi="Times New Roman" w:cs="Times New Roman"/>
          <w:sz w:val="24"/>
          <w:szCs w:val="24"/>
        </w:rPr>
        <w:t>County, Rochester NY. Simultaneously, provision of and access to forest ecosystem services for residents in those communities has increased significantly. Residents in the central city as well as the urban-fringe have not seen early similar levels of incre</w:t>
      </w:r>
      <w:r>
        <w:rPr>
          <w:rFonts w:ascii="Times New Roman" w:eastAsia="Times New Roman" w:hAnsi="Times New Roman" w:cs="Times New Roman"/>
          <w:sz w:val="24"/>
          <w:szCs w:val="24"/>
        </w:rPr>
        <w:t>ased green-spaces and forests from 2009-2017. As seen from studies in other regions, increased green-spaces and forests has been shown to increase human health -- but those who lack access to forest ecosystems cannot experience the benefits of them. Additi</w:t>
      </w:r>
      <w:r>
        <w:rPr>
          <w:rFonts w:ascii="Times New Roman" w:eastAsia="Times New Roman" w:hAnsi="Times New Roman" w:cs="Times New Roman"/>
          <w:sz w:val="24"/>
          <w:szCs w:val="24"/>
        </w:rPr>
        <w:t>onal green-spaces and forests in urban settings can take many forms; rooftop gardens discussed previously, communal gardens, parks, and more.</w:t>
      </w:r>
    </w:p>
    <w:p w:rsidR="0098187F" w:rsidRDefault="0098187F">
      <w:pPr>
        <w:spacing w:line="240" w:lineRule="auto"/>
        <w:rPr>
          <w:rFonts w:ascii="Times New Roman" w:eastAsia="Times New Roman" w:hAnsi="Times New Roman" w:cs="Times New Roman"/>
          <w:b/>
          <w:sz w:val="24"/>
          <w:szCs w:val="24"/>
          <w:u w:val="single"/>
        </w:rPr>
      </w:pPr>
    </w:p>
    <w:p w:rsidR="0098187F" w:rsidRDefault="0098187F">
      <w:pPr>
        <w:spacing w:line="240" w:lineRule="auto"/>
        <w:rPr>
          <w:rFonts w:ascii="Times New Roman" w:eastAsia="Times New Roman" w:hAnsi="Times New Roman" w:cs="Times New Roman"/>
          <w:b/>
          <w:sz w:val="24"/>
          <w:szCs w:val="24"/>
          <w:u w:val="single"/>
        </w:rPr>
      </w:pPr>
    </w:p>
    <w:p w:rsidR="0098187F" w:rsidRDefault="005109BB">
      <w:pPr>
        <w:spacing w:line="240" w:lineRule="auto"/>
        <w:rPr>
          <w:rFonts w:ascii="Times New Roman" w:eastAsia="Times New Roman" w:hAnsi="Times New Roman" w:cs="Times New Roman"/>
          <w:b/>
          <w:sz w:val="24"/>
          <w:szCs w:val="24"/>
          <w:u w:val="single"/>
        </w:rPr>
      </w:pPr>
      <w:r>
        <w:br w:type="page"/>
      </w:r>
    </w:p>
    <w:p w:rsidR="0098187F" w:rsidRDefault="005109B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Author Contributions</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SB and KSW developed the research question. SB completed the supervised classification, i</w:t>
      </w:r>
      <w:r>
        <w:rPr>
          <w:rFonts w:ascii="Times New Roman" w:eastAsia="Times New Roman" w:hAnsi="Times New Roman" w:cs="Times New Roman"/>
          <w:sz w:val="24"/>
          <w:szCs w:val="24"/>
        </w:rPr>
        <w:t>mage subtraction, transformations, and attempted change detection with supervised classification. AW completed the literature review, the unsupervised classification, and attempted thematic change detection with unsupervised classification. SB, AW, and KSW</w:t>
      </w:r>
      <w:r>
        <w:rPr>
          <w:rFonts w:ascii="Times New Roman" w:eastAsia="Times New Roman" w:hAnsi="Times New Roman" w:cs="Times New Roman"/>
          <w:sz w:val="24"/>
          <w:szCs w:val="24"/>
        </w:rPr>
        <w:t xml:space="preserve"> contributed to writing.</w:t>
      </w:r>
    </w:p>
    <w:p w:rsidR="0098187F" w:rsidRDefault="0098187F">
      <w:pPr>
        <w:spacing w:line="240" w:lineRule="auto"/>
        <w:rPr>
          <w:rFonts w:ascii="Times New Roman" w:eastAsia="Times New Roman" w:hAnsi="Times New Roman" w:cs="Times New Roman"/>
          <w:b/>
          <w:sz w:val="24"/>
          <w:szCs w:val="24"/>
          <w:u w:val="single"/>
        </w:rPr>
      </w:pPr>
    </w:p>
    <w:p w:rsidR="0098187F" w:rsidRDefault="005109B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Acknowledgements </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project was not externally funded. We would like to thank Dr. van </w:t>
      </w:r>
      <w:proofErr w:type="spellStart"/>
      <w:r>
        <w:rPr>
          <w:rFonts w:ascii="Times New Roman" w:eastAsia="Times New Roman" w:hAnsi="Times New Roman" w:cs="Times New Roman"/>
          <w:sz w:val="24"/>
          <w:szCs w:val="24"/>
        </w:rPr>
        <w:t>Aardt</w:t>
      </w:r>
      <w:proofErr w:type="spellEnd"/>
      <w:r>
        <w:rPr>
          <w:rFonts w:ascii="Times New Roman" w:eastAsia="Times New Roman" w:hAnsi="Times New Roman" w:cs="Times New Roman"/>
          <w:sz w:val="24"/>
          <w:szCs w:val="24"/>
        </w:rPr>
        <w:t xml:space="preserve"> for his guidance and recommendations for the completion of this project.</w:t>
      </w:r>
    </w:p>
    <w:p w:rsidR="0098187F" w:rsidRDefault="0098187F">
      <w:pPr>
        <w:spacing w:line="240" w:lineRule="auto"/>
        <w:rPr>
          <w:rFonts w:ascii="Times New Roman" w:eastAsia="Times New Roman" w:hAnsi="Times New Roman" w:cs="Times New Roman"/>
          <w:sz w:val="24"/>
          <w:szCs w:val="24"/>
        </w:rPr>
      </w:pPr>
    </w:p>
    <w:p w:rsidR="0098187F" w:rsidRDefault="0098187F">
      <w:pPr>
        <w:spacing w:line="240" w:lineRule="auto"/>
        <w:rPr>
          <w:rFonts w:ascii="Times New Roman" w:eastAsia="Times New Roman" w:hAnsi="Times New Roman" w:cs="Times New Roman"/>
          <w:sz w:val="24"/>
          <w:szCs w:val="24"/>
        </w:rPr>
      </w:pPr>
    </w:p>
    <w:p w:rsidR="0098187F" w:rsidRDefault="0098187F">
      <w:pPr>
        <w:spacing w:line="240" w:lineRule="auto"/>
        <w:rPr>
          <w:rFonts w:ascii="Times New Roman" w:eastAsia="Times New Roman" w:hAnsi="Times New Roman" w:cs="Times New Roman"/>
          <w:b/>
          <w:sz w:val="24"/>
          <w:szCs w:val="24"/>
        </w:rPr>
      </w:pPr>
    </w:p>
    <w:p w:rsidR="0098187F" w:rsidRDefault="0098187F">
      <w:pPr>
        <w:spacing w:line="240" w:lineRule="auto"/>
        <w:rPr>
          <w:rFonts w:ascii="Times New Roman" w:eastAsia="Times New Roman" w:hAnsi="Times New Roman" w:cs="Times New Roman"/>
          <w:sz w:val="24"/>
          <w:szCs w:val="24"/>
        </w:rPr>
      </w:pPr>
    </w:p>
    <w:p w:rsidR="0098187F" w:rsidRDefault="0098187F">
      <w:pPr>
        <w:spacing w:line="240" w:lineRule="auto"/>
        <w:rPr>
          <w:rFonts w:ascii="Times New Roman" w:eastAsia="Times New Roman" w:hAnsi="Times New Roman" w:cs="Times New Roman"/>
          <w:sz w:val="24"/>
          <w:szCs w:val="24"/>
        </w:rPr>
      </w:pPr>
    </w:p>
    <w:p w:rsidR="0098187F" w:rsidRDefault="0098187F">
      <w:pPr>
        <w:spacing w:line="240" w:lineRule="auto"/>
        <w:rPr>
          <w:rFonts w:ascii="Times New Roman" w:eastAsia="Times New Roman" w:hAnsi="Times New Roman" w:cs="Times New Roman"/>
          <w:b/>
          <w:sz w:val="24"/>
          <w:szCs w:val="24"/>
          <w:u w:val="single"/>
        </w:rPr>
      </w:pPr>
    </w:p>
    <w:p w:rsidR="0098187F" w:rsidRDefault="005109BB">
      <w:pPr>
        <w:spacing w:line="240" w:lineRule="auto"/>
        <w:rPr>
          <w:rFonts w:ascii="Times New Roman" w:eastAsia="Times New Roman" w:hAnsi="Times New Roman" w:cs="Times New Roman"/>
          <w:b/>
          <w:sz w:val="24"/>
          <w:szCs w:val="24"/>
          <w:u w:val="single"/>
        </w:rPr>
      </w:pPr>
      <w:r>
        <w:br w:type="page"/>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lastRenderedPageBreak/>
        <w:t>References</w:t>
      </w:r>
    </w:p>
    <w:p w:rsidR="0098187F" w:rsidRDefault="0098187F">
      <w:pPr>
        <w:widowControl w:val="0"/>
        <w:pBdr>
          <w:top w:val="nil"/>
          <w:left w:val="nil"/>
          <w:bottom w:val="nil"/>
          <w:right w:val="nil"/>
          <w:between w:val="nil"/>
        </w:pBdr>
        <w:spacing w:line="240" w:lineRule="auto"/>
        <w:ind w:left="720" w:hanging="720"/>
        <w:rPr>
          <w:rFonts w:ascii="Times New Roman" w:eastAsia="Times New Roman" w:hAnsi="Times New Roman" w:cs="Times New Roman"/>
          <w:sz w:val="24"/>
          <w:szCs w:val="24"/>
        </w:rPr>
      </w:pPr>
    </w:p>
    <w:p w:rsidR="0098187F" w:rsidRDefault="005109BB">
      <w:pPr>
        <w:widowControl w:val="0"/>
        <w:pBdr>
          <w:top w:val="nil"/>
          <w:left w:val="nil"/>
          <w:bottom w:val="nil"/>
          <w:right w:val="nil"/>
          <w:between w:val="nil"/>
        </w:pBd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Bolund</w:t>
      </w:r>
      <w:proofErr w:type="spellEnd"/>
      <w:r>
        <w:rPr>
          <w:rFonts w:ascii="Times New Roman" w:eastAsia="Times New Roman" w:hAnsi="Times New Roman" w:cs="Times New Roman"/>
          <w:sz w:val="24"/>
          <w:szCs w:val="24"/>
        </w:rPr>
        <w:t xml:space="preserve">, P., </w:t>
      </w:r>
      <w:proofErr w:type="spellStart"/>
      <w:r>
        <w:rPr>
          <w:rFonts w:ascii="Times New Roman" w:eastAsia="Times New Roman" w:hAnsi="Times New Roman" w:cs="Times New Roman"/>
          <w:sz w:val="24"/>
          <w:szCs w:val="24"/>
        </w:rPr>
        <w:t>Hunhammar</w:t>
      </w:r>
      <w:proofErr w:type="spellEnd"/>
      <w:r>
        <w:rPr>
          <w:rFonts w:ascii="Times New Roman" w:eastAsia="Times New Roman" w:hAnsi="Times New Roman" w:cs="Times New Roman"/>
          <w:sz w:val="24"/>
          <w:szCs w:val="24"/>
        </w:rPr>
        <w:t>, S. (1999). Ecosystem services in urban areas. Ecological Economics, 29(2), 293–301. https://doi.org/10.1016/s0921-</w:t>
      </w:r>
      <w:proofErr w:type="gramStart"/>
      <w:r>
        <w:rPr>
          <w:rFonts w:ascii="Times New Roman" w:eastAsia="Times New Roman" w:hAnsi="Times New Roman" w:cs="Times New Roman"/>
          <w:sz w:val="24"/>
          <w:szCs w:val="24"/>
        </w:rPr>
        <w:t>8009(</w:t>
      </w:r>
      <w:proofErr w:type="gramEnd"/>
      <w:r>
        <w:rPr>
          <w:rFonts w:ascii="Times New Roman" w:eastAsia="Times New Roman" w:hAnsi="Times New Roman" w:cs="Times New Roman"/>
          <w:sz w:val="24"/>
          <w:szCs w:val="24"/>
        </w:rPr>
        <w:t xml:space="preserve">99)00013-0  </w:t>
      </w:r>
    </w:p>
    <w:p w:rsidR="0098187F" w:rsidRDefault="0098187F">
      <w:pPr>
        <w:widowControl w:val="0"/>
        <w:pBdr>
          <w:top w:val="nil"/>
          <w:left w:val="nil"/>
          <w:bottom w:val="nil"/>
          <w:right w:val="nil"/>
          <w:between w:val="nil"/>
        </w:pBdr>
        <w:spacing w:line="240" w:lineRule="auto"/>
        <w:ind w:left="720" w:hanging="720"/>
        <w:rPr>
          <w:rFonts w:ascii="Times New Roman" w:eastAsia="Times New Roman" w:hAnsi="Times New Roman" w:cs="Times New Roman"/>
          <w:sz w:val="24"/>
          <w:szCs w:val="24"/>
        </w:rPr>
      </w:pPr>
    </w:p>
    <w:p w:rsidR="0098187F" w:rsidRDefault="005109BB">
      <w:pPr>
        <w:widowControl w:val="0"/>
        <w:pBdr>
          <w:top w:val="nil"/>
          <w:left w:val="nil"/>
          <w:bottom w:val="nil"/>
          <w:right w:val="nil"/>
          <w:between w:val="nil"/>
        </w:pBd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Boakye</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Odai</w:t>
      </w:r>
      <w:proofErr w:type="spellEnd"/>
      <w:r>
        <w:rPr>
          <w:rFonts w:ascii="Times New Roman" w:eastAsia="Times New Roman" w:hAnsi="Times New Roman" w:cs="Times New Roman"/>
          <w:sz w:val="24"/>
          <w:szCs w:val="24"/>
        </w:rPr>
        <w:t xml:space="preserve">, S. N., </w:t>
      </w:r>
      <w:proofErr w:type="spellStart"/>
      <w:r>
        <w:rPr>
          <w:rFonts w:ascii="Times New Roman" w:eastAsia="Times New Roman" w:hAnsi="Times New Roman" w:cs="Times New Roman"/>
          <w:sz w:val="24"/>
          <w:szCs w:val="24"/>
        </w:rPr>
        <w:t>Adjei</w:t>
      </w:r>
      <w:proofErr w:type="spellEnd"/>
      <w:r>
        <w:rPr>
          <w:rFonts w:ascii="Times New Roman" w:eastAsia="Times New Roman" w:hAnsi="Times New Roman" w:cs="Times New Roman"/>
          <w:sz w:val="24"/>
          <w:szCs w:val="24"/>
        </w:rPr>
        <w:t xml:space="preserve">, K. A., </w:t>
      </w:r>
      <w:proofErr w:type="spellStart"/>
      <w:r>
        <w:rPr>
          <w:rFonts w:ascii="Times New Roman" w:eastAsia="Times New Roman" w:hAnsi="Times New Roman" w:cs="Times New Roman"/>
          <w:sz w:val="24"/>
          <w:szCs w:val="24"/>
        </w:rPr>
        <w:t>Annor</w:t>
      </w:r>
      <w:proofErr w:type="spellEnd"/>
      <w:r>
        <w:rPr>
          <w:rFonts w:ascii="Times New Roman" w:eastAsia="Times New Roman" w:hAnsi="Times New Roman" w:cs="Times New Roman"/>
          <w:sz w:val="24"/>
          <w:szCs w:val="24"/>
        </w:rPr>
        <w:t>, F. (2008). Landsat images for assessment of the impact</w:t>
      </w:r>
      <w:r>
        <w:rPr>
          <w:rFonts w:ascii="Times New Roman" w:eastAsia="Times New Roman" w:hAnsi="Times New Roman" w:cs="Times New Roman"/>
          <w:sz w:val="24"/>
          <w:szCs w:val="24"/>
        </w:rPr>
        <w:t xml:space="preserve"> of land use and land cover changes on the </w:t>
      </w:r>
      <w:proofErr w:type="spellStart"/>
      <w:r>
        <w:rPr>
          <w:rFonts w:ascii="Times New Roman" w:eastAsia="Times New Roman" w:hAnsi="Times New Roman" w:cs="Times New Roman"/>
          <w:sz w:val="24"/>
          <w:szCs w:val="24"/>
        </w:rPr>
        <w:t>Barekese</w:t>
      </w:r>
      <w:proofErr w:type="spellEnd"/>
      <w:r>
        <w:rPr>
          <w:rFonts w:ascii="Times New Roman" w:eastAsia="Times New Roman" w:hAnsi="Times New Roman" w:cs="Times New Roman"/>
          <w:sz w:val="24"/>
          <w:szCs w:val="24"/>
        </w:rPr>
        <w:t xml:space="preserve"> catchment in Ghana. 21. 617-626. </w:t>
      </w:r>
    </w:p>
    <w:p w:rsidR="0098187F" w:rsidRDefault="0098187F">
      <w:pPr>
        <w:widowControl w:val="0"/>
        <w:pBdr>
          <w:top w:val="nil"/>
          <w:left w:val="nil"/>
          <w:bottom w:val="nil"/>
          <w:right w:val="nil"/>
          <w:between w:val="nil"/>
        </w:pBdr>
        <w:spacing w:line="240" w:lineRule="auto"/>
        <w:ind w:left="720" w:hanging="720"/>
        <w:rPr>
          <w:rFonts w:ascii="Times New Roman" w:eastAsia="Times New Roman" w:hAnsi="Times New Roman" w:cs="Times New Roman"/>
          <w:sz w:val="24"/>
          <w:szCs w:val="24"/>
        </w:rPr>
      </w:pPr>
    </w:p>
    <w:p w:rsidR="0098187F" w:rsidRDefault="005109BB">
      <w:pPr>
        <w:widowControl w:val="0"/>
        <w:pBdr>
          <w:top w:val="nil"/>
          <w:left w:val="nil"/>
          <w:bottom w:val="nil"/>
          <w:right w:val="nil"/>
          <w:between w:val="nil"/>
        </w:pBd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City of Chicago City Hall - Green Roof. City of Chicago City Hall - Green Roof |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Cultural Landscape Foundation. (2020). https://tclf.org/landscapes/city-chicago-city</w:t>
      </w:r>
      <w:r>
        <w:rPr>
          <w:rFonts w:ascii="Times New Roman" w:eastAsia="Times New Roman" w:hAnsi="Times New Roman" w:cs="Times New Roman"/>
          <w:sz w:val="24"/>
          <w:szCs w:val="24"/>
        </w:rPr>
        <w:t xml:space="preserve">-hall-green-roof. </w:t>
      </w:r>
    </w:p>
    <w:p w:rsidR="0098187F" w:rsidRDefault="005109BB">
      <w:pPr>
        <w:widowControl w:val="0"/>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City of Rochester. (2020). https://www.cityofrochester.gov/article.aspx?id=8589952778. </w:t>
      </w:r>
    </w:p>
    <w:p w:rsidR="0098187F" w:rsidRDefault="005109BB" w:rsidP="005C426B">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Coppin, P., </w:t>
      </w:r>
      <w:proofErr w:type="spellStart"/>
      <w:r>
        <w:rPr>
          <w:rFonts w:ascii="Times New Roman" w:eastAsia="Times New Roman" w:hAnsi="Times New Roman" w:cs="Times New Roman"/>
          <w:sz w:val="24"/>
          <w:szCs w:val="24"/>
        </w:rPr>
        <w:t>Jonckheere</w:t>
      </w:r>
      <w:proofErr w:type="spellEnd"/>
      <w:r>
        <w:rPr>
          <w:rFonts w:ascii="Times New Roman" w:eastAsia="Times New Roman" w:hAnsi="Times New Roman" w:cs="Times New Roman"/>
          <w:sz w:val="24"/>
          <w:szCs w:val="24"/>
        </w:rPr>
        <w:t xml:space="preserve">, I., </w:t>
      </w:r>
      <w:proofErr w:type="spellStart"/>
      <w:r>
        <w:rPr>
          <w:rFonts w:ascii="Times New Roman" w:eastAsia="Times New Roman" w:hAnsi="Times New Roman" w:cs="Times New Roman"/>
          <w:sz w:val="24"/>
          <w:szCs w:val="24"/>
        </w:rPr>
        <w:t>Nackaerts</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Muys</w:t>
      </w:r>
      <w:proofErr w:type="spellEnd"/>
      <w:r>
        <w:rPr>
          <w:rFonts w:ascii="Times New Roman" w:eastAsia="Times New Roman" w:hAnsi="Times New Roman" w:cs="Times New Roman"/>
          <w:sz w:val="24"/>
          <w:szCs w:val="24"/>
        </w:rPr>
        <w:t xml:space="preserve">, B., and </w:t>
      </w:r>
      <w:proofErr w:type="spellStart"/>
      <w:r>
        <w:rPr>
          <w:rFonts w:ascii="Times New Roman" w:eastAsia="Times New Roman" w:hAnsi="Times New Roman" w:cs="Times New Roman"/>
          <w:sz w:val="24"/>
          <w:szCs w:val="24"/>
        </w:rPr>
        <w:t>Lambin</w:t>
      </w:r>
      <w:proofErr w:type="spellEnd"/>
      <w:r>
        <w:rPr>
          <w:rFonts w:ascii="Times New Roman" w:eastAsia="Times New Roman" w:hAnsi="Times New Roman" w:cs="Times New Roman"/>
          <w:sz w:val="24"/>
          <w:szCs w:val="24"/>
        </w:rPr>
        <w:t xml:space="preserve">, E. (2004). Review </w:t>
      </w:r>
      <w:proofErr w:type="spellStart"/>
      <w:r>
        <w:rPr>
          <w:rFonts w:ascii="Times New Roman" w:eastAsia="Times New Roman" w:hAnsi="Times New Roman" w:cs="Times New Roman"/>
          <w:sz w:val="24"/>
          <w:szCs w:val="24"/>
        </w:rPr>
        <w:t>ArticleDigital</w:t>
      </w:r>
      <w:proofErr w:type="spellEnd"/>
      <w:r>
        <w:rPr>
          <w:rFonts w:ascii="Times New Roman" w:eastAsia="Times New Roman" w:hAnsi="Times New Roman" w:cs="Times New Roman"/>
          <w:sz w:val="24"/>
          <w:szCs w:val="24"/>
        </w:rPr>
        <w:t xml:space="preserve"> change detection methods in ecosystem monitoring: a</w:t>
      </w:r>
      <w:r>
        <w:rPr>
          <w:rFonts w:ascii="Times New Roman" w:eastAsia="Times New Roman" w:hAnsi="Times New Roman" w:cs="Times New Roman"/>
          <w:sz w:val="24"/>
          <w:szCs w:val="24"/>
        </w:rPr>
        <w:t xml:space="preserve"> review. International Journal of Remote Sensing, 25(9), 1565–1596. https://doi.org/10.1080/0143116031000101675 </w:t>
      </w:r>
    </w:p>
    <w:p w:rsidR="0098187F" w:rsidRDefault="0098187F">
      <w:pPr>
        <w:widowControl w:val="0"/>
        <w:spacing w:line="240" w:lineRule="auto"/>
        <w:ind w:left="720"/>
        <w:rPr>
          <w:rFonts w:ascii="Times New Roman" w:eastAsia="Times New Roman" w:hAnsi="Times New Roman" w:cs="Times New Roman"/>
          <w:sz w:val="24"/>
          <w:szCs w:val="24"/>
        </w:rPr>
      </w:pPr>
    </w:p>
    <w:p w:rsidR="0098187F" w:rsidRDefault="005109BB" w:rsidP="005C426B">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Deng, J. S., Wang, K., Deng, Y. H., and Qi, G. J. (2008). PCA‐based land‐use change detection and analysis using </w:t>
      </w:r>
      <w:proofErr w:type="spellStart"/>
      <w:r>
        <w:rPr>
          <w:rFonts w:ascii="Times New Roman" w:eastAsia="Times New Roman" w:hAnsi="Times New Roman" w:cs="Times New Roman"/>
          <w:sz w:val="24"/>
          <w:szCs w:val="24"/>
        </w:rPr>
        <w:t>multitemporal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multisensor</w:t>
      </w:r>
      <w:proofErr w:type="spellEnd"/>
      <w:r>
        <w:rPr>
          <w:rFonts w:ascii="Times New Roman" w:eastAsia="Times New Roman" w:hAnsi="Times New Roman" w:cs="Times New Roman"/>
          <w:sz w:val="24"/>
          <w:szCs w:val="24"/>
        </w:rPr>
        <w:t xml:space="preserve"> satellite data. International Journal of Remote Sensing, 29(16), 4823–4838. https://doi.org/10.1080/01431160801950162 </w:t>
      </w:r>
    </w:p>
    <w:p w:rsidR="0098187F" w:rsidRDefault="0098187F">
      <w:pPr>
        <w:widowControl w:val="0"/>
        <w:spacing w:line="240" w:lineRule="auto"/>
        <w:ind w:left="720"/>
        <w:rPr>
          <w:rFonts w:ascii="Times New Roman" w:eastAsia="Times New Roman" w:hAnsi="Times New Roman" w:cs="Times New Roman"/>
          <w:sz w:val="24"/>
          <w:szCs w:val="24"/>
        </w:rPr>
      </w:pPr>
    </w:p>
    <w:p w:rsidR="0098187F" w:rsidRDefault="005109BB" w:rsidP="005C426B">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Derkzen</w:t>
      </w:r>
      <w:proofErr w:type="spellEnd"/>
      <w:r>
        <w:rPr>
          <w:rFonts w:ascii="Times New Roman" w:eastAsia="Times New Roman" w:hAnsi="Times New Roman" w:cs="Times New Roman"/>
          <w:sz w:val="24"/>
          <w:szCs w:val="24"/>
        </w:rPr>
        <w:t xml:space="preserve">, M. L., van </w:t>
      </w:r>
      <w:proofErr w:type="spellStart"/>
      <w:r>
        <w:rPr>
          <w:rFonts w:ascii="Times New Roman" w:eastAsia="Times New Roman" w:hAnsi="Times New Roman" w:cs="Times New Roman"/>
          <w:sz w:val="24"/>
          <w:szCs w:val="24"/>
        </w:rPr>
        <w:t>Teeffelen</w:t>
      </w:r>
      <w:proofErr w:type="spellEnd"/>
      <w:r>
        <w:rPr>
          <w:rFonts w:ascii="Times New Roman" w:eastAsia="Times New Roman" w:hAnsi="Times New Roman" w:cs="Times New Roman"/>
          <w:sz w:val="24"/>
          <w:szCs w:val="24"/>
        </w:rPr>
        <w:t xml:space="preserve">, A. J., and </w:t>
      </w:r>
      <w:proofErr w:type="spellStart"/>
      <w:r>
        <w:rPr>
          <w:rFonts w:ascii="Times New Roman" w:eastAsia="Times New Roman" w:hAnsi="Times New Roman" w:cs="Times New Roman"/>
          <w:sz w:val="24"/>
          <w:szCs w:val="24"/>
        </w:rPr>
        <w:t>Verburg</w:t>
      </w:r>
      <w:proofErr w:type="spellEnd"/>
      <w:r>
        <w:rPr>
          <w:rFonts w:ascii="Times New Roman" w:eastAsia="Times New Roman" w:hAnsi="Times New Roman" w:cs="Times New Roman"/>
          <w:sz w:val="24"/>
          <w:szCs w:val="24"/>
        </w:rPr>
        <w:t xml:space="preserve">, P. H. (2015). REVIEW: Quantifying urban ecosystem services based on high-resolution </w:t>
      </w:r>
      <w:r>
        <w:rPr>
          <w:rFonts w:ascii="Times New Roman" w:eastAsia="Times New Roman" w:hAnsi="Times New Roman" w:cs="Times New Roman"/>
          <w:sz w:val="24"/>
          <w:szCs w:val="24"/>
        </w:rPr>
        <w:t xml:space="preserve">data of urban green space: an assessment for Rotterdam, the Netherlands. Journal of Applied Ecology, 52(4), 1020–1032. https://doi.org/10.1111/1365-2664.12469 </w:t>
      </w:r>
    </w:p>
    <w:p w:rsidR="0098187F" w:rsidRDefault="0098187F">
      <w:pPr>
        <w:widowControl w:val="0"/>
        <w:spacing w:line="240" w:lineRule="auto"/>
        <w:ind w:left="720"/>
        <w:rPr>
          <w:rFonts w:ascii="Times New Roman" w:eastAsia="Times New Roman" w:hAnsi="Times New Roman" w:cs="Times New Roman"/>
          <w:sz w:val="24"/>
          <w:szCs w:val="24"/>
        </w:rPr>
      </w:pPr>
    </w:p>
    <w:p w:rsidR="0098187F" w:rsidRDefault="005109BB" w:rsidP="005C426B">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Forkuo</w:t>
      </w:r>
      <w:proofErr w:type="spellEnd"/>
      <w:r>
        <w:rPr>
          <w:rFonts w:ascii="Times New Roman" w:eastAsia="Times New Roman" w:hAnsi="Times New Roman" w:cs="Times New Roman"/>
          <w:sz w:val="24"/>
          <w:szCs w:val="24"/>
        </w:rPr>
        <w:t xml:space="preserve">, E. (2012). </w:t>
      </w:r>
      <w:r>
        <w:rPr>
          <w:rFonts w:ascii="Times New Roman" w:eastAsia="Times New Roman" w:hAnsi="Times New Roman" w:cs="Times New Roman"/>
          <w:i/>
          <w:sz w:val="24"/>
          <w:szCs w:val="24"/>
        </w:rPr>
        <w:t>Analysis of Forest Cover Change Detection. Analysis of Forest Cover Change D</w:t>
      </w:r>
      <w:r>
        <w:rPr>
          <w:rFonts w:ascii="Times New Roman" w:eastAsia="Times New Roman" w:hAnsi="Times New Roman" w:cs="Times New Roman"/>
          <w:i/>
          <w:sz w:val="24"/>
          <w:szCs w:val="24"/>
        </w:rPr>
        <w:t>etection</w:t>
      </w:r>
      <w:r>
        <w:rPr>
          <w:rFonts w:ascii="Times New Roman" w:eastAsia="Times New Roman" w:hAnsi="Times New Roman" w:cs="Times New Roman"/>
          <w:sz w:val="24"/>
          <w:szCs w:val="24"/>
        </w:rPr>
        <w:t>, 2(4), 82-92.</w:t>
      </w:r>
    </w:p>
    <w:p w:rsidR="0098187F" w:rsidRDefault="0098187F">
      <w:pPr>
        <w:widowControl w:val="0"/>
        <w:spacing w:line="240" w:lineRule="auto"/>
        <w:ind w:left="720"/>
        <w:rPr>
          <w:rFonts w:ascii="Times New Roman" w:eastAsia="Times New Roman" w:hAnsi="Times New Roman" w:cs="Times New Roman"/>
          <w:sz w:val="24"/>
          <w:szCs w:val="24"/>
        </w:rPr>
      </w:pPr>
    </w:p>
    <w:p w:rsidR="0098187F" w:rsidRDefault="005109BB" w:rsidP="005C426B">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Haase</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Larondelle</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Andersson</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Artmann</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Borgström</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Breuste</w:t>
      </w:r>
      <w:proofErr w:type="spellEnd"/>
      <w:r>
        <w:rPr>
          <w:rFonts w:ascii="Times New Roman" w:eastAsia="Times New Roman" w:hAnsi="Times New Roman" w:cs="Times New Roman"/>
          <w:sz w:val="24"/>
          <w:szCs w:val="24"/>
        </w:rPr>
        <w:t>, J</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Elmqvist</w:t>
      </w:r>
      <w:proofErr w:type="spellEnd"/>
      <w:r>
        <w:rPr>
          <w:rFonts w:ascii="Times New Roman" w:eastAsia="Times New Roman" w:hAnsi="Times New Roman" w:cs="Times New Roman"/>
          <w:sz w:val="24"/>
          <w:szCs w:val="24"/>
        </w:rPr>
        <w:t>, T. (2014). A Quantitative Review of Urban Ecosystem Service Assessments: Concepts, Models, and Implementation. AMBIO, 43(4), 413–433.</w:t>
      </w:r>
      <w:r>
        <w:rPr>
          <w:rFonts w:ascii="Times New Roman" w:eastAsia="Times New Roman" w:hAnsi="Times New Roman" w:cs="Times New Roman"/>
          <w:sz w:val="24"/>
          <w:szCs w:val="24"/>
        </w:rPr>
        <w:t xml:space="preserve"> https://doi.org/10.1007/s13280-014-0504-0 </w:t>
      </w:r>
    </w:p>
    <w:p w:rsidR="0098187F" w:rsidRDefault="0098187F">
      <w:pPr>
        <w:widowControl w:val="0"/>
        <w:spacing w:line="240" w:lineRule="auto"/>
        <w:ind w:left="720"/>
        <w:rPr>
          <w:rFonts w:ascii="Times New Roman" w:eastAsia="Times New Roman" w:hAnsi="Times New Roman" w:cs="Times New Roman"/>
          <w:sz w:val="24"/>
          <w:szCs w:val="24"/>
        </w:rPr>
      </w:pPr>
    </w:p>
    <w:p w:rsidR="0098187F" w:rsidRDefault="005109BB" w:rsidP="005C426B">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D., Kwan, M., and </w:t>
      </w:r>
      <w:proofErr w:type="spellStart"/>
      <w:r>
        <w:rPr>
          <w:rFonts w:ascii="Times New Roman" w:eastAsia="Times New Roman" w:hAnsi="Times New Roman" w:cs="Times New Roman"/>
          <w:sz w:val="24"/>
          <w:szCs w:val="24"/>
        </w:rPr>
        <w:t>Kan</w:t>
      </w:r>
      <w:proofErr w:type="spellEnd"/>
      <w:r>
        <w:rPr>
          <w:rFonts w:ascii="Times New Roman" w:eastAsia="Times New Roman" w:hAnsi="Times New Roman" w:cs="Times New Roman"/>
          <w:sz w:val="24"/>
          <w:szCs w:val="24"/>
        </w:rPr>
        <w:t xml:space="preserve">, Z. (2021). Analysis of urban green space accessibility and distribution inequity in the City of </w:t>
      </w:r>
      <w:proofErr w:type="gramStart"/>
      <w:r>
        <w:rPr>
          <w:rFonts w:ascii="Times New Roman" w:eastAsia="Times New Roman" w:hAnsi="Times New Roman" w:cs="Times New Roman"/>
          <w:sz w:val="24"/>
          <w:szCs w:val="24"/>
        </w:rPr>
        <w:t>Chicago .</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Urban Forestry &amp; Urban Greening</w:t>
      </w:r>
      <w:r>
        <w:rPr>
          <w:rFonts w:ascii="Times New Roman" w:eastAsia="Times New Roman" w:hAnsi="Times New Roman" w:cs="Times New Roman"/>
          <w:sz w:val="24"/>
          <w:szCs w:val="24"/>
        </w:rPr>
        <w:t>, 59, 127029. https://doi.org/10.1016/j.ufug.2</w:t>
      </w:r>
      <w:r>
        <w:rPr>
          <w:rFonts w:ascii="Times New Roman" w:eastAsia="Times New Roman" w:hAnsi="Times New Roman" w:cs="Times New Roman"/>
          <w:sz w:val="24"/>
          <w:szCs w:val="24"/>
        </w:rPr>
        <w:t>021.127029</w:t>
      </w:r>
    </w:p>
    <w:p w:rsidR="0098187F" w:rsidRDefault="0098187F">
      <w:pPr>
        <w:widowControl w:val="0"/>
        <w:spacing w:line="240" w:lineRule="auto"/>
        <w:ind w:left="720"/>
        <w:rPr>
          <w:rFonts w:ascii="Times New Roman" w:eastAsia="Times New Roman" w:hAnsi="Times New Roman" w:cs="Times New Roman"/>
          <w:sz w:val="24"/>
          <w:szCs w:val="24"/>
        </w:rPr>
      </w:pPr>
    </w:p>
    <w:p w:rsidR="0098187F" w:rsidRDefault="005109BB" w:rsidP="005C426B">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McGranahan</w:t>
      </w:r>
      <w:proofErr w:type="spellEnd"/>
      <w:r>
        <w:rPr>
          <w:rFonts w:ascii="Times New Roman" w:eastAsia="Times New Roman" w:hAnsi="Times New Roman" w:cs="Times New Roman"/>
          <w:sz w:val="24"/>
          <w:szCs w:val="24"/>
        </w:rPr>
        <w:t xml:space="preserve"> G., Satterthwaite, D. and </w:t>
      </w:r>
      <w:proofErr w:type="spellStart"/>
      <w:r>
        <w:rPr>
          <w:rFonts w:ascii="Times New Roman" w:eastAsia="Times New Roman" w:hAnsi="Times New Roman" w:cs="Times New Roman"/>
          <w:sz w:val="24"/>
          <w:szCs w:val="24"/>
        </w:rPr>
        <w:t>Tacoli</w:t>
      </w:r>
      <w:proofErr w:type="spellEnd"/>
      <w:r>
        <w:rPr>
          <w:rFonts w:ascii="Times New Roman" w:eastAsia="Times New Roman" w:hAnsi="Times New Roman" w:cs="Times New Roman"/>
          <w:sz w:val="24"/>
          <w:szCs w:val="24"/>
        </w:rPr>
        <w:t>, C. (2004). (</w:t>
      </w:r>
      <w:proofErr w:type="gramStart"/>
      <w:r>
        <w:rPr>
          <w:rFonts w:ascii="Times New Roman" w:eastAsia="Times New Roman" w:hAnsi="Times New Roman" w:cs="Times New Roman"/>
          <w:sz w:val="24"/>
          <w:szCs w:val="24"/>
        </w:rPr>
        <w:t>rep</w:t>
      </w:r>
      <w:proofErr w:type="gramEnd"/>
      <w:r>
        <w:rPr>
          <w:rFonts w:ascii="Times New Roman" w:eastAsia="Times New Roman" w:hAnsi="Times New Roman" w:cs="Times New Roman"/>
          <w:sz w:val="24"/>
          <w:szCs w:val="24"/>
        </w:rPr>
        <w:t xml:space="preserve">.) Rural–urban change, boundary problems and environmental burdens (pp. 5-11). </w:t>
      </w:r>
      <w:r>
        <w:rPr>
          <w:rFonts w:ascii="Times New Roman" w:eastAsia="Times New Roman" w:hAnsi="Times New Roman" w:cs="Times New Roman"/>
          <w:i/>
          <w:sz w:val="24"/>
          <w:szCs w:val="24"/>
        </w:rPr>
        <w:t xml:space="preserve">International Institute for Environment and Development. </w:t>
      </w:r>
      <w:r>
        <w:rPr>
          <w:rFonts w:ascii="Times New Roman" w:eastAsia="Times New Roman" w:hAnsi="Times New Roman" w:cs="Times New Roman"/>
          <w:sz w:val="24"/>
          <w:szCs w:val="24"/>
        </w:rPr>
        <w:t>http://www.jstor.org/stable/resrep01814.4</w:t>
      </w:r>
    </w:p>
    <w:p w:rsidR="0098187F" w:rsidRDefault="0098187F">
      <w:pPr>
        <w:widowControl w:val="0"/>
        <w:spacing w:line="240" w:lineRule="auto"/>
        <w:rPr>
          <w:rFonts w:ascii="Times New Roman" w:eastAsia="Times New Roman" w:hAnsi="Times New Roman" w:cs="Times New Roman"/>
          <w:sz w:val="24"/>
          <w:szCs w:val="24"/>
        </w:rPr>
      </w:pPr>
    </w:p>
    <w:p w:rsidR="0098187F" w:rsidRDefault="005109BB" w:rsidP="005C426B">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Millennium Ecosystem Assessment, 2005. Ecosystems and Human Well-Being: Wetlands and Water Synthesis. World Resources Institute, Washington, DC.</w:t>
      </w:r>
    </w:p>
    <w:p w:rsidR="0098187F" w:rsidRDefault="005C426B" w:rsidP="005C426B">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National Agricultural Imagery Program (NAIP). (2020). </w:t>
      </w:r>
      <w:r>
        <w:rPr>
          <w:rFonts w:ascii="Times New Roman" w:eastAsia="Times New Roman" w:hAnsi="Times New Roman" w:cs="Times New Roman"/>
          <w:i/>
          <w:sz w:val="24"/>
          <w:szCs w:val="24"/>
        </w:rPr>
        <w:t>United States Department of Agriculture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Geospatial Data Gateway.</w:t>
      </w:r>
      <w:r>
        <w:rPr>
          <w:rFonts w:ascii="Times New Roman" w:eastAsia="Times New Roman" w:hAnsi="Times New Roman" w:cs="Times New Roman"/>
          <w:sz w:val="24"/>
          <w:szCs w:val="24"/>
        </w:rPr>
        <w:t xml:space="preserve"> </w:t>
      </w:r>
      <w:hyperlink r:id="rId7">
        <w:r>
          <w:rPr>
            <w:rFonts w:ascii="Times New Roman" w:eastAsia="Times New Roman" w:hAnsi="Times New Roman" w:cs="Times New Roman"/>
            <w:sz w:val="24"/>
            <w:szCs w:val="24"/>
          </w:rPr>
          <w:t>https://nrcs.app.box.com/v/naip</w:t>
        </w:r>
      </w:hyperlink>
    </w:p>
    <w:p w:rsidR="005C426B" w:rsidRDefault="005C426B" w:rsidP="005C426B">
      <w:pPr>
        <w:widowControl w:val="0"/>
        <w:spacing w:line="240" w:lineRule="auto"/>
        <w:rPr>
          <w:rFonts w:ascii="Times New Roman" w:eastAsia="Times New Roman" w:hAnsi="Times New Roman" w:cs="Times New Roman"/>
          <w:sz w:val="24"/>
          <w:szCs w:val="24"/>
        </w:rPr>
      </w:pPr>
    </w:p>
    <w:p w:rsidR="0098187F" w:rsidRDefault="005109BB" w:rsidP="005C426B">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Nyelele</w:t>
      </w:r>
      <w:proofErr w:type="spellEnd"/>
      <w:r>
        <w:rPr>
          <w:rFonts w:ascii="Times New Roman" w:eastAsia="Times New Roman" w:hAnsi="Times New Roman" w:cs="Times New Roman"/>
          <w:sz w:val="24"/>
          <w:szCs w:val="24"/>
        </w:rPr>
        <w:t>, C., and Kroll, C. N. (2020). The equity of urban forest ecosystem services and benefits in the Bronx,</w:t>
      </w:r>
      <w:r>
        <w:rPr>
          <w:rFonts w:ascii="Times New Roman" w:eastAsia="Times New Roman" w:hAnsi="Times New Roman" w:cs="Times New Roman"/>
          <w:sz w:val="24"/>
          <w:szCs w:val="24"/>
        </w:rPr>
        <w:t xml:space="preserve"> NY. </w:t>
      </w:r>
      <w:r>
        <w:rPr>
          <w:rFonts w:ascii="Times New Roman" w:eastAsia="Times New Roman" w:hAnsi="Times New Roman" w:cs="Times New Roman"/>
          <w:i/>
          <w:sz w:val="24"/>
          <w:szCs w:val="24"/>
        </w:rPr>
        <w:t>Urban Forestry &amp; Urban Greening,</w:t>
      </w:r>
      <w:r>
        <w:rPr>
          <w:rFonts w:ascii="Times New Roman" w:eastAsia="Times New Roman" w:hAnsi="Times New Roman" w:cs="Times New Roman"/>
          <w:sz w:val="24"/>
          <w:szCs w:val="24"/>
        </w:rPr>
        <w:t xml:space="preserve"> 53, 126723. https://doi.org/10.1016/j.ufug.2020.126723 </w:t>
      </w:r>
    </w:p>
    <w:p w:rsidR="0098187F" w:rsidRDefault="0098187F">
      <w:pPr>
        <w:widowControl w:val="0"/>
        <w:spacing w:line="240" w:lineRule="auto"/>
        <w:ind w:left="720"/>
        <w:rPr>
          <w:rFonts w:ascii="Times New Roman" w:eastAsia="Times New Roman" w:hAnsi="Times New Roman" w:cs="Times New Roman"/>
          <w:sz w:val="24"/>
          <w:szCs w:val="24"/>
        </w:rPr>
      </w:pPr>
    </w:p>
    <w:p w:rsidR="0098187F" w:rsidRDefault="005109BB" w:rsidP="005C426B">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Nutsford</w:t>
      </w:r>
      <w:proofErr w:type="spellEnd"/>
      <w:r>
        <w:rPr>
          <w:rFonts w:ascii="Times New Roman" w:eastAsia="Times New Roman" w:hAnsi="Times New Roman" w:cs="Times New Roman"/>
          <w:sz w:val="24"/>
          <w:szCs w:val="24"/>
        </w:rPr>
        <w:t xml:space="preserve">, D., Pearson, A. L., and </w:t>
      </w:r>
      <w:proofErr w:type="spellStart"/>
      <w:r>
        <w:rPr>
          <w:rFonts w:ascii="Times New Roman" w:eastAsia="Times New Roman" w:hAnsi="Times New Roman" w:cs="Times New Roman"/>
          <w:sz w:val="24"/>
          <w:szCs w:val="24"/>
        </w:rPr>
        <w:t>Kingham</w:t>
      </w:r>
      <w:proofErr w:type="spellEnd"/>
      <w:r>
        <w:rPr>
          <w:rFonts w:ascii="Times New Roman" w:eastAsia="Times New Roman" w:hAnsi="Times New Roman" w:cs="Times New Roman"/>
          <w:sz w:val="24"/>
          <w:szCs w:val="24"/>
        </w:rPr>
        <w:t>, S. (2013). An ecological study investigating the association between access to urban green space and mental health. Pu</w:t>
      </w:r>
      <w:r>
        <w:rPr>
          <w:rFonts w:ascii="Times New Roman" w:eastAsia="Times New Roman" w:hAnsi="Times New Roman" w:cs="Times New Roman"/>
          <w:sz w:val="24"/>
          <w:szCs w:val="24"/>
        </w:rPr>
        <w:t xml:space="preserve">blic Health, 127(11), 1005–1011. https://doi.org/10.1016/j.puhe.2013.08.016 </w:t>
      </w:r>
    </w:p>
    <w:p w:rsidR="0098187F" w:rsidRDefault="0098187F">
      <w:pPr>
        <w:widowControl w:val="0"/>
        <w:spacing w:line="240" w:lineRule="auto"/>
        <w:rPr>
          <w:rFonts w:ascii="Times New Roman" w:eastAsia="Times New Roman" w:hAnsi="Times New Roman" w:cs="Times New Roman"/>
          <w:sz w:val="24"/>
          <w:szCs w:val="24"/>
        </w:rPr>
      </w:pPr>
    </w:p>
    <w:p w:rsidR="0098187F" w:rsidRDefault="005109BB">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Myers, N. (1997). The World's Forests and Their Ecosystem Services. In Nature's services: Societal dependence on natural ecosystems</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(pp. 215-230). Washington, DC: Island Press.</w:t>
      </w:r>
    </w:p>
    <w:p w:rsidR="0098187F" w:rsidRDefault="0098187F">
      <w:pPr>
        <w:widowControl w:val="0"/>
        <w:spacing w:line="240" w:lineRule="auto"/>
        <w:ind w:left="720" w:hanging="720"/>
        <w:rPr>
          <w:rFonts w:ascii="Times New Roman" w:eastAsia="Times New Roman" w:hAnsi="Times New Roman" w:cs="Times New Roman"/>
          <w:sz w:val="24"/>
          <w:szCs w:val="24"/>
        </w:rPr>
      </w:pPr>
    </w:p>
    <w:p w:rsidR="0098187F" w:rsidRDefault="005109BB">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Richardson, J., Mitchell, B. C., Meier, H. S. C., Lynch, E, and </w:t>
      </w:r>
      <w:proofErr w:type="spellStart"/>
      <w:r>
        <w:rPr>
          <w:rFonts w:ascii="Times New Roman" w:eastAsia="Times New Roman" w:hAnsi="Times New Roman" w:cs="Times New Roman"/>
          <w:sz w:val="24"/>
          <w:szCs w:val="24"/>
        </w:rPr>
        <w:t>Edlebi</w:t>
      </w:r>
      <w:proofErr w:type="spellEnd"/>
      <w:r>
        <w:rPr>
          <w:rFonts w:ascii="Times New Roman" w:eastAsia="Times New Roman" w:hAnsi="Times New Roman" w:cs="Times New Roman"/>
          <w:sz w:val="24"/>
          <w:szCs w:val="24"/>
        </w:rPr>
        <w:t>, J. (2020). (</w:t>
      </w:r>
      <w:proofErr w:type="gramStart"/>
      <w:r>
        <w:rPr>
          <w:rFonts w:ascii="Times New Roman" w:eastAsia="Times New Roman" w:hAnsi="Times New Roman" w:cs="Times New Roman"/>
          <w:sz w:val="24"/>
          <w:szCs w:val="24"/>
        </w:rPr>
        <w:t>rep</w:t>
      </w:r>
      <w:proofErr w:type="gramEnd"/>
      <w:r>
        <w:rPr>
          <w:rFonts w:ascii="Times New Roman" w:eastAsia="Times New Roman" w:hAnsi="Times New Roman" w:cs="Times New Roman"/>
          <w:sz w:val="24"/>
          <w:szCs w:val="24"/>
        </w:rPr>
        <w:t>). Redlining and Neighborhood Health (pp. 1-55). National Community Reinvestment Coalition. https://ncrc.org/holc-health/</w:t>
      </w:r>
    </w:p>
    <w:p w:rsidR="0098187F" w:rsidRDefault="005109BB">
      <w:pPr>
        <w:widowControl w:val="0"/>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Cultural Landscape Foundation. City of Chic</w:t>
      </w:r>
      <w:r>
        <w:rPr>
          <w:rFonts w:ascii="Times New Roman" w:eastAsia="Times New Roman" w:hAnsi="Times New Roman" w:cs="Times New Roman"/>
          <w:sz w:val="24"/>
          <w:szCs w:val="24"/>
        </w:rPr>
        <w:t>ago City Hall - green roof. https://tclf.org/landscapes/city-chicago-city-hall-green-roof</w:t>
      </w:r>
    </w:p>
    <w:p w:rsidR="0098187F" w:rsidRDefault="005109BB" w:rsidP="005C426B">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Twohig</w:t>
      </w:r>
      <w:proofErr w:type="spellEnd"/>
      <w:r>
        <w:rPr>
          <w:rFonts w:ascii="Times New Roman" w:eastAsia="Times New Roman" w:hAnsi="Times New Roman" w:cs="Times New Roman"/>
          <w:sz w:val="24"/>
          <w:szCs w:val="24"/>
        </w:rPr>
        <w:t xml:space="preserve">-Bennett, C. (2018). </w:t>
      </w:r>
      <w:r>
        <w:rPr>
          <w:rFonts w:ascii="Times New Roman" w:eastAsia="Times New Roman" w:hAnsi="Times New Roman" w:cs="Times New Roman"/>
          <w:i/>
          <w:sz w:val="24"/>
          <w:szCs w:val="24"/>
        </w:rPr>
        <w:t xml:space="preserve">The health benefits of the great outdoors: A systematic review and meta-analysis of greenspace exposure and health outcomes. Environmental </w:t>
      </w:r>
      <w:r>
        <w:rPr>
          <w:rFonts w:ascii="Times New Roman" w:eastAsia="Times New Roman" w:hAnsi="Times New Roman" w:cs="Times New Roman"/>
          <w:i/>
          <w:sz w:val="24"/>
          <w:szCs w:val="24"/>
        </w:rPr>
        <w:t xml:space="preserve">Research, </w:t>
      </w:r>
      <w:r>
        <w:rPr>
          <w:rFonts w:ascii="Times New Roman" w:eastAsia="Times New Roman" w:hAnsi="Times New Roman" w:cs="Times New Roman"/>
          <w:sz w:val="24"/>
          <w:szCs w:val="24"/>
        </w:rPr>
        <w:t xml:space="preserve">166, 628-637.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://doi.org/10.1016/j.envres.2018.06.030</w:t>
      </w:r>
    </w:p>
    <w:p w:rsidR="0098187F" w:rsidRDefault="0098187F">
      <w:pPr>
        <w:widowControl w:val="0"/>
        <w:spacing w:line="240" w:lineRule="auto"/>
        <w:ind w:left="720"/>
        <w:rPr>
          <w:rFonts w:ascii="Times New Roman" w:eastAsia="Times New Roman" w:hAnsi="Times New Roman" w:cs="Times New Roman"/>
          <w:sz w:val="24"/>
          <w:szCs w:val="24"/>
        </w:rPr>
      </w:pPr>
    </w:p>
    <w:p w:rsidR="0098187F" w:rsidRDefault="005109BB" w:rsidP="005C426B">
      <w:pPr>
        <w:widowControl w:val="0"/>
        <w:rPr>
          <w:rFonts w:ascii="Times New Roman" w:eastAsia="Times New Roman" w:hAnsi="Times New Roman" w:cs="Times New Roman"/>
          <w:sz w:val="24"/>
          <w:szCs w:val="24"/>
        </w:rPr>
      </w:pPr>
      <w:r>
        <w:br w:type="page"/>
      </w:r>
    </w:p>
    <w:p w:rsidR="0098187F" w:rsidRDefault="005109BB" w:rsidP="005C426B">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Figures</w:t>
      </w:r>
    </w:p>
    <w:p w:rsidR="0098187F" w:rsidRDefault="0098187F">
      <w:pPr>
        <w:widowControl w:val="0"/>
        <w:ind w:left="720"/>
        <w:rPr>
          <w:rFonts w:ascii="Times New Roman" w:eastAsia="Times New Roman" w:hAnsi="Times New Roman" w:cs="Times New Roman"/>
          <w:b/>
          <w:sz w:val="24"/>
          <w:szCs w:val="24"/>
        </w:rPr>
      </w:pPr>
    </w:p>
    <w:p w:rsidR="0098187F" w:rsidRDefault="005109BB">
      <w:pPr>
        <w:widowControl w:val="0"/>
        <w:ind w:lef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6429272" cy="51928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429272" cy="5192874"/>
                    </a:xfrm>
                    <a:prstGeom prst="rect">
                      <a:avLst/>
                    </a:prstGeom>
                    <a:ln/>
                  </pic:spPr>
                </pic:pic>
              </a:graphicData>
            </a:graphic>
          </wp:inline>
        </w:drawing>
      </w:r>
    </w:p>
    <w:p w:rsidR="005C426B" w:rsidRDefault="005C426B">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Figure 1. Stacked PCA change detection over Monroe County, NY.</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red pixels are reflective of significant change in tree canopy cover from 2009-2017. Black pixels indicate no change. PC band 3 was determined as the chang</w:t>
      </w:r>
      <w:r>
        <w:rPr>
          <w:rFonts w:ascii="Times New Roman" w:eastAsia="Times New Roman" w:hAnsi="Times New Roman" w:cs="Times New Roman"/>
          <w:sz w:val="24"/>
          <w:szCs w:val="24"/>
        </w:rPr>
        <w:t xml:space="preserve">e band, as </w:t>
      </w:r>
      <w:proofErr w:type="spellStart"/>
      <w:r>
        <w:rPr>
          <w:rFonts w:ascii="Times New Roman" w:eastAsia="Times New Roman" w:hAnsi="Times New Roman" w:cs="Times New Roman"/>
          <w:sz w:val="24"/>
          <w:szCs w:val="24"/>
        </w:rPr>
        <w:t>expressed.This</w:t>
      </w:r>
      <w:proofErr w:type="spellEnd"/>
      <w:r>
        <w:rPr>
          <w:rFonts w:ascii="Times New Roman" w:eastAsia="Times New Roman" w:hAnsi="Times New Roman" w:cs="Times New Roman"/>
          <w:sz w:val="24"/>
          <w:szCs w:val="24"/>
        </w:rPr>
        <w:t xml:space="preserve"> change was interpreted as an increase in agricultural practices as well as intensified greening in those regions. Noticed the trend of increased change occurring significantly in the suburban and rural regions of Monroe County ove</w:t>
      </w:r>
      <w:r>
        <w:rPr>
          <w:rFonts w:ascii="Times New Roman" w:eastAsia="Times New Roman" w:hAnsi="Times New Roman" w:cs="Times New Roman"/>
          <w:sz w:val="24"/>
          <w:szCs w:val="24"/>
        </w:rPr>
        <w:t>r the examined time period.</w:t>
      </w:r>
      <w:r>
        <w:br w:type="page"/>
      </w:r>
    </w:p>
    <w:p w:rsidR="0098187F" w:rsidRDefault="005109BB">
      <w:pPr>
        <w:spacing w:line="240" w:lineRule="auto"/>
        <w:ind w:hanging="9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extent cx="5943600" cy="47625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4762500"/>
                    </a:xfrm>
                    <a:prstGeom prst="rect">
                      <a:avLst/>
                    </a:prstGeom>
                    <a:ln/>
                  </pic:spPr>
                </pic:pic>
              </a:graphicData>
            </a:graphic>
          </wp:inline>
        </w:drawing>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NDVI change detection, depicting the overall </w:t>
      </w:r>
      <w:r>
        <w:rPr>
          <w:rFonts w:ascii="Times New Roman" w:eastAsia="Times New Roman" w:hAnsi="Times New Roman" w:cs="Times New Roman"/>
          <w:i/>
          <w:sz w:val="24"/>
          <w:szCs w:val="24"/>
        </w:rPr>
        <w:t xml:space="preserve">change (-1) </w:t>
      </w:r>
      <w:r>
        <w:rPr>
          <w:rFonts w:ascii="Times New Roman" w:eastAsia="Times New Roman" w:hAnsi="Times New Roman" w:cs="Times New Roman"/>
          <w:sz w:val="24"/>
          <w:szCs w:val="24"/>
        </w:rPr>
        <w:t>class</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blue pixels indicate change in vegetation distributing from 2009-2017 in Monroe County, NY. </w:t>
      </w:r>
      <w:r>
        <w:rPr>
          <w:rFonts w:ascii="Times New Roman" w:eastAsia="Times New Roman" w:hAnsi="Times New Roman" w:cs="Times New Roman"/>
          <w:sz w:val="24"/>
          <w:szCs w:val="24"/>
        </w:rPr>
        <w:t xml:space="preserve">This NDVI analysis was constructed using the Red and Green bands. Traditionally, the Red and NIR bands would be used for this analysis, however due to the lack of the NIR band in this </w:t>
      </w:r>
      <w:proofErr w:type="spellStart"/>
      <w:r>
        <w:rPr>
          <w:rFonts w:ascii="Times New Roman" w:eastAsia="Times New Roman" w:hAnsi="Times New Roman" w:cs="Times New Roman"/>
          <w:sz w:val="24"/>
          <w:szCs w:val="24"/>
        </w:rPr>
        <w:t>orthorectified</w:t>
      </w:r>
      <w:proofErr w:type="spellEnd"/>
      <w:r>
        <w:rPr>
          <w:rFonts w:ascii="Times New Roman" w:eastAsia="Times New Roman" w:hAnsi="Times New Roman" w:cs="Times New Roman"/>
          <w:sz w:val="24"/>
          <w:szCs w:val="24"/>
        </w:rPr>
        <w:t xml:space="preserve"> dataset, an investigation of the red and green bands was </w:t>
      </w:r>
      <w:r>
        <w:rPr>
          <w:rFonts w:ascii="Times New Roman" w:eastAsia="Times New Roman" w:hAnsi="Times New Roman" w:cs="Times New Roman"/>
          <w:sz w:val="24"/>
          <w:szCs w:val="24"/>
        </w:rPr>
        <w:t>alternatively performed. From this visual representation of change in vegetation cover, one can see that suburban and rural regions experienced the most change in vegetation compared to the urban area of Rochester City.</w:t>
      </w:r>
    </w:p>
    <w:p w:rsidR="0098187F" w:rsidRDefault="005109B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extent cx="6462713" cy="480818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462713" cy="4808185"/>
                    </a:xfrm>
                    <a:prstGeom prst="rect">
                      <a:avLst/>
                    </a:prstGeom>
                    <a:ln/>
                  </pic:spPr>
                </pic:pic>
              </a:graphicData>
            </a:graphic>
          </wp:inline>
        </w:drawing>
      </w:r>
    </w:p>
    <w:p w:rsidR="0098187F" w:rsidRDefault="0098187F">
      <w:pPr>
        <w:spacing w:line="240" w:lineRule="auto"/>
        <w:ind w:firstLine="720"/>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2009 Supervised classif</w:t>
      </w:r>
      <w:r>
        <w:rPr>
          <w:rFonts w:ascii="Times New Roman" w:eastAsia="Times New Roman" w:hAnsi="Times New Roman" w:cs="Times New Roman"/>
          <w:sz w:val="24"/>
          <w:szCs w:val="24"/>
        </w:rPr>
        <w:t>ication of Monroe County, NY</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figure shows the 2009 supervised classification of land in Monroe County, NY. Notice that it is difficult to distinguish between the Grass and Trees classes the most for this analysis. This was due the significant pixel mixing which most likely occurr</w:t>
      </w:r>
      <w:r>
        <w:rPr>
          <w:rFonts w:ascii="Times New Roman" w:eastAsia="Times New Roman" w:hAnsi="Times New Roman" w:cs="Times New Roman"/>
          <w:sz w:val="24"/>
          <w:szCs w:val="24"/>
        </w:rPr>
        <w:t xml:space="preserve">ed due to the absence of the NIR band. The pair separation for these two classes were relatively low. </w:t>
      </w:r>
    </w:p>
    <w:p w:rsidR="0098187F" w:rsidRDefault="005109BB">
      <w:pPr>
        <w:spacing w:line="240" w:lineRule="auto"/>
        <w:rPr>
          <w:rFonts w:ascii="Times New Roman" w:eastAsia="Times New Roman" w:hAnsi="Times New Roman" w:cs="Times New Roman"/>
          <w:sz w:val="24"/>
          <w:szCs w:val="24"/>
        </w:rPr>
      </w:pPr>
      <w:r>
        <w:br w:type="page"/>
      </w:r>
      <w:r>
        <w:rPr>
          <w:rFonts w:ascii="Times New Roman" w:eastAsia="Times New Roman" w:hAnsi="Times New Roman" w:cs="Times New Roman"/>
          <w:noProof/>
          <w:sz w:val="24"/>
          <w:szCs w:val="24"/>
          <w:lang w:val="en-US"/>
        </w:rPr>
        <w:lastRenderedPageBreak/>
        <w:drawing>
          <wp:inline distT="114300" distB="114300" distL="114300" distR="114300">
            <wp:extent cx="6740099" cy="5024438"/>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6740099" cy="5024438"/>
                    </a:xfrm>
                    <a:prstGeom prst="rect">
                      <a:avLst/>
                    </a:prstGeom>
                    <a:ln/>
                  </pic:spPr>
                </pic:pic>
              </a:graphicData>
            </a:graphic>
          </wp:inline>
        </w:drawing>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4: 2017 supervised classification of Monroe County, NY</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figure shows the 2017 supervised classification of land in Monroe County, NY. Gene</w:t>
      </w:r>
      <w:r>
        <w:rPr>
          <w:rFonts w:ascii="Times New Roman" w:eastAsia="Times New Roman" w:hAnsi="Times New Roman" w:cs="Times New Roman"/>
          <w:sz w:val="24"/>
          <w:szCs w:val="24"/>
        </w:rPr>
        <w:t xml:space="preserve">rally, </w:t>
      </w:r>
      <w:proofErr w:type="gramStart"/>
      <w:r>
        <w:rPr>
          <w:rFonts w:ascii="Times New Roman" w:eastAsia="Times New Roman" w:hAnsi="Times New Roman" w:cs="Times New Roman"/>
          <w:sz w:val="24"/>
          <w:szCs w:val="24"/>
        </w:rPr>
        <w:t>This</w:t>
      </w:r>
      <w:proofErr w:type="gramEnd"/>
      <w:r>
        <w:rPr>
          <w:rFonts w:ascii="Times New Roman" w:eastAsia="Times New Roman" w:hAnsi="Times New Roman" w:cs="Times New Roman"/>
          <w:sz w:val="24"/>
          <w:szCs w:val="24"/>
        </w:rPr>
        <w:t xml:space="preserve"> analysis concludes that tree cover increased in the suburban and rural regions more so than in the city. An abundance of water pixels were detected in the urban region of Monroe </w:t>
      </w:r>
      <w:proofErr w:type="gramStart"/>
      <w:r>
        <w:rPr>
          <w:rFonts w:ascii="Times New Roman" w:eastAsia="Times New Roman" w:hAnsi="Times New Roman" w:cs="Times New Roman"/>
          <w:sz w:val="24"/>
          <w:szCs w:val="24"/>
        </w:rPr>
        <w:t>county</w:t>
      </w:r>
      <w:proofErr w:type="gramEnd"/>
      <w:r>
        <w:rPr>
          <w:rFonts w:ascii="Times New Roman" w:eastAsia="Times New Roman" w:hAnsi="Times New Roman" w:cs="Times New Roman"/>
          <w:sz w:val="24"/>
          <w:szCs w:val="24"/>
        </w:rPr>
        <w:t>. This may have been confused with the tree and grass classe</w:t>
      </w:r>
      <w:r>
        <w:rPr>
          <w:rFonts w:ascii="Times New Roman" w:eastAsia="Times New Roman" w:hAnsi="Times New Roman" w:cs="Times New Roman"/>
          <w:sz w:val="24"/>
          <w:szCs w:val="24"/>
        </w:rPr>
        <w:t>s due to the absences of the NIR band in the dataset. Pixel mixing between the water, tree, and grass classes made quantitative and qualitative observances unreliable.</w:t>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extent cx="6529388" cy="6468365"/>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6529388" cy="6468365"/>
                    </a:xfrm>
                    <a:prstGeom prst="rect">
                      <a:avLst/>
                    </a:prstGeom>
                    <a:ln/>
                  </pic:spPr>
                </pic:pic>
              </a:graphicData>
            </a:graphic>
          </wp:inline>
        </w:drawing>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5. 2009 unsupervised Classification of Monroe County, NY</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figure shows the</w:t>
      </w:r>
      <w:r>
        <w:rPr>
          <w:rFonts w:ascii="Times New Roman" w:eastAsia="Times New Roman" w:hAnsi="Times New Roman" w:cs="Times New Roman"/>
          <w:sz w:val="24"/>
          <w:szCs w:val="24"/>
        </w:rPr>
        <w:t xml:space="preserve"> 2009 unsupervised classification of land in Monroe County, NY. Notice the intense pixel mixing that occurred for this classification. Pair-separation for this analysis shows the most confusion occurring between Roads and Agriculture. </w:t>
      </w:r>
    </w:p>
    <w:p w:rsidR="0098187F" w:rsidRDefault="0098187F">
      <w:pPr>
        <w:spacing w:line="240" w:lineRule="auto"/>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sz w:val="24"/>
          <w:szCs w:val="24"/>
        </w:rPr>
      </w:pPr>
      <w:r>
        <w:br w:type="page"/>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extent cx="6553412" cy="6729413"/>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6553412" cy="6729413"/>
                    </a:xfrm>
                    <a:prstGeom prst="rect">
                      <a:avLst/>
                    </a:prstGeom>
                    <a:ln/>
                  </pic:spPr>
                </pic:pic>
              </a:graphicData>
            </a:graphic>
          </wp:inline>
        </w:drawing>
      </w:r>
    </w:p>
    <w:p w:rsidR="0098187F" w:rsidRDefault="005109B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6. 2017 </w:t>
      </w:r>
      <w:r>
        <w:rPr>
          <w:rFonts w:ascii="Times New Roman" w:eastAsia="Times New Roman" w:hAnsi="Times New Roman" w:cs="Times New Roman"/>
          <w:sz w:val="24"/>
          <w:szCs w:val="24"/>
        </w:rPr>
        <w:t>Unsupervised classification of Monroe County, NY</w:t>
      </w:r>
    </w:p>
    <w:p w:rsidR="0098187F" w:rsidRDefault="0098187F">
      <w:pPr>
        <w:spacing w:line="240" w:lineRule="auto"/>
        <w:ind w:firstLine="720"/>
        <w:rPr>
          <w:rFonts w:ascii="Times New Roman" w:eastAsia="Times New Roman" w:hAnsi="Times New Roman" w:cs="Times New Roman"/>
          <w:sz w:val="24"/>
          <w:szCs w:val="24"/>
        </w:rPr>
      </w:pPr>
    </w:p>
    <w:p w:rsidR="0098187F" w:rsidRDefault="005109BB">
      <w:pPr>
        <w:spacing w:line="240" w:lineRule="auto"/>
        <w:rPr>
          <w:rFonts w:ascii="Times New Roman" w:eastAsia="Times New Roman" w:hAnsi="Times New Roman" w:cs="Times New Roman"/>
          <w:b/>
          <w:color w:val="FF0000"/>
          <w:sz w:val="24"/>
          <w:szCs w:val="24"/>
          <w:u w:val="single"/>
        </w:rPr>
      </w:pPr>
      <w:r>
        <w:rPr>
          <w:rFonts w:ascii="Times New Roman" w:eastAsia="Times New Roman" w:hAnsi="Times New Roman" w:cs="Times New Roman"/>
          <w:sz w:val="24"/>
          <w:szCs w:val="24"/>
        </w:rPr>
        <w:t xml:space="preserve">This figure shows the 2017 unsupervised classification of land in Monroe County, NY.  Upon visual inspection of the </w:t>
      </w:r>
      <w:proofErr w:type="gramStart"/>
      <w:r>
        <w:rPr>
          <w:rFonts w:ascii="Times New Roman" w:eastAsia="Times New Roman" w:hAnsi="Times New Roman" w:cs="Times New Roman"/>
          <w:sz w:val="24"/>
          <w:szCs w:val="24"/>
        </w:rPr>
        <w:t>2009  (</w:t>
      </w:r>
      <w:proofErr w:type="gramEnd"/>
      <w:r>
        <w:rPr>
          <w:rFonts w:ascii="Times New Roman" w:eastAsia="Times New Roman" w:hAnsi="Times New Roman" w:cs="Times New Roman"/>
          <w:sz w:val="24"/>
          <w:szCs w:val="24"/>
        </w:rPr>
        <w:t>Figure 5) and the 2017 (Figure 6) unsupervised classification less visual differenc</w:t>
      </w:r>
      <w:r>
        <w:rPr>
          <w:rFonts w:ascii="Times New Roman" w:eastAsia="Times New Roman" w:hAnsi="Times New Roman" w:cs="Times New Roman"/>
          <w:sz w:val="24"/>
          <w:szCs w:val="24"/>
        </w:rPr>
        <w:t>e can be observed between the two unsupervised classification.</w:t>
      </w:r>
    </w:p>
    <w:p w:rsidR="0098187F" w:rsidRDefault="0098187F">
      <w:pPr>
        <w:widowControl w:val="0"/>
        <w:ind w:left="720"/>
        <w:rPr>
          <w:rFonts w:ascii="Times New Roman" w:eastAsia="Times New Roman" w:hAnsi="Times New Roman" w:cs="Times New Roman"/>
          <w:sz w:val="24"/>
          <w:szCs w:val="24"/>
        </w:rPr>
      </w:pPr>
    </w:p>
    <w:sectPr w:rsidR="0098187F">
      <w:head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9BB" w:rsidRDefault="005109BB">
      <w:pPr>
        <w:spacing w:line="240" w:lineRule="auto"/>
      </w:pPr>
      <w:r>
        <w:separator/>
      </w:r>
    </w:p>
  </w:endnote>
  <w:endnote w:type="continuationSeparator" w:id="0">
    <w:p w:rsidR="005109BB" w:rsidRDefault="005109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9BB" w:rsidRDefault="005109BB">
      <w:pPr>
        <w:spacing w:line="240" w:lineRule="auto"/>
      </w:pPr>
      <w:r>
        <w:separator/>
      </w:r>
    </w:p>
  </w:footnote>
  <w:footnote w:type="continuationSeparator" w:id="0">
    <w:p w:rsidR="005109BB" w:rsidRDefault="005109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87F" w:rsidRDefault="0098187F">
    <w:pPr>
      <w:rPr>
        <w:rFonts w:ascii="Times New Roman" w:eastAsia="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87F"/>
    <w:rsid w:val="005109BB"/>
    <w:rsid w:val="005C426B"/>
    <w:rsid w:val="00981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5021A"/>
  <w15:docId w15:val="{F65E43AB-6D80-44F9-9411-C578D7AC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nrcs.app.box.com/v/naip" TargetMode="Externa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SourceType>JournalArticle</b:SourceType>
    <b:URL>10.1080/02757259509532298</b:URL>
    <b:Gdcea>{"AccessedType":"OnlineDatabase"}</b:Gdcea>
  </b:Source>
</b:Sources>
</file>

<file path=customXml/itemProps1.xml><?xml version="1.0" encoding="utf-8"?>
<ds:datastoreItem xmlns:ds="http://schemas.openxmlformats.org/officeDocument/2006/customXml" ds:itemID="{817372A3-6312-4C0C-9812-541321E33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4658</Words>
  <Characters>26556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Rochester Institute of Technology</Company>
  <LinksUpToDate>false</LinksUpToDate>
  <CharactersWithSpaces>31152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Kaitlin Stack Whitney</dc:creator>
  <cp:lastModifiedBy>Kaitlin Stack Whitney</cp:lastModifiedBy>
  <cp:revision>2</cp:revision>
  <dcterms:created xsi:type="dcterms:W3CDTF">2021-03-16T12:15:00Z</dcterms:created>
  <dcterms:modified xsi:type="dcterms:W3CDTF">2021-03-16T12:15:00Z</dcterms:modified>
</cp:coreProperties>
</file>