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626A6" w14:textId="7E2631AE" w:rsidR="00DC6753" w:rsidRPr="00CE2A91" w:rsidRDefault="00CE2A91" w:rsidP="00DC6753">
      <w:pPr>
        <w:jc w:val="center"/>
        <w:rPr>
          <w:b/>
          <w:bCs/>
        </w:rPr>
      </w:pPr>
      <w:r w:rsidRPr="00CE2A91">
        <w:rPr>
          <w:b/>
          <w:bCs/>
        </w:rPr>
        <w:t>Applying the FEW nexus concept at the local scale</w:t>
      </w:r>
    </w:p>
    <w:p w14:paraId="5C5B58F9" w14:textId="6A0252BE" w:rsidR="00093E02" w:rsidRDefault="00093E02" w:rsidP="00DC6753"/>
    <w:p w14:paraId="762D428C" w14:textId="569DB905" w:rsidR="00AF6026" w:rsidRDefault="00AF6026" w:rsidP="00DC6753">
      <w:r>
        <w:t>Preprint version, 31 March 2021</w:t>
      </w:r>
    </w:p>
    <w:p w14:paraId="7BCFCBA8" w14:textId="2252482E" w:rsidR="00AF6026" w:rsidRPr="00544A6F" w:rsidRDefault="00AF6026" w:rsidP="00DC6753">
      <w:r>
        <w:t xml:space="preserve">Paper is </w:t>
      </w:r>
      <w:r w:rsidR="00544A6F">
        <w:t xml:space="preserve">available in </w:t>
      </w:r>
      <w:r w:rsidR="00544A6F">
        <w:rPr>
          <w:i/>
          <w:iCs/>
        </w:rPr>
        <w:t>Nature Sustainability</w:t>
      </w:r>
      <w:r w:rsidR="00544A6F">
        <w:t xml:space="preserve"> here: </w:t>
      </w:r>
      <w:hyperlink r:id="rId6" w:tgtFrame="_blank" w:history="1">
        <w:r w:rsidR="00544A6F">
          <w:rPr>
            <w:rStyle w:val="Hyperlink"/>
          </w:rPr>
          <w:t>https://dx.doi.org/10.1038/s41893-021-00719-1</w:t>
        </w:r>
      </w:hyperlink>
    </w:p>
    <w:p w14:paraId="43BEBBD1" w14:textId="77777777" w:rsidR="00AF6026" w:rsidRDefault="00AF6026" w:rsidP="00DC6753"/>
    <w:p w14:paraId="2FBA4452" w14:textId="2773E41D" w:rsidR="000100D9" w:rsidRDefault="000100D9">
      <w:r w:rsidRPr="000100D9">
        <w:rPr>
          <w:u w:val="single"/>
        </w:rPr>
        <w:t>Authors</w:t>
      </w:r>
    </w:p>
    <w:p w14:paraId="2811C848" w14:textId="1B9905FB" w:rsidR="00585EA9" w:rsidRPr="00794FEF" w:rsidRDefault="00477734" w:rsidP="00794FEF">
      <w:r w:rsidRPr="0050129B">
        <w:t xml:space="preserve">Henry P. </w:t>
      </w:r>
      <w:r w:rsidR="000100D9" w:rsidRPr="0050129B">
        <w:t>Huntington</w:t>
      </w:r>
      <w:r w:rsidR="00585EA9" w:rsidRPr="0050129B">
        <w:rPr>
          <w:vertAlign w:val="superscript"/>
        </w:rPr>
        <w:t>1</w:t>
      </w:r>
      <w:r w:rsidRPr="0050129B">
        <w:t xml:space="preserve">, </w:t>
      </w:r>
      <w:r w:rsidR="00585EA9" w:rsidRPr="0050129B">
        <w:t>Jennifer I. Schmidt</w:t>
      </w:r>
      <w:r w:rsidR="00585EA9" w:rsidRPr="0050129B">
        <w:rPr>
          <w:vertAlign w:val="superscript"/>
        </w:rPr>
        <w:t>2</w:t>
      </w:r>
      <w:r w:rsidR="00585EA9" w:rsidRPr="0050129B">
        <w:t xml:space="preserve">, </w:t>
      </w:r>
      <w:r w:rsidR="00794FEF" w:rsidRPr="0050129B">
        <w:t>Philip A. Loring</w:t>
      </w:r>
      <w:r w:rsidR="00794FEF" w:rsidRPr="0050129B">
        <w:rPr>
          <w:vertAlign w:val="superscript"/>
        </w:rPr>
        <w:t>3</w:t>
      </w:r>
      <w:r w:rsidR="00794FEF" w:rsidRPr="0050129B">
        <w:t>, Erin Whitney</w:t>
      </w:r>
      <w:r w:rsidR="00794FEF" w:rsidRPr="0050129B">
        <w:rPr>
          <w:vertAlign w:val="superscript"/>
        </w:rPr>
        <w:t>4</w:t>
      </w:r>
      <w:r w:rsidR="00794FEF" w:rsidRPr="0050129B">
        <w:t>, Srijan Aggarwal</w:t>
      </w:r>
      <w:r w:rsidR="00794FEF" w:rsidRPr="0050129B">
        <w:rPr>
          <w:vertAlign w:val="superscript"/>
        </w:rPr>
        <w:t>5</w:t>
      </w:r>
      <w:r w:rsidR="00794FEF" w:rsidRPr="0050129B">
        <w:t>, Amanda G. Byrd</w:t>
      </w:r>
      <w:r w:rsidR="00794FEF" w:rsidRPr="0050129B">
        <w:rPr>
          <w:vertAlign w:val="superscript"/>
        </w:rPr>
        <w:t>4</w:t>
      </w:r>
      <w:r w:rsidR="00794FEF" w:rsidRPr="0050129B">
        <w:t>, Subhabrata Dev</w:t>
      </w:r>
      <w:r w:rsidR="00794FEF" w:rsidRPr="0050129B">
        <w:rPr>
          <w:vertAlign w:val="superscript"/>
        </w:rPr>
        <w:t>6</w:t>
      </w:r>
      <w:r w:rsidR="00794FEF" w:rsidRPr="0050129B">
        <w:t>, Aaron D. Dotson</w:t>
      </w:r>
      <w:r w:rsidR="00794FEF" w:rsidRPr="0050129B">
        <w:rPr>
          <w:vertAlign w:val="superscript"/>
        </w:rPr>
        <w:t>7</w:t>
      </w:r>
      <w:r w:rsidR="00794FEF" w:rsidRPr="0050129B">
        <w:t>, Daisy Huang</w:t>
      </w:r>
      <w:r w:rsidR="00794FEF" w:rsidRPr="0050129B">
        <w:rPr>
          <w:vertAlign w:val="superscript"/>
        </w:rPr>
        <w:t>4</w:t>
      </w:r>
      <w:r w:rsidR="00794FEF" w:rsidRPr="0050129B">
        <w:t>, Barbara Johnson</w:t>
      </w:r>
      <w:r w:rsidR="00794FEF" w:rsidRPr="0050129B">
        <w:rPr>
          <w:vertAlign w:val="superscript"/>
        </w:rPr>
        <w:t>8</w:t>
      </w:r>
      <w:r w:rsidR="00794FEF" w:rsidRPr="0050129B">
        <w:t>, Justus Karenzi</w:t>
      </w:r>
      <w:r w:rsidR="00794FEF" w:rsidRPr="0050129B">
        <w:rPr>
          <w:vertAlign w:val="superscript"/>
        </w:rPr>
        <w:t>9</w:t>
      </w:r>
      <w:r w:rsidR="00794FEF" w:rsidRPr="0050129B">
        <w:t>, Henry J.F. Penn</w:t>
      </w:r>
      <w:r w:rsidR="00794FEF" w:rsidRPr="0050129B">
        <w:rPr>
          <w:vertAlign w:val="superscript"/>
        </w:rPr>
        <w:t>10</w:t>
      </w:r>
      <w:r w:rsidR="00794FEF" w:rsidRPr="0050129B">
        <w:t>, AlexAnna Salmon</w:t>
      </w:r>
      <w:r w:rsidR="00794FEF" w:rsidRPr="0050129B">
        <w:rPr>
          <w:vertAlign w:val="superscript"/>
        </w:rPr>
        <w:t>11</w:t>
      </w:r>
      <w:r w:rsidR="00794FEF" w:rsidRPr="0050129B">
        <w:t>, Daniel J. Sambor</w:t>
      </w:r>
      <w:r w:rsidR="00794FEF" w:rsidRPr="0050129B">
        <w:rPr>
          <w:vertAlign w:val="superscript"/>
        </w:rPr>
        <w:t>12</w:t>
      </w:r>
      <w:r w:rsidR="00794FEF" w:rsidRPr="0050129B">
        <w:t>, William E. Schnabel</w:t>
      </w:r>
      <w:r w:rsidR="00794FEF" w:rsidRPr="0050129B">
        <w:rPr>
          <w:vertAlign w:val="superscript"/>
        </w:rPr>
        <w:t>6</w:t>
      </w:r>
      <w:r w:rsidR="00794FEF" w:rsidRPr="0050129B">
        <w:t>, Richard W. Wies, Jr.</w:t>
      </w:r>
      <w:r w:rsidR="00794FEF" w:rsidRPr="0050129B">
        <w:rPr>
          <w:vertAlign w:val="superscript"/>
        </w:rPr>
        <w:t>9</w:t>
      </w:r>
      <w:r w:rsidR="00794FEF" w:rsidRPr="0050129B">
        <w:t>, Michelle Wilber</w:t>
      </w:r>
      <w:r w:rsidR="00794FEF" w:rsidRPr="0050129B">
        <w:rPr>
          <w:vertAlign w:val="superscript"/>
        </w:rPr>
        <w:t>4</w:t>
      </w:r>
    </w:p>
    <w:p w14:paraId="50CC871C" w14:textId="77777777" w:rsidR="00585EA9" w:rsidRDefault="00585EA9" w:rsidP="00477734">
      <w:pPr>
        <w:ind w:left="180" w:hanging="180"/>
      </w:pPr>
    </w:p>
    <w:p w14:paraId="235D7370" w14:textId="2DD3E197" w:rsidR="000100D9" w:rsidRDefault="00585EA9" w:rsidP="00477734">
      <w:pPr>
        <w:ind w:left="180" w:hanging="180"/>
      </w:pPr>
      <w:r w:rsidRPr="00585EA9">
        <w:rPr>
          <w:vertAlign w:val="superscript"/>
        </w:rPr>
        <w:t>1</w:t>
      </w:r>
      <w:r w:rsidR="00794FEF">
        <w:rPr>
          <w:vertAlign w:val="superscript"/>
        </w:rPr>
        <w:t xml:space="preserve"> </w:t>
      </w:r>
      <w:r w:rsidR="00477734">
        <w:t xml:space="preserve">Huntington Consulting, Eagle River, </w:t>
      </w:r>
      <w:r w:rsidR="003E12CF">
        <w:t>AK</w:t>
      </w:r>
      <w:r w:rsidR="00477734">
        <w:t>, USA; henryphuntington@gmail.com</w:t>
      </w:r>
    </w:p>
    <w:p w14:paraId="1E549EE0" w14:textId="5D43E7C1" w:rsidR="00477734" w:rsidRDefault="00794FEF" w:rsidP="00477734">
      <w:pPr>
        <w:ind w:left="180" w:hanging="180"/>
      </w:pPr>
      <w:r w:rsidRPr="00585EA9">
        <w:rPr>
          <w:vertAlign w:val="superscript"/>
        </w:rPr>
        <w:t>2</w:t>
      </w:r>
      <w:r>
        <w:rPr>
          <w:vertAlign w:val="superscript"/>
        </w:rPr>
        <w:t xml:space="preserve"> </w:t>
      </w:r>
      <w:r w:rsidR="00477734">
        <w:t xml:space="preserve">Institute of Social and Economic Research, University of Alaska Anchorage, Anchorage, </w:t>
      </w:r>
      <w:r w:rsidR="003E12CF">
        <w:t>AK</w:t>
      </w:r>
      <w:r w:rsidR="00477734">
        <w:t>, USA</w:t>
      </w:r>
    </w:p>
    <w:p w14:paraId="1271735E" w14:textId="41493D09" w:rsidR="00477734" w:rsidRDefault="00794FEF" w:rsidP="00477734">
      <w:pPr>
        <w:ind w:left="180" w:hanging="180"/>
      </w:pPr>
      <w:r w:rsidRPr="00794FEF">
        <w:rPr>
          <w:vertAlign w:val="superscript"/>
        </w:rPr>
        <w:t>3</w:t>
      </w:r>
      <w:r>
        <w:rPr>
          <w:vertAlign w:val="superscript"/>
        </w:rPr>
        <w:t xml:space="preserve"> </w:t>
      </w:r>
      <w:r w:rsidR="00477734">
        <w:t xml:space="preserve">Philip A. Loring, University of Guelph, Guelph, </w:t>
      </w:r>
      <w:r w:rsidR="003E12CF">
        <w:t>ON</w:t>
      </w:r>
      <w:r w:rsidR="00477734">
        <w:t>, Canada</w:t>
      </w:r>
    </w:p>
    <w:p w14:paraId="2340F848" w14:textId="471691B9" w:rsidR="00477734" w:rsidRDefault="00794FEF" w:rsidP="00477734">
      <w:pPr>
        <w:ind w:left="180" w:hanging="180"/>
      </w:pPr>
      <w:r w:rsidRPr="00794FEF">
        <w:rPr>
          <w:vertAlign w:val="superscript"/>
        </w:rPr>
        <w:t>4</w:t>
      </w:r>
      <w:r>
        <w:rPr>
          <w:vertAlign w:val="superscript"/>
        </w:rPr>
        <w:t xml:space="preserve"> </w:t>
      </w:r>
      <w:r w:rsidR="00477734">
        <w:t xml:space="preserve">Alaska Center for Energy and Power, University of Alaska Fairbanks, Fairbanks, </w:t>
      </w:r>
      <w:r w:rsidR="003E12CF">
        <w:t>AK</w:t>
      </w:r>
      <w:r w:rsidR="00477734">
        <w:t>, USA</w:t>
      </w:r>
    </w:p>
    <w:p w14:paraId="47D284A1" w14:textId="763C9FEB" w:rsidR="0070256D" w:rsidRDefault="00794FEF" w:rsidP="00477734">
      <w:pPr>
        <w:ind w:left="180" w:hanging="180"/>
      </w:pPr>
      <w:r w:rsidRPr="00794FEF">
        <w:rPr>
          <w:vertAlign w:val="superscript"/>
        </w:rPr>
        <w:t>5</w:t>
      </w:r>
      <w:r>
        <w:rPr>
          <w:vertAlign w:val="superscript"/>
        </w:rPr>
        <w:t xml:space="preserve"> </w:t>
      </w:r>
      <w:r w:rsidR="00C42D80">
        <w:t>Department of Civil</w:t>
      </w:r>
      <w:r w:rsidR="00B53033">
        <w:t>, Geological,</w:t>
      </w:r>
      <w:r w:rsidR="00C42D80">
        <w:t xml:space="preserve"> and Environmental Engineering</w:t>
      </w:r>
      <w:r w:rsidR="0070256D">
        <w:t xml:space="preserve">, University of Alaska Fairbanks, Fairbanks, </w:t>
      </w:r>
      <w:r w:rsidR="003E12CF">
        <w:t>AK</w:t>
      </w:r>
      <w:r w:rsidR="0070256D">
        <w:t>, USA</w:t>
      </w:r>
    </w:p>
    <w:p w14:paraId="1A36C938" w14:textId="70CCE3D4" w:rsidR="0070256D" w:rsidRDefault="00794FEF" w:rsidP="00477734">
      <w:pPr>
        <w:ind w:left="180" w:hanging="180"/>
      </w:pPr>
      <w:r w:rsidRPr="00794FEF">
        <w:rPr>
          <w:vertAlign w:val="superscript"/>
        </w:rPr>
        <w:t>6</w:t>
      </w:r>
      <w:r>
        <w:rPr>
          <w:vertAlign w:val="superscript"/>
        </w:rPr>
        <w:t xml:space="preserve"> </w:t>
      </w:r>
      <w:r w:rsidR="0070256D">
        <w:t xml:space="preserve">Institute of Northern Engineering, University of Alaska Fairbanks, Fairbanks, </w:t>
      </w:r>
      <w:r w:rsidR="003E12CF">
        <w:t>AK</w:t>
      </w:r>
      <w:r w:rsidR="0070256D">
        <w:t>, USA</w:t>
      </w:r>
    </w:p>
    <w:p w14:paraId="07A44579" w14:textId="4883DCAD" w:rsidR="0070256D" w:rsidRDefault="00794FEF" w:rsidP="00477734">
      <w:pPr>
        <w:ind w:left="180" w:hanging="180"/>
      </w:pPr>
      <w:r w:rsidRPr="00794FEF">
        <w:rPr>
          <w:vertAlign w:val="superscript"/>
        </w:rPr>
        <w:t>7</w:t>
      </w:r>
      <w:r>
        <w:rPr>
          <w:vertAlign w:val="superscript"/>
        </w:rPr>
        <w:t xml:space="preserve"> </w:t>
      </w:r>
      <w:r w:rsidR="0070256D">
        <w:t xml:space="preserve">Department of Civil Engineering, University of Alaska Anchorage, Anchorage, </w:t>
      </w:r>
      <w:r w:rsidR="003E12CF">
        <w:t>AK</w:t>
      </w:r>
      <w:r w:rsidR="0070256D">
        <w:t>, USA</w:t>
      </w:r>
    </w:p>
    <w:p w14:paraId="074DADEF" w14:textId="67D2C89A" w:rsidR="0070256D" w:rsidRDefault="00794FEF" w:rsidP="0070256D">
      <w:pPr>
        <w:ind w:left="180" w:hanging="180"/>
      </w:pPr>
      <w:r w:rsidRPr="00794FEF">
        <w:rPr>
          <w:vertAlign w:val="superscript"/>
        </w:rPr>
        <w:t>8</w:t>
      </w:r>
      <w:r>
        <w:rPr>
          <w:vertAlign w:val="superscript"/>
        </w:rPr>
        <w:t xml:space="preserve"> </w:t>
      </w:r>
      <w:r w:rsidR="0070256D">
        <w:t xml:space="preserve">Department of Alaska Native Studies and Rural Development, University of Alaska Fairbanks, Fairbanks, </w:t>
      </w:r>
      <w:r w:rsidR="003E12CF">
        <w:t>AK</w:t>
      </w:r>
      <w:r w:rsidR="0070256D">
        <w:t>, USA</w:t>
      </w:r>
    </w:p>
    <w:p w14:paraId="1963798E" w14:textId="4BEE55B8" w:rsidR="0070256D" w:rsidRDefault="00794FEF" w:rsidP="00477734">
      <w:pPr>
        <w:ind w:left="180" w:hanging="180"/>
      </w:pPr>
      <w:r w:rsidRPr="00794FEF">
        <w:rPr>
          <w:vertAlign w:val="superscript"/>
        </w:rPr>
        <w:t>9</w:t>
      </w:r>
      <w:r>
        <w:rPr>
          <w:vertAlign w:val="superscript"/>
        </w:rPr>
        <w:t xml:space="preserve"> </w:t>
      </w:r>
      <w:r w:rsidR="0070256D">
        <w:t xml:space="preserve">Department of Electrical and Computer Engineering, University of Alaska Fairbanks, Fairbanks, </w:t>
      </w:r>
      <w:r w:rsidR="003E12CF">
        <w:t>AK</w:t>
      </w:r>
      <w:r w:rsidR="0070256D">
        <w:t>, USA</w:t>
      </w:r>
    </w:p>
    <w:p w14:paraId="0CC1D8A3" w14:textId="4B5A238D" w:rsidR="00625D67" w:rsidRDefault="00794FEF" w:rsidP="00477734">
      <w:pPr>
        <w:ind w:left="180" w:hanging="180"/>
      </w:pPr>
      <w:r w:rsidRPr="00794FEF">
        <w:rPr>
          <w:vertAlign w:val="superscript"/>
        </w:rPr>
        <w:t>10</w:t>
      </w:r>
      <w:r>
        <w:rPr>
          <w:vertAlign w:val="superscript"/>
        </w:rPr>
        <w:t xml:space="preserve"> </w:t>
      </w:r>
      <w:r w:rsidR="00625D67">
        <w:t>Arctic Institute of North America, University of Calgary, Calgary, AB, Canada</w:t>
      </w:r>
    </w:p>
    <w:p w14:paraId="1C35A017" w14:textId="3FB74B7F" w:rsidR="00954D5D" w:rsidRDefault="00794FEF" w:rsidP="00477734">
      <w:pPr>
        <w:ind w:left="180" w:hanging="180"/>
      </w:pPr>
      <w:r w:rsidRPr="00794FEF">
        <w:rPr>
          <w:vertAlign w:val="superscript"/>
        </w:rPr>
        <w:t>11</w:t>
      </w:r>
      <w:r>
        <w:rPr>
          <w:vertAlign w:val="superscript"/>
        </w:rPr>
        <w:t xml:space="preserve"> </w:t>
      </w:r>
      <w:r w:rsidR="00954D5D">
        <w:t>Igiugig Village Council, Igiugig, Alaska, USA</w:t>
      </w:r>
    </w:p>
    <w:p w14:paraId="2B2AF9DC" w14:textId="3395BCC9" w:rsidR="000100D9" w:rsidRDefault="00794FEF" w:rsidP="00794FEF">
      <w:pPr>
        <w:ind w:left="180" w:hanging="180"/>
      </w:pPr>
      <w:r w:rsidRPr="00794FEF">
        <w:rPr>
          <w:vertAlign w:val="superscript"/>
        </w:rPr>
        <w:t>12</w:t>
      </w:r>
      <w:r>
        <w:rPr>
          <w:vertAlign w:val="superscript"/>
        </w:rPr>
        <w:t xml:space="preserve"> </w:t>
      </w:r>
      <w:r w:rsidR="00351DC5">
        <w:t>Civil and Environmental Engineering, Stanford University, Stanford, CA, USA</w:t>
      </w:r>
    </w:p>
    <w:p w14:paraId="6D3302C5" w14:textId="77777777" w:rsidR="00BC00CE" w:rsidRDefault="00BC00CE">
      <w:pPr>
        <w:spacing w:after="160" w:line="259" w:lineRule="auto"/>
        <w:rPr>
          <w:u w:val="single"/>
        </w:rPr>
      </w:pPr>
      <w:r>
        <w:rPr>
          <w:u w:val="single"/>
        </w:rPr>
        <w:br w:type="page"/>
      </w:r>
    </w:p>
    <w:p w14:paraId="20E1D502" w14:textId="05A6DB2D" w:rsidR="001A56DF" w:rsidRPr="001C2DB5" w:rsidRDefault="000100D9" w:rsidP="00BC00CE">
      <w:pPr>
        <w:spacing w:line="360" w:lineRule="auto"/>
        <w:rPr>
          <w:color w:val="000000" w:themeColor="text1"/>
        </w:rPr>
      </w:pPr>
      <w:r w:rsidRPr="001C2DB5">
        <w:rPr>
          <w:color w:val="000000" w:themeColor="text1"/>
          <w:u w:val="single"/>
        </w:rPr>
        <w:lastRenderedPageBreak/>
        <w:t>Abstrac</w:t>
      </w:r>
      <w:r w:rsidR="00BC00CE" w:rsidRPr="001C2DB5">
        <w:rPr>
          <w:color w:val="000000" w:themeColor="text1"/>
          <w:u w:val="single"/>
        </w:rPr>
        <w:t>t</w:t>
      </w:r>
    </w:p>
    <w:p w14:paraId="60FCB1D2" w14:textId="19C54F21" w:rsidR="00E254C7" w:rsidRPr="00E254C7" w:rsidRDefault="00E254C7" w:rsidP="00BC00CE">
      <w:pPr>
        <w:spacing w:line="360" w:lineRule="auto"/>
      </w:pPr>
      <w:r w:rsidRPr="00E254C7">
        <w:t>The food-energy-water (FEW) nexus</w:t>
      </w:r>
      <w:r w:rsidR="00FB325E">
        <w:t xml:space="preserve"> </w:t>
      </w:r>
      <w:r w:rsidRPr="00E254C7">
        <w:t>describe</w:t>
      </w:r>
      <w:r w:rsidR="006D35FF">
        <w:t>s</w:t>
      </w:r>
      <w:r w:rsidRPr="00E254C7">
        <w:t xml:space="preserve"> interactions </w:t>
      </w:r>
      <w:r w:rsidR="006B0BED">
        <w:t xml:space="preserve">among domains </w:t>
      </w:r>
      <w:r w:rsidRPr="00E254C7">
        <w:t>that yield gains or tradeoffs</w:t>
      </w:r>
      <w:r w:rsidR="006B0BED">
        <w:t xml:space="preserve"> when analyzed together rather than independently.</w:t>
      </w:r>
      <w:r w:rsidRPr="00E254C7">
        <w:t xml:space="preserve"> </w:t>
      </w:r>
      <w:r w:rsidR="00A124B5">
        <w:t>In a project about renewable energy in rural Alaska communities, w</w:t>
      </w:r>
      <w:r w:rsidRPr="00E254C7">
        <w:t xml:space="preserve">e </w:t>
      </w:r>
      <w:r w:rsidR="007E6DB2">
        <w:t>applied</w:t>
      </w:r>
      <w:r w:rsidRPr="00E254C7">
        <w:t xml:space="preserve"> this concept </w:t>
      </w:r>
      <w:r w:rsidR="0090204B">
        <w:t>to examine</w:t>
      </w:r>
      <w:r>
        <w:t xml:space="preserve"> the implications </w:t>
      </w:r>
      <w:r w:rsidR="006B0BED">
        <w:t>for sustainability and resilience</w:t>
      </w:r>
      <w:r w:rsidR="007E6DB2">
        <w:t>. The</w:t>
      </w:r>
      <w:r w:rsidR="00BC00CE">
        <w:t xml:space="preserve"> FEW nexus provide</w:t>
      </w:r>
      <w:r w:rsidR="007E6DB2">
        <w:t>d</w:t>
      </w:r>
      <w:r w:rsidR="00BC00CE">
        <w:t xml:space="preserve"> a </w:t>
      </w:r>
      <w:r w:rsidR="00C161E9">
        <w:t>useful</w:t>
      </w:r>
      <w:r w:rsidR="00BC00CE">
        <w:t xml:space="preserve"> framework for identifying the </w:t>
      </w:r>
      <w:r w:rsidR="007E6DB2">
        <w:t xml:space="preserve">cross-domain </w:t>
      </w:r>
      <w:r w:rsidR="00BC00CE">
        <w:t>benefits of renewable energy</w:t>
      </w:r>
      <w:r w:rsidR="007E6DB2">
        <w:t>, including gains in</w:t>
      </w:r>
      <w:r w:rsidR="00BC00CE">
        <w:t xml:space="preserve"> FEW security.</w:t>
      </w:r>
      <w:r w:rsidR="007E6DB2">
        <w:t xml:space="preserve"> </w:t>
      </w:r>
      <w:r w:rsidR="00C161E9">
        <w:t xml:space="preserve">However, </w:t>
      </w:r>
      <w:r w:rsidR="006B0BED">
        <w:t>o</w:t>
      </w:r>
      <w:r w:rsidR="00BC00CE">
        <w:t xml:space="preserve">ther factors such as transportation and governance </w:t>
      </w:r>
      <w:r w:rsidR="006B0BED">
        <w:t xml:space="preserve">also </w:t>
      </w:r>
      <w:r w:rsidR="00BC00CE">
        <w:t>play a major role in determining FEW</w:t>
      </w:r>
      <w:r w:rsidR="00C42D80">
        <w:t xml:space="preserve"> security</w:t>
      </w:r>
      <w:r w:rsidR="00BC00CE">
        <w:t xml:space="preserve"> outcomes in rural Alaska. </w:t>
      </w:r>
      <w:r w:rsidR="008B1977">
        <w:t xml:space="preserve">Here we show the implications of our findings for theory and practice. </w:t>
      </w:r>
      <w:r w:rsidR="007E6DB2">
        <w:t>The precise configuration</w:t>
      </w:r>
      <w:r w:rsidR="006D35FF">
        <w:t>s</w:t>
      </w:r>
      <w:r w:rsidR="007E6DB2">
        <w:t xml:space="preserve"> of</w:t>
      </w:r>
      <w:r w:rsidR="008B1977">
        <w:t xml:space="preserve"> and relationships among</w:t>
      </w:r>
      <w:r w:rsidR="007E6DB2">
        <w:t xml:space="preserve"> FEW nexus components var</w:t>
      </w:r>
      <w:r w:rsidR="00B50F95">
        <w:t>y</w:t>
      </w:r>
      <w:r w:rsidR="007E6DB2">
        <w:t xml:space="preserve"> by place and time, and the range of factors involved further complicates the ability to develop </w:t>
      </w:r>
      <w:r w:rsidR="008B1977">
        <w:t>a</w:t>
      </w:r>
      <w:r w:rsidR="00C161E9">
        <w:t xml:space="preserve"> functional, systematic </w:t>
      </w:r>
      <w:r w:rsidR="007E6DB2">
        <w:t xml:space="preserve">FEW model. </w:t>
      </w:r>
      <w:r w:rsidR="00C161E9">
        <w:t>Instead</w:t>
      </w:r>
      <w:r w:rsidR="00BC00CE">
        <w:t xml:space="preserve">, </w:t>
      </w:r>
      <w:r w:rsidR="006D35FF">
        <w:t>we suggest how the</w:t>
      </w:r>
      <w:r w:rsidR="00C161E9">
        <w:t xml:space="preserve"> FEW nexus </w:t>
      </w:r>
      <w:r w:rsidR="0090204B">
        <w:t xml:space="preserve">may be applied conceptually </w:t>
      </w:r>
      <w:r w:rsidR="00C161E9">
        <w:t xml:space="preserve">to identify </w:t>
      </w:r>
      <w:r w:rsidR="00985908">
        <w:t>and understand</w:t>
      </w:r>
      <w:r w:rsidR="008B1977">
        <w:t xml:space="preserve"> </w:t>
      </w:r>
      <w:r w:rsidR="00BC00CE">
        <w:t xml:space="preserve">cross-domain </w:t>
      </w:r>
      <w:r w:rsidR="008B1977">
        <w:t>interactions</w:t>
      </w:r>
      <w:r w:rsidR="00BC00CE">
        <w:t xml:space="preserve"> </w:t>
      </w:r>
      <w:r w:rsidR="00FB325E">
        <w:t>that</w:t>
      </w:r>
      <w:r w:rsidR="00C161E9">
        <w:t xml:space="preserve"> contribute to</w:t>
      </w:r>
      <w:r w:rsidR="00BC00CE">
        <w:t xml:space="preserve"> long-term</w:t>
      </w:r>
      <w:r w:rsidR="00C161E9">
        <w:t xml:space="preserve"> </w:t>
      </w:r>
      <w:r w:rsidR="00BC00CE">
        <w:t>sustainability</w:t>
      </w:r>
      <w:r w:rsidR="00F75F65">
        <w:t xml:space="preserve"> and resilience</w:t>
      </w:r>
      <w:r w:rsidR="00BC00CE">
        <w:t>.</w:t>
      </w:r>
    </w:p>
    <w:p w14:paraId="768E0032" w14:textId="77777777" w:rsidR="00BC00CE" w:rsidRDefault="00BC00CE">
      <w:pPr>
        <w:spacing w:after="160" w:line="259" w:lineRule="auto"/>
      </w:pPr>
    </w:p>
    <w:p w14:paraId="1002D894" w14:textId="583B508C" w:rsidR="00BC00CE" w:rsidRDefault="00BC00CE">
      <w:pPr>
        <w:spacing w:after="160" w:line="259" w:lineRule="auto"/>
      </w:pPr>
      <w:r>
        <w:br w:type="page"/>
      </w:r>
    </w:p>
    <w:p w14:paraId="144CF0AD" w14:textId="77777777" w:rsidR="00794FEF" w:rsidRDefault="00794FEF" w:rsidP="00BC00CE">
      <w:pPr>
        <w:spacing w:line="360" w:lineRule="auto"/>
      </w:pPr>
      <w:r>
        <w:lastRenderedPageBreak/>
        <w:t>[Main text]</w:t>
      </w:r>
    </w:p>
    <w:p w14:paraId="0C3F8C32" w14:textId="531188DB" w:rsidR="000100D9" w:rsidRDefault="0053081E" w:rsidP="00BC00CE">
      <w:pPr>
        <w:spacing w:line="360" w:lineRule="auto"/>
      </w:pPr>
      <w:r>
        <w:t xml:space="preserve">Food, energy, and water are </w:t>
      </w:r>
      <w:r w:rsidR="00423A08">
        <w:t xml:space="preserve">essential components of sustainability, emphasized as three </w:t>
      </w:r>
      <w:r>
        <w:t>of the United Nations’ 17 Sustainable Development Goals (</w:t>
      </w:r>
      <w:r w:rsidR="00B05638">
        <w:t>1</w:t>
      </w:r>
      <w:r>
        <w:t xml:space="preserve">). The </w:t>
      </w:r>
      <w:r w:rsidR="00F9467E">
        <w:t xml:space="preserve">direct and indirect </w:t>
      </w:r>
      <w:r>
        <w:t xml:space="preserve">connections among food, energy, and water </w:t>
      </w:r>
      <w:r w:rsidR="007B0DCE">
        <w:t xml:space="preserve">systems </w:t>
      </w:r>
      <w:r>
        <w:t xml:space="preserve">have accordingly given rise to the concept of the food-energy-water (FEW) nexus (also called the WEF </w:t>
      </w:r>
      <w:r w:rsidR="00013A20">
        <w:t xml:space="preserve">or EWF </w:t>
      </w:r>
      <w:r>
        <w:t>nexus)</w:t>
      </w:r>
      <w:r w:rsidR="005506AB">
        <w:t xml:space="preserve"> (</w:t>
      </w:r>
      <w:r w:rsidR="00B05638">
        <w:t>2,3</w:t>
      </w:r>
      <w:r w:rsidR="005506AB">
        <w:t>)</w:t>
      </w:r>
      <w:r>
        <w:t xml:space="preserve">. </w:t>
      </w:r>
      <w:r w:rsidR="000100D9">
        <w:t>Th</w:t>
      </w:r>
      <w:r>
        <w:t>is concept</w:t>
      </w:r>
      <w:r w:rsidR="000100D9">
        <w:t xml:space="preserve"> has attracted great interest among scholars (</w:t>
      </w:r>
      <w:r w:rsidR="00B05638">
        <w:t>4-</w:t>
      </w:r>
      <w:r w:rsidR="00F141CD">
        <w:t>12</w:t>
      </w:r>
      <w:r w:rsidR="00F32FF6">
        <w:t>) and practitioners (</w:t>
      </w:r>
      <w:r w:rsidR="00F141CD">
        <w:t>13</w:t>
      </w:r>
      <w:r w:rsidR="000100D9">
        <w:t xml:space="preserve">), drawing attention to the potential pitfalls of ignoring </w:t>
      </w:r>
      <w:r w:rsidR="005506AB">
        <w:t>tradeoffs</w:t>
      </w:r>
      <w:r w:rsidR="000100D9">
        <w:t xml:space="preserve"> among these systems</w:t>
      </w:r>
      <w:r w:rsidR="00FB325E">
        <w:t>—</w:t>
      </w:r>
      <w:r w:rsidR="000100D9">
        <w:t>e.g., unsustainable demands on available water supply</w:t>
      </w:r>
      <w:r w:rsidR="00FB325E">
        <w:t xml:space="preserve"> (</w:t>
      </w:r>
      <w:r w:rsidR="00F141CD">
        <w:t>9</w:t>
      </w:r>
      <w:r w:rsidR="000100D9">
        <w:t>)</w:t>
      </w:r>
      <w:r w:rsidR="00FB325E">
        <w:t>—</w:t>
      </w:r>
      <w:r w:rsidR="000100D9">
        <w:t xml:space="preserve">as well as the potential </w:t>
      </w:r>
      <w:r w:rsidR="007E31F0">
        <w:t>gains</w:t>
      </w:r>
      <w:r w:rsidR="000100D9">
        <w:t xml:space="preserve"> to be obtained from mutually beneficial interactions</w:t>
      </w:r>
      <w:r w:rsidR="00FB325E">
        <w:t xml:space="preserve">, </w:t>
      </w:r>
      <w:r w:rsidR="000100D9">
        <w:t xml:space="preserve">e.g., power generation that supports water treatment and food processing and storage </w:t>
      </w:r>
      <w:r w:rsidR="00FB325E">
        <w:t>(</w:t>
      </w:r>
      <w:r w:rsidR="00F141CD">
        <w:t xml:space="preserve">14,15). </w:t>
      </w:r>
      <w:r w:rsidR="00B50F95">
        <w:t>While t</w:t>
      </w:r>
      <w:r w:rsidR="000100D9">
        <w:t>he FEW nexus has been critiqued for a variety of perceived shortcomings in concept and practice (</w:t>
      </w:r>
      <w:r w:rsidR="00F141CD">
        <w:t>5,6,9,16</w:t>
      </w:r>
      <w:r w:rsidR="000100D9">
        <w:t>)</w:t>
      </w:r>
      <w:r w:rsidR="00B50F95">
        <w:t>,</w:t>
      </w:r>
      <w:r w:rsidR="006022E5">
        <w:t xml:space="preserve"> it</w:t>
      </w:r>
      <w:r w:rsidR="000100D9">
        <w:t xml:space="preserve"> </w:t>
      </w:r>
      <w:r w:rsidR="00B50F95">
        <w:t xml:space="preserve">nevertheless </w:t>
      </w:r>
      <w:r w:rsidR="000100D9">
        <w:t xml:space="preserve">remains a popular </w:t>
      </w:r>
      <w:r w:rsidR="009F1C18">
        <w:t>concept</w:t>
      </w:r>
      <w:r w:rsidR="006022E5">
        <w:t xml:space="preserve"> for </w:t>
      </w:r>
      <w:r w:rsidR="009F1C18">
        <w:t>identifying and acting on</w:t>
      </w:r>
      <w:r w:rsidR="006022E5">
        <w:t xml:space="preserve"> the connections and interactions </w:t>
      </w:r>
      <w:r w:rsidR="009F1C18">
        <w:t xml:space="preserve">that support </w:t>
      </w:r>
      <w:r w:rsidR="006B0BED">
        <w:t>or</w:t>
      </w:r>
      <w:r w:rsidR="009F1C18">
        <w:t xml:space="preserve"> constrain</w:t>
      </w:r>
      <w:r w:rsidR="006022E5">
        <w:t xml:space="preserve"> human environmental security and</w:t>
      </w:r>
      <w:r w:rsidR="000100D9">
        <w:t xml:space="preserve"> well-being</w:t>
      </w:r>
      <w:r w:rsidR="00744279">
        <w:t xml:space="preserve"> (</w:t>
      </w:r>
      <w:r w:rsidR="00D726CD">
        <w:t>17-19</w:t>
      </w:r>
      <w:r w:rsidR="00744279">
        <w:t>)</w:t>
      </w:r>
      <w:r w:rsidR="00954D5D">
        <w:t>, including both sustainability and</w:t>
      </w:r>
      <w:r w:rsidR="00E11CB8">
        <w:t xml:space="preserve"> </w:t>
      </w:r>
      <w:r w:rsidR="007F1F60">
        <w:t xml:space="preserve">socio-ecological </w:t>
      </w:r>
      <w:r w:rsidR="00954D5D">
        <w:t>resilience</w:t>
      </w:r>
      <w:r w:rsidR="000100D9">
        <w:t xml:space="preserve"> </w:t>
      </w:r>
      <w:r w:rsidR="00744279">
        <w:t>(</w:t>
      </w:r>
      <w:r w:rsidR="00D726CD">
        <w:t>20</w:t>
      </w:r>
      <w:r w:rsidR="00744279">
        <w:t>)</w:t>
      </w:r>
      <w:r w:rsidR="000100D9">
        <w:t>.</w:t>
      </w:r>
    </w:p>
    <w:p w14:paraId="4D9C642B" w14:textId="03BB999F" w:rsidR="00E0587C" w:rsidRDefault="00E0587C" w:rsidP="00BC00CE">
      <w:pPr>
        <w:spacing w:line="360" w:lineRule="auto"/>
      </w:pPr>
    </w:p>
    <w:p w14:paraId="31BB4330" w14:textId="7B2F1320" w:rsidR="007E31F0" w:rsidRDefault="0053081E" w:rsidP="007E31F0">
      <w:pPr>
        <w:spacing w:line="360" w:lineRule="auto"/>
      </w:pPr>
      <w:r>
        <w:t xml:space="preserve">As part of a project looking at </w:t>
      </w:r>
      <w:r w:rsidR="007B0DCE">
        <w:t xml:space="preserve">current and future </w:t>
      </w:r>
      <w:r>
        <w:t xml:space="preserve">renewable energy </w:t>
      </w:r>
      <w:r w:rsidR="007B0DCE">
        <w:t>use in</w:t>
      </w:r>
      <w:r w:rsidR="00B30183">
        <w:t xml:space="preserve"> small, remote,</w:t>
      </w:r>
      <w:r w:rsidR="007B0DCE">
        <w:t xml:space="preserve"> rural Alaska communities </w:t>
      </w:r>
      <w:r w:rsidR="007E31F0">
        <w:t xml:space="preserve">(Figure 1) </w:t>
      </w:r>
      <w:r>
        <w:t xml:space="preserve">in the context of food, energy, and water security, </w:t>
      </w:r>
      <w:r w:rsidR="005506AB">
        <w:t>our team of engineers</w:t>
      </w:r>
      <w:r w:rsidR="00954D5D">
        <w:t xml:space="preserve">, </w:t>
      </w:r>
      <w:r w:rsidR="005506AB">
        <w:t>social scientists</w:t>
      </w:r>
      <w:r w:rsidR="00954D5D">
        <w:t>, and an Indigenous community leader</w:t>
      </w:r>
      <w:r w:rsidR="005506AB">
        <w:t xml:space="preserve"> </w:t>
      </w:r>
      <w:r w:rsidR="003B1724">
        <w:t>use</w:t>
      </w:r>
      <w:r w:rsidR="00FB325E">
        <w:t>d</w:t>
      </w:r>
      <w:r w:rsidR="003B1724">
        <w:t xml:space="preserve"> the FEW nexus as a </w:t>
      </w:r>
      <w:r w:rsidR="001300BF">
        <w:t xml:space="preserve">conceptual </w:t>
      </w:r>
      <w:r w:rsidR="003B1724">
        <w:t>framework</w:t>
      </w:r>
      <w:r w:rsidR="001300BF">
        <w:t xml:space="preserve"> for identifying and analyzing anticipated interactions among these domains</w:t>
      </w:r>
      <w:r w:rsidR="003B1724">
        <w:t>. We</w:t>
      </w:r>
      <w:r>
        <w:t xml:space="preserve"> examined the characteristics of the FEW nexus in several communities around the state</w:t>
      </w:r>
      <w:r w:rsidR="00130121">
        <w:t xml:space="preserve"> that lack road access or electrical grid connections to other communities</w:t>
      </w:r>
      <w:r w:rsidR="0093712B">
        <w:t xml:space="preserve">. These communities obtain some food </w:t>
      </w:r>
      <w:r w:rsidR="00954D5D">
        <w:t xml:space="preserve">locally </w:t>
      </w:r>
      <w:r w:rsidR="0093712B">
        <w:t>through hunting, fishing, gathering</w:t>
      </w:r>
      <w:r w:rsidR="009F1C18">
        <w:t>, and limited agriculture</w:t>
      </w:r>
      <w:r w:rsidR="0093712B">
        <w:t>, whereas fuel and the remaining food are transported in by air or water</w:t>
      </w:r>
      <w:r>
        <w:t xml:space="preserve">. </w:t>
      </w:r>
      <w:r w:rsidR="00130121">
        <w:t xml:space="preserve">Part of the initial impetus was to add to practical </w:t>
      </w:r>
      <w:r w:rsidR="006022E5">
        <w:t xml:space="preserve">scholarly </w:t>
      </w:r>
      <w:r w:rsidR="00130121">
        <w:t>understanding of the FEW nexus through case studies in relatively simple, isolated systems, responding to call</w:t>
      </w:r>
      <w:r w:rsidR="006022E5">
        <w:t>s by others working in this area</w:t>
      </w:r>
      <w:r w:rsidR="00130121">
        <w:t xml:space="preserve"> to better connect theory with practice (</w:t>
      </w:r>
      <w:r w:rsidR="00D726CD">
        <w:t>10,12</w:t>
      </w:r>
      <w:r w:rsidR="00130121">
        <w:t>)</w:t>
      </w:r>
      <w:r w:rsidR="005621F7">
        <w:t xml:space="preserve"> and to examine local systems as well as national and regional ones (</w:t>
      </w:r>
      <w:r w:rsidR="00D726CD">
        <w:t>21</w:t>
      </w:r>
      <w:r w:rsidR="005621F7">
        <w:t>)</w:t>
      </w:r>
      <w:r w:rsidR="00130121">
        <w:t xml:space="preserve">. </w:t>
      </w:r>
      <w:r w:rsidR="0090387D">
        <w:t xml:space="preserve">Alaska is part of a wealthy, industrialized nation, but </w:t>
      </w:r>
      <w:r w:rsidR="00C42D80">
        <w:t xml:space="preserve">socioeconomic </w:t>
      </w:r>
      <w:r w:rsidR="0090387D">
        <w:t xml:space="preserve">conditions in rural Alaska </w:t>
      </w:r>
      <w:r w:rsidR="00C42D80">
        <w:t xml:space="preserve">prominently </w:t>
      </w:r>
      <w:r w:rsidR="0090387D">
        <w:t>include poverty and limited infrastructure (</w:t>
      </w:r>
      <w:r w:rsidR="00D726CD">
        <w:t>22,23</w:t>
      </w:r>
      <w:r w:rsidR="0090387D">
        <w:t xml:space="preserve">), </w:t>
      </w:r>
      <w:bookmarkStart w:id="0" w:name="_Hlk55914807"/>
      <w:r w:rsidR="007F1F60" w:rsidRPr="009F1C18">
        <w:t>leading to</w:t>
      </w:r>
      <w:r w:rsidR="007F1F60">
        <w:t xml:space="preserve"> considerable variation in community-level estimates</w:t>
      </w:r>
      <w:r w:rsidR="007F1F60" w:rsidRPr="009F1C18">
        <w:t xml:space="preserve"> </w:t>
      </w:r>
      <w:r w:rsidR="0090387D" w:rsidRPr="009F1C18">
        <w:t>of food insecurity</w:t>
      </w:r>
      <w:r w:rsidR="00E11CB8">
        <w:t xml:space="preserve"> (</w:t>
      </w:r>
      <w:r w:rsidR="00D726CD">
        <w:t>24</w:t>
      </w:r>
      <w:r w:rsidR="00E11CB8">
        <w:t>)</w:t>
      </w:r>
      <w:r w:rsidR="006E2EAA">
        <w:t xml:space="preserve"> </w:t>
      </w:r>
      <w:bookmarkStart w:id="1" w:name="_Hlk55915206"/>
      <w:r w:rsidR="006E2EAA">
        <w:t xml:space="preserve">and </w:t>
      </w:r>
      <w:r w:rsidR="00E11CB8">
        <w:t xml:space="preserve">a </w:t>
      </w:r>
      <w:r w:rsidR="006E2EAA">
        <w:t>lack of food sovereignty</w:t>
      </w:r>
      <w:r w:rsidR="0090387D">
        <w:t xml:space="preserve"> (</w:t>
      </w:r>
      <w:r w:rsidR="00D726CD">
        <w:t>25,26</w:t>
      </w:r>
      <w:r w:rsidR="0090387D">
        <w:t>)</w:t>
      </w:r>
      <w:r w:rsidR="00780C73">
        <w:t xml:space="preserve"> </w:t>
      </w:r>
      <w:bookmarkEnd w:id="1"/>
      <w:r w:rsidR="00780C73" w:rsidRPr="009F1C18">
        <w:t xml:space="preserve">despite high </w:t>
      </w:r>
      <w:r w:rsidR="0013606E">
        <w:t>traditional</w:t>
      </w:r>
      <w:r w:rsidR="00780C73" w:rsidRPr="009F1C18">
        <w:t xml:space="preserve"> harvests of wild animals and fish</w:t>
      </w:r>
      <w:bookmarkEnd w:id="0"/>
      <w:r w:rsidR="00744279">
        <w:t xml:space="preserve"> (</w:t>
      </w:r>
      <w:r w:rsidR="00D726CD">
        <w:t>27</w:t>
      </w:r>
      <w:r w:rsidR="00744279">
        <w:t>)</w:t>
      </w:r>
      <w:r w:rsidR="00780C73">
        <w:t>,</w:t>
      </w:r>
      <w:r w:rsidR="0090387D">
        <w:t xml:space="preserve"> as well as inadequate water and energy security (</w:t>
      </w:r>
      <w:r w:rsidR="00D726CD">
        <w:t>28-30</w:t>
      </w:r>
      <w:r w:rsidR="0090387D">
        <w:t>)</w:t>
      </w:r>
      <w:r w:rsidR="00954D5D">
        <w:t>. These conditions are</w:t>
      </w:r>
      <w:r w:rsidR="0090387D">
        <w:t xml:space="preserve"> analogous to </w:t>
      </w:r>
      <w:r w:rsidR="0090387D">
        <w:lastRenderedPageBreak/>
        <w:t xml:space="preserve">scarcities found in </w:t>
      </w:r>
      <w:r w:rsidR="00C42D80">
        <w:t xml:space="preserve">less-developed </w:t>
      </w:r>
      <w:r w:rsidR="0090387D">
        <w:t>communities elsewhere in the world</w:t>
      </w:r>
      <w:r w:rsidR="0093712B">
        <w:t xml:space="preserve"> where electricity may be unreliable or unavailable</w:t>
      </w:r>
      <w:r w:rsidR="00C426D3">
        <w:t xml:space="preserve"> (</w:t>
      </w:r>
      <w:r w:rsidR="00D726CD">
        <w:t>31</w:t>
      </w:r>
      <w:r w:rsidR="00C426D3">
        <w:t>)</w:t>
      </w:r>
      <w:r w:rsidR="0093712B">
        <w:t>, food may be scarce, and clean water in short supply</w:t>
      </w:r>
      <w:r w:rsidR="0090387D">
        <w:t xml:space="preserve">. </w:t>
      </w:r>
      <w:bookmarkStart w:id="2" w:name="_Hlk56252948"/>
    </w:p>
    <w:p w14:paraId="01996887" w14:textId="40BDB4FD" w:rsidR="00A117DC" w:rsidRDefault="00A117DC" w:rsidP="007E31F0">
      <w:pPr>
        <w:spacing w:line="360" w:lineRule="auto"/>
      </w:pPr>
    </w:p>
    <w:bookmarkEnd w:id="2"/>
    <w:p w14:paraId="081F37AB" w14:textId="77777777" w:rsidR="00AF6026" w:rsidRPr="005C42F9" w:rsidRDefault="00AF6026" w:rsidP="00AF6026">
      <w:pPr>
        <w:spacing w:line="360" w:lineRule="auto"/>
        <w:rPr>
          <w:i/>
          <w:iCs/>
        </w:rPr>
      </w:pPr>
      <w:r w:rsidRPr="005C42F9">
        <w:rPr>
          <w:i/>
          <w:iCs/>
        </w:rPr>
        <w:t>Figure 1. Map of Alaska and study communities</w:t>
      </w:r>
      <w:r>
        <w:rPr>
          <w:i/>
          <w:iCs/>
        </w:rPr>
        <w:t xml:space="preserve"> of Cordova, Igiugig, </w:t>
      </w:r>
      <w:proofErr w:type="spellStart"/>
      <w:r>
        <w:rPr>
          <w:i/>
          <w:iCs/>
        </w:rPr>
        <w:t>Kongiganak</w:t>
      </w:r>
      <w:proofErr w:type="spellEnd"/>
      <w:r>
        <w:rPr>
          <w:i/>
          <w:iCs/>
        </w:rPr>
        <w:t>, and Tanana.</w:t>
      </w:r>
    </w:p>
    <w:p w14:paraId="30A7441C" w14:textId="77777777" w:rsidR="00AF6026" w:rsidRDefault="00AF6026" w:rsidP="00AF6026">
      <w:pPr>
        <w:spacing w:line="360" w:lineRule="auto"/>
      </w:pPr>
      <w:r>
        <w:rPr>
          <w:noProof/>
        </w:rPr>
        <w:drawing>
          <wp:inline distT="0" distB="0" distL="0" distR="0" wp14:anchorId="1BECA75D" wp14:editId="60DD4F4F">
            <wp:extent cx="5943600" cy="459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594860"/>
                    </a:xfrm>
                    <a:prstGeom prst="rect">
                      <a:avLst/>
                    </a:prstGeom>
                    <a:noFill/>
                    <a:ln>
                      <a:noFill/>
                    </a:ln>
                  </pic:spPr>
                </pic:pic>
              </a:graphicData>
            </a:graphic>
          </wp:inline>
        </w:drawing>
      </w:r>
    </w:p>
    <w:p w14:paraId="1CEFA4D4" w14:textId="77777777" w:rsidR="007E31F0" w:rsidRDefault="007E31F0" w:rsidP="00BC00CE">
      <w:pPr>
        <w:spacing w:line="360" w:lineRule="auto"/>
      </w:pPr>
    </w:p>
    <w:p w14:paraId="24560FD2" w14:textId="0172BD00" w:rsidR="0053081E" w:rsidRDefault="00F95B60" w:rsidP="00BC00CE">
      <w:pPr>
        <w:spacing w:line="360" w:lineRule="auto"/>
      </w:pPr>
      <w:r>
        <w:t xml:space="preserve">Our findings </w:t>
      </w:r>
      <w:r w:rsidR="00C42D80" w:rsidRPr="00780C73">
        <w:t>in rural Alaska communities</w:t>
      </w:r>
      <w:r w:rsidR="00780C73">
        <w:t xml:space="preserve"> </w:t>
      </w:r>
      <w:r w:rsidR="006818AD">
        <w:t>support</w:t>
      </w:r>
      <w:r w:rsidR="00780C73">
        <w:t xml:space="preserve"> the idea that the FEW nexus is a useful </w:t>
      </w:r>
      <w:r w:rsidR="00574082">
        <w:t>heuristic for</w:t>
      </w:r>
      <w:r w:rsidR="00780C73">
        <w:t xml:space="preserve"> </w:t>
      </w:r>
      <w:r w:rsidR="00712120">
        <w:t xml:space="preserve">identifying </w:t>
      </w:r>
      <w:r w:rsidR="00780C73">
        <w:t>cross-domain interactions</w:t>
      </w:r>
      <w:r>
        <w:t xml:space="preserve"> and the influences of other factors</w:t>
      </w:r>
      <w:r w:rsidR="00780C73">
        <w:t xml:space="preserve">. However, the </w:t>
      </w:r>
      <w:r w:rsidR="00712120">
        <w:t>contextual</w:t>
      </w:r>
      <w:r w:rsidR="00780C73">
        <w:t xml:space="preserve"> nature of </w:t>
      </w:r>
      <w:r>
        <w:t>the</w:t>
      </w:r>
      <w:r w:rsidR="00780C73">
        <w:t xml:space="preserve"> connections and influences </w:t>
      </w:r>
      <w:r>
        <w:t xml:space="preserve">we documented </w:t>
      </w:r>
      <w:r w:rsidR="00780C73">
        <w:t>suggests that a “grand theory” of the FEW nexus (</w:t>
      </w:r>
      <w:r w:rsidR="00D869DB">
        <w:t>6</w:t>
      </w:r>
      <w:r w:rsidR="00780C73">
        <w:t xml:space="preserve">) may not be achievable. </w:t>
      </w:r>
      <w:bookmarkStart w:id="3" w:name="_Hlk65067791"/>
      <w:r w:rsidR="00780C73">
        <w:t xml:space="preserve">Instead, </w:t>
      </w:r>
      <w:r w:rsidR="0090204B">
        <w:t>we agree with those who</w:t>
      </w:r>
      <w:r w:rsidR="00050397">
        <w:t xml:space="preserve"> suggest that </w:t>
      </w:r>
      <w:r w:rsidR="00C1581E">
        <w:t xml:space="preserve">the </w:t>
      </w:r>
      <w:r w:rsidR="0090204B">
        <w:t xml:space="preserve">broadly applicable </w:t>
      </w:r>
      <w:r w:rsidR="00C1581E">
        <w:t>value of the nexus may be</w:t>
      </w:r>
      <w:r w:rsidR="00050397">
        <w:t xml:space="preserve"> in its role as a </w:t>
      </w:r>
      <w:r w:rsidR="00C1581E">
        <w:t>way of thinking</w:t>
      </w:r>
      <w:r w:rsidR="00920BD7">
        <w:t xml:space="preserve"> </w:t>
      </w:r>
      <w:r w:rsidR="005A13F1">
        <w:t>(</w:t>
      </w:r>
      <w:r w:rsidR="00D869DB">
        <w:t>32</w:t>
      </w:r>
      <w:r w:rsidR="005A13F1">
        <w:t xml:space="preserve">) </w:t>
      </w:r>
      <w:r w:rsidR="00920BD7">
        <w:t>rather</w:t>
      </w:r>
      <w:r w:rsidR="00C1581E">
        <w:t xml:space="preserve"> than </w:t>
      </w:r>
      <w:r w:rsidR="00A541FC">
        <w:t xml:space="preserve">solely </w:t>
      </w:r>
      <w:r w:rsidR="00C1581E">
        <w:t xml:space="preserve">as </w:t>
      </w:r>
      <w:r w:rsidR="0090204B">
        <w:t xml:space="preserve">the basis for </w:t>
      </w:r>
      <w:r w:rsidR="00C1581E">
        <w:t>a</w:t>
      </w:r>
      <w:r w:rsidR="008B1977">
        <w:t xml:space="preserve"> </w:t>
      </w:r>
      <w:r w:rsidR="00920BD7">
        <w:t xml:space="preserve">systematic </w:t>
      </w:r>
      <w:r w:rsidR="00C1581E">
        <w:t xml:space="preserve">model </w:t>
      </w:r>
      <w:r w:rsidR="00920BD7">
        <w:t xml:space="preserve">capable of </w:t>
      </w:r>
      <w:r w:rsidR="00985908">
        <w:t>characterizing and quantifying relevant components and relationships</w:t>
      </w:r>
      <w:r w:rsidR="008B1977">
        <w:t xml:space="preserve"> (</w:t>
      </w:r>
      <w:r w:rsidR="00D869DB">
        <w:t>33</w:t>
      </w:r>
      <w:r w:rsidR="008B1977">
        <w:t>)</w:t>
      </w:r>
      <w:r w:rsidR="00C1581E">
        <w:t>.</w:t>
      </w:r>
      <w:bookmarkEnd w:id="3"/>
    </w:p>
    <w:p w14:paraId="478406A5" w14:textId="77777777" w:rsidR="00C1581E" w:rsidRDefault="00C1581E" w:rsidP="00BC00CE">
      <w:pPr>
        <w:spacing w:line="360" w:lineRule="auto"/>
      </w:pPr>
    </w:p>
    <w:p w14:paraId="28D265BD" w14:textId="770E20D4" w:rsidR="0053081E" w:rsidRPr="0053081E" w:rsidRDefault="0053081E" w:rsidP="00BC00CE">
      <w:pPr>
        <w:spacing w:line="360" w:lineRule="auto"/>
        <w:rPr>
          <w:u w:val="single"/>
        </w:rPr>
      </w:pPr>
      <w:r w:rsidRPr="0053081E">
        <w:rPr>
          <w:u w:val="single"/>
        </w:rPr>
        <w:lastRenderedPageBreak/>
        <w:t>The characteristics of a nexus</w:t>
      </w:r>
    </w:p>
    <w:p w14:paraId="03B50275" w14:textId="6AFF1B2C" w:rsidR="005506AB" w:rsidRDefault="005506AB" w:rsidP="00BC00CE">
      <w:pPr>
        <w:spacing w:line="360" w:lineRule="auto"/>
      </w:pPr>
      <w:r>
        <w:t xml:space="preserve">Sustainability </w:t>
      </w:r>
      <w:r w:rsidR="00954D5D">
        <w:t xml:space="preserve">and resilience both </w:t>
      </w:r>
      <w:r>
        <w:t xml:space="preserve">require thinking </w:t>
      </w:r>
      <w:r w:rsidR="007B0DCE">
        <w:t>about a system in terms of connections among and across domains rather than just as individual components</w:t>
      </w:r>
      <w:r w:rsidR="00C1581E">
        <w:t xml:space="preserve">. Cross-domain thinking aids sustainability by identifying </w:t>
      </w:r>
      <w:r>
        <w:t>how an action can have unintended negative consequences or how an action may be harnessed for wider benefit</w:t>
      </w:r>
      <w:r w:rsidR="00F933E0">
        <w:t xml:space="preserve"> (</w:t>
      </w:r>
      <w:r w:rsidR="00D869DB">
        <w:t>34</w:t>
      </w:r>
      <w:r w:rsidR="00A95C4F">
        <w:t xml:space="preserve">). </w:t>
      </w:r>
      <w:r w:rsidR="00920BD7">
        <w:t xml:space="preserve">With respect to environmental security, such </w:t>
      </w:r>
      <w:r w:rsidR="00C1581E">
        <w:t xml:space="preserve">thinking </w:t>
      </w:r>
      <w:r w:rsidR="00920BD7">
        <w:t xml:space="preserve">can </w:t>
      </w:r>
      <w:r w:rsidR="00C1581E">
        <w:t>aid resilience by revealing weaknesses in the supply of food, energy, and water, as well as functional redundancy that promotes resistance to disturbance (</w:t>
      </w:r>
      <w:r w:rsidR="00D869DB">
        <w:t>14,35</w:t>
      </w:r>
      <w:r w:rsidR="00C1581E">
        <w:t xml:space="preserve">). </w:t>
      </w:r>
      <w:r w:rsidR="00A95C4F" w:rsidRPr="00C1581E">
        <w:t>FEW nexus thinking is based on the idea that food, energy, and water form a hub</w:t>
      </w:r>
      <w:r w:rsidR="005C349A" w:rsidRPr="00C1581E">
        <w:t xml:space="preserve"> of connections</w:t>
      </w:r>
      <w:r w:rsidR="00C1581E" w:rsidRPr="00C1581E">
        <w:t xml:space="preserve"> that provides useful insight </w:t>
      </w:r>
      <w:r w:rsidR="00F933E0" w:rsidRPr="00C1581E">
        <w:t>(</w:t>
      </w:r>
      <w:r w:rsidR="00D869DB">
        <w:t>11</w:t>
      </w:r>
      <w:r w:rsidR="005C42F9" w:rsidRPr="00C1581E">
        <w:t>; Figure 2</w:t>
      </w:r>
      <w:r w:rsidR="00F933E0" w:rsidRPr="00C1581E">
        <w:t>)</w:t>
      </w:r>
      <w:r w:rsidRPr="00C1581E">
        <w:t xml:space="preserve">. </w:t>
      </w:r>
      <w:r w:rsidR="00461261">
        <w:t>The three resources are necessary for</w:t>
      </w:r>
      <w:r w:rsidR="00EA0157">
        <w:t xml:space="preserve"> human</w:t>
      </w:r>
      <w:r w:rsidR="00461261">
        <w:t xml:space="preserve"> life and </w:t>
      </w:r>
      <w:r w:rsidR="0090204B">
        <w:t>typically</w:t>
      </w:r>
      <w:r w:rsidR="00461261">
        <w:t xml:space="preserve"> depend on supply chains (</w:t>
      </w:r>
      <w:r w:rsidR="00D869DB">
        <w:t>6</w:t>
      </w:r>
      <w:r w:rsidR="00461261">
        <w:t xml:space="preserve">). In contrast, </w:t>
      </w:r>
      <w:r w:rsidR="00985908">
        <w:t>oxygen</w:t>
      </w:r>
      <w:r w:rsidR="00461261">
        <w:t xml:space="preserve"> is also necessary for </w:t>
      </w:r>
      <w:r w:rsidR="00985908">
        <w:t xml:space="preserve">human </w:t>
      </w:r>
      <w:r w:rsidR="00461261">
        <w:t xml:space="preserve">life but does not depend on a supply chain, nor is it limited in relation to human demand, so neither sustainability nor resilience is limited at present by access to </w:t>
      </w:r>
      <w:r w:rsidR="00985908">
        <w:t>oxygen</w:t>
      </w:r>
      <w:r w:rsidR="00461261">
        <w:t>.</w:t>
      </w:r>
    </w:p>
    <w:p w14:paraId="2694F1EC" w14:textId="3B11B849" w:rsidR="005C42F9" w:rsidRDefault="005C42F9" w:rsidP="00BC00CE">
      <w:pPr>
        <w:spacing w:line="360" w:lineRule="auto"/>
      </w:pPr>
    </w:p>
    <w:p w14:paraId="48EFF63A" w14:textId="77777777" w:rsidR="00AF6026" w:rsidRDefault="00AF6026" w:rsidP="00AF6026">
      <w:pPr>
        <w:spacing w:line="360" w:lineRule="auto"/>
      </w:pPr>
      <w:r w:rsidRPr="00F628FA">
        <w:rPr>
          <w:i/>
          <w:iCs/>
        </w:rPr>
        <w:t>Figure 2. The FEW nexus, capturing a range of drivers, the cross-domain interactions among food, energy, and water, and outcomes in terms of sustainability and resilience.</w:t>
      </w:r>
      <w:r>
        <w:t xml:space="preserve"> </w:t>
      </w:r>
    </w:p>
    <w:p w14:paraId="38C5EAE5" w14:textId="77777777" w:rsidR="00AF6026" w:rsidRDefault="00AF6026" w:rsidP="00AF6026">
      <w:pPr>
        <w:spacing w:line="360" w:lineRule="auto"/>
      </w:pPr>
      <w:r w:rsidRPr="00BC356A">
        <w:rPr>
          <w:noProof/>
        </w:rPr>
        <w:drawing>
          <wp:inline distT="0" distB="0" distL="0" distR="0" wp14:anchorId="434BF6FC" wp14:editId="544EE894">
            <wp:extent cx="5943600" cy="187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70075"/>
                    </a:xfrm>
                    <a:prstGeom prst="rect">
                      <a:avLst/>
                    </a:prstGeom>
                    <a:noFill/>
                    <a:ln>
                      <a:noFill/>
                    </a:ln>
                  </pic:spPr>
                </pic:pic>
              </a:graphicData>
            </a:graphic>
          </wp:inline>
        </w:drawing>
      </w:r>
    </w:p>
    <w:p w14:paraId="50131A9E" w14:textId="77777777" w:rsidR="00BC356A" w:rsidRDefault="00BC356A" w:rsidP="00002C10">
      <w:pPr>
        <w:spacing w:line="360" w:lineRule="auto"/>
      </w:pPr>
    </w:p>
    <w:p w14:paraId="3A1F240A" w14:textId="78128F99" w:rsidR="00C1581E" w:rsidRDefault="00C1581E" w:rsidP="00002C10">
      <w:pPr>
        <w:spacing w:line="360" w:lineRule="auto"/>
      </w:pPr>
      <w:r w:rsidRPr="00C1581E">
        <w:t xml:space="preserve">For </w:t>
      </w:r>
      <w:r w:rsidR="00F95B60">
        <w:t xml:space="preserve">the nexus to provide such insights, components must be coupled </w:t>
      </w:r>
      <w:r w:rsidR="001265BA">
        <w:t xml:space="preserve">in a functionally </w:t>
      </w:r>
      <w:r w:rsidR="006818AD">
        <w:t xml:space="preserve">meaningful </w:t>
      </w:r>
      <w:r w:rsidR="001265BA">
        <w:t xml:space="preserve">way, </w:t>
      </w:r>
      <w:r w:rsidR="00F95B60">
        <w:t xml:space="preserve">and not </w:t>
      </w:r>
      <w:r w:rsidR="006818AD">
        <w:t xml:space="preserve">merely </w:t>
      </w:r>
      <w:r w:rsidR="00F95B60">
        <w:t>connected.</w:t>
      </w:r>
      <w:r w:rsidR="001265BA">
        <w:t xml:space="preserve"> For example,</w:t>
      </w:r>
      <w:r w:rsidR="00F95B60">
        <w:t xml:space="preserve"> </w:t>
      </w:r>
      <w:r w:rsidR="001265BA">
        <w:t>agriculture</w:t>
      </w:r>
      <w:r w:rsidR="00F95B60">
        <w:t xml:space="preserve"> require</w:t>
      </w:r>
      <w:r w:rsidR="001265BA">
        <w:t>s</w:t>
      </w:r>
      <w:r w:rsidR="00F95B60">
        <w:t xml:space="preserve"> water, so a connection </w:t>
      </w:r>
      <w:r w:rsidR="001265BA">
        <w:t xml:space="preserve">between food and water </w:t>
      </w:r>
      <w:r w:rsidR="00F95B60">
        <w:t>clearly exists</w:t>
      </w:r>
      <w:r w:rsidR="001265BA">
        <w:t>;</w:t>
      </w:r>
      <w:r w:rsidR="00F95B60">
        <w:t xml:space="preserve"> but</w:t>
      </w:r>
      <w:r w:rsidR="001265BA">
        <w:t>,</w:t>
      </w:r>
      <w:r w:rsidR="00F95B60">
        <w:t xml:space="preserve"> </w:t>
      </w:r>
      <w:r w:rsidR="001265BA">
        <w:t xml:space="preserve">from a diagnostic perspective, recognizing this connection is only helpful </w:t>
      </w:r>
      <w:r w:rsidR="00F95B60">
        <w:t xml:space="preserve">if </w:t>
      </w:r>
      <w:r w:rsidR="001265BA">
        <w:t>expected</w:t>
      </w:r>
      <w:r w:rsidR="00F95B60">
        <w:t xml:space="preserve"> change</w:t>
      </w:r>
      <w:r w:rsidR="001265BA">
        <w:t>s</w:t>
      </w:r>
      <w:r w:rsidR="00F95B60">
        <w:t xml:space="preserve"> </w:t>
      </w:r>
      <w:r w:rsidR="001265BA">
        <w:t xml:space="preserve">in one domain are likely to cause </w:t>
      </w:r>
      <w:r w:rsidR="00F95B60">
        <w:t>change</w:t>
      </w:r>
      <w:r w:rsidR="001265BA">
        <w:t>s</w:t>
      </w:r>
      <w:r w:rsidR="00F95B60">
        <w:t xml:space="preserve"> in the other. Without the possibility of a tradeoff or a mutual gain across domains, each </w:t>
      </w:r>
      <w:r w:rsidR="00574082">
        <w:t>system</w:t>
      </w:r>
      <w:r w:rsidR="00F95B60">
        <w:t xml:space="preserve"> is functionally independent</w:t>
      </w:r>
      <w:r w:rsidR="001265BA">
        <w:t xml:space="preserve"> despite </w:t>
      </w:r>
      <w:r w:rsidR="00712120">
        <w:t>any</w:t>
      </w:r>
      <w:r w:rsidR="001265BA">
        <w:t xml:space="preserve"> actual connection</w:t>
      </w:r>
      <w:r w:rsidR="00F95B60">
        <w:t xml:space="preserve">. </w:t>
      </w:r>
      <w:r w:rsidR="00461261">
        <w:t xml:space="preserve">A tradeoff would exist if the water supply were insufficient for both needed irrigation and household use, forcing a choice between the two. A mutual gain would exist if </w:t>
      </w:r>
      <w:r w:rsidR="00985908">
        <w:t xml:space="preserve">water recycling methods were adopted </w:t>
      </w:r>
      <w:r w:rsidR="00461261">
        <w:t xml:space="preserve">that could reduce or </w:t>
      </w:r>
      <w:r w:rsidR="00461261">
        <w:lastRenderedPageBreak/>
        <w:t xml:space="preserve">maintain overall consumption while making more water available for both households and agriculture. </w:t>
      </w:r>
    </w:p>
    <w:p w14:paraId="5ACD8361" w14:textId="783B4C04" w:rsidR="006C09D5" w:rsidRDefault="006C09D5" w:rsidP="00002C10">
      <w:pPr>
        <w:spacing w:line="360" w:lineRule="auto"/>
      </w:pPr>
    </w:p>
    <w:p w14:paraId="15E021E1" w14:textId="51E32EB6" w:rsidR="006C09D5" w:rsidRPr="00C1581E" w:rsidRDefault="006C09D5" w:rsidP="00002C10">
      <w:pPr>
        <w:spacing w:line="360" w:lineRule="auto"/>
      </w:pPr>
      <w:r>
        <w:t>Even when there is substantive coupling across two or three of the FEW domains, there may also be other factors that have as great</w:t>
      </w:r>
      <w:r w:rsidR="001265BA">
        <w:t>,</w:t>
      </w:r>
      <w:r>
        <w:t xml:space="preserve"> or greater</w:t>
      </w:r>
      <w:r w:rsidR="001265BA">
        <w:t>,</w:t>
      </w:r>
      <w:r>
        <w:t xml:space="preserve"> influence on sustainability and resilience. To continue the water and food example, climate change may reduce the overall water supply, making tradeoffs more severe and reducing the prospects for mutual gains. Government policies may promote or constrain the ability to add water re-use systems, or available technology may be unaffordable for the community in question. The </w:t>
      </w:r>
      <w:r w:rsidR="00712120">
        <w:t>inclusion of these factors creates a</w:t>
      </w:r>
      <w:r>
        <w:t xml:space="preserve"> complex web of interactions far beyond the resources of food, energy, and water</w:t>
      </w:r>
      <w:r w:rsidR="00712120">
        <w:t xml:space="preserve"> (</w:t>
      </w:r>
      <w:r w:rsidR="00D869DB">
        <w:t>35</w:t>
      </w:r>
      <w:r w:rsidR="00712120">
        <w:t>)</w:t>
      </w:r>
      <w:r w:rsidR="00A124B5">
        <w:t>, requiring more data and analysis</w:t>
      </w:r>
      <w:r>
        <w:t>. The challenge is to retain the useful simplicity of the FEW nexus without losing sight of the complex societal system of which it is a part.</w:t>
      </w:r>
    </w:p>
    <w:p w14:paraId="08A893B2" w14:textId="4636C844" w:rsidR="001A56DF" w:rsidRDefault="001A56DF" w:rsidP="00BC00CE">
      <w:pPr>
        <w:spacing w:line="360" w:lineRule="auto"/>
      </w:pPr>
    </w:p>
    <w:p w14:paraId="3EAD9FCF" w14:textId="455A475E" w:rsidR="001A56DF" w:rsidRPr="001A56DF" w:rsidRDefault="00B30183" w:rsidP="00BC00CE">
      <w:pPr>
        <w:spacing w:line="360" w:lineRule="auto"/>
        <w:rPr>
          <w:u w:val="single"/>
        </w:rPr>
      </w:pPr>
      <w:r>
        <w:rPr>
          <w:u w:val="single"/>
        </w:rPr>
        <w:t xml:space="preserve">The </w:t>
      </w:r>
      <w:proofErr w:type="spellStart"/>
      <w:r>
        <w:rPr>
          <w:u w:val="single"/>
        </w:rPr>
        <w:t>MicroFEWs</w:t>
      </w:r>
      <w:proofErr w:type="spellEnd"/>
      <w:r>
        <w:rPr>
          <w:u w:val="single"/>
        </w:rPr>
        <w:t xml:space="preserve"> </w:t>
      </w:r>
      <w:r w:rsidR="00C42D80">
        <w:rPr>
          <w:u w:val="single"/>
        </w:rPr>
        <w:t>P</w:t>
      </w:r>
      <w:r>
        <w:rPr>
          <w:u w:val="single"/>
        </w:rPr>
        <w:t>roject</w:t>
      </w:r>
    </w:p>
    <w:p w14:paraId="52D9851E" w14:textId="0997A661" w:rsidR="003A7D8F" w:rsidRDefault="00FE18A8" w:rsidP="00BC00CE">
      <w:pPr>
        <w:spacing w:line="360" w:lineRule="auto"/>
        <w:rPr>
          <w:color w:val="000000" w:themeColor="text1"/>
        </w:rPr>
      </w:pPr>
      <w:r>
        <w:rPr>
          <w:color w:val="000000" w:themeColor="text1"/>
        </w:rPr>
        <w:t xml:space="preserve">The </w:t>
      </w:r>
      <w:proofErr w:type="spellStart"/>
      <w:r>
        <w:rPr>
          <w:color w:val="000000" w:themeColor="text1"/>
        </w:rPr>
        <w:t>MicroFEWs</w:t>
      </w:r>
      <w:proofErr w:type="spellEnd"/>
      <w:r>
        <w:rPr>
          <w:color w:val="000000" w:themeColor="text1"/>
        </w:rPr>
        <w:t xml:space="preserve"> Project examined the direct and indirect connections between renewable energy generation</w:t>
      </w:r>
      <w:r w:rsidR="00996E4B">
        <w:rPr>
          <w:color w:val="000000" w:themeColor="text1"/>
        </w:rPr>
        <w:t xml:space="preserve"> in isolated microgrids</w:t>
      </w:r>
      <w:r>
        <w:rPr>
          <w:color w:val="000000" w:themeColor="text1"/>
        </w:rPr>
        <w:t xml:space="preserve"> and </w:t>
      </w:r>
      <w:r w:rsidR="00B30183">
        <w:rPr>
          <w:color w:val="000000" w:themeColor="text1"/>
        </w:rPr>
        <w:t>FEW</w:t>
      </w:r>
      <w:r>
        <w:rPr>
          <w:color w:val="000000" w:themeColor="text1"/>
        </w:rPr>
        <w:t xml:space="preserve"> security in four</w:t>
      </w:r>
      <w:r w:rsidR="00B30183">
        <w:rPr>
          <w:color w:val="000000" w:themeColor="text1"/>
        </w:rPr>
        <w:t xml:space="preserve"> </w:t>
      </w:r>
      <w:r>
        <w:rPr>
          <w:color w:val="000000" w:themeColor="text1"/>
        </w:rPr>
        <w:t>rural Alaska communities: Cordova</w:t>
      </w:r>
      <w:r w:rsidR="00B30183">
        <w:rPr>
          <w:color w:val="000000" w:themeColor="text1"/>
        </w:rPr>
        <w:t xml:space="preserve"> (population est. 2343 in 2019; </w:t>
      </w:r>
      <w:r w:rsidR="00D869DB">
        <w:rPr>
          <w:color w:val="000000" w:themeColor="text1"/>
        </w:rPr>
        <w:t>36</w:t>
      </w:r>
      <w:r w:rsidR="00B30183">
        <w:rPr>
          <w:color w:val="000000" w:themeColor="text1"/>
        </w:rPr>
        <w:t>)</w:t>
      </w:r>
      <w:r>
        <w:rPr>
          <w:color w:val="000000" w:themeColor="text1"/>
        </w:rPr>
        <w:t>, Igiugig</w:t>
      </w:r>
      <w:r w:rsidR="00B30183">
        <w:rPr>
          <w:color w:val="000000" w:themeColor="text1"/>
        </w:rPr>
        <w:t xml:space="preserve"> (</w:t>
      </w:r>
      <w:r w:rsidR="00985908">
        <w:rPr>
          <w:color w:val="000000" w:themeColor="text1"/>
        </w:rPr>
        <w:t xml:space="preserve">pop. </w:t>
      </w:r>
      <w:r w:rsidR="00B30183">
        <w:rPr>
          <w:color w:val="000000" w:themeColor="text1"/>
        </w:rPr>
        <w:t>56)</w:t>
      </w:r>
      <w:r>
        <w:rPr>
          <w:color w:val="000000" w:themeColor="text1"/>
        </w:rPr>
        <w:t xml:space="preserve">, </w:t>
      </w:r>
      <w:proofErr w:type="spellStart"/>
      <w:r>
        <w:rPr>
          <w:color w:val="000000" w:themeColor="text1"/>
        </w:rPr>
        <w:t>Kongig</w:t>
      </w:r>
      <w:r w:rsidR="006B0BED">
        <w:rPr>
          <w:color w:val="000000" w:themeColor="text1"/>
        </w:rPr>
        <w:t>a</w:t>
      </w:r>
      <w:r>
        <w:rPr>
          <w:color w:val="000000" w:themeColor="text1"/>
        </w:rPr>
        <w:t>nak</w:t>
      </w:r>
      <w:proofErr w:type="spellEnd"/>
      <w:r w:rsidR="00B30183">
        <w:rPr>
          <w:color w:val="000000" w:themeColor="text1"/>
        </w:rPr>
        <w:t xml:space="preserve"> (</w:t>
      </w:r>
      <w:r w:rsidR="00985908">
        <w:rPr>
          <w:color w:val="000000" w:themeColor="text1"/>
        </w:rPr>
        <w:t xml:space="preserve">pop. </w:t>
      </w:r>
      <w:r w:rsidR="00B30183">
        <w:rPr>
          <w:color w:val="000000" w:themeColor="text1"/>
        </w:rPr>
        <w:t>523)</w:t>
      </w:r>
      <w:r>
        <w:rPr>
          <w:color w:val="000000" w:themeColor="text1"/>
        </w:rPr>
        <w:t>, and Tanana</w:t>
      </w:r>
      <w:r w:rsidR="00D816D4">
        <w:rPr>
          <w:color w:val="000000" w:themeColor="text1"/>
        </w:rPr>
        <w:t xml:space="preserve"> (</w:t>
      </w:r>
      <w:r w:rsidR="00985908">
        <w:rPr>
          <w:color w:val="000000" w:themeColor="text1"/>
        </w:rPr>
        <w:t xml:space="preserve">pop. </w:t>
      </w:r>
      <w:r w:rsidR="00D816D4">
        <w:rPr>
          <w:color w:val="000000" w:themeColor="text1"/>
        </w:rPr>
        <w:t>216)</w:t>
      </w:r>
      <w:r>
        <w:rPr>
          <w:color w:val="000000" w:themeColor="text1"/>
        </w:rPr>
        <w:t xml:space="preserve"> (</w:t>
      </w:r>
      <w:r w:rsidR="00996E4B">
        <w:rPr>
          <w:color w:val="000000" w:themeColor="text1"/>
        </w:rPr>
        <w:t>Whitney et al. 2019</w:t>
      </w:r>
      <w:r>
        <w:rPr>
          <w:color w:val="000000" w:themeColor="text1"/>
        </w:rPr>
        <w:t xml:space="preserve">). Specifically, the project sought to develop </w:t>
      </w:r>
      <w:r w:rsidR="00B30183">
        <w:rPr>
          <w:color w:val="000000" w:themeColor="text1"/>
        </w:rPr>
        <w:t>a FEW</w:t>
      </w:r>
      <w:r>
        <w:rPr>
          <w:color w:val="000000" w:themeColor="text1"/>
        </w:rPr>
        <w:t xml:space="preserve"> framework for each community; collect relevant community-level data; investigate modular systems related to </w:t>
      </w:r>
      <w:r w:rsidR="00B30183">
        <w:rPr>
          <w:color w:val="000000" w:themeColor="text1"/>
        </w:rPr>
        <w:t>FEW</w:t>
      </w:r>
      <w:r>
        <w:rPr>
          <w:color w:val="000000" w:themeColor="text1"/>
        </w:rPr>
        <w:t xml:space="preserve"> security; develop energy distribution models; synthesize an overall </w:t>
      </w:r>
      <w:proofErr w:type="spellStart"/>
      <w:r>
        <w:rPr>
          <w:color w:val="000000" w:themeColor="text1"/>
        </w:rPr>
        <w:t>MicroFEWs</w:t>
      </w:r>
      <w:proofErr w:type="spellEnd"/>
      <w:r>
        <w:rPr>
          <w:color w:val="000000" w:themeColor="text1"/>
        </w:rPr>
        <w:t xml:space="preserve"> model; and conduct outreach and capacity development activities. This paper is concerned primarily with the </w:t>
      </w:r>
      <w:r w:rsidR="00B30183">
        <w:rPr>
          <w:color w:val="000000" w:themeColor="text1"/>
        </w:rPr>
        <w:t>FEW</w:t>
      </w:r>
      <w:r>
        <w:rPr>
          <w:color w:val="000000" w:themeColor="text1"/>
        </w:rPr>
        <w:t xml:space="preserve"> framework, community-level data, and the attempt to create an overall synthesis model. </w:t>
      </w:r>
      <w:r w:rsidR="008F6C1B">
        <w:rPr>
          <w:color w:val="000000" w:themeColor="text1"/>
        </w:rPr>
        <w:t>We were able to identify important couplings and influences within the FEW nexus, but the</w:t>
      </w:r>
      <w:r w:rsidR="008F6C1B" w:rsidRPr="00507557">
        <w:rPr>
          <w:color w:val="000000" w:themeColor="text1"/>
        </w:rPr>
        <w:t xml:space="preserve"> creation of </w:t>
      </w:r>
      <w:r w:rsidR="008F6C1B">
        <w:rPr>
          <w:color w:val="000000" w:themeColor="text1"/>
        </w:rPr>
        <w:t xml:space="preserve">a systematic </w:t>
      </w:r>
      <w:r w:rsidR="008F6C1B" w:rsidRPr="00507557">
        <w:rPr>
          <w:color w:val="000000" w:themeColor="text1"/>
        </w:rPr>
        <w:t xml:space="preserve">synthesis model </w:t>
      </w:r>
      <w:r w:rsidR="008F6C1B">
        <w:rPr>
          <w:color w:val="000000" w:themeColor="text1"/>
        </w:rPr>
        <w:t>was elusive because conditions varied greatly from one community to the next and over time, even within Alaska where many features of the political-economic system are consistent statewide</w:t>
      </w:r>
      <w:r w:rsidR="008F6C1B" w:rsidRPr="00507557">
        <w:rPr>
          <w:color w:val="000000" w:themeColor="text1"/>
        </w:rPr>
        <w:t>.</w:t>
      </w:r>
    </w:p>
    <w:p w14:paraId="14EC34FC" w14:textId="77777777" w:rsidR="007F3065" w:rsidRDefault="007F3065" w:rsidP="00BC00CE">
      <w:pPr>
        <w:spacing w:line="360" w:lineRule="auto"/>
        <w:rPr>
          <w:color w:val="000000" w:themeColor="text1"/>
        </w:rPr>
      </w:pPr>
    </w:p>
    <w:p w14:paraId="751F5FFD" w14:textId="2737CF0A" w:rsidR="000100D9" w:rsidRDefault="00A43762" w:rsidP="00BC00CE">
      <w:pPr>
        <w:spacing w:line="360" w:lineRule="auto"/>
      </w:pPr>
      <w:r>
        <w:rPr>
          <w:u w:val="single"/>
        </w:rPr>
        <w:t>Couplings</w:t>
      </w:r>
      <w:r w:rsidR="0053081E">
        <w:rPr>
          <w:u w:val="single"/>
        </w:rPr>
        <w:t xml:space="preserve"> within </w:t>
      </w:r>
      <w:r w:rsidR="00405A63">
        <w:rPr>
          <w:u w:val="single"/>
        </w:rPr>
        <w:t xml:space="preserve">and beyond </w:t>
      </w:r>
      <w:r w:rsidR="0053081E">
        <w:rPr>
          <w:u w:val="single"/>
        </w:rPr>
        <w:t xml:space="preserve">the </w:t>
      </w:r>
      <w:r w:rsidR="00820D0C">
        <w:rPr>
          <w:u w:val="single"/>
        </w:rPr>
        <w:t>FEW</w:t>
      </w:r>
      <w:r w:rsidR="0053081E">
        <w:rPr>
          <w:u w:val="single"/>
        </w:rPr>
        <w:t xml:space="preserve"> nexus</w:t>
      </w:r>
    </w:p>
    <w:p w14:paraId="0B3A9E15" w14:textId="24B0E84E" w:rsidR="00C43FA5" w:rsidRDefault="007E5027" w:rsidP="00BC00CE">
      <w:pPr>
        <w:spacing w:line="360" w:lineRule="auto"/>
      </w:pPr>
      <w:r>
        <w:t>Through</w:t>
      </w:r>
      <w:r w:rsidR="00405A63">
        <w:t xml:space="preserve"> observations and interviews in rural Alaska</w:t>
      </w:r>
      <w:r>
        <w:t>, we</w:t>
      </w:r>
      <w:r w:rsidR="00405A63">
        <w:t xml:space="preserve"> identified several </w:t>
      </w:r>
      <w:r w:rsidR="00637F30">
        <w:t xml:space="preserve">qualitative </w:t>
      </w:r>
      <w:r w:rsidR="00405A63">
        <w:t xml:space="preserve">examples of interactions </w:t>
      </w:r>
      <w:r w:rsidR="00A95C4F">
        <w:t>involving food, energy, water, and other factors</w:t>
      </w:r>
      <w:r w:rsidR="00405A63">
        <w:t>.</w:t>
      </w:r>
      <w:r w:rsidR="00A95C4F">
        <w:t xml:space="preserve"> </w:t>
      </w:r>
      <w:r w:rsidR="00637F30">
        <w:t>O</w:t>
      </w:r>
      <w:r w:rsidR="00A95C4F">
        <w:t>ur previous work (</w:t>
      </w:r>
      <w:r w:rsidR="00D869DB">
        <w:t>37</w:t>
      </w:r>
      <w:r w:rsidR="00A95C4F">
        <w:t xml:space="preserve">) </w:t>
      </w:r>
      <w:r w:rsidR="00637F30">
        <w:t>and experience suggest</w:t>
      </w:r>
      <w:r w:rsidR="00A95C4F">
        <w:t xml:space="preserve"> that the examples we present here are </w:t>
      </w:r>
      <w:r w:rsidR="0013606E">
        <w:t>broadly typical</w:t>
      </w:r>
      <w:r w:rsidR="00A95C4F">
        <w:t xml:space="preserve"> of </w:t>
      </w:r>
      <w:r w:rsidR="00637F30">
        <w:t xml:space="preserve">rural community </w:t>
      </w:r>
      <w:r w:rsidR="00637F30">
        <w:lastRenderedPageBreak/>
        <w:t>systems</w:t>
      </w:r>
      <w:r w:rsidR="00A95C4F">
        <w:t xml:space="preserve"> around Alaska, </w:t>
      </w:r>
      <w:r w:rsidR="00A95C4F" w:rsidRPr="00507557">
        <w:t>and thus illustrative of the potential of</w:t>
      </w:r>
      <w:r w:rsidR="00996E4B" w:rsidRPr="00507557">
        <w:t xml:space="preserve"> the</w:t>
      </w:r>
      <w:r w:rsidR="00A95C4F" w:rsidRPr="00507557">
        <w:t xml:space="preserve"> nexus </w:t>
      </w:r>
      <w:r w:rsidR="00996E4B" w:rsidRPr="00507557">
        <w:t>approach</w:t>
      </w:r>
      <w:r w:rsidR="00507557">
        <w:t xml:space="preserve"> at the local level</w:t>
      </w:r>
      <w:r w:rsidR="00A95C4F">
        <w:t>.</w:t>
      </w:r>
      <w:r w:rsidR="00405A63">
        <w:t xml:space="preserve"> </w:t>
      </w:r>
    </w:p>
    <w:p w14:paraId="7DE7A3EE" w14:textId="3A88DCDE" w:rsidR="000C2972" w:rsidRDefault="000C2972" w:rsidP="00BC00CE">
      <w:pPr>
        <w:spacing w:line="360" w:lineRule="auto"/>
      </w:pPr>
    </w:p>
    <w:p w14:paraId="79498578" w14:textId="1B251D06" w:rsidR="00A43762" w:rsidRDefault="000C2972" w:rsidP="00BC00CE">
      <w:pPr>
        <w:spacing w:line="360" w:lineRule="auto"/>
      </w:pPr>
      <w:r>
        <w:t xml:space="preserve">In Table 1, we present </w:t>
      </w:r>
      <w:r w:rsidR="00917582">
        <w:t xml:space="preserve">pertinent but far from comprehensive </w:t>
      </w:r>
      <w:r>
        <w:t xml:space="preserve">examples of </w:t>
      </w:r>
      <w:r w:rsidR="00A43762">
        <w:t>couplings</w:t>
      </w:r>
      <w:r>
        <w:t xml:space="preserve"> within the </w:t>
      </w:r>
      <w:r w:rsidR="00B30183">
        <w:t>FEW</w:t>
      </w:r>
      <w:r>
        <w:t xml:space="preserve"> domain</w:t>
      </w:r>
      <w:r w:rsidR="00D816D4">
        <w:t>s</w:t>
      </w:r>
      <w:r>
        <w:t xml:space="preserve"> and their implications for sustainability</w:t>
      </w:r>
      <w:r w:rsidR="00574082">
        <w:t xml:space="preserve"> and resilience</w:t>
      </w:r>
      <w:r w:rsidR="0090387D">
        <w:t xml:space="preserve"> in rural Alaska</w:t>
      </w:r>
      <w:r>
        <w:t xml:space="preserve">. </w:t>
      </w:r>
      <w:r w:rsidR="001265BA">
        <w:t xml:space="preserve">To illustrate the issue noted above about </w:t>
      </w:r>
      <w:r w:rsidR="0098298D">
        <w:t xml:space="preserve">theoretical </w:t>
      </w:r>
      <w:r w:rsidR="00712120">
        <w:t xml:space="preserve">connections </w:t>
      </w:r>
      <w:r w:rsidR="001265BA">
        <w:t xml:space="preserve">versus functionally </w:t>
      </w:r>
      <w:r w:rsidR="007E5027">
        <w:t xml:space="preserve">meaningful </w:t>
      </w:r>
      <w:r w:rsidR="0098298D">
        <w:t>couplings, t</w:t>
      </w:r>
      <w:r w:rsidR="0098298D" w:rsidRPr="00A43762">
        <w:t xml:space="preserve">he </w:t>
      </w:r>
      <w:r w:rsidR="00403E49" w:rsidRPr="00A43762">
        <w:t xml:space="preserve">Kvichak River in Igiugig, Alaska, provides food (salmon), </w:t>
      </w:r>
      <w:r w:rsidR="00A43762">
        <w:t xml:space="preserve">household </w:t>
      </w:r>
      <w:r w:rsidR="00403E49" w:rsidRPr="00A43762">
        <w:t>water, and energy (via</w:t>
      </w:r>
      <w:r w:rsidR="007E5027">
        <w:t xml:space="preserve"> a</w:t>
      </w:r>
      <w:r w:rsidR="00403E49" w:rsidRPr="00A43762">
        <w:t xml:space="preserve"> hydrokinetic turbine). </w:t>
      </w:r>
      <w:r w:rsidR="0098298D">
        <w:t xml:space="preserve">However, the </w:t>
      </w:r>
      <w:r w:rsidR="00A43762">
        <w:t xml:space="preserve">village has </w:t>
      </w:r>
      <w:r w:rsidR="00985908">
        <w:t>fewer than 60</w:t>
      </w:r>
      <w:r w:rsidR="00A43762">
        <w:t xml:space="preserve"> residents</w:t>
      </w:r>
      <w:r w:rsidR="00C161E9">
        <w:t>. A</w:t>
      </w:r>
      <w:r w:rsidR="00A43762">
        <w:t>t that scale</w:t>
      </w:r>
      <w:r w:rsidR="001265BA">
        <w:t>,</w:t>
      </w:r>
      <w:r w:rsidR="00A43762">
        <w:t xml:space="preserve"> water removal from the river </w:t>
      </w:r>
      <w:r w:rsidR="007348BF">
        <w:t>is</w:t>
      </w:r>
      <w:r w:rsidR="00A43762">
        <w:t xml:space="preserve"> imperceptible, meaning there are no tradeoffs regarding water use. In other words, water supply is co-located with food and energy supply, but not coupled to either. </w:t>
      </w:r>
      <w:r w:rsidR="0098298D">
        <w:t xml:space="preserve">Likewise, a </w:t>
      </w:r>
      <w:r w:rsidR="00A43762">
        <w:t>40</w:t>
      </w:r>
      <w:r w:rsidR="00985908">
        <w:t xml:space="preserve"> </w:t>
      </w:r>
      <w:r w:rsidR="00A43762">
        <w:t xml:space="preserve">kW hydrokinetic turbine is located on the central streambed, where one or two such devices have little or no effect on migrating salmon. </w:t>
      </w:r>
      <w:r w:rsidR="0098298D">
        <w:t xml:space="preserve">It would take a major disruption, such as the complete damming or divergence of the river, to manifest a functional coupling between the two. </w:t>
      </w:r>
      <w:r w:rsidR="00A43762">
        <w:t xml:space="preserve">The choice of such technology by the Igiugig Village Council is an example of nexus thinking in practice, in this case avoiding </w:t>
      </w:r>
      <w:r w:rsidR="00B97FC7">
        <w:t>a potential</w:t>
      </w:r>
      <w:r w:rsidR="0098298D">
        <w:t xml:space="preserve"> maladaptive</w:t>
      </w:r>
      <w:r w:rsidR="00A43762">
        <w:t xml:space="preserve"> coupling of food and energy</w:t>
      </w:r>
      <w:r w:rsidR="00B97FC7">
        <w:t>, which</w:t>
      </w:r>
      <w:r w:rsidR="00A43762">
        <w:t xml:space="preserve"> would have forced a tradeoff </w:t>
      </w:r>
      <w:r w:rsidR="00B97FC7">
        <w:t>between</w:t>
      </w:r>
      <w:r w:rsidR="00A43762">
        <w:t xml:space="preserve"> salmon</w:t>
      </w:r>
      <w:r w:rsidR="00B97FC7">
        <w:t xml:space="preserve"> and electrical generation,</w:t>
      </w:r>
      <w:r w:rsidR="00A43762">
        <w:t xml:space="preserve"> while further boosting sustainability </w:t>
      </w:r>
      <w:r w:rsidR="0065579B">
        <w:t xml:space="preserve">and resilience </w:t>
      </w:r>
      <w:r w:rsidR="00A43762">
        <w:t xml:space="preserve">by reducing demand </w:t>
      </w:r>
      <w:r w:rsidR="007E5027">
        <w:t xml:space="preserve">for </w:t>
      </w:r>
      <w:r w:rsidR="00A43762">
        <w:t>fossil fuel.</w:t>
      </w:r>
    </w:p>
    <w:p w14:paraId="6C52437B" w14:textId="2237B545" w:rsidR="00C43FA5" w:rsidRDefault="00C43FA5" w:rsidP="00BC00CE">
      <w:pPr>
        <w:spacing w:line="360" w:lineRule="auto"/>
      </w:pPr>
    </w:p>
    <w:p w14:paraId="04478C27" w14:textId="77777777" w:rsidR="00AF6026" w:rsidRPr="00AF6026" w:rsidRDefault="00AF6026" w:rsidP="00AF6026">
      <w:pPr>
        <w:spacing w:line="360" w:lineRule="auto"/>
        <w:rPr>
          <w:i/>
          <w:iCs/>
        </w:rPr>
      </w:pPr>
      <w:r w:rsidRPr="00AF6026">
        <w:rPr>
          <w:i/>
          <w:iCs/>
        </w:rPr>
        <w:t xml:space="preserve">Table 1. Illustrative examples from rural Alaska of FEW connections involving trade-offs or synergies within the FEW domain. </w:t>
      </w:r>
      <w:r w:rsidRPr="00AF6026" w:rsidDel="007F1F60">
        <w:rPr>
          <w:i/>
          <w:iCs/>
        </w:rPr>
        <w:t>++, +, -, and -- indicate the direction and qualitative magnitude of the implications.</w:t>
      </w:r>
    </w:p>
    <w:tbl>
      <w:tblPr>
        <w:tblStyle w:val="TableGrid"/>
        <w:tblW w:w="0" w:type="auto"/>
        <w:tblLook w:val="04A0" w:firstRow="1" w:lastRow="0" w:firstColumn="1" w:lastColumn="0" w:noHBand="0" w:noVBand="1"/>
      </w:tblPr>
      <w:tblGrid>
        <w:gridCol w:w="2338"/>
        <w:gridCol w:w="3880"/>
        <w:gridCol w:w="3132"/>
      </w:tblGrid>
      <w:tr w:rsidR="00AF6026" w:rsidRPr="000B1CBE" w14:paraId="199ABBAB" w14:textId="77777777" w:rsidTr="008C5520">
        <w:tc>
          <w:tcPr>
            <w:tcW w:w="2338" w:type="dxa"/>
          </w:tcPr>
          <w:p w14:paraId="47D86E3D" w14:textId="77777777" w:rsidR="00AF6026" w:rsidRPr="000B1CBE" w:rsidRDefault="00AF6026" w:rsidP="008C5520">
            <w:pPr>
              <w:rPr>
                <w:i/>
                <w:iCs/>
              </w:rPr>
            </w:pPr>
            <w:r w:rsidRPr="000B1CBE">
              <w:rPr>
                <w:i/>
                <w:iCs/>
              </w:rPr>
              <w:t>Components</w:t>
            </w:r>
          </w:p>
        </w:tc>
        <w:tc>
          <w:tcPr>
            <w:tcW w:w="3880" w:type="dxa"/>
          </w:tcPr>
          <w:p w14:paraId="5509EB3B" w14:textId="77777777" w:rsidR="00AF6026" w:rsidRPr="000B1CBE" w:rsidRDefault="00AF6026" w:rsidP="008C5520">
            <w:pPr>
              <w:rPr>
                <w:i/>
                <w:iCs/>
              </w:rPr>
            </w:pPr>
            <w:r w:rsidRPr="000B1CBE">
              <w:rPr>
                <w:i/>
                <w:iCs/>
              </w:rPr>
              <w:t>Interaction</w:t>
            </w:r>
          </w:p>
        </w:tc>
        <w:tc>
          <w:tcPr>
            <w:tcW w:w="3132" w:type="dxa"/>
          </w:tcPr>
          <w:p w14:paraId="789224CD" w14:textId="77777777" w:rsidR="00AF6026" w:rsidRPr="000B1CBE" w:rsidRDefault="00AF6026" w:rsidP="008C5520">
            <w:pPr>
              <w:rPr>
                <w:i/>
                <w:iCs/>
              </w:rPr>
            </w:pPr>
            <w:r>
              <w:rPr>
                <w:i/>
                <w:iCs/>
              </w:rPr>
              <w:t>Implications for sustainability and resilience</w:t>
            </w:r>
          </w:p>
        </w:tc>
      </w:tr>
      <w:tr w:rsidR="00AF6026" w14:paraId="25DCB11F" w14:textId="77777777" w:rsidTr="008C5520">
        <w:tc>
          <w:tcPr>
            <w:tcW w:w="2338" w:type="dxa"/>
          </w:tcPr>
          <w:p w14:paraId="601E57E0" w14:textId="77777777" w:rsidR="00AF6026" w:rsidRDefault="00AF6026" w:rsidP="008C5520">
            <w:r>
              <w:t>Energy-Food</w:t>
            </w:r>
          </w:p>
        </w:tc>
        <w:tc>
          <w:tcPr>
            <w:tcW w:w="3880" w:type="dxa"/>
          </w:tcPr>
          <w:p w14:paraId="071E1487" w14:textId="77777777" w:rsidR="00AF6026" w:rsidRDefault="00AF6026" w:rsidP="008C5520">
            <w:r>
              <w:t>Excess electricity from wind turbines or hydropower to heat greenhouses, extending the growing season (contemplated in Igiugig)</w:t>
            </w:r>
          </w:p>
          <w:p w14:paraId="280644F4" w14:textId="77777777" w:rsidR="00AF6026" w:rsidRDefault="00AF6026" w:rsidP="008C5520"/>
          <w:p w14:paraId="13900A2D" w14:textId="77777777" w:rsidR="00AF6026" w:rsidRDefault="00AF6026" w:rsidP="008C5520">
            <w:r>
              <w:t>Harvesting and burning local wood</w:t>
            </w:r>
            <w:r w:rsidRPr="00E3447D">
              <w:t xml:space="preserve"> for heating </w:t>
            </w:r>
            <w:r>
              <w:t>greenhouses (Tanana)</w:t>
            </w:r>
          </w:p>
        </w:tc>
        <w:tc>
          <w:tcPr>
            <w:tcW w:w="3132" w:type="dxa"/>
          </w:tcPr>
          <w:p w14:paraId="17E32968" w14:textId="77777777" w:rsidR="00AF6026" w:rsidRDefault="00AF6026" w:rsidP="008C5520">
            <w:r>
              <w:t>Greater availability of local foods and renewable energy (++)</w:t>
            </w:r>
          </w:p>
          <w:p w14:paraId="00B83215" w14:textId="77777777" w:rsidR="00AF6026" w:rsidRDefault="00AF6026" w:rsidP="008C5520"/>
          <w:p w14:paraId="3566050E" w14:textId="77777777" w:rsidR="00AF6026" w:rsidRDefault="00AF6026" w:rsidP="008C5520">
            <w:r>
              <w:t>Decreased dependence on fossil fuels, both for transport of food and for local energy use (+)</w:t>
            </w:r>
          </w:p>
        </w:tc>
      </w:tr>
      <w:tr w:rsidR="00AF6026" w14:paraId="7B79504E" w14:textId="77777777" w:rsidTr="008C5520">
        <w:tc>
          <w:tcPr>
            <w:tcW w:w="2338" w:type="dxa"/>
          </w:tcPr>
          <w:p w14:paraId="1E83B8B2" w14:textId="77777777" w:rsidR="00AF6026" w:rsidRDefault="00AF6026" w:rsidP="008C5520">
            <w:r>
              <w:t>Water-Energy</w:t>
            </w:r>
          </w:p>
        </w:tc>
        <w:tc>
          <w:tcPr>
            <w:tcW w:w="3880" w:type="dxa"/>
          </w:tcPr>
          <w:p w14:paraId="3E51549D" w14:textId="77777777" w:rsidR="00AF6026" w:rsidRDefault="00AF6026" w:rsidP="008C5520">
            <w:r>
              <w:t xml:space="preserve">Competing demands for water, for hydropower and the municipal water system that also supplies the high-demand fish processing plants, an economic rather than nutritional </w:t>
            </w:r>
            <w:r>
              <w:lastRenderedPageBreak/>
              <w:t>mainstay for the community (Cordova)</w:t>
            </w:r>
          </w:p>
        </w:tc>
        <w:tc>
          <w:tcPr>
            <w:tcW w:w="3132" w:type="dxa"/>
          </w:tcPr>
          <w:p w14:paraId="5127DD9B" w14:textId="77777777" w:rsidR="00AF6026" w:rsidRDefault="00AF6026" w:rsidP="008C5520">
            <w:r>
              <w:lastRenderedPageBreak/>
              <w:t>Approaching or exceeding the limits of the hydrological system, perhaps requiring greater fossil fuel use to make up the difference (-)</w:t>
            </w:r>
          </w:p>
          <w:p w14:paraId="016D6398" w14:textId="77777777" w:rsidR="00AF6026" w:rsidRDefault="00AF6026" w:rsidP="008C5520"/>
          <w:p w14:paraId="5C92815A" w14:textId="77777777" w:rsidR="00AF6026" w:rsidRDefault="00AF6026" w:rsidP="008C5520">
            <w:r>
              <w:t>Greater demands on limited supply chains, straining or exceeding local capacity (-), or prompting greater use of solar or wind power to reduce the demand for water (+)</w:t>
            </w:r>
          </w:p>
        </w:tc>
      </w:tr>
      <w:tr w:rsidR="00AF6026" w:rsidRPr="00E3447D" w14:paraId="0592D440" w14:textId="77777777" w:rsidTr="008C5520">
        <w:tc>
          <w:tcPr>
            <w:tcW w:w="2338" w:type="dxa"/>
          </w:tcPr>
          <w:p w14:paraId="780ABA3E" w14:textId="77777777" w:rsidR="00AF6026" w:rsidRPr="00E3447D" w:rsidRDefault="00AF6026" w:rsidP="008C5520">
            <w:r w:rsidRPr="00E3447D">
              <w:lastRenderedPageBreak/>
              <w:t>Water-Food</w:t>
            </w:r>
          </w:p>
        </w:tc>
        <w:tc>
          <w:tcPr>
            <w:tcW w:w="3880" w:type="dxa"/>
          </w:tcPr>
          <w:p w14:paraId="4E97CABE" w14:textId="77777777" w:rsidR="00AF6026" w:rsidRDefault="00AF6026" w:rsidP="008C5520">
            <w:r w:rsidRPr="00E3447D">
              <w:t>Availability and cost of water affect the types of food purchased and cooked (</w:t>
            </w:r>
            <w:proofErr w:type="spellStart"/>
            <w:r w:rsidRPr="00E3447D">
              <w:t>Kongig</w:t>
            </w:r>
            <w:r>
              <w:t>a</w:t>
            </w:r>
            <w:r w:rsidRPr="00E3447D">
              <w:t>nak</w:t>
            </w:r>
            <w:proofErr w:type="spellEnd"/>
            <w:r w:rsidRPr="00E3447D">
              <w:t>, Igiugig)</w:t>
            </w:r>
          </w:p>
          <w:p w14:paraId="3049BC5B" w14:textId="77777777" w:rsidR="00AF6026" w:rsidRDefault="00AF6026" w:rsidP="008C5520"/>
          <w:p w14:paraId="17CBC707" w14:textId="77777777" w:rsidR="00AF6026" w:rsidRPr="00E3447D" w:rsidRDefault="00AF6026" w:rsidP="008C5520">
            <w:r>
              <w:t>Labor of manual water hauling limits willingness to maintain a food garden (Tanana)</w:t>
            </w:r>
          </w:p>
        </w:tc>
        <w:tc>
          <w:tcPr>
            <w:tcW w:w="3132" w:type="dxa"/>
          </w:tcPr>
          <w:p w14:paraId="7F9F1475" w14:textId="77777777" w:rsidR="00AF6026" w:rsidRDefault="00AF6026" w:rsidP="008C5520">
            <w:r>
              <w:t>L</w:t>
            </w:r>
            <w:r w:rsidRPr="00E3447D">
              <w:t>ower quality food undermining health</w:t>
            </w:r>
            <w:r>
              <w:t xml:space="preserve"> (-)</w:t>
            </w:r>
          </w:p>
          <w:p w14:paraId="14E0C032" w14:textId="77777777" w:rsidR="00AF6026" w:rsidRDefault="00AF6026" w:rsidP="008C5520"/>
          <w:p w14:paraId="0D3A0307" w14:textId="77777777" w:rsidR="00AF6026" w:rsidRPr="00E3447D" w:rsidRDefault="00AF6026" w:rsidP="008C5520">
            <w:r>
              <w:t>Lower capacity for sanitation increasing the risk of food-borne disease (-)</w:t>
            </w:r>
          </w:p>
        </w:tc>
      </w:tr>
    </w:tbl>
    <w:p w14:paraId="6CE55145" w14:textId="77777777" w:rsidR="00AF6026" w:rsidRDefault="00AF6026" w:rsidP="00AF6026">
      <w:pPr>
        <w:spacing w:line="360" w:lineRule="auto"/>
      </w:pPr>
    </w:p>
    <w:p w14:paraId="1E8C581A" w14:textId="3DADFBCC" w:rsidR="0065579B" w:rsidRDefault="00403E49" w:rsidP="00BC00CE">
      <w:pPr>
        <w:spacing w:line="360" w:lineRule="auto"/>
      </w:pPr>
      <w:r w:rsidRPr="00403E49">
        <w:t xml:space="preserve">In Table 2, </w:t>
      </w:r>
      <w:r>
        <w:t xml:space="preserve">we </w:t>
      </w:r>
      <w:r w:rsidR="00BB0517">
        <w:t xml:space="preserve">again </w:t>
      </w:r>
      <w:r>
        <w:t xml:space="preserve">present </w:t>
      </w:r>
      <w:r w:rsidR="00917582">
        <w:t xml:space="preserve">pertinent but not exhaustive </w:t>
      </w:r>
      <w:r>
        <w:t xml:space="preserve">examples of </w:t>
      </w:r>
      <w:r w:rsidRPr="004E3621">
        <w:t xml:space="preserve">connections extending beyond the </w:t>
      </w:r>
      <w:r w:rsidR="00B30183" w:rsidRPr="004E3621">
        <w:t>FEW</w:t>
      </w:r>
      <w:r w:rsidRPr="004E3621">
        <w:t xml:space="preserve"> domain</w:t>
      </w:r>
      <w:r w:rsidR="00D816D4" w:rsidRPr="004E3621">
        <w:t>s</w:t>
      </w:r>
      <w:r w:rsidRPr="004E3621">
        <w:t xml:space="preserve"> and their implications for sustainability</w:t>
      </w:r>
      <w:r w:rsidR="004E3621">
        <w:t xml:space="preserve"> and resilience</w:t>
      </w:r>
      <w:r>
        <w:t>.</w:t>
      </w:r>
      <w:r w:rsidR="004E3621">
        <w:t xml:space="preserve"> </w:t>
      </w:r>
      <w:r w:rsidR="0090387D">
        <w:t xml:space="preserve">Although the communities in our study are geographically isolated, they are part of a much larger system of connections that affect their </w:t>
      </w:r>
      <w:r w:rsidR="00B30183">
        <w:t>FEW</w:t>
      </w:r>
      <w:r w:rsidR="0090387D">
        <w:t xml:space="preserve"> security in ways large and small. </w:t>
      </w:r>
      <w:r>
        <w:t>State and federal policies provide subsidies and other support, the loss of which would greatly undermine the viability of rural Alaska communities</w:t>
      </w:r>
      <w:r w:rsidR="000862D7">
        <w:t xml:space="preserve"> (</w:t>
      </w:r>
      <w:r w:rsidR="00D869DB">
        <w:t>22</w:t>
      </w:r>
      <w:r w:rsidR="000862D7">
        <w:t>)</w:t>
      </w:r>
      <w:r>
        <w:t>. Transportation, too, plays a major role, as would be expected in remote communities, and also in any community obtaining supplies from outside its immediate area</w:t>
      </w:r>
      <w:r w:rsidR="00F653A7">
        <w:t xml:space="preserve"> (Figure 3)</w:t>
      </w:r>
      <w:r>
        <w:t xml:space="preserve">. </w:t>
      </w:r>
      <w:r w:rsidR="001870A4">
        <w:t>For example,</w:t>
      </w:r>
      <w:r w:rsidR="00A124B5">
        <w:t xml:space="preserve"> d</w:t>
      </w:r>
      <w:r w:rsidR="004162A4">
        <w:t>irect air service from Anchorage to Igiugig increased food options and reduce</w:t>
      </w:r>
      <w:r w:rsidR="00A124B5">
        <w:t>d</w:t>
      </w:r>
      <w:r w:rsidR="004162A4">
        <w:t xml:space="preserve"> prices. </w:t>
      </w:r>
      <w:r w:rsidR="00A124B5">
        <w:t>Conversely, l</w:t>
      </w:r>
      <w:r w:rsidR="00331675">
        <w:t xml:space="preserve">oss of ferry service to Cordova </w:t>
      </w:r>
      <w:r w:rsidR="00985908">
        <w:t xml:space="preserve">in 2020 </w:t>
      </w:r>
      <w:r w:rsidR="00331675">
        <w:t>directly and rapidly reduce</w:t>
      </w:r>
      <w:r w:rsidR="00985908">
        <w:t>d</w:t>
      </w:r>
      <w:r w:rsidR="00331675">
        <w:t xml:space="preserve"> food and energy security</w:t>
      </w:r>
      <w:r w:rsidR="004E3621">
        <w:t>.</w:t>
      </w:r>
      <w:r w:rsidR="00331675">
        <w:t xml:space="preserve"> </w:t>
      </w:r>
      <w:r w:rsidR="00B97FC7">
        <w:t xml:space="preserve">Air </w:t>
      </w:r>
      <w:r w:rsidR="0065579B">
        <w:t xml:space="preserve">transportation, however, </w:t>
      </w:r>
      <w:r w:rsidR="00B97FC7">
        <w:t>is more energy intensive</w:t>
      </w:r>
      <w:r w:rsidR="0065579B">
        <w:t xml:space="preserve">, resulting in </w:t>
      </w:r>
      <w:r w:rsidR="0013606E">
        <w:t xml:space="preserve">increased </w:t>
      </w:r>
      <w:r w:rsidR="0065579B">
        <w:t>greenhouse gas emissions. An analysis of the carbon footprint of remote Indigenous communities is beyond the scope of this paper, but long-term sustainability will require alternatives to carbon-intensive systems.</w:t>
      </w:r>
    </w:p>
    <w:p w14:paraId="61E112A4" w14:textId="77777777" w:rsidR="00A124B5" w:rsidRDefault="00A124B5" w:rsidP="00BC00CE">
      <w:pPr>
        <w:spacing w:line="360" w:lineRule="auto"/>
      </w:pPr>
    </w:p>
    <w:p w14:paraId="79EE7681" w14:textId="23D93B9C" w:rsidR="000B1CBE" w:rsidRDefault="00331675" w:rsidP="00BC00CE">
      <w:pPr>
        <w:spacing w:line="360" w:lineRule="auto"/>
      </w:pPr>
      <w:r>
        <w:t xml:space="preserve">These connections also raise the idea of cross-scale interactions. </w:t>
      </w:r>
      <w:r w:rsidR="001870A4">
        <w:t>For example, t</w:t>
      </w:r>
      <w:r>
        <w:t xml:space="preserve">he </w:t>
      </w:r>
      <w:r w:rsidR="00996E4B">
        <w:t xml:space="preserve">Alaska </w:t>
      </w:r>
      <w:r>
        <w:t xml:space="preserve">Power Cost Equalization (PCE) program </w:t>
      </w:r>
      <w:r w:rsidR="00985908">
        <w:t>subsidizes rural</w:t>
      </w:r>
      <w:r>
        <w:t xml:space="preserve"> electricity prices but is managed statewide</w:t>
      </w:r>
      <w:r w:rsidR="00996E4B">
        <w:t xml:space="preserve"> (</w:t>
      </w:r>
      <w:r w:rsidR="00D869DB">
        <w:t>38</w:t>
      </w:r>
      <w:r w:rsidR="00996E4B">
        <w:t>)</w:t>
      </w:r>
      <w:r>
        <w:t xml:space="preserve">. Effects in one community are unlikely to </w:t>
      </w:r>
      <w:r w:rsidR="001870A4">
        <w:t>substantially affect</w:t>
      </w:r>
      <w:r>
        <w:t xml:space="preserve"> the overall program. </w:t>
      </w:r>
      <w:r w:rsidR="001870A4">
        <w:t>Furthermore, s</w:t>
      </w:r>
      <w:r>
        <w:t xml:space="preserve">avings </w:t>
      </w:r>
      <w:r w:rsidR="00985908">
        <w:t>in</w:t>
      </w:r>
      <w:r>
        <w:t xml:space="preserve"> power generation costs will accrue at the state rather than local level, in the form of reduced subsidies resulting from reduced costs. Thus, the benefits of switching to cheaper power sources will be gained largely at the state level, with no guarantee of any local </w:t>
      </w:r>
      <w:r w:rsidR="00B97FC7">
        <w:t xml:space="preserve">economic </w:t>
      </w:r>
      <w:r>
        <w:t xml:space="preserve">benefit. </w:t>
      </w:r>
    </w:p>
    <w:p w14:paraId="40CD08E4" w14:textId="77777777" w:rsidR="00A124B5" w:rsidRPr="00403E49" w:rsidRDefault="00A124B5" w:rsidP="00BC00CE">
      <w:pPr>
        <w:spacing w:line="360" w:lineRule="auto"/>
      </w:pPr>
    </w:p>
    <w:p w14:paraId="011D58C4" w14:textId="77777777" w:rsidR="00AF6026" w:rsidRPr="00AF6026" w:rsidRDefault="00AF6026" w:rsidP="00AF6026">
      <w:pPr>
        <w:spacing w:line="360" w:lineRule="auto"/>
        <w:rPr>
          <w:i/>
          <w:iCs/>
        </w:rPr>
      </w:pPr>
      <w:bookmarkStart w:id="4" w:name="_Hlk56252998"/>
      <w:r w:rsidRPr="00AF6026">
        <w:rPr>
          <w:i/>
          <w:iCs/>
        </w:rPr>
        <w:t xml:space="preserve">Table 2. Illustrative examples from rural Alaska of other influences on FEW systems. </w:t>
      </w:r>
      <w:r w:rsidRPr="00AF6026" w:rsidDel="007F1F60">
        <w:rPr>
          <w:i/>
          <w:iCs/>
        </w:rPr>
        <w:t>++, +, -, and -- indicate the direction and qualitative magnitude of the implications.</w:t>
      </w:r>
    </w:p>
    <w:tbl>
      <w:tblPr>
        <w:tblStyle w:val="TableGrid"/>
        <w:tblW w:w="0" w:type="auto"/>
        <w:tblLook w:val="04A0" w:firstRow="1" w:lastRow="0" w:firstColumn="1" w:lastColumn="0" w:noHBand="0" w:noVBand="1"/>
      </w:tblPr>
      <w:tblGrid>
        <w:gridCol w:w="1709"/>
        <w:gridCol w:w="4387"/>
        <w:gridCol w:w="3254"/>
      </w:tblGrid>
      <w:tr w:rsidR="00AF6026" w:rsidRPr="000B1CBE" w14:paraId="68DEE440" w14:textId="77777777" w:rsidTr="008C5520">
        <w:tc>
          <w:tcPr>
            <w:tcW w:w="1705" w:type="dxa"/>
          </w:tcPr>
          <w:p w14:paraId="5DE2FB8B" w14:textId="77777777" w:rsidR="00AF6026" w:rsidRPr="000B1CBE" w:rsidRDefault="00AF6026" w:rsidP="008C5520">
            <w:pPr>
              <w:rPr>
                <w:i/>
                <w:iCs/>
              </w:rPr>
            </w:pPr>
            <w:r w:rsidRPr="000B1CBE">
              <w:rPr>
                <w:i/>
                <w:iCs/>
              </w:rPr>
              <w:t>Components</w:t>
            </w:r>
          </w:p>
        </w:tc>
        <w:tc>
          <w:tcPr>
            <w:tcW w:w="4390" w:type="dxa"/>
          </w:tcPr>
          <w:p w14:paraId="67D8E101" w14:textId="77777777" w:rsidR="00AF6026" w:rsidRPr="000B1CBE" w:rsidRDefault="00AF6026" w:rsidP="008C5520">
            <w:pPr>
              <w:rPr>
                <w:i/>
                <w:iCs/>
              </w:rPr>
            </w:pPr>
            <w:r w:rsidRPr="000B1CBE">
              <w:rPr>
                <w:i/>
                <w:iCs/>
              </w:rPr>
              <w:t>Interaction</w:t>
            </w:r>
          </w:p>
        </w:tc>
        <w:tc>
          <w:tcPr>
            <w:tcW w:w="3255" w:type="dxa"/>
          </w:tcPr>
          <w:p w14:paraId="063CE30C" w14:textId="77777777" w:rsidR="00AF6026" w:rsidRPr="000B1CBE" w:rsidRDefault="00AF6026" w:rsidP="008C5520">
            <w:pPr>
              <w:rPr>
                <w:i/>
                <w:iCs/>
              </w:rPr>
            </w:pPr>
            <w:r>
              <w:rPr>
                <w:i/>
                <w:iCs/>
              </w:rPr>
              <w:t>Implications for sustainability and resilience</w:t>
            </w:r>
          </w:p>
        </w:tc>
      </w:tr>
      <w:tr w:rsidR="00AF6026" w14:paraId="13B57117" w14:textId="77777777" w:rsidTr="008C5520">
        <w:tc>
          <w:tcPr>
            <w:tcW w:w="1705" w:type="dxa"/>
          </w:tcPr>
          <w:p w14:paraId="49E7617D" w14:textId="77777777" w:rsidR="00AF6026" w:rsidRDefault="00AF6026" w:rsidP="008C5520">
            <w:r>
              <w:t>Transportation-Food</w:t>
            </w:r>
          </w:p>
        </w:tc>
        <w:tc>
          <w:tcPr>
            <w:tcW w:w="4390" w:type="dxa"/>
          </w:tcPr>
          <w:p w14:paraId="4C93C403" w14:textId="77777777" w:rsidR="00AF6026" w:rsidRDefault="00AF6026" w:rsidP="008C5520">
            <w:r>
              <w:t>Direct flights from Anchorage to Igiugig allow shipping of fresh or frozen food, increasing food security</w:t>
            </w:r>
          </w:p>
          <w:p w14:paraId="5BD38B7E" w14:textId="77777777" w:rsidR="00AF6026" w:rsidRDefault="00AF6026" w:rsidP="008C5520"/>
          <w:p w14:paraId="5D9B49E5" w14:textId="77777777" w:rsidR="00AF6026" w:rsidRDefault="00AF6026" w:rsidP="008C5520">
            <w:r>
              <w:t>A new road to Tanana provided cheaper access to store-bought food, but access is limited when road conditions are poor</w:t>
            </w:r>
          </w:p>
          <w:p w14:paraId="296ED054" w14:textId="77777777" w:rsidR="00AF6026" w:rsidRDefault="00AF6026" w:rsidP="008C5520"/>
          <w:p w14:paraId="1B3ADCD7" w14:textId="77777777" w:rsidR="00AF6026" w:rsidRDefault="00AF6026" w:rsidP="008C5520">
            <w:r>
              <w:t>Loss of ferry service to Cordova increased shipping costs and reduced volume, threatening food security</w:t>
            </w:r>
          </w:p>
        </w:tc>
        <w:tc>
          <w:tcPr>
            <w:tcW w:w="3255" w:type="dxa"/>
          </w:tcPr>
          <w:p w14:paraId="3C36F208" w14:textId="77777777" w:rsidR="00AF6026" w:rsidRDefault="00AF6026" w:rsidP="008C5520">
            <w:r>
              <w:t>Changes to cost, availability, and choice of purchased food, affecting diet and health as well as household budgets (++)</w:t>
            </w:r>
          </w:p>
          <w:p w14:paraId="22EFF327" w14:textId="77777777" w:rsidR="00AF6026" w:rsidRDefault="00AF6026" w:rsidP="008C5520"/>
          <w:p w14:paraId="6A4FD544" w14:textId="77777777" w:rsidR="00AF6026" w:rsidRDefault="00AF6026" w:rsidP="008C5520">
            <w:r>
              <w:t>Potential increases in greenhouse gas emissions (-)</w:t>
            </w:r>
          </w:p>
        </w:tc>
      </w:tr>
      <w:tr w:rsidR="00AF6026" w14:paraId="5F14497B" w14:textId="77777777" w:rsidTr="008C5520">
        <w:tc>
          <w:tcPr>
            <w:tcW w:w="1705" w:type="dxa"/>
          </w:tcPr>
          <w:p w14:paraId="32C03B99" w14:textId="77777777" w:rsidR="00AF6026" w:rsidRDefault="00AF6026" w:rsidP="008C5520">
            <w:r>
              <w:t>Energy-Money</w:t>
            </w:r>
          </w:p>
        </w:tc>
        <w:tc>
          <w:tcPr>
            <w:tcW w:w="4390" w:type="dxa"/>
          </w:tcPr>
          <w:p w14:paraId="13BB37EC" w14:textId="77777777" w:rsidR="00AF6026" w:rsidRDefault="00AF6026" w:rsidP="008C5520">
            <w:r>
              <w:t xml:space="preserve">Excess electricity from wind turbines in </w:t>
            </w:r>
            <w:proofErr w:type="spellStart"/>
            <w:r>
              <w:t>Kongiganak</w:t>
            </w:r>
            <w:proofErr w:type="spellEnd"/>
            <w:r>
              <w:t xml:space="preserve"> is used to heat thermal stoves, reducing home heating bills</w:t>
            </w:r>
          </w:p>
        </w:tc>
        <w:tc>
          <w:tcPr>
            <w:tcW w:w="3255" w:type="dxa"/>
          </w:tcPr>
          <w:p w14:paraId="105D1C53" w14:textId="77777777" w:rsidR="00AF6026" w:rsidRDefault="00AF6026" w:rsidP="008C5520">
            <w:r>
              <w:t>Lower costs to residents, allowing more money to be spent elsewhere (+)</w:t>
            </w:r>
          </w:p>
        </w:tc>
      </w:tr>
      <w:tr w:rsidR="00AF6026" w14:paraId="290E1BE2" w14:textId="77777777" w:rsidTr="008C5520">
        <w:tc>
          <w:tcPr>
            <w:tcW w:w="1705" w:type="dxa"/>
          </w:tcPr>
          <w:p w14:paraId="2853EFC4" w14:textId="77777777" w:rsidR="00AF6026" w:rsidRDefault="00AF6026" w:rsidP="008C5520">
            <w:r>
              <w:t>Policy-Energy</w:t>
            </w:r>
          </w:p>
        </w:tc>
        <w:tc>
          <w:tcPr>
            <w:tcW w:w="4390" w:type="dxa"/>
          </w:tcPr>
          <w:p w14:paraId="37220440" w14:textId="77777777" w:rsidR="00AF6026" w:rsidRDefault="00AF6026" w:rsidP="008C5520">
            <w:r>
              <w:t>The Power Cost Equalization (PCE) subsidy reduces the price consumers pay for electricity in rural Alaska, increasing energy security but decreasing incentives to innovate</w:t>
            </w:r>
          </w:p>
        </w:tc>
        <w:tc>
          <w:tcPr>
            <w:tcW w:w="3255" w:type="dxa"/>
          </w:tcPr>
          <w:p w14:paraId="2F09E11F" w14:textId="77777777" w:rsidR="00AF6026" w:rsidRDefault="00AF6026" w:rsidP="008C5520">
            <w:r>
              <w:t>Lower costs to rural ratepayers are a benefit, so long as the program is funded (++), but reduced innovation increases overall costs (-)</w:t>
            </w:r>
          </w:p>
        </w:tc>
      </w:tr>
      <w:tr w:rsidR="00AF6026" w14:paraId="3D381542" w14:textId="77777777" w:rsidTr="008C5520">
        <w:tc>
          <w:tcPr>
            <w:tcW w:w="1705" w:type="dxa"/>
          </w:tcPr>
          <w:p w14:paraId="1D507ABB" w14:textId="77777777" w:rsidR="00AF6026" w:rsidRDefault="00AF6026" w:rsidP="008C5520">
            <w:r>
              <w:t>Governance-Food</w:t>
            </w:r>
          </w:p>
        </w:tc>
        <w:tc>
          <w:tcPr>
            <w:tcW w:w="4390" w:type="dxa"/>
          </w:tcPr>
          <w:p w14:paraId="3381124E" w14:textId="77777777" w:rsidR="00AF6026" w:rsidRDefault="00AF6026" w:rsidP="008C5520">
            <w:r>
              <w:t>Subsistence activities are major food sources in rural Alaska, but regulations on harvests and access reduce opportunities and thus food security in some cases</w:t>
            </w:r>
          </w:p>
        </w:tc>
        <w:tc>
          <w:tcPr>
            <w:tcW w:w="3255" w:type="dxa"/>
          </w:tcPr>
          <w:p w14:paraId="79A800EA" w14:textId="77777777" w:rsidR="00AF6026" w:rsidRDefault="00AF6026" w:rsidP="008C5520">
            <w:r>
              <w:t>Restrictions of food gathering, limiting options and increasing inefficiencies (--)</w:t>
            </w:r>
          </w:p>
        </w:tc>
      </w:tr>
      <w:tr w:rsidR="00AF6026" w14:paraId="6500D3FC" w14:textId="77777777" w:rsidTr="008C5520">
        <w:tc>
          <w:tcPr>
            <w:tcW w:w="1705" w:type="dxa"/>
          </w:tcPr>
          <w:p w14:paraId="2B944F62" w14:textId="77777777" w:rsidR="00AF6026" w:rsidRPr="00E3447D" w:rsidRDefault="00AF6026" w:rsidP="008C5520">
            <w:r w:rsidRPr="00E3447D">
              <w:t>Governance-Water</w:t>
            </w:r>
          </w:p>
        </w:tc>
        <w:tc>
          <w:tcPr>
            <w:tcW w:w="4390" w:type="dxa"/>
          </w:tcPr>
          <w:p w14:paraId="73B6243C" w14:textId="77777777" w:rsidR="00AF6026" w:rsidRPr="00E3447D" w:rsidRDefault="00AF6026" w:rsidP="008C5520">
            <w:r w:rsidRPr="00E3447D">
              <w:t>The Igiugig Village Council subsidizes water treatment with funds from for-profit activities</w:t>
            </w:r>
          </w:p>
        </w:tc>
        <w:tc>
          <w:tcPr>
            <w:tcW w:w="3255" w:type="dxa"/>
          </w:tcPr>
          <w:p w14:paraId="2D99167F" w14:textId="77777777" w:rsidR="00AF6026" w:rsidRPr="00E3447D" w:rsidRDefault="00AF6026" w:rsidP="008C5520">
            <w:r>
              <w:t>Tribal government choices supporting public health, well-being (+)</w:t>
            </w:r>
          </w:p>
        </w:tc>
      </w:tr>
      <w:tr w:rsidR="00AF6026" w14:paraId="37E504A2" w14:textId="77777777" w:rsidTr="008C5520">
        <w:tc>
          <w:tcPr>
            <w:tcW w:w="1705" w:type="dxa"/>
          </w:tcPr>
          <w:p w14:paraId="6BD1602F" w14:textId="77777777" w:rsidR="00AF6026" w:rsidRPr="00E3447D" w:rsidRDefault="00AF6026" w:rsidP="008C5520">
            <w:r>
              <w:t>Governance-Energy</w:t>
            </w:r>
          </w:p>
        </w:tc>
        <w:tc>
          <w:tcPr>
            <w:tcW w:w="4390" w:type="dxa"/>
          </w:tcPr>
          <w:p w14:paraId="5A63CBA8" w14:textId="77777777" w:rsidR="00AF6026" w:rsidRPr="00E3447D" w:rsidRDefault="00AF6026" w:rsidP="008C5520">
            <w:r>
              <w:t>The City of Tanana pays residents to harvest wood for biomass boilers</w:t>
            </w:r>
          </w:p>
        </w:tc>
        <w:tc>
          <w:tcPr>
            <w:tcW w:w="3255" w:type="dxa"/>
          </w:tcPr>
          <w:p w14:paraId="4188CB1E" w14:textId="77777777" w:rsidR="00AF6026" w:rsidRDefault="00AF6026" w:rsidP="008C5520">
            <w:r>
              <w:t>Increased energy security, reduced fossil fuel use, income for residents (+)</w:t>
            </w:r>
          </w:p>
        </w:tc>
      </w:tr>
      <w:tr w:rsidR="00AF6026" w14:paraId="1C018252" w14:textId="77777777" w:rsidTr="008C5520">
        <w:tc>
          <w:tcPr>
            <w:tcW w:w="1705" w:type="dxa"/>
          </w:tcPr>
          <w:p w14:paraId="67EF804F" w14:textId="77777777" w:rsidR="00AF6026" w:rsidRDefault="00AF6026" w:rsidP="008C5520">
            <w:r>
              <w:t>Policy-Food</w:t>
            </w:r>
          </w:p>
        </w:tc>
        <w:tc>
          <w:tcPr>
            <w:tcW w:w="4390" w:type="dxa"/>
          </w:tcPr>
          <w:p w14:paraId="6A1A3F26" w14:textId="77777777" w:rsidR="00AF6026" w:rsidRDefault="00AF6026" w:rsidP="008C5520">
            <w:r>
              <w:t>The U.S. Post Office subsidizes rural mail delivery, providing rural residents with cheap access to mail-order goods including food, thereby increasing food security</w:t>
            </w:r>
          </w:p>
        </w:tc>
        <w:tc>
          <w:tcPr>
            <w:tcW w:w="3255" w:type="dxa"/>
          </w:tcPr>
          <w:p w14:paraId="0BF57697" w14:textId="77777777" w:rsidR="00AF6026" w:rsidRDefault="00AF6026" w:rsidP="008C5520">
            <w:r>
              <w:t>Lower transportation costs benefit rural residents, so long as the subsidy continues (++)</w:t>
            </w:r>
          </w:p>
          <w:p w14:paraId="62D333E7" w14:textId="77777777" w:rsidR="00AF6026" w:rsidRDefault="00AF6026" w:rsidP="008C5520"/>
          <w:p w14:paraId="5B7B15D5" w14:textId="77777777" w:rsidR="00AF6026" w:rsidRDefault="00AF6026" w:rsidP="008C5520">
            <w:r>
              <w:t>Potential increases in greenhouse gas emissions (-)</w:t>
            </w:r>
          </w:p>
        </w:tc>
      </w:tr>
    </w:tbl>
    <w:p w14:paraId="00F13386" w14:textId="1AF5A313" w:rsidR="00AF6026" w:rsidRDefault="00AF6026" w:rsidP="00AF6026">
      <w:pPr>
        <w:spacing w:line="360" w:lineRule="auto"/>
      </w:pPr>
    </w:p>
    <w:p w14:paraId="5C7DBFDB" w14:textId="77777777" w:rsidR="00AF6026" w:rsidRDefault="00AF6026" w:rsidP="00AF6026">
      <w:pPr>
        <w:spacing w:line="360" w:lineRule="auto"/>
      </w:pPr>
    </w:p>
    <w:bookmarkEnd w:id="4"/>
    <w:p w14:paraId="02D2F200" w14:textId="77777777" w:rsidR="00AF6026" w:rsidRDefault="00AF6026" w:rsidP="00AF6026">
      <w:pPr>
        <w:spacing w:line="360" w:lineRule="auto"/>
      </w:pPr>
      <w:r w:rsidRPr="00F628FA">
        <w:rPr>
          <w:i/>
          <w:iCs/>
        </w:rPr>
        <w:lastRenderedPageBreak/>
        <w:t>Figure 3. Pathways to FEW outcomes in rural Alaska, showing the influence of governance on transportation options and thus on food security, sustainability, and resilience.</w:t>
      </w:r>
    </w:p>
    <w:p w14:paraId="719A9455" w14:textId="77777777" w:rsidR="00AF6026" w:rsidRPr="00F628FA" w:rsidRDefault="00AF6026" w:rsidP="00AF6026">
      <w:pPr>
        <w:spacing w:line="360" w:lineRule="auto"/>
        <w:rPr>
          <w:color w:val="FF0000"/>
        </w:rPr>
      </w:pPr>
      <w:r w:rsidRPr="00BC356A">
        <w:rPr>
          <w:noProof/>
          <w:color w:val="FF0000"/>
        </w:rPr>
        <w:drawing>
          <wp:inline distT="0" distB="0" distL="0" distR="0" wp14:anchorId="523972C5" wp14:editId="00F4E416">
            <wp:extent cx="5943600" cy="288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82900"/>
                    </a:xfrm>
                    <a:prstGeom prst="rect">
                      <a:avLst/>
                    </a:prstGeom>
                    <a:noFill/>
                    <a:ln>
                      <a:noFill/>
                    </a:ln>
                  </pic:spPr>
                </pic:pic>
              </a:graphicData>
            </a:graphic>
          </wp:inline>
        </w:drawing>
      </w:r>
    </w:p>
    <w:p w14:paraId="1C2266CA" w14:textId="77777777" w:rsidR="00151912" w:rsidRPr="00F628FA" w:rsidRDefault="00151912" w:rsidP="00BC00CE">
      <w:pPr>
        <w:spacing w:line="360" w:lineRule="auto"/>
      </w:pPr>
    </w:p>
    <w:p w14:paraId="424A925C" w14:textId="29DBA1AB" w:rsidR="000100D9" w:rsidRPr="0053081E" w:rsidRDefault="00820D0C" w:rsidP="00BC00CE">
      <w:pPr>
        <w:spacing w:line="360" w:lineRule="auto"/>
        <w:rPr>
          <w:u w:val="single"/>
        </w:rPr>
      </w:pPr>
      <w:r>
        <w:rPr>
          <w:u w:val="single"/>
        </w:rPr>
        <w:t>Applying</w:t>
      </w:r>
      <w:r w:rsidR="0090387D">
        <w:rPr>
          <w:u w:val="single"/>
        </w:rPr>
        <w:t xml:space="preserve"> the FEW nexus</w:t>
      </w:r>
      <w:r>
        <w:rPr>
          <w:u w:val="single"/>
        </w:rPr>
        <w:t xml:space="preserve"> in practice</w:t>
      </w:r>
    </w:p>
    <w:p w14:paraId="5B8E9DFD" w14:textId="603BA44F" w:rsidR="0049208C" w:rsidRDefault="00E254C7" w:rsidP="00BC00CE">
      <w:pPr>
        <w:spacing w:line="360" w:lineRule="auto"/>
      </w:pPr>
      <w:r>
        <w:t xml:space="preserve">The FEW nexus is a useful spur to thinking beyond the limits of typical disciplinary, agency, and practitioner domains </w:t>
      </w:r>
      <w:bookmarkStart w:id="5" w:name="_Hlk39129869"/>
      <w:r>
        <w:t>(</w:t>
      </w:r>
      <w:r w:rsidR="00D869DB">
        <w:t>8</w:t>
      </w:r>
      <w:r>
        <w:t xml:space="preserve">). </w:t>
      </w:r>
      <w:r w:rsidR="00985908">
        <w:t>However, p</w:t>
      </w:r>
      <w:r w:rsidRPr="00227094">
        <w:t xml:space="preserve">lacing </w:t>
      </w:r>
      <w:r w:rsidR="0065579B" w:rsidRPr="00227094">
        <w:t xml:space="preserve">the connections among </w:t>
      </w:r>
      <w:r w:rsidRPr="00227094">
        <w:t xml:space="preserve">food, energy, and water at the center of </w:t>
      </w:r>
      <w:r w:rsidR="00151912" w:rsidRPr="00227094">
        <w:t>the</w:t>
      </w:r>
      <w:r w:rsidRPr="00227094">
        <w:t xml:space="preserve"> system (</w:t>
      </w:r>
      <w:r w:rsidR="00D869DB">
        <w:t>2,3,17</w:t>
      </w:r>
      <w:r w:rsidRPr="00227094">
        <w:t xml:space="preserve">) </w:t>
      </w:r>
      <w:bookmarkEnd w:id="5"/>
      <w:r w:rsidR="0065579B" w:rsidRPr="00227094">
        <w:t xml:space="preserve">may imply that such connections are central to understanding community well-being, </w:t>
      </w:r>
      <w:r w:rsidR="008809FE">
        <w:t xml:space="preserve">when in fact other parts of the system </w:t>
      </w:r>
      <w:r w:rsidR="00C161E9">
        <w:t>may be</w:t>
      </w:r>
      <w:r w:rsidR="008809FE">
        <w:t xml:space="preserve"> the strongest drivers and determinants </w:t>
      </w:r>
      <w:r w:rsidR="002227A9">
        <w:t>(</w:t>
      </w:r>
      <w:r w:rsidR="00D869DB">
        <w:t>19,39</w:t>
      </w:r>
      <w:r w:rsidR="002227A9">
        <w:t>)</w:t>
      </w:r>
      <w:r w:rsidR="0065579B" w:rsidRPr="00227094">
        <w:t>.</w:t>
      </w:r>
      <w:r w:rsidRPr="00227094">
        <w:t xml:space="preserve"> </w:t>
      </w:r>
      <w:r w:rsidR="00C05358">
        <w:t>To that point, a</w:t>
      </w:r>
      <w:r w:rsidR="00151912" w:rsidRPr="00227094">
        <w:t xml:space="preserve">t the scales </w:t>
      </w:r>
      <w:r w:rsidR="0065579B" w:rsidRPr="00227094">
        <w:t>of the</w:t>
      </w:r>
      <w:r w:rsidR="00151912" w:rsidRPr="00227094">
        <w:t xml:space="preserve"> rural settings </w:t>
      </w:r>
      <w:r w:rsidR="0065579B" w:rsidRPr="00227094">
        <w:t>we examined</w:t>
      </w:r>
      <w:r w:rsidR="00151912" w:rsidRPr="00227094">
        <w:t>,</w:t>
      </w:r>
      <w:r w:rsidR="00227094" w:rsidRPr="00227094">
        <w:t xml:space="preserve"> the role of</w:t>
      </w:r>
      <w:r w:rsidR="00151912" w:rsidRPr="00227094">
        <w:t xml:space="preserve"> other factors such as transportation </w:t>
      </w:r>
      <w:r w:rsidR="0065579B" w:rsidRPr="00227094">
        <w:t xml:space="preserve">and governance </w:t>
      </w:r>
      <w:r w:rsidR="00227094" w:rsidRPr="00227094">
        <w:t>require as much or more attention</w:t>
      </w:r>
      <w:r w:rsidR="00151912" w:rsidRPr="00227094">
        <w:t>.</w:t>
      </w:r>
      <w:r w:rsidR="00227094">
        <w:t xml:space="preserve"> </w:t>
      </w:r>
      <w:r w:rsidR="00C05358">
        <w:t>However, q</w:t>
      </w:r>
      <w:r w:rsidR="00985908">
        <w:t>uantifying those factors</w:t>
      </w:r>
      <w:r w:rsidR="00C05358">
        <w:t xml:space="preserve"> </w:t>
      </w:r>
      <w:r w:rsidR="00985908">
        <w:t>to create a systematic model was impractical given limitations on available data and time.</w:t>
      </w:r>
    </w:p>
    <w:p w14:paraId="131C5DE7" w14:textId="77777777" w:rsidR="00151912" w:rsidRDefault="00151912" w:rsidP="00BC00CE">
      <w:pPr>
        <w:spacing w:line="360" w:lineRule="auto"/>
      </w:pPr>
    </w:p>
    <w:p w14:paraId="604A10B1" w14:textId="38680960" w:rsidR="00D816D4" w:rsidRDefault="000100D9" w:rsidP="00BC00CE">
      <w:pPr>
        <w:spacing w:line="360" w:lineRule="auto"/>
      </w:pPr>
      <w:r w:rsidRPr="008B1977">
        <w:t xml:space="preserve">Our </w:t>
      </w:r>
      <w:r w:rsidR="00A2184A" w:rsidRPr="008B1977">
        <w:t>investigation</w:t>
      </w:r>
      <w:r w:rsidRPr="008B1977">
        <w:t xml:space="preserve"> of the </w:t>
      </w:r>
      <w:r w:rsidR="00B30183" w:rsidRPr="008B1977">
        <w:t>FEW</w:t>
      </w:r>
      <w:r w:rsidRPr="008B1977">
        <w:t xml:space="preserve"> systems in rural Alaska </w:t>
      </w:r>
      <w:r w:rsidR="00A2184A" w:rsidRPr="008B1977">
        <w:t>identified many connections</w:t>
      </w:r>
      <w:r w:rsidR="0013606E" w:rsidRPr="008B1977">
        <w:t xml:space="preserve"> and couplings</w:t>
      </w:r>
      <w:r w:rsidR="00A2184A">
        <w:t xml:space="preserve"> among the structures and processes that provide these necessities of life to rural residents. </w:t>
      </w:r>
      <w:r w:rsidR="00227094">
        <w:t>The nature and extent of these connections suggest</w:t>
      </w:r>
      <w:r>
        <w:t xml:space="preserve"> that cross-domain thinking is essential for getting the most out of policies and practices designed to improve well-being. </w:t>
      </w:r>
      <w:r w:rsidRPr="00227094">
        <w:t xml:space="preserve">Sometimes, such thinking </w:t>
      </w:r>
      <w:r w:rsidR="00227094">
        <w:t>involves</w:t>
      </w:r>
      <w:r w:rsidRPr="00227094">
        <w:t xml:space="preserve"> two or </w:t>
      </w:r>
      <w:r w:rsidR="00D4627E" w:rsidRPr="00227094">
        <w:t>all</w:t>
      </w:r>
      <w:r w:rsidRPr="00227094">
        <w:t xml:space="preserve"> three</w:t>
      </w:r>
      <w:r w:rsidR="00843CCA">
        <w:t xml:space="preserve"> of the</w:t>
      </w:r>
      <w:r w:rsidRPr="00227094">
        <w:t xml:space="preserve"> components </w:t>
      </w:r>
      <w:r w:rsidR="00843CCA">
        <w:t>in</w:t>
      </w:r>
      <w:r w:rsidRPr="00227094">
        <w:t xml:space="preserve"> the FEW nexus. Oftentimes, however, other </w:t>
      </w:r>
      <w:r w:rsidR="00227094">
        <w:t>influences</w:t>
      </w:r>
      <w:r w:rsidRPr="00227094">
        <w:t xml:space="preserve"> such as transportation, </w:t>
      </w:r>
      <w:r w:rsidR="00536A5F" w:rsidRPr="00227094">
        <w:t>policy, and governance</w:t>
      </w:r>
      <w:r w:rsidRPr="00227094">
        <w:t xml:space="preserve"> may </w:t>
      </w:r>
      <w:r w:rsidR="00227094">
        <w:t xml:space="preserve">play a major role in determining security within only one of the FEW domains. While the FEW nexus as a concept includes such </w:t>
      </w:r>
      <w:r w:rsidR="00227094">
        <w:lastRenderedPageBreak/>
        <w:t xml:space="preserve">relationships, the </w:t>
      </w:r>
      <w:r w:rsidR="004162A4">
        <w:t xml:space="preserve">system </w:t>
      </w:r>
      <w:r w:rsidR="0072079A">
        <w:t xml:space="preserve">in practice </w:t>
      </w:r>
      <w:r w:rsidR="004162A4">
        <w:t xml:space="preserve">is </w:t>
      </w:r>
      <w:r w:rsidR="0072079A">
        <w:t xml:space="preserve">more </w:t>
      </w:r>
      <w:r w:rsidR="004162A4">
        <w:t xml:space="preserve">complicated and </w:t>
      </w:r>
      <w:r w:rsidR="00227094">
        <w:t xml:space="preserve">complex, </w:t>
      </w:r>
      <w:r w:rsidR="004162A4">
        <w:t>with</w:t>
      </w:r>
      <w:r w:rsidR="00227094">
        <w:t xml:space="preserve"> </w:t>
      </w:r>
      <w:r w:rsidR="004162A4">
        <w:t xml:space="preserve">varying roles </w:t>
      </w:r>
      <w:r w:rsidR="00227094">
        <w:t>from one case to another, and shifting configurations over time</w:t>
      </w:r>
      <w:r w:rsidR="004162A4">
        <w:t>. These characteristics</w:t>
      </w:r>
      <w:r w:rsidR="00227094">
        <w:t xml:space="preserve"> make it difficult </w:t>
      </w:r>
      <w:r w:rsidR="008B1977">
        <w:t xml:space="preserve">or impractical </w:t>
      </w:r>
      <w:r w:rsidR="00227094">
        <w:t xml:space="preserve">to achieve a general model </w:t>
      </w:r>
      <w:r w:rsidR="008B1977">
        <w:t xml:space="preserve">at the local scale </w:t>
      </w:r>
      <w:r w:rsidR="00227094">
        <w:t>that is simple enough to populate with data</w:t>
      </w:r>
      <w:r w:rsidR="00CE6D02">
        <w:t xml:space="preserve"> and </w:t>
      </w:r>
      <w:r w:rsidR="004162A4">
        <w:t xml:space="preserve">to </w:t>
      </w:r>
      <w:r w:rsidR="00CE6D02">
        <w:t>use,</w:t>
      </w:r>
      <w:r w:rsidR="00227094">
        <w:t xml:space="preserve"> and detailed enough to provide a reasonably accurate picture of what actually occurs</w:t>
      </w:r>
      <w:r w:rsidR="005A13F1">
        <w:t xml:space="preserve"> (</w:t>
      </w:r>
      <w:r w:rsidR="00D869DB">
        <w:t>16</w:t>
      </w:r>
      <w:r w:rsidR="005A13F1">
        <w:t>)</w:t>
      </w:r>
      <w:r w:rsidRPr="00227094">
        <w:t>.</w:t>
      </w:r>
      <w:r>
        <w:t xml:space="preserve"> </w:t>
      </w:r>
    </w:p>
    <w:p w14:paraId="7CF0C430" w14:textId="77777777" w:rsidR="00D816D4" w:rsidRDefault="00D816D4" w:rsidP="00D816D4">
      <w:pPr>
        <w:spacing w:line="360" w:lineRule="auto"/>
      </w:pPr>
    </w:p>
    <w:p w14:paraId="270F52B2" w14:textId="7E89E016" w:rsidR="00306601" w:rsidRDefault="00227094" w:rsidP="00BC00CE">
      <w:pPr>
        <w:spacing w:line="360" w:lineRule="auto"/>
      </w:pPr>
      <w:r w:rsidRPr="00227094">
        <w:t>A</w:t>
      </w:r>
      <w:r>
        <w:t>s a</w:t>
      </w:r>
      <w:r w:rsidRPr="00227094">
        <w:t>n example</w:t>
      </w:r>
      <w:r>
        <w:t xml:space="preserve">, consider the </w:t>
      </w:r>
      <w:r w:rsidR="00306601">
        <w:t xml:space="preserve">role of money as a means of comparing the costs and benefits of different courses of action. Renewable energy may produce savings to households, communities, and regions. Those savings could be invested in additional measures to promote FEW security, </w:t>
      </w:r>
      <w:r w:rsidR="00985908">
        <w:t>e.g.,</w:t>
      </w:r>
      <w:r w:rsidR="00306601">
        <w:t xml:space="preserve"> heating greenhouses to provide more locally grown food or simply purchasing better quality food. But the saved money could also be used for many other purposes, such as upgrading one’s mobile phone service or visiting relatives in another place. A </w:t>
      </w:r>
      <w:r w:rsidR="000862D7">
        <w:t xml:space="preserve">city or </w:t>
      </w:r>
      <w:r w:rsidR="005413FC">
        <w:t>t</w:t>
      </w:r>
      <w:r w:rsidR="000862D7">
        <w:t>ribal council</w:t>
      </w:r>
      <w:r w:rsidR="00306601">
        <w:t xml:space="preserve"> might invest </w:t>
      </w:r>
      <w:r w:rsidR="004162A4">
        <w:t xml:space="preserve">in improved water treatment and distribution, or instead </w:t>
      </w:r>
      <w:r w:rsidR="00306601">
        <w:t xml:space="preserve">in a </w:t>
      </w:r>
      <w:r w:rsidR="000862D7">
        <w:t>community</w:t>
      </w:r>
      <w:r w:rsidR="00306601">
        <w:t xml:space="preserve"> center. </w:t>
      </w:r>
      <w:r w:rsidR="005413FC">
        <w:t>Decision makers</w:t>
      </w:r>
      <w:r w:rsidR="004162A4">
        <w:t xml:space="preserve"> are</w:t>
      </w:r>
      <w:r w:rsidR="00306601">
        <w:t xml:space="preserve"> likely to consider</w:t>
      </w:r>
      <w:r w:rsidR="004162A4">
        <w:t xml:space="preserve"> their preferred outcome as</w:t>
      </w:r>
      <w:r w:rsidR="00306601">
        <w:t xml:space="preserve"> </w:t>
      </w:r>
      <w:r w:rsidR="004162A4">
        <w:t xml:space="preserve">an </w:t>
      </w:r>
      <w:r w:rsidR="00306601">
        <w:t xml:space="preserve">improvement to well-being, but </w:t>
      </w:r>
      <w:r w:rsidR="004162A4">
        <w:t>the particular choice will</w:t>
      </w:r>
      <w:r w:rsidR="00306601">
        <w:t xml:space="preserve"> vary from person to person, </w:t>
      </w:r>
      <w:r w:rsidR="00843CCA">
        <w:t xml:space="preserve">community </w:t>
      </w:r>
      <w:r w:rsidR="00306601">
        <w:t xml:space="preserve">to </w:t>
      </w:r>
      <w:r w:rsidR="00843CCA">
        <w:t>community</w:t>
      </w:r>
      <w:r w:rsidR="00306601">
        <w:t>, and time to time.</w:t>
      </w:r>
      <w:r w:rsidR="00CE6D02">
        <w:t xml:space="preserve"> Thus, </w:t>
      </w:r>
      <w:r w:rsidR="004162A4">
        <w:t>it is difficult or impossible to predict</w:t>
      </w:r>
      <w:r w:rsidR="00CE6D02">
        <w:t xml:space="preserve"> </w:t>
      </w:r>
      <w:r w:rsidR="00175551">
        <w:t xml:space="preserve">how people will use the </w:t>
      </w:r>
      <w:r w:rsidR="00CE6D02">
        <w:t xml:space="preserve">benefits from renewable energy </w:t>
      </w:r>
      <w:r w:rsidR="004162A4">
        <w:t>and whether those benefits are to be found within the FEW domains or elsewhere</w:t>
      </w:r>
      <w:r w:rsidR="00820D0C">
        <w:t xml:space="preserve">. </w:t>
      </w:r>
    </w:p>
    <w:p w14:paraId="4F8B199B" w14:textId="77777777" w:rsidR="00306601" w:rsidRDefault="00306601" w:rsidP="00BC00CE">
      <w:pPr>
        <w:spacing w:line="360" w:lineRule="auto"/>
      </w:pPr>
    </w:p>
    <w:p w14:paraId="121AC676" w14:textId="58AFA059" w:rsidR="006B0BED" w:rsidRDefault="00306601" w:rsidP="007E5A00">
      <w:pPr>
        <w:spacing w:line="360" w:lineRule="auto"/>
      </w:pPr>
      <w:r>
        <w:t xml:space="preserve">Furthermore, </w:t>
      </w:r>
      <w:r w:rsidR="000100D9" w:rsidRPr="00227094">
        <w:t>savings may not accrue locally</w:t>
      </w:r>
      <w:r>
        <w:t>, creating multi-scale interactions</w:t>
      </w:r>
      <w:r w:rsidR="002227A9">
        <w:t xml:space="preserve"> (</w:t>
      </w:r>
      <w:r w:rsidR="00D869DB">
        <w:t>19</w:t>
      </w:r>
      <w:r w:rsidR="002227A9">
        <w:t>)</w:t>
      </w:r>
      <w:r w:rsidR="004F64A6" w:rsidRPr="00227094">
        <w:t xml:space="preserve">. </w:t>
      </w:r>
      <w:r w:rsidR="00C922A7" w:rsidRPr="00227094">
        <w:t>I</w:t>
      </w:r>
      <w:r w:rsidR="000100D9" w:rsidRPr="00227094">
        <w:t xml:space="preserve">f electricity is subsidized, </w:t>
      </w:r>
      <w:r w:rsidR="00820D0C">
        <w:t>as is the case through Alaska’s PCE program</w:t>
      </w:r>
      <w:r w:rsidR="00C922A7" w:rsidRPr="00227094">
        <w:t xml:space="preserve">, </w:t>
      </w:r>
      <w:r w:rsidR="000100D9" w:rsidRPr="00227094">
        <w:t xml:space="preserve">reductions in cost </w:t>
      </w:r>
      <w:r>
        <w:t xml:space="preserve">from renewable energy </w:t>
      </w:r>
      <w:r w:rsidR="000100D9" w:rsidRPr="00227094">
        <w:t>may simply reduce the subsidy without affecting local prices.</w:t>
      </w:r>
      <w:r w:rsidR="00C922A7" w:rsidRPr="00227094">
        <w:t xml:space="preserve"> </w:t>
      </w:r>
      <w:r w:rsidR="006B0BED" w:rsidRPr="00227094">
        <w:t>The geographic and institutional scale of the nexus may thu</w:t>
      </w:r>
      <w:r w:rsidR="006B0BED">
        <w:t>s be an important consideration; however, as the nexus becomes larger and more complex</w:t>
      </w:r>
      <w:r w:rsidR="006B0BED" w:rsidRPr="00227094">
        <w:t>,</w:t>
      </w:r>
      <w:r w:rsidR="006B0BED">
        <w:t xml:space="preserve"> </w:t>
      </w:r>
      <w:r w:rsidR="004162A4">
        <w:t>a systematic</w:t>
      </w:r>
      <w:r w:rsidR="006B0BED">
        <w:t xml:space="preserve"> model or even a heuristic approach must account for additional factors that may</w:t>
      </w:r>
      <w:r w:rsidR="006B0BED" w:rsidRPr="00227094">
        <w:t xml:space="preserve"> </w:t>
      </w:r>
      <w:r w:rsidR="006B0BED">
        <w:t>steer</w:t>
      </w:r>
      <w:r w:rsidR="006B0BED" w:rsidRPr="00227094">
        <w:t xml:space="preserve"> </w:t>
      </w:r>
      <w:r w:rsidR="006B0BED">
        <w:t>the overall supply system</w:t>
      </w:r>
      <w:r w:rsidR="006B0BED" w:rsidRPr="00227094">
        <w:t xml:space="preserve"> </w:t>
      </w:r>
      <w:r w:rsidR="006B0BED">
        <w:t>further from</w:t>
      </w:r>
      <w:r w:rsidR="006B0BED" w:rsidRPr="00227094">
        <w:t xml:space="preserve"> local influenc</w:t>
      </w:r>
      <w:r w:rsidR="006B0BED">
        <w:t>e</w:t>
      </w:r>
    </w:p>
    <w:p w14:paraId="777409B3" w14:textId="77777777" w:rsidR="00037869" w:rsidRDefault="00037869" w:rsidP="007E5A00">
      <w:pPr>
        <w:spacing w:line="360" w:lineRule="auto"/>
      </w:pPr>
    </w:p>
    <w:p w14:paraId="6C888D34" w14:textId="36AECC78" w:rsidR="004162A4" w:rsidRDefault="004162A4" w:rsidP="004162A4">
      <w:pPr>
        <w:spacing w:line="360" w:lineRule="auto"/>
      </w:pPr>
      <w:r>
        <w:t xml:space="preserve">It is also important to note that nexus conditions are likely to vary through time, as relative scarcity changes. During winter in Alaska, when rivers are frozen and water flow is low, competing demands may be more significant than at times when water levels are high. Modest demand for hydroelectric power may not threaten salmon runs, but longer-term, large-scale projects may force a choice between energy and food. Transportation systems that function </w:t>
      </w:r>
      <w:r>
        <w:lastRenderedPageBreak/>
        <w:t xml:space="preserve">smoothly may be taken for granted, until they are interrupted, potentially harming FEW </w:t>
      </w:r>
      <w:r w:rsidRPr="00037869">
        <w:t>security</w:t>
      </w:r>
      <w:r>
        <w:t>, or forcing choices to be made among these and other components of community well-being. Thus, any nexus approach should be dynamic through time (</w:t>
      </w:r>
      <w:r w:rsidR="00D869DB">
        <w:t>10</w:t>
      </w:r>
      <w:r>
        <w:t xml:space="preserve">), recognizing that the constraints on the system are unlikely to remain constant. </w:t>
      </w:r>
    </w:p>
    <w:p w14:paraId="4D9E01D8" w14:textId="77777777" w:rsidR="004162A4" w:rsidRDefault="004162A4" w:rsidP="004162A4">
      <w:pPr>
        <w:spacing w:line="360" w:lineRule="auto"/>
      </w:pPr>
    </w:p>
    <w:p w14:paraId="7BDEBBC4" w14:textId="0532B34E" w:rsidR="00037869" w:rsidRDefault="00037869" w:rsidP="007E5A00">
      <w:pPr>
        <w:spacing w:line="360" w:lineRule="auto"/>
        <w:rPr>
          <w:color w:val="000000" w:themeColor="text1"/>
        </w:rPr>
      </w:pPr>
      <w:r>
        <w:rPr>
          <w:color w:val="000000" w:themeColor="text1"/>
        </w:rPr>
        <w:t>When we discussed our original idea of developing a</w:t>
      </w:r>
      <w:r w:rsidR="00C161E9">
        <w:rPr>
          <w:color w:val="000000" w:themeColor="text1"/>
        </w:rPr>
        <w:t xml:space="preserve"> systematic </w:t>
      </w:r>
      <w:r>
        <w:rPr>
          <w:color w:val="000000" w:themeColor="text1"/>
        </w:rPr>
        <w:t xml:space="preserve">synthesis model of FEW security </w:t>
      </w:r>
      <w:r w:rsidR="00820D0C">
        <w:rPr>
          <w:color w:val="000000" w:themeColor="text1"/>
        </w:rPr>
        <w:t>with</w:t>
      </w:r>
      <w:r>
        <w:rPr>
          <w:color w:val="000000" w:themeColor="text1"/>
        </w:rPr>
        <w:t xml:space="preserve"> our partner communities, local leaders</w:t>
      </w:r>
      <w:r w:rsidRPr="00507557">
        <w:rPr>
          <w:color w:val="000000" w:themeColor="text1"/>
        </w:rPr>
        <w:t xml:space="preserve"> made it clear that information about renewable energy options </w:t>
      </w:r>
      <w:r>
        <w:rPr>
          <w:color w:val="000000" w:themeColor="text1"/>
        </w:rPr>
        <w:t xml:space="preserve">and the potential for tradeoffs and mutual gains </w:t>
      </w:r>
      <w:r w:rsidRPr="00507557">
        <w:rPr>
          <w:color w:val="000000" w:themeColor="text1"/>
        </w:rPr>
        <w:t xml:space="preserve">would be </w:t>
      </w:r>
      <w:r>
        <w:rPr>
          <w:color w:val="000000" w:themeColor="text1"/>
        </w:rPr>
        <w:t xml:space="preserve">far </w:t>
      </w:r>
      <w:r w:rsidRPr="00507557">
        <w:rPr>
          <w:color w:val="000000" w:themeColor="text1"/>
        </w:rPr>
        <w:t>more useful</w:t>
      </w:r>
      <w:r>
        <w:rPr>
          <w:color w:val="000000" w:themeColor="text1"/>
        </w:rPr>
        <w:t>. In the complex and complicated community context</w:t>
      </w:r>
      <w:r w:rsidRPr="00507557">
        <w:rPr>
          <w:color w:val="000000" w:themeColor="text1"/>
        </w:rPr>
        <w:t>,</w:t>
      </w:r>
      <w:r>
        <w:rPr>
          <w:color w:val="000000" w:themeColor="text1"/>
        </w:rPr>
        <w:t xml:space="preserve"> </w:t>
      </w:r>
      <w:r w:rsidR="004162A4">
        <w:rPr>
          <w:color w:val="000000" w:themeColor="text1"/>
        </w:rPr>
        <w:t>local leaders</w:t>
      </w:r>
      <w:r w:rsidRPr="00507557">
        <w:rPr>
          <w:color w:val="000000" w:themeColor="text1"/>
        </w:rPr>
        <w:t xml:space="preserve"> would be </w:t>
      </w:r>
      <w:r>
        <w:rPr>
          <w:color w:val="000000" w:themeColor="text1"/>
        </w:rPr>
        <w:t xml:space="preserve">far </w:t>
      </w:r>
      <w:r w:rsidRPr="00507557">
        <w:rPr>
          <w:color w:val="000000" w:themeColor="text1"/>
        </w:rPr>
        <w:t xml:space="preserve">better able </w:t>
      </w:r>
      <w:r>
        <w:rPr>
          <w:color w:val="000000" w:themeColor="text1"/>
        </w:rPr>
        <w:t xml:space="preserve">than </w:t>
      </w:r>
      <w:r w:rsidR="004162A4">
        <w:rPr>
          <w:color w:val="000000" w:themeColor="text1"/>
        </w:rPr>
        <w:t>visiting researchers</w:t>
      </w:r>
      <w:r>
        <w:rPr>
          <w:color w:val="000000" w:themeColor="text1"/>
        </w:rPr>
        <w:t xml:space="preserve"> </w:t>
      </w:r>
      <w:r w:rsidRPr="00507557">
        <w:rPr>
          <w:color w:val="000000" w:themeColor="text1"/>
        </w:rPr>
        <w:t xml:space="preserve">to </w:t>
      </w:r>
      <w:r>
        <w:rPr>
          <w:color w:val="000000" w:themeColor="text1"/>
        </w:rPr>
        <w:t xml:space="preserve">understand the implications of renewable energy and FEW couplings in terms </w:t>
      </w:r>
      <w:r w:rsidR="00175551">
        <w:rPr>
          <w:color w:val="000000" w:themeColor="text1"/>
        </w:rPr>
        <w:t xml:space="preserve">of </w:t>
      </w:r>
      <w:r>
        <w:rPr>
          <w:color w:val="000000" w:themeColor="text1"/>
        </w:rPr>
        <w:t>sustainability and resilience, as well as the prospects for local support for or opposition to alterations to FEW systems</w:t>
      </w:r>
      <w:r w:rsidRPr="00507557">
        <w:rPr>
          <w:color w:val="000000" w:themeColor="text1"/>
        </w:rPr>
        <w:t>.</w:t>
      </w:r>
      <w:r>
        <w:rPr>
          <w:color w:val="000000" w:themeColor="text1"/>
        </w:rPr>
        <w:t xml:space="preserve"> Any model we produced would likely fall far short of capturing what was important locally, whereas exploring the potential for previously unrecognized tradeoffs and mutual gains across domains would be a useful contribution to local</w:t>
      </w:r>
      <w:r w:rsidR="004162A4">
        <w:rPr>
          <w:color w:val="000000" w:themeColor="text1"/>
        </w:rPr>
        <w:t>ly led</w:t>
      </w:r>
      <w:r>
        <w:rPr>
          <w:color w:val="000000" w:themeColor="text1"/>
        </w:rPr>
        <w:t xml:space="preserve"> </w:t>
      </w:r>
      <w:r w:rsidR="004162A4">
        <w:rPr>
          <w:color w:val="000000" w:themeColor="text1"/>
        </w:rPr>
        <w:t xml:space="preserve">efforts to improve </w:t>
      </w:r>
      <w:r>
        <w:rPr>
          <w:color w:val="000000" w:themeColor="text1"/>
        </w:rPr>
        <w:t>sustainability and resilience.</w:t>
      </w:r>
      <w:r w:rsidR="00184F6C">
        <w:rPr>
          <w:color w:val="000000" w:themeColor="text1"/>
        </w:rPr>
        <w:t xml:space="preserve"> In Figure 4, we show a cycle of </w:t>
      </w:r>
      <w:r w:rsidR="00D834C8">
        <w:rPr>
          <w:color w:val="000000" w:themeColor="text1"/>
        </w:rPr>
        <w:t xml:space="preserve">this type of </w:t>
      </w:r>
      <w:r w:rsidR="00184F6C">
        <w:rPr>
          <w:color w:val="000000" w:themeColor="text1"/>
        </w:rPr>
        <w:t xml:space="preserve">FEW nexus thinking </w:t>
      </w:r>
      <w:r w:rsidR="00D834C8">
        <w:rPr>
          <w:color w:val="000000" w:themeColor="text1"/>
        </w:rPr>
        <w:t>for use at local scales</w:t>
      </w:r>
      <w:r w:rsidR="0072079A">
        <w:rPr>
          <w:color w:val="000000" w:themeColor="text1"/>
        </w:rPr>
        <w:t>, illustrating the questions that may be asked at each step</w:t>
      </w:r>
      <w:r w:rsidR="00D834C8">
        <w:rPr>
          <w:color w:val="000000" w:themeColor="text1"/>
        </w:rPr>
        <w:t>.</w:t>
      </w:r>
      <w:r w:rsidR="0072079A">
        <w:rPr>
          <w:color w:val="000000" w:themeColor="text1"/>
        </w:rPr>
        <w:t xml:space="preserve"> Data are unlikely to be available for all components and relationships, but the understanding of community leaders and other experts may be sufficient to achieve some of the benefits of FEW nexus thinking.</w:t>
      </w:r>
    </w:p>
    <w:p w14:paraId="7222D8C1" w14:textId="413A495F" w:rsidR="00184F6C" w:rsidRDefault="00184F6C" w:rsidP="007E5A00">
      <w:pPr>
        <w:spacing w:line="360" w:lineRule="auto"/>
        <w:rPr>
          <w:color w:val="000000" w:themeColor="text1"/>
        </w:rPr>
      </w:pPr>
    </w:p>
    <w:p w14:paraId="1556452B" w14:textId="77777777" w:rsidR="00AF6026" w:rsidRDefault="00AF6026" w:rsidP="00AF6026">
      <w:pPr>
        <w:spacing w:line="360" w:lineRule="auto"/>
        <w:rPr>
          <w:i/>
          <w:iCs/>
        </w:rPr>
      </w:pPr>
    </w:p>
    <w:p w14:paraId="12EE8C06" w14:textId="77777777" w:rsidR="00AF6026" w:rsidRDefault="00AF6026" w:rsidP="00AF6026">
      <w:pPr>
        <w:spacing w:line="360" w:lineRule="auto"/>
        <w:rPr>
          <w:i/>
          <w:iCs/>
        </w:rPr>
      </w:pPr>
    </w:p>
    <w:p w14:paraId="20BC82B7" w14:textId="77777777" w:rsidR="00AF6026" w:rsidRDefault="00AF6026" w:rsidP="00AF6026">
      <w:pPr>
        <w:spacing w:line="360" w:lineRule="auto"/>
        <w:rPr>
          <w:i/>
          <w:iCs/>
        </w:rPr>
      </w:pPr>
    </w:p>
    <w:p w14:paraId="0D4807EF" w14:textId="77777777" w:rsidR="00AF6026" w:rsidRDefault="00AF6026" w:rsidP="00AF6026">
      <w:pPr>
        <w:spacing w:line="360" w:lineRule="auto"/>
        <w:rPr>
          <w:i/>
          <w:iCs/>
        </w:rPr>
      </w:pPr>
    </w:p>
    <w:p w14:paraId="0EA9E357" w14:textId="77777777" w:rsidR="00AF6026" w:rsidRDefault="00AF6026" w:rsidP="00AF6026">
      <w:pPr>
        <w:spacing w:line="360" w:lineRule="auto"/>
        <w:rPr>
          <w:i/>
          <w:iCs/>
        </w:rPr>
      </w:pPr>
    </w:p>
    <w:p w14:paraId="648972E9" w14:textId="77777777" w:rsidR="00AF6026" w:rsidRDefault="00AF6026" w:rsidP="00AF6026">
      <w:pPr>
        <w:spacing w:line="360" w:lineRule="auto"/>
        <w:rPr>
          <w:i/>
          <w:iCs/>
        </w:rPr>
      </w:pPr>
    </w:p>
    <w:p w14:paraId="2A376D7A" w14:textId="77777777" w:rsidR="00AF6026" w:rsidRDefault="00AF6026" w:rsidP="00AF6026">
      <w:pPr>
        <w:spacing w:line="360" w:lineRule="auto"/>
        <w:rPr>
          <w:i/>
          <w:iCs/>
        </w:rPr>
      </w:pPr>
    </w:p>
    <w:p w14:paraId="4C0DEB0A" w14:textId="77777777" w:rsidR="00AF6026" w:rsidRDefault="00AF6026" w:rsidP="00AF6026">
      <w:pPr>
        <w:spacing w:line="360" w:lineRule="auto"/>
        <w:rPr>
          <w:i/>
          <w:iCs/>
        </w:rPr>
      </w:pPr>
    </w:p>
    <w:p w14:paraId="189B4825" w14:textId="77777777" w:rsidR="00AF6026" w:rsidRDefault="00AF6026" w:rsidP="00AF6026">
      <w:pPr>
        <w:spacing w:line="360" w:lineRule="auto"/>
        <w:rPr>
          <w:i/>
          <w:iCs/>
        </w:rPr>
      </w:pPr>
    </w:p>
    <w:p w14:paraId="0005D4B0" w14:textId="77777777" w:rsidR="00AF6026" w:rsidRDefault="00AF6026" w:rsidP="00AF6026">
      <w:pPr>
        <w:spacing w:line="360" w:lineRule="auto"/>
        <w:rPr>
          <w:i/>
          <w:iCs/>
        </w:rPr>
      </w:pPr>
    </w:p>
    <w:p w14:paraId="4F2846B6" w14:textId="198AE1D1" w:rsidR="00AF6026" w:rsidRDefault="00AF6026" w:rsidP="00AF6026">
      <w:pPr>
        <w:spacing w:line="360" w:lineRule="auto"/>
      </w:pPr>
      <w:r w:rsidRPr="00F628FA">
        <w:rPr>
          <w:i/>
          <w:iCs/>
        </w:rPr>
        <w:lastRenderedPageBreak/>
        <w:t>Figure 4. Cycle of FEW nexus thinking at the local scale, from determining desired outcomes to identifying FEW interactions to assessing other factors to measuring actual outcomes, and then repeated. Note that data may not be available for many aspects of the system, but nexus thinking is still possible and relevant</w:t>
      </w:r>
      <w:r w:rsidRPr="00F653A7">
        <w:rPr>
          <w:i/>
          <w:iCs/>
        </w:rPr>
        <w:t>.</w:t>
      </w:r>
    </w:p>
    <w:p w14:paraId="572D906E" w14:textId="77777777" w:rsidR="00AF6026" w:rsidRPr="00037869" w:rsidRDefault="00AF6026" w:rsidP="00AF6026">
      <w:pPr>
        <w:spacing w:line="360" w:lineRule="auto"/>
      </w:pPr>
      <w:r>
        <w:rPr>
          <w:noProof/>
        </w:rPr>
        <mc:AlternateContent>
          <mc:Choice Requires="wps">
            <w:drawing>
              <wp:anchor distT="0" distB="0" distL="114300" distR="114300" simplePos="0" relativeHeight="251659264" behindDoc="0" locked="0" layoutInCell="1" allowOverlap="1" wp14:anchorId="544589A1" wp14:editId="0ABDC015">
                <wp:simplePos x="0" y="0"/>
                <wp:positionH relativeFrom="column">
                  <wp:posOffset>102413</wp:posOffset>
                </wp:positionH>
                <wp:positionV relativeFrom="paragraph">
                  <wp:posOffset>3200</wp:posOffset>
                </wp:positionV>
                <wp:extent cx="768096" cy="387706"/>
                <wp:effectExtent l="0" t="0" r="0" b="0"/>
                <wp:wrapNone/>
                <wp:docPr id="6" name="Rectangle 6"/>
                <wp:cNvGraphicFramePr/>
                <a:graphic xmlns:a="http://schemas.openxmlformats.org/drawingml/2006/main">
                  <a:graphicData uri="http://schemas.microsoft.com/office/word/2010/wordprocessingShape">
                    <wps:wsp>
                      <wps:cNvSpPr/>
                      <wps:spPr>
                        <a:xfrm>
                          <a:off x="0" y="0"/>
                          <a:ext cx="768096" cy="3877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69D57" id="Rectangle 6" o:spid="_x0000_s1026" style="position:absolute;margin-left:8.05pt;margin-top:.25pt;width:60.5pt;height:3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" fillcolor="white [3212]" stroked="f" strokeweight="1pt"/>
            </w:pict>
          </mc:Fallback>
        </mc:AlternateContent>
      </w:r>
      <w:r w:rsidRPr="00BC356A">
        <w:rPr>
          <w:noProof/>
        </w:rPr>
        <w:drawing>
          <wp:inline distT="0" distB="0" distL="0" distR="0" wp14:anchorId="2C7E89E5" wp14:editId="0D7CECBD">
            <wp:extent cx="5943600" cy="3339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39465"/>
                    </a:xfrm>
                    <a:prstGeom prst="rect">
                      <a:avLst/>
                    </a:prstGeom>
                    <a:noFill/>
                    <a:ln>
                      <a:noFill/>
                    </a:ln>
                  </pic:spPr>
                </pic:pic>
              </a:graphicData>
            </a:graphic>
          </wp:inline>
        </w:drawing>
      </w:r>
    </w:p>
    <w:p w14:paraId="0A0A9D69" w14:textId="77777777" w:rsidR="00AF6026" w:rsidRDefault="00AF6026" w:rsidP="00AF6026">
      <w:pPr>
        <w:spacing w:line="360" w:lineRule="auto"/>
        <w:rPr>
          <w:color w:val="000000" w:themeColor="text1"/>
        </w:rPr>
      </w:pPr>
    </w:p>
    <w:p w14:paraId="09A902BD" w14:textId="2B7D5DBF" w:rsidR="00E254C7" w:rsidRDefault="0072079A" w:rsidP="007E5A00">
      <w:pPr>
        <w:spacing w:line="360" w:lineRule="auto"/>
      </w:pPr>
      <w:r>
        <w:t>Our e</w:t>
      </w:r>
      <w:r w:rsidR="00843CCA">
        <w:t>xamples from r</w:t>
      </w:r>
      <w:r w:rsidR="005621F7">
        <w:t xml:space="preserve">ural Alaska </w:t>
      </w:r>
      <w:r w:rsidR="00536A5F">
        <w:t xml:space="preserve">have some commonalities with other parts of the globe, especially remote communities where </w:t>
      </w:r>
      <w:r w:rsidR="00B30183">
        <w:t>FEW</w:t>
      </w:r>
      <w:r w:rsidR="003F7581">
        <w:t xml:space="preserve"> systems are small in scale</w:t>
      </w:r>
      <w:r w:rsidR="006B73CD">
        <w:t xml:space="preserve"> </w:t>
      </w:r>
      <w:r w:rsidR="00B45596">
        <w:t xml:space="preserve">and </w:t>
      </w:r>
      <w:r w:rsidR="0065038B">
        <w:t>FEW insecurity is an impediment to sustainability</w:t>
      </w:r>
      <w:r w:rsidR="00B45596">
        <w:t xml:space="preserve"> and resilience</w:t>
      </w:r>
      <w:r w:rsidR="00F90693">
        <w:t xml:space="preserve"> (</w:t>
      </w:r>
      <w:r w:rsidR="00D869DB">
        <w:t>40-43</w:t>
      </w:r>
      <w:r w:rsidR="0049208C">
        <w:t>)</w:t>
      </w:r>
      <w:r w:rsidR="006E682E">
        <w:t>.</w:t>
      </w:r>
      <w:r w:rsidR="003F7581">
        <w:t xml:space="preserve"> </w:t>
      </w:r>
      <w:r w:rsidR="0093712B">
        <w:t>For example, at least 840 million people worldwide lack access to electricity</w:t>
      </w:r>
      <w:r w:rsidR="00E9017C">
        <w:t xml:space="preserve"> (</w:t>
      </w:r>
      <w:r w:rsidR="00D869DB">
        <w:t>44</w:t>
      </w:r>
      <w:r w:rsidR="00E9017C">
        <w:t>)</w:t>
      </w:r>
      <w:r w:rsidR="0093712B">
        <w:t xml:space="preserve">, not counting </w:t>
      </w:r>
      <w:r w:rsidR="0065038B">
        <w:t>energy-disadvantaged communities</w:t>
      </w:r>
      <w:r w:rsidR="0093712B">
        <w:t xml:space="preserve"> whose power sources are unreliable</w:t>
      </w:r>
      <w:r w:rsidR="00E9017C">
        <w:t xml:space="preserve"> or unconnected to major electrical infrastructure</w:t>
      </w:r>
      <w:r w:rsidR="00C426D3">
        <w:t xml:space="preserve"> (</w:t>
      </w:r>
      <w:r w:rsidR="00D869DB">
        <w:t>31</w:t>
      </w:r>
      <w:r w:rsidR="00C426D3">
        <w:t>)</w:t>
      </w:r>
      <w:r w:rsidR="0093712B">
        <w:t xml:space="preserve">. </w:t>
      </w:r>
      <w:r w:rsidR="00037869">
        <w:t>We suspect that using the FEW nexus concept to produce a</w:t>
      </w:r>
      <w:r w:rsidR="00C161E9">
        <w:t xml:space="preserve"> systematic</w:t>
      </w:r>
      <w:r w:rsidR="00037869">
        <w:t xml:space="preserve"> model of local systems elsewhere will encounter similar challenges to those we found when attempting to do so in rural Alaska. </w:t>
      </w:r>
      <w:bookmarkStart w:id="6" w:name="_Hlk65067934"/>
      <w:r w:rsidR="00A541FC">
        <w:t>Quantitative models are undoubtedly useful, but are also data intensive (</w:t>
      </w:r>
      <w:r w:rsidR="00D869DB">
        <w:t>45</w:t>
      </w:r>
      <w:r w:rsidR="00A541FC">
        <w:t xml:space="preserve">) to the point of being impractical for widespread use at local levels where there is much diversity in culture, geography, </w:t>
      </w:r>
      <w:r w:rsidR="008F6C1B">
        <w:t>ecology</w:t>
      </w:r>
      <w:r w:rsidR="00A541FC">
        <w:t>, and other characteristics as is the case for rural Alaska</w:t>
      </w:r>
      <w:r w:rsidR="008F6C1B">
        <w:t xml:space="preserve"> (despite being part of one broad economic and governance system)</w:t>
      </w:r>
      <w:r w:rsidR="00A541FC">
        <w:t xml:space="preserve">. </w:t>
      </w:r>
      <w:bookmarkEnd w:id="6"/>
      <w:r w:rsidR="00037869" w:rsidRPr="00037869">
        <w:t>Others may find, as we did, that it is</w:t>
      </w:r>
      <w:r w:rsidR="005621F7" w:rsidRPr="00037869">
        <w:t xml:space="preserve"> easy to speculate about hypothetical FEW nexus interactions, but harder to </w:t>
      </w:r>
      <w:r w:rsidR="00175551">
        <w:t xml:space="preserve">identify and </w:t>
      </w:r>
      <w:r w:rsidR="00820D0C">
        <w:t xml:space="preserve">quantify </w:t>
      </w:r>
      <w:r w:rsidR="00175551">
        <w:t xml:space="preserve">the </w:t>
      </w:r>
      <w:r w:rsidR="005621F7" w:rsidRPr="00037869">
        <w:t>real interactions</w:t>
      </w:r>
      <w:r w:rsidR="00175551">
        <w:t xml:space="preserve"> that produce specific local outcomes</w:t>
      </w:r>
      <w:r w:rsidR="005621F7" w:rsidRPr="00037869">
        <w:t>.</w:t>
      </w:r>
    </w:p>
    <w:p w14:paraId="5CE22926" w14:textId="7A7226EC" w:rsidR="0049208C" w:rsidRDefault="0049208C" w:rsidP="00BC00CE">
      <w:pPr>
        <w:spacing w:line="360" w:lineRule="auto"/>
      </w:pPr>
    </w:p>
    <w:p w14:paraId="5A18B3E0" w14:textId="5552BC21" w:rsidR="0090387D" w:rsidRPr="0090387D" w:rsidRDefault="0090387D" w:rsidP="00BC00CE">
      <w:pPr>
        <w:spacing w:line="360" w:lineRule="auto"/>
        <w:rPr>
          <w:u w:val="single"/>
        </w:rPr>
      </w:pPr>
      <w:r w:rsidRPr="0090387D">
        <w:rPr>
          <w:u w:val="single"/>
        </w:rPr>
        <w:t>The value of nexus thinking</w:t>
      </w:r>
    </w:p>
    <w:p w14:paraId="5138A2AD" w14:textId="4EF98FE5" w:rsidR="000100D9" w:rsidRDefault="00E37E77" w:rsidP="00BC00CE">
      <w:pPr>
        <w:spacing w:line="360" w:lineRule="auto"/>
      </w:pPr>
      <w:r>
        <w:t>T</w:t>
      </w:r>
      <w:r w:rsidR="00BC356A">
        <w:t>he cycle of FEW nexus thinking shown in Figure 4</w:t>
      </w:r>
      <w:r>
        <w:t xml:space="preserve"> can be applied to a variety of settings and issues. Here are t</w:t>
      </w:r>
      <w:r w:rsidR="000100D9">
        <w:t xml:space="preserve">hree </w:t>
      </w:r>
      <w:r>
        <w:t>examples</w:t>
      </w:r>
      <w:r w:rsidR="000100D9">
        <w:t xml:space="preserve"> for harnessing the power of nexus thinking</w:t>
      </w:r>
      <w:r w:rsidR="00572E81">
        <w:t xml:space="preserve"> at a local level</w:t>
      </w:r>
      <w:r w:rsidR="00037869">
        <w:t xml:space="preserve">, which </w:t>
      </w:r>
      <w:r w:rsidR="00410F3F">
        <w:t>may be relevant for any community or region</w:t>
      </w:r>
      <w:r w:rsidR="000100D9">
        <w:t>:</w:t>
      </w:r>
    </w:p>
    <w:p w14:paraId="04C5B419" w14:textId="77777777" w:rsidR="000100D9" w:rsidRDefault="000100D9" w:rsidP="00BC00CE">
      <w:pPr>
        <w:spacing w:line="360" w:lineRule="auto"/>
      </w:pPr>
    </w:p>
    <w:p w14:paraId="2F9AD01E" w14:textId="11E19761" w:rsidR="000100D9" w:rsidRDefault="0065038B" w:rsidP="00BC00CE">
      <w:pPr>
        <w:pStyle w:val="ListParagraph"/>
        <w:numPr>
          <w:ilvl w:val="0"/>
          <w:numId w:val="1"/>
        </w:numPr>
        <w:spacing w:line="360" w:lineRule="auto"/>
      </w:pPr>
      <w:r>
        <w:rPr>
          <w:i/>
          <w:iCs/>
        </w:rPr>
        <w:t>Synergies and tradeoffs</w:t>
      </w:r>
      <w:r w:rsidR="00996E4B">
        <w:t xml:space="preserve">. </w:t>
      </w:r>
      <w:r w:rsidR="000100D9">
        <w:t>Any individual project or policy can and should consider how it can avoid damaging or</w:t>
      </w:r>
      <w:r w:rsidR="00572E81">
        <w:t xml:space="preserve"> how it can</w:t>
      </w:r>
      <w:r w:rsidR="000100D9">
        <w:t xml:space="preserve"> provide benefits to other parts of the community system. For example, a renewable energy project could </w:t>
      </w:r>
      <w:r w:rsidR="00247606">
        <w:t xml:space="preserve">help </w:t>
      </w:r>
      <w:r w:rsidR="000100D9">
        <w:t>reduce heating bills or warm greenhouses</w:t>
      </w:r>
      <w:r w:rsidR="00A2184A">
        <w:t>, whereas an additional hydroelectric dam could reduce the water available for other purposes</w:t>
      </w:r>
      <w:r w:rsidR="000B3F98">
        <w:t xml:space="preserve"> or harm fisheries</w:t>
      </w:r>
      <w:r w:rsidR="00A2184A">
        <w:t>.</w:t>
      </w:r>
      <w:r>
        <w:t xml:space="preserve"> </w:t>
      </w:r>
    </w:p>
    <w:p w14:paraId="612EC8BE" w14:textId="72DE7F50" w:rsidR="000100D9" w:rsidRDefault="00996E4B" w:rsidP="00BC00CE">
      <w:pPr>
        <w:pStyle w:val="ListParagraph"/>
        <w:numPr>
          <w:ilvl w:val="0"/>
          <w:numId w:val="1"/>
        </w:numPr>
        <w:spacing w:line="360" w:lineRule="auto"/>
      </w:pPr>
      <w:r>
        <w:rPr>
          <w:i/>
          <w:iCs/>
        </w:rPr>
        <w:t>Priority setting</w:t>
      </w:r>
      <w:r>
        <w:t xml:space="preserve">. </w:t>
      </w:r>
      <w:r w:rsidR="000100D9">
        <w:t>Community and regional planning can and should consider how to prioritize projects and policies that have greater effects</w:t>
      </w:r>
      <w:r>
        <w:t>, such as the synergies noted in the previous point</w:t>
      </w:r>
      <w:r w:rsidR="000100D9">
        <w:t xml:space="preserve">. For example, </w:t>
      </w:r>
      <w:r w:rsidR="003F7581">
        <w:t xml:space="preserve">upgrades to </w:t>
      </w:r>
      <w:r w:rsidR="004162A4">
        <w:t>transportation infrastructure</w:t>
      </w:r>
      <w:r w:rsidR="003F7581">
        <w:t xml:space="preserve"> could yield </w:t>
      </w:r>
      <w:r w:rsidR="000100D9">
        <w:t>better food delivery as well as easier access to health care</w:t>
      </w:r>
      <w:r w:rsidR="003F7581">
        <w:t xml:space="preserve">. Such an </w:t>
      </w:r>
      <w:r w:rsidR="004162A4">
        <w:t>upgrade</w:t>
      </w:r>
      <w:r w:rsidR="000100D9">
        <w:t xml:space="preserve"> might rise higher on a community’s priority list than </w:t>
      </w:r>
      <w:r w:rsidR="003F7581">
        <w:t>an investment</w:t>
      </w:r>
      <w:r w:rsidR="000100D9">
        <w:t xml:space="preserve"> that provides fewer additional benefits.</w:t>
      </w:r>
    </w:p>
    <w:p w14:paraId="5AD8038E" w14:textId="5F5AF281" w:rsidR="000100D9" w:rsidRDefault="00996E4B" w:rsidP="00BC00CE">
      <w:pPr>
        <w:pStyle w:val="ListParagraph"/>
        <w:numPr>
          <w:ilvl w:val="0"/>
          <w:numId w:val="1"/>
        </w:numPr>
        <w:spacing w:line="360" w:lineRule="auto"/>
      </w:pPr>
      <w:r w:rsidRPr="00996E4B">
        <w:rPr>
          <w:i/>
          <w:iCs/>
        </w:rPr>
        <w:t>Community design</w:t>
      </w:r>
      <w:r>
        <w:t xml:space="preserve">. </w:t>
      </w:r>
      <w:r w:rsidR="000100D9">
        <w:t xml:space="preserve">Community design can and should consider how emerging practices and technologies could re-shape the structure and function of community infrastructure. For example, communities that are re-locating </w:t>
      </w:r>
      <w:r w:rsidR="00247606">
        <w:t xml:space="preserve">or re-building </w:t>
      </w:r>
      <w:r w:rsidR="000100D9">
        <w:t xml:space="preserve">could, instead of simply replicating </w:t>
      </w:r>
      <w:r w:rsidR="006B0BED">
        <w:t>existing infrastructure</w:t>
      </w:r>
      <w:r w:rsidR="000100D9">
        <w:t>, design housing, energy, water, transportation, and other systems that better suit their location and climate</w:t>
      </w:r>
      <w:r w:rsidR="006B0BED">
        <w:t xml:space="preserve">. </w:t>
      </w:r>
      <w:r w:rsidR="000250BB">
        <w:t>S</w:t>
      </w:r>
      <w:r w:rsidR="000100D9">
        <w:t>ynergies and efficiencies</w:t>
      </w:r>
      <w:r w:rsidR="006B0BED">
        <w:t xml:space="preserve">, which </w:t>
      </w:r>
      <w:r w:rsidR="000100D9">
        <w:t xml:space="preserve">are hard to achieve when </w:t>
      </w:r>
      <w:r w:rsidR="005356BD">
        <w:t>retrofitting</w:t>
      </w:r>
      <w:r w:rsidR="000100D9">
        <w:t xml:space="preserve"> existing infrastructure</w:t>
      </w:r>
      <w:r w:rsidR="006B0BED">
        <w:t>,</w:t>
      </w:r>
      <w:r w:rsidR="00C13986">
        <w:t xml:space="preserve"> </w:t>
      </w:r>
      <w:r w:rsidR="000250BB">
        <w:t xml:space="preserve">may be more readily </w:t>
      </w:r>
      <w:r w:rsidR="006B0BED">
        <w:t xml:space="preserve">achieved in remodeled systems </w:t>
      </w:r>
      <w:r w:rsidR="00C13986">
        <w:t>(</w:t>
      </w:r>
      <w:r w:rsidR="00D869DB">
        <w:t>30</w:t>
      </w:r>
      <w:r w:rsidR="00C13986">
        <w:t>)</w:t>
      </w:r>
      <w:r w:rsidR="000100D9">
        <w:t>.</w:t>
      </w:r>
    </w:p>
    <w:p w14:paraId="2C0D32F5" w14:textId="77777777" w:rsidR="000100D9" w:rsidRDefault="000100D9" w:rsidP="00BC00CE">
      <w:pPr>
        <w:spacing w:line="360" w:lineRule="auto"/>
      </w:pPr>
    </w:p>
    <w:p w14:paraId="539D3125" w14:textId="0FB827C0" w:rsidR="000250BB" w:rsidRDefault="000100D9" w:rsidP="00BC00CE">
      <w:pPr>
        <w:spacing w:line="360" w:lineRule="auto"/>
      </w:pPr>
      <w:r>
        <w:t>In all three cases, it is important to have the flexibility to allocate funds where most needed, rather than according to the boundaries of agenc</w:t>
      </w:r>
      <w:r w:rsidR="00BD66CE">
        <w:t>ies</w:t>
      </w:r>
      <w:r>
        <w:t xml:space="preserve"> or other jurisdiction</w:t>
      </w:r>
      <w:r w:rsidR="00BD66CE">
        <w:t>s</w:t>
      </w:r>
      <w:r w:rsidR="00C2450C">
        <w:t xml:space="preserve"> (</w:t>
      </w:r>
      <w:r w:rsidR="00E64024">
        <w:t>25,</w:t>
      </w:r>
      <w:r w:rsidR="00D869DB">
        <w:t>46,47</w:t>
      </w:r>
      <w:r w:rsidR="00C2450C">
        <w:t>)</w:t>
      </w:r>
      <w:r>
        <w:t xml:space="preserve">. </w:t>
      </w:r>
      <w:r w:rsidR="003F7581">
        <w:t xml:space="preserve">One valuable insight from FEW nexus thinking has been the observation that </w:t>
      </w:r>
      <w:r w:rsidR="00B30183">
        <w:t>FEW</w:t>
      </w:r>
      <w:r w:rsidR="003F7581">
        <w:t xml:space="preserve"> systems are typically managed separately</w:t>
      </w:r>
      <w:r w:rsidR="00572E81">
        <w:t xml:space="preserve"> </w:t>
      </w:r>
      <w:r w:rsidR="00625D67">
        <w:t>(</w:t>
      </w:r>
      <w:r w:rsidR="00E64024">
        <w:t>2,8</w:t>
      </w:r>
      <w:r w:rsidR="00572E81">
        <w:t>)</w:t>
      </w:r>
      <w:r w:rsidR="005413FC">
        <w:t xml:space="preserve">, which means that </w:t>
      </w:r>
      <w:r w:rsidR="003F7581">
        <w:t>joint decisions</w:t>
      </w:r>
      <w:r w:rsidR="00A2184A">
        <w:t xml:space="preserve"> </w:t>
      </w:r>
      <w:r w:rsidR="003F7581">
        <w:t>require coordination among agencies and actors that</w:t>
      </w:r>
      <w:r w:rsidR="005413FC">
        <w:t xml:space="preserve"> may</w:t>
      </w:r>
      <w:r w:rsidR="003F7581">
        <w:t xml:space="preserve"> lack a history of such practice (</w:t>
      </w:r>
      <w:r w:rsidR="00E64024">
        <w:t>25</w:t>
      </w:r>
      <w:r w:rsidR="003F7581">
        <w:t xml:space="preserve">). </w:t>
      </w:r>
      <w:r>
        <w:t xml:space="preserve">A corollary to this idea is that it is helpful to identify the additional benefits of a </w:t>
      </w:r>
      <w:r w:rsidR="00175551">
        <w:t xml:space="preserve">particular </w:t>
      </w:r>
      <w:r>
        <w:t xml:space="preserve">project or policy, to </w:t>
      </w:r>
      <w:r w:rsidR="00A2184A">
        <w:t>set</w:t>
      </w:r>
      <w:r>
        <w:t xml:space="preserve"> priorities and justify expenses that on their own may not seem to provide sufficient benefit.</w:t>
      </w:r>
      <w:r w:rsidR="005621F7">
        <w:t xml:space="preserve"> </w:t>
      </w:r>
      <w:r w:rsidR="00820D0C">
        <w:t xml:space="preserve">Improving </w:t>
      </w:r>
      <w:r w:rsidR="00820D0C">
        <w:lastRenderedPageBreak/>
        <w:t>sustainability</w:t>
      </w:r>
      <w:r w:rsidR="005621F7">
        <w:t xml:space="preserve"> </w:t>
      </w:r>
      <w:r w:rsidR="00820D0C">
        <w:t xml:space="preserve">and resilience </w:t>
      </w:r>
      <w:r w:rsidR="005621F7">
        <w:t>will require just such efficiencies and understanding, tailored to each situation at the appropriate scale</w:t>
      </w:r>
      <w:r w:rsidR="009B6639">
        <w:t xml:space="preserve"> </w:t>
      </w:r>
      <w:r w:rsidR="00E64024">
        <w:t>(48</w:t>
      </w:r>
      <w:r w:rsidR="009B6639">
        <w:t>)</w:t>
      </w:r>
      <w:r w:rsidR="005621F7">
        <w:t>.</w:t>
      </w:r>
      <w:r w:rsidR="00A2184A">
        <w:t xml:space="preserve"> </w:t>
      </w:r>
    </w:p>
    <w:p w14:paraId="46902723" w14:textId="77777777" w:rsidR="000250BB" w:rsidRDefault="000250BB" w:rsidP="00BC00CE">
      <w:pPr>
        <w:spacing w:line="360" w:lineRule="auto"/>
      </w:pPr>
    </w:p>
    <w:p w14:paraId="1168A8B7" w14:textId="5F371D4C" w:rsidR="000100D9" w:rsidRDefault="00A2184A" w:rsidP="00BC00CE">
      <w:pPr>
        <w:spacing w:line="360" w:lineRule="auto"/>
      </w:pPr>
      <w:r>
        <w:t>This line of thinking also includes recognizing cross-scale interactions, such as practices implemented locally but</w:t>
      </w:r>
      <w:r w:rsidR="00725541">
        <w:t xml:space="preserve"> providing benefits that largely accrue elsewhere. Th</w:t>
      </w:r>
      <w:r w:rsidR="006B0BED">
        <w:t>e</w:t>
      </w:r>
      <w:r w:rsidR="00725541">
        <w:t xml:space="preserve"> disconnect can discourage innovation and efficiency, undermining sustainability as local and regional actors pursue their own misaligned interests. </w:t>
      </w:r>
      <w:r w:rsidR="006B0BED">
        <w:t>Making</w:t>
      </w:r>
      <w:r w:rsidR="00725541">
        <w:t xml:space="preserve"> connections across scales can better link actions and outcomes and </w:t>
      </w:r>
      <w:r w:rsidR="006B0BED">
        <w:t>create</w:t>
      </w:r>
      <w:r w:rsidR="00725541">
        <w:t xml:space="preserve"> incentives for innovation and improvement.</w:t>
      </w:r>
      <w:r w:rsidR="00725541" w:rsidRPr="00725541">
        <w:t xml:space="preserve"> </w:t>
      </w:r>
      <w:r w:rsidR="00725541">
        <w:t>Top-down approaches are also contrary to the letter and spirit of other U.N. S</w:t>
      </w:r>
      <w:r w:rsidR="00002C10">
        <w:t xml:space="preserve">ustainable </w:t>
      </w:r>
      <w:r w:rsidR="00725541">
        <w:t>D</w:t>
      </w:r>
      <w:r w:rsidR="00002C10">
        <w:t xml:space="preserve">evelopment </w:t>
      </w:r>
      <w:r w:rsidR="00725541">
        <w:t>G</w:t>
      </w:r>
      <w:r w:rsidR="00002C10">
        <w:t>oal</w:t>
      </w:r>
      <w:r w:rsidR="00725541">
        <w:t>s (</w:t>
      </w:r>
      <w:r w:rsidR="00E64024">
        <w:t>1</w:t>
      </w:r>
      <w:r w:rsidR="00725541">
        <w:t>), with the strong implication that “solutions” imposed from outside a community are far less likely to be sustainable than those that are developed in the community or via partnerships with the community (</w:t>
      </w:r>
      <w:r w:rsidR="00E64024">
        <w:t>43</w:t>
      </w:r>
      <w:r w:rsidR="00725541">
        <w:t>).</w:t>
      </w:r>
      <w:r w:rsidR="0063709B">
        <w:t xml:space="preserve"> </w:t>
      </w:r>
      <w:r w:rsidR="0063709B" w:rsidRPr="00E3447D">
        <w:t xml:space="preserve">The Igiugig example supports this concept, with decisions made by the </w:t>
      </w:r>
      <w:r w:rsidR="00B45596">
        <w:t>T</w:t>
      </w:r>
      <w:r w:rsidR="0063709B" w:rsidRPr="00E3447D">
        <w:t xml:space="preserve">ribal </w:t>
      </w:r>
      <w:r w:rsidR="00B45596">
        <w:t>G</w:t>
      </w:r>
      <w:r w:rsidR="0063709B" w:rsidRPr="00E3447D">
        <w:t xml:space="preserve">overnment that take into account all domains, allowing them to consider long-term implications of their choices regarding </w:t>
      </w:r>
      <w:r w:rsidR="00B30183">
        <w:t>FEW</w:t>
      </w:r>
      <w:r w:rsidR="0063709B" w:rsidRPr="00E3447D">
        <w:t xml:space="preserve"> </w:t>
      </w:r>
      <w:r w:rsidR="0063709B" w:rsidRPr="00820D0C">
        <w:t>security</w:t>
      </w:r>
      <w:r w:rsidR="0063709B" w:rsidRPr="00E3447D">
        <w:t xml:space="preserve"> and other matters important to the community and its residents</w:t>
      </w:r>
      <w:r w:rsidR="0063709B">
        <w:t>.</w:t>
      </w:r>
    </w:p>
    <w:p w14:paraId="5D177653" w14:textId="68232418" w:rsidR="00725541" w:rsidRDefault="00725541" w:rsidP="00BC00CE">
      <w:pPr>
        <w:spacing w:line="360" w:lineRule="auto"/>
      </w:pPr>
    </w:p>
    <w:p w14:paraId="272C93AC" w14:textId="3F8AA045" w:rsidR="00725541" w:rsidRDefault="00725541" w:rsidP="00BC00CE">
      <w:pPr>
        <w:spacing w:line="360" w:lineRule="auto"/>
      </w:pPr>
      <w:r>
        <w:t xml:space="preserve">Another important feature of any system is the potential for time lags between action and outcome. Starting direct flights from Anchorage to Igiugig or removing ferry service to Cordova will have rapid but not immediate effects on food </w:t>
      </w:r>
      <w:r w:rsidRPr="00820D0C">
        <w:t>security</w:t>
      </w:r>
      <w:r>
        <w:t xml:space="preserve">, as people learn to take advantage of the new service or work their way through existing supplies while figuring out alternative means of transportation. Changes in hunting regulations that result in more travel and thus higher fuel costs may take time to </w:t>
      </w:r>
      <w:r w:rsidR="005C42F9">
        <w:t>percolate through household and community practices</w:t>
      </w:r>
      <w:r w:rsidR="006B0BED">
        <w:t xml:space="preserve">. Such a change could mask </w:t>
      </w:r>
      <w:r w:rsidR="005C42F9">
        <w:t>a link between the regulations and</w:t>
      </w:r>
      <w:r w:rsidR="0049208C">
        <w:t>, say,</w:t>
      </w:r>
      <w:r w:rsidR="005C42F9">
        <w:t xml:space="preserve"> losing municipal water supply as a result of </w:t>
      </w:r>
      <w:r w:rsidR="000250BB">
        <w:t xml:space="preserve">consumers </w:t>
      </w:r>
      <w:r w:rsidR="005C42F9">
        <w:t>being unable to pay utility bills. Loss of mail subsidies could lead to food substitution and poorer health outcomes over time, though food security may appear unaffected in the short-term (</w:t>
      </w:r>
      <w:r w:rsidR="00E64024">
        <w:t>22</w:t>
      </w:r>
      <w:r w:rsidR="005C42F9">
        <w:t>). Such lags and buffers have been seen in demographic responses to economic and environmental disruptions in rural Alaska (</w:t>
      </w:r>
      <w:r w:rsidR="00E64024">
        <w:t>49,50</w:t>
      </w:r>
      <w:r w:rsidR="005C42F9">
        <w:t xml:space="preserve">). </w:t>
      </w:r>
      <w:r w:rsidR="00820D0C">
        <w:t>In our study, w</w:t>
      </w:r>
      <w:r w:rsidR="00037869">
        <w:t>e found</w:t>
      </w:r>
      <w:r w:rsidR="005C42F9">
        <w:t xml:space="preserve"> a more complex system</w:t>
      </w:r>
      <w:r w:rsidR="00E254C7">
        <w:t xml:space="preserve"> with more subtle interactions</w:t>
      </w:r>
      <w:r w:rsidR="005C42F9">
        <w:t xml:space="preserve"> than we had anticipated. If </w:t>
      </w:r>
      <w:r w:rsidR="00037869">
        <w:t>rural Alaska is typical in this regard</w:t>
      </w:r>
      <w:r w:rsidR="005C42F9">
        <w:t xml:space="preserve">, managing for </w:t>
      </w:r>
      <w:r w:rsidR="00B30183">
        <w:t>FEW</w:t>
      </w:r>
      <w:r w:rsidR="005C42F9">
        <w:t xml:space="preserve"> </w:t>
      </w:r>
      <w:r w:rsidR="005C42F9" w:rsidRPr="00820D0C">
        <w:t>security</w:t>
      </w:r>
      <w:r w:rsidR="00820D0C">
        <w:t>, sustainability, and resilience</w:t>
      </w:r>
      <w:r w:rsidR="005C42F9">
        <w:t xml:space="preserve"> will require even greater care and attention, as the potential for unintended disruption or misunderstanding of causes and effects is even higher.</w:t>
      </w:r>
    </w:p>
    <w:p w14:paraId="771D216F" w14:textId="77777777" w:rsidR="000100D9" w:rsidRDefault="000100D9" w:rsidP="00BC00CE">
      <w:pPr>
        <w:spacing w:line="360" w:lineRule="auto"/>
      </w:pPr>
    </w:p>
    <w:p w14:paraId="52C37DA0" w14:textId="69167727" w:rsidR="000100D9" w:rsidRDefault="000100D9" w:rsidP="00BC00CE">
      <w:pPr>
        <w:spacing w:line="360" w:lineRule="auto"/>
      </w:pPr>
      <w:r>
        <w:t xml:space="preserve">A final point </w:t>
      </w:r>
      <w:r w:rsidR="005C42F9">
        <w:t xml:space="preserve">about nexus thinking </w:t>
      </w:r>
      <w:r>
        <w:t xml:space="preserve">is that cross-domain benefits include the </w:t>
      </w:r>
      <w:r w:rsidR="00E254C7">
        <w:t>in</w:t>
      </w:r>
      <w:r>
        <w:t xml:space="preserve">tangible </w:t>
      </w:r>
      <w:r w:rsidR="00E254C7">
        <w:t>as well as</w:t>
      </w:r>
      <w:r>
        <w:t xml:space="preserve"> the tangible. The hydrokinetic turbine in Igiugig or the wind turbines in </w:t>
      </w:r>
      <w:proofErr w:type="spellStart"/>
      <w:r>
        <w:t>Kongiganak</w:t>
      </w:r>
      <w:proofErr w:type="spellEnd"/>
      <w:r>
        <w:t xml:space="preserve"> provide excess power that can be used in a variety of </w:t>
      </w:r>
      <w:r w:rsidR="00E254C7">
        <w:t xml:space="preserve">tangible </w:t>
      </w:r>
      <w:r>
        <w:t xml:space="preserve">ways. </w:t>
      </w:r>
      <w:r w:rsidR="0095560F">
        <w:t>R</w:t>
      </w:r>
      <w:r>
        <w:t>educ</w:t>
      </w:r>
      <w:r w:rsidR="00002C10">
        <w:t>ing</w:t>
      </w:r>
      <w:r>
        <w:t xml:space="preserve"> diesel use and thus the community’s carbon footprint can also increase residents’ sense of agency and control over their own futures, </w:t>
      </w:r>
      <w:r w:rsidR="00E254C7">
        <w:t>inspiring</w:t>
      </w:r>
      <w:r>
        <w:t xml:space="preserve"> them to </w:t>
      </w:r>
      <w:r w:rsidR="00104089">
        <w:t xml:space="preserve">undertake </w:t>
      </w:r>
      <w:r>
        <w:t xml:space="preserve">additional </w:t>
      </w:r>
      <w:r w:rsidR="00002C10">
        <w:t xml:space="preserve">measures and </w:t>
      </w:r>
      <w:r>
        <w:t xml:space="preserve">innovations in other areas such as language retention, health, and more. Communities that </w:t>
      </w:r>
      <w:r w:rsidR="005356BD">
        <w:t>act</w:t>
      </w:r>
      <w:r>
        <w:t xml:space="preserve"> on their own behalf may tend to take further action, creating a virtuous cycle of improvements that extend well beyond the initial activity</w:t>
      </w:r>
      <w:r w:rsidR="00410F3F">
        <w:t>, contributing in ways large and small to community sustainability</w:t>
      </w:r>
      <w:r w:rsidR="006917CA">
        <w:t xml:space="preserve"> and resilience</w:t>
      </w:r>
      <w:r>
        <w:t xml:space="preserve">. </w:t>
      </w:r>
      <w:r w:rsidRPr="006917CA">
        <w:t xml:space="preserve">If </w:t>
      </w:r>
      <w:r w:rsidR="00A015D4">
        <w:t xml:space="preserve">FEW </w:t>
      </w:r>
      <w:r w:rsidRPr="006917CA">
        <w:t xml:space="preserve">nexus </w:t>
      </w:r>
      <w:r w:rsidR="00AE71E1" w:rsidRPr="006917CA">
        <w:t>thinking</w:t>
      </w:r>
      <w:r w:rsidRPr="006917CA">
        <w:t xml:space="preserve"> is </w:t>
      </w:r>
      <w:r w:rsidR="006917CA">
        <w:t xml:space="preserve">used as </w:t>
      </w:r>
      <w:r w:rsidRPr="006917CA">
        <w:t>a vehicle for achieving such outcomes</w:t>
      </w:r>
      <w:r w:rsidR="0065038B" w:rsidRPr="006917CA">
        <w:t xml:space="preserve"> at local scales</w:t>
      </w:r>
      <w:r w:rsidRPr="006917CA">
        <w:t xml:space="preserve">, it </w:t>
      </w:r>
      <w:r w:rsidR="004F64A6" w:rsidRPr="006917CA">
        <w:t xml:space="preserve">offers much </w:t>
      </w:r>
      <w:r w:rsidR="0065038B" w:rsidRPr="006917CA">
        <w:t>to rural, remote communities in Alaska and beyond</w:t>
      </w:r>
      <w:r w:rsidRPr="006917CA">
        <w:t>.</w:t>
      </w:r>
    </w:p>
    <w:p w14:paraId="7AAC528F" w14:textId="77777777" w:rsidR="00E64024" w:rsidRDefault="00E64024" w:rsidP="00A117DC">
      <w:pPr>
        <w:spacing w:line="360" w:lineRule="auto"/>
      </w:pPr>
    </w:p>
    <w:p w14:paraId="11441688" w14:textId="0188FF66" w:rsidR="000100D9" w:rsidRPr="00572E81" w:rsidRDefault="000100D9" w:rsidP="00A117DC">
      <w:pPr>
        <w:spacing w:line="360" w:lineRule="auto"/>
      </w:pPr>
      <w:r w:rsidRPr="00F32FF6">
        <w:rPr>
          <w:u w:val="single"/>
        </w:rPr>
        <w:t>References</w:t>
      </w:r>
    </w:p>
    <w:p w14:paraId="32179235" w14:textId="77777777" w:rsidR="00B05638" w:rsidRDefault="00B05638" w:rsidP="00B05638">
      <w:pPr>
        <w:adjustRightInd w:val="0"/>
        <w:ind w:left="180" w:hanging="180"/>
      </w:pPr>
      <w:r>
        <w:t xml:space="preserve">1. United Nations. 2019. </w:t>
      </w:r>
      <w:r w:rsidRPr="00452E00">
        <w:rPr>
          <w:i/>
          <w:iCs/>
        </w:rPr>
        <w:t>Sustainable development goals report</w:t>
      </w:r>
      <w:r>
        <w:t>. New York: United Nations Publications.</w:t>
      </w:r>
    </w:p>
    <w:p w14:paraId="7A0C1B0D" w14:textId="54787116" w:rsidR="00B05638" w:rsidRDefault="00B05638" w:rsidP="00B05638">
      <w:pPr>
        <w:adjustRightInd w:val="0"/>
        <w:ind w:left="180" w:hanging="180"/>
      </w:pPr>
      <w:r>
        <w:t xml:space="preserve">2. </w:t>
      </w:r>
      <w:r w:rsidRPr="00625D67">
        <w:t>Hoff, H. 2011. Understanding the nexus. Background Paper for the Bonn</w:t>
      </w:r>
      <w:r>
        <w:t xml:space="preserve"> </w:t>
      </w:r>
      <w:r w:rsidRPr="00625D67">
        <w:t>2011 Conference: The Water, Energy and Food Security Nexus. Stockholm: Stockholm Environment Institute.</w:t>
      </w:r>
    </w:p>
    <w:p w14:paraId="65EAF5A5" w14:textId="28DC908F" w:rsidR="00B05638" w:rsidRDefault="00B05638" w:rsidP="00B05638">
      <w:pPr>
        <w:adjustRightInd w:val="0"/>
        <w:ind w:left="180" w:hanging="180"/>
      </w:pPr>
      <w:r>
        <w:t xml:space="preserve">3. </w:t>
      </w:r>
      <w:r w:rsidRPr="00675607">
        <w:t>World Economic Forum. 2011</w:t>
      </w:r>
      <w:r>
        <w:t>.</w:t>
      </w:r>
      <w:r w:rsidRPr="00675607">
        <w:t xml:space="preserve"> </w:t>
      </w:r>
      <w:r w:rsidRPr="00675607">
        <w:rPr>
          <w:i/>
          <w:iCs/>
        </w:rPr>
        <w:t>Global risks 2011</w:t>
      </w:r>
      <w:r w:rsidRPr="00675607">
        <w:t xml:space="preserve">. 6th Edition. </w:t>
      </w:r>
      <w:r>
        <w:t xml:space="preserve">Cologne/Geneva: </w:t>
      </w:r>
      <w:r w:rsidRPr="00675607">
        <w:t>World Economic Forum.</w:t>
      </w:r>
    </w:p>
    <w:p w14:paraId="69306ED2" w14:textId="2C9705CC" w:rsidR="00B05638" w:rsidRDefault="00B05638" w:rsidP="00B05638">
      <w:pPr>
        <w:adjustRightInd w:val="0"/>
        <w:ind w:left="180" w:hanging="180"/>
      </w:pPr>
      <w:r>
        <w:t xml:space="preserve">4. </w:t>
      </w:r>
      <w:proofErr w:type="spellStart"/>
      <w:r>
        <w:t>Bazilian</w:t>
      </w:r>
      <w:proofErr w:type="spellEnd"/>
      <w:r>
        <w:t xml:space="preserve">, M., </w:t>
      </w:r>
      <w:proofErr w:type="spellStart"/>
      <w:r>
        <w:t>Rogner</w:t>
      </w:r>
      <w:proofErr w:type="spellEnd"/>
      <w:r>
        <w:t xml:space="preserve">, H., </w:t>
      </w:r>
      <w:proofErr w:type="spellStart"/>
      <w:r>
        <w:t>Hoells</w:t>
      </w:r>
      <w:proofErr w:type="spellEnd"/>
      <w:r>
        <w:t xml:space="preserve">, M., Hermann, S., </w:t>
      </w:r>
      <w:proofErr w:type="spellStart"/>
      <w:r>
        <w:t>Arent</w:t>
      </w:r>
      <w:proofErr w:type="spellEnd"/>
      <w:r>
        <w:t xml:space="preserve">, D., </w:t>
      </w:r>
      <w:proofErr w:type="spellStart"/>
      <w:r>
        <w:t>Gielen</w:t>
      </w:r>
      <w:proofErr w:type="spellEnd"/>
      <w:r>
        <w:t xml:space="preserve">, D., </w:t>
      </w:r>
      <w:proofErr w:type="spellStart"/>
      <w:r>
        <w:t>Steduto</w:t>
      </w:r>
      <w:proofErr w:type="spellEnd"/>
      <w:r>
        <w:t xml:space="preserve">, P., Mueller, A., </w:t>
      </w:r>
      <w:proofErr w:type="spellStart"/>
      <w:r>
        <w:t>Komor</w:t>
      </w:r>
      <w:proofErr w:type="spellEnd"/>
      <w:r>
        <w:t xml:space="preserve">, P., Tol, R. S. J., &amp; Yumkella, K. K. 2011. Considering the energy, water and food nexus: towards an integrated modelling approach. </w:t>
      </w:r>
      <w:r w:rsidRPr="00452E00">
        <w:rPr>
          <w:i/>
          <w:iCs/>
        </w:rPr>
        <w:t>Energy Policy</w:t>
      </w:r>
      <w:r>
        <w:t xml:space="preserve"> </w:t>
      </w:r>
      <w:r w:rsidRPr="00452E00">
        <w:rPr>
          <w:b/>
          <w:bCs/>
        </w:rPr>
        <w:t>39,</w:t>
      </w:r>
      <w:r>
        <w:t xml:space="preserve"> 7896–7906.</w:t>
      </w:r>
      <w:r w:rsidRPr="00F87BD0">
        <w:t xml:space="preserve"> https://doi.org/10.1016/j.enpol.2011.09.039</w:t>
      </w:r>
    </w:p>
    <w:p w14:paraId="268411B0" w14:textId="20AFA4DB" w:rsidR="00B05638" w:rsidRDefault="00B05638" w:rsidP="00B05638">
      <w:pPr>
        <w:adjustRightInd w:val="0"/>
        <w:ind w:left="180" w:hanging="180"/>
      </w:pPr>
      <w:r>
        <w:t xml:space="preserve">5. </w:t>
      </w:r>
      <w:proofErr w:type="spellStart"/>
      <w:r>
        <w:t>Bizikova</w:t>
      </w:r>
      <w:proofErr w:type="spellEnd"/>
      <w:r>
        <w:t xml:space="preserve">, L., Roy, D., Swanson, D., </w:t>
      </w:r>
      <w:proofErr w:type="spellStart"/>
      <w:r>
        <w:t>Venema</w:t>
      </w:r>
      <w:proofErr w:type="spellEnd"/>
      <w:r>
        <w:t xml:space="preserve">, H. D., &amp; McCandless, M. 2013. </w:t>
      </w:r>
      <w:r w:rsidRPr="00452E00">
        <w:rPr>
          <w:i/>
          <w:iCs/>
        </w:rPr>
        <w:t>The water–energy–food security nexus: towards a practical planning and decision-support framework for landscape investment and risk management</w:t>
      </w:r>
      <w:r>
        <w:t>. Winnipeg, Canada: International Institute for Sustainable Development.</w:t>
      </w:r>
    </w:p>
    <w:p w14:paraId="3F88F706" w14:textId="7BBAB68E" w:rsidR="00B05638" w:rsidRDefault="00B05638" w:rsidP="00B05638">
      <w:pPr>
        <w:adjustRightInd w:val="0"/>
        <w:ind w:left="180" w:hanging="180"/>
      </w:pPr>
      <w:r>
        <w:t xml:space="preserve">6. Allan, T., </w:t>
      </w:r>
      <w:proofErr w:type="spellStart"/>
      <w:r>
        <w:t>Keulertz</w:t>
      </w:r>
      <w:proofErr w:type="spellEnd"/>
      <w:r>
        <w:t xml:space="preserve">, M., &amp; Woertz, E. 2015. The water–food–energy nexus: an introduction to nexus concepts and some conceptual and operational problems. </w:t>
      </w:r>
      <w:r w:rsidRPr="00AA5F87">
        <w:rPr>
          <w:i/>
          <w:iCs/>
        </w:rPr>
        <w:t>International Journal of Water Resources Development</w:t>
      </w:r>
      <w:r>
        <w:t xml:space="preserve"> </w:t>
      </w:r>
      <w:r w:rsidRPr="00AA5F87">
        <w:rPr>
          <w:b/>
          <w:bCs/>
        </w:rPr>
        <w:t>31(3),</w:t>
      </w:r>
      <w:r>
        <w:t xml:space="preserve"> 301-311. </w:t>
      </w:r>
      <w:r w:rsidRPr="00494787">
        <w:t>https://doi.org/10.1080/07900627.2015.1029118</w:t>
      </w:r>
    </w:p>
    <w:p w14:paraId="3C862178" w14:textId="0B040879" w:rsidR="00B05638" w:rsidRDefault="00B05638" w:rsidP="00B05638">
      <w:pPr>
        <w:adjustRightInd w:val="0"/>
        <w:ind w:left="180" w:hanging="180"/>
      </w:pPr>
      <w:r>
        <w:t xml:space="preserve">7. Leck, H., Conway, D., Bradshaw, M., &amp; Rees, J. 2015. Tracing the water-energy-food nexus: description, theory and practice. </w:t>
      </w:r>
      <w:r w:rsidRPr="00452E00">
        <w:rPr>
          <w:i/>
          <w:iCs/>
        </w:rPr>
        <w:t>Geography Compass</w:t>
      </w:r>
      <w:r w:rsidRPr="00452E00">
        <w:t xml:space="preserve"> </w:t>
      </w:r>
      <w:r w:rsidRPr="00452E00">
        <w:rPr>
          <w:b/>
          <w:bCs/>
        </w:rPr>
        <w:t>9/8,</w:t>
      </w:r>
      <w:r w:rsidRPr="00452E00">
        <w:t xml:space="preserve"> 445–460</w:t>
      </w:r>
      <w:r>
        <w:t>.</w:t>
      </w:r>
      <w:r w:rsidRPr="00452E00">
        <w:t xml:space="preserve"> </w:t>
      </w:r>
      <w:r w:rsidRPr="00494787">
        <w:t>https://doi.org/10.1111/gec3.12222</w:t>
      </w:r>
    </w:p>
    <w:p w14:paraId="0711F53B" w14:textId="23751578" w:rsidR="00B05638" w:rsidRDefault="00B05638" w:rsidP="00B05638">
      <w:pPr>
        <w:adjustRightInd w:val="0"/>
        <w:ind w:left="180" w:hanging="180"/>
      </w:pPr>
      <w:r>
        <w:t xml:space="preserve">8. </w:t>
      </w:r>
      <w:proofErr w:type="spellStart"/>
      <w:r>
        <w:t>Keairns</w:t>
      </w:r>
      <w:proofErr w:type="spellEnd"/>
      <w:r>
        <w:t xml:space="preserve">, D. L., </w:t>
      </w:r>
      <w:proofErr w:type="spellStart"/>
      <w:r>
        <w:t>Darton</w:t>
      </w:r>
      <w:proofErr w:type="spellEnd"/>
      <w:r>
        <w:t xml:space="preserve">, R. C., &amp; </w:t>
      </w:r>
      <w:proofErr w:type="spellStart"/>
      <w:r>
        <w:t>Irabien</w:t>
      </w:r>
      <w:proofErr w:type="spellEnd"/>
      <w:r>
        <w:t xml:space="preserve">, A. 2016. The energy-water-food nexus. </w:t>
      </w:r>
      <w:r w:rsidRPr="00AA5F87">
        <w:rPr>
          <w:i/>
          <w:iCs/>
        </w:rPr>
        <w:t>Annual Review of Chemical and Biomolecular Engineering</w:t>
      </w:r>
      <w:r>
        <w:t xml:space="preserve"> </w:t>
      </w:r>
      <w:r w:rsidRPr="00AA5F87">
        <w:rPr>
          <w:b/>
          <w:bCs/>
        </w:rPr>
        <w:t>7,</w:t>
      </w:r>
      <w:r>
        <w:t xml:space="preserve"> </w:t>
      </w:r>
      <w:r w:rsidRPr="00AA5F87">
        <w:t>239</w:t>
      </w:r>
      <w:r>
        <w:t>-2</w:t>
      </w:r>
      <w:r w:rsidRPr="00AA5F87">
        <w:t>62</w:t>
      </w:r>
      <w:r>
        <w:t xml:space="preserve">. </w:t>
      </w:r>
      <w:r w:rsidRPr="00494787">
        <w:t>https://doi.org/10.1146/annurev-chembioeng-080615-033539</w:t>
      </w:r>
    </w:p>
    <w:p w14:paraId="09C7CC37" w14:textId="74A110E8" w:rsidR="00B05638" w:rsidRDefault="00B05638" w:rsidP="00B05638">
      <w:pPr>
        <w:adjustRightInd w:val="0"/>
        <w:ind w:left="180" w:hanging="180"/>
      </w:pPr>
      <w:r>
        <w:t xml:space="preserve">9. </w:t>
      </w:r>
      <w:proofErr w:type="spellStart"/>
      <w:r>
        <w:t>Smajgl</w:t>
      </w:r>
      <w:proofErr w:type="spellEnd"/>
      <w:r>
        <w:t xml:space="preserve">, A., Ward, J., and </w:t>
      </w:r>
      <w:proofErr w:type="spellStart"/>
      <w:r>
        <w:t>Pluschke</w:t>
      </w:r>
      <w:proofErr w:type="spellEnd"/>
      <w:r>
        <w:t xml:space="preserve">, L. 2016. Water-food-energy nexus – </w:t>
      </w:r>
      <w:proofErr w:type="spellStart"/>
      <w:r>
        <w:t>realising</w:t>
      </w:r>
      <w:proofErr w:type="spellEnd"/>
      <w:r>
        <w:t xml:space="preserve"> a new paradigm. </w:t>
      </w:r>
      <w:r w:rsidRPr="00675607">
        <w:rPr>
          <w:i/>
          <w:iCs/>
        </w:rPr>
        <w:t>Journal of Hydrology</w:t>
      </w:r>
      <w:r>
        <w:t xml:space="preserve"> </w:t>
      </w:r>
      <w:r w:rsidRPr="00AA5F87">
        <w:rPr>
          <w:b/>
          <w:bCs/>
        </w:rPr>
        <w:t>533,</w:t>
      </w:r>
      <w:r>
        <w:t xml:space="preserve"> 533-540. </w:t>
      </w:r>
      <w:r w:rsidRPr="00494787">
        <w:t>https://doi.org/10.1016/j.jhydrol.2015.12.033</w:t>
      </w:r>
    </w:p>
    <w:p w14:paraId="08817224" w14:textId="4499E2C1" w:rsidR="00B05638" w:rsidRDefault="00B05638" w:rsidP="00B05638">
      <w:pPr>
        <w:adjustRightInd w:val="0"/>
        <w:ind w:left="180" w:hanging="180"/>
      </w:pPr>
      <w:r>
        <w:lastRenderedPageBreak/>
        <w:t>10. Al-</w:t>
      </w:r>
      <w:proofErr w:type="spellStart"/>
      <w:r>
        <w:t>Saidi</w:t>
      </w:r>
      <w:proofErr w:type="spellEnd"/>
      <w:r>
        <w:t xml:space="preserve">, M., &amp; </w:t>
      </w:r>
      <w:proofErr w:type="spellStart"/>
      <w:r>
        <w:t>Elagib</w:t>
      </w:r>
      <w:proofErr w:type="spellEnd"/>
      <w:r>
        <w:t xml:space="preserve">, N. A. 2017. Towards understanding the integrative approach of the water, energy and food nexus. </w:t>
      </w:r>
      <w:r w:rsidRPr="00675607">
        <w:rPr>
          <w:i/>
          <w:iCs/>
        </w:rPr>
        <w:t>Science of the Total Environment</w:t>
      </w:r>
      <w:r>
        <w:t xml:space="preserve"> </w:t>
      </w:r>
      <w:r w:rsidRPr="00675607">
        <w:rPr>
          <w:b/>
          <w:bCs/>
        </w:rPr>
        <w:t>574,</w:t>
      </w:r>
      <w:r>
        <w:t xml:space="preserve"> 1131-1139. </w:t>
      </w:r>
      <w:r w:rsidRPr="00675607">
        <w:t>https://doi.org/10.1016/j.scitotenv.2016.09.046</w:t>
      </w:r>
    </w:p>
    <w:p w14:paraId="5CE80F5D" w14:textId="185C78D6" w:rsidR="00F141CD" w:rsidRPr="00AA5F87" w:rsidRDefault="00F141CD" w:rsidP="00F141CD">
      <w:pPr>
        <w:adjustRightInd w:val="0"/>
        <w:ind w:left="180" w:hanging="180"/>
      </w:pPr>
      <w:r>
        <w:t xml:space="preserve">11. Albrecht, T. R., </w:t>
      </w:r>
      <w:proofErr w:type="spellStart"/>
      <w:r>
        <w:t>Crootof</w:t>
      </w:r>
      <w:proofErr w:type="spellEnd"/>
      <w:r>
        <w:t xml:space="preserve">, A., &amp; Scott, C. A. 2018. The water-energy-food nexus: a systematic review of methods for nexus assessment. </w:t>
      </w:r>
      <w:r w:rsidRPr="00AA5F87">
        <w:rPr>
          <w:i/>
          <w:iCs/>
        </w:rPr>
        <w:t>Environmental Research Letters</w:t>
      </w:r>
      <w:r>
        <w:t xml:space="preserve"> </w:t>
      </w:r>
      <w:r>
        <w:rPr>
          <w:b/>
          <w:bCs/>
        </w:rPr>
        <w:t>13,</w:t>
      </w:r>
      <w:r>
        <w:t xml:space="preserve"> 043002. </w:t>
      </w:r>
      <w:r w:rsidRPr="00F87BD0">
        <w:t>https://doi.org/10.1088/1748-9326/aaa9c6</w:t>
      </w:r>
    </w:p>
    <w:p w14:paraId="3E622ED4" w14:textId="1F849535" w:rsidR="00F141CD" w:rsidRDefault="00F141CD" w:rsidP="00F141CD">
      <w:pPr>
        <w:adjustRightInd w:val="0"/>
        <w:ind w:left="180" w:hanging="180"/>
      </w:pPr>
      <w:r>
        <w:t xml:space="preserve">12. Kurian, M., Scott, C., Reddy, V. R., Alabaster, G., </w:t>
      </w:r>
      <w:proofErr w:type="spellStart"/>
      <w:r>
        <w:t>Nardocci</w:t>
      </w:r>
      <w:proofErr w:type="spellEnd"/>
      <w:r>
        <w:t xml:space="preserve">, A., </w:t>
      </w:r>
      <w:proofErr w:type="spellStart"/>
      <w:r>
        <w:t>Portney</w:t>
      </w:r>
      <w:proofErr w:type="spellEnd"/>
      <w:r>
        <w:t xml:space="preserve">, K., Boer, R., &amp; Hannibal, B. 2019. One swallow does not make a summer: siloes, trade-offs and synergies in the water-energy-food nexus. </w:t>
      </w:r>
      <w:r w:rsidRPr="00936C25">
        <w:rPr>
          <w:i/>
          <w:iCs/>
        </w:rPr>
        <w:t>Frontiers in Environmental Science</w:t>
      </w:r>
      <w:r>
        <w:t xml:space="preserve"> </w:t>
      </w:r>
      <w:r w:rsidRPr="00452E00">
        <w:rPr>
          <w:b/>
          <w:bCs/>
        </w:rPr>
        <w:t>7,</w:t>
      </w:r>
      <w:r>
        <w:t xml:space="preserve"> 32. </w:t>
      </w:r>
      <w:r w:rsidRPr="00494787">
        <w:t>https://doi.org/10.3389/fenvs.2019.00032</w:t>
      </w:r>
    </w:p>
    <w:p w14:paraId="0624C3B7" w14:textId="34357440" w:rsidR="00F141CD" w:rsidRDefault="00F141CD" w:rsidP="00F141CD">
      <w:pPr>
        <w:adjustRightInd w:val="0"/>
        <w:ind w:left="180" w:hanging="180"/>
      </w:pPr>
      <w:r>
        <w:t xml:space="preserve">13. Launch Alaska. 2020. Houston we have a solution: scaling moonshot solutions to the planet’s biggest problems. Anchorage, Alaska: Launch Alaska. </w:t>
      </w:r>
      <w:r w:rsidRPr="00F32FF6">
        <w:t>https://www.launchalaska.com/</w:t>
      </w:r>
    </w:p>
    <w:p w14:paraId="0DA2F767" w14:textId="608B200F" w:rsidR="00F141CD" w:rsidRPr="00936C25" w:rsidRDefault="00F141CD" w:rsidP="00F141CD">
      <w:pPr>
        <w:adjustRightInd w:val="0"/>
        <w:ind w:left="180" w:hanging="180"/>
      </w:pPr>
      <w:r>
        <w:t xml:space="preserve">14. </w:t>
      </w:r>
      <w:r w:rsidRPr="00936C25">
        <w:t xml:space="preserve">Loring, P. A., Gerlach, S. C., &amp; Huntington. H. P. 2013. The new environmental security: linking food, water, and energy for integrative and diagnostic social-ecological research. </w:t>
      </w:r>
      <w:r w:rsidRPr="00936C25">
        <w:rPr>
          <w:i/>
          <w:iCs/>
        </w:rPr>
        <w:t>Journal of Agriculture, Food Systems, and Community Development</w:t>
      </w:r>
      <w:r w:rsidRPr="00936C25">
        <w:t xml:space="preserve"> </w:t>
      </w:r>
      <w:r w:rsidRPr="00936C25">
        <w:rPr>
          <w:b/>
          <w:bCs/>
        </w:rPr>
        <w:t>3</w:t>
      </w:r>
      <w:r w:rsidRPr="00936C25">
        <w:t>, 55–61. https://doi.org/10.5304/jafscd.2013.034.005.</w:t>
      </w:r>
    </w:p>
    <w:p w14:paraId="381F7E71" w14:textId="4F6E4CC7" w:rsidR="00F141CD" w:rsidRDefault="00F141CD" w:rsidP="00F141CD">
      <w:pPr>
        <w:adjustRightInd w:val="0"/>
        <w:ind w:left="180" w:hanging="180"/>
      </w:pPr>
      <w:r>
        <w:t xml:space="preserve">15. </w:t>
      </w:r>
      <w:proofErr w:type="spellStart"/>
      <w:r w:rsidRPr="00936C25">
        <w:t>Grumbine</w:t>
      </w:r>
      <w:proofErr w:type="spellEnd"/>
      <w:r w:rsidRPr="00936C25">
        <w:t xml:space="preserve">, R. E. 2014. Assessing environmental security in China. </w:t>
      </w:r>
      <w:r w:rsidRPr="00936C25">
        <w:rPr>
          <w:i/>
          <w:iCs/>
        </w:rPr>
        <w:t>Frontiers in Ecology and the Environment</w:t>
      </w:r>
      <w:r w:rsidRPr="00936C25">
        <w:t xml:space="preserve"> </w:t>
      </w:r>
      <w:r w:rsidRPr="00936C25">
        <w:rPr>
          <w:b/>
          <w:bCs/>
        </w:rPr>
        <w:t>12</w:t>
      </w:r>
      <w:r w:rsidRPr="00936C25">
        <w:t>, 403</w:t>
      </w:r>
      <w:r>
        <w:t>-</w:t>
      </w:r>
      <w:r w:rsidRPr="00936C25">
        <w:t>11. https://doi.org/10.1890/130147.</w:t>
      </w:r>
    </w:p>
    <w:p w14:paraId="51AB1A55" w14:textId="5EA8CA8C" w:rsidR="00F141CD" w:rsidRDefault="00F141CD" w:rsidP="00F141CD">
      <w:pPr>
        <w:adjustRightInd w:val="0"/>
        <w:ind w:left="180" w:hanging="180"/>
      </w:pPr>
      <w:r>
        <w:t xml:space="preserve">16. </w:t>
      </w:r>
      <w:proofErr w:type="spellStart"/>
      <w:r>
        <w:t>Shannak</w:t>
      </w:r>
      <w:proofErr w:type="spellEnd"/>
      <w:r>
        <w:t xml:space="preserve">, S., Mabrey, D., &amp; Vittorio, M. 2018. </w:t>
      </w:r>
      <w:r w:rsidRPr="005A13F1">
        <w:t xml:space="preserve">Moving from theory to practice in the water–energy–food nexus: an evaluation of existing models and frameworks. </w:t>
      </w:r>
      <w:r w:rsidRPr="005A13F1">
        <w:rPr>
          <w:i/>
          <w:iCs/>
        </w:rPr>
        <w:t>Water-Energy Nexus</w:t>
      </w:r>
      <w:r w:rsidRPr="005A13F1">
        <w:t xml:space="preserve">, </w:t>
      </w:r>
      <w:r w:rsidRPr="005A13F1">
        <w:rPr>
          <w:b/>
          <w:bCs/>
        </w:rPr>
        <w:t>1</w:t>
      </w:r>
      <w:r w:rsidRPr="005A13F1">
        <w:t>, 17-25.</w:t>
      </w:r>
      <w:r w:rsidRPr="00494787">
        <w:t xml:space="preserve"> https://doi.org/10.1016/j.wen.2018.04.001</w:t>
      </w:r>
    </w:p>
    <w:p w14:paraId="1ADB6282" w14:textId="126B4A65" w:rsidR="00D726CD" w:rsidRDefault="00D726CD" w:rsidP="00D726CD">
      <w:pPr>
        <w:adjustRightInd w:val="0"/>
        <w:ind w:left="180" w:hanging="180"/>
      </w:pPr>
      <w:r>
        <w:t xml:space="preserve">17. ICIMOD. 2012. </w:t>
      </w:r>
      <w:r w:rsidRPr="00013A20">
        <w:rPr>
          <w:i/>
          <w:iCs/>
        </w:rPr>
        <w:t>Contribution of Himalayan ecosystems to water, energy, and food security in South Asia: a nexus approach</w:t>
      </w:r>
      <w:r>
        <w:t>. Kathmandu, Nepal: International Centre for Integrated Mountain Development.</w:t>
      </w:r>
    </w:p>
    <w:p w14:paraId="673CB447" w14:textId="6E09B3B2" w:rsidR="00D726CD" w:rsidRDefault="00D726CD" w:rsidP="00D726CD">
      <w:pPr>
        <w:adjustRightInd w:val="0"/>
        <w:ind w:left="180" w:hanging="180"/>
      </w:pPr>
      <w:r>
        <w:t xml:space="preserve">18. FAO. 2014. </w:t>
      </w:r>
      <w:r w:rsidRPr="00675607">
        <w:rPr>
          <w:i/>
          <w:iCs/>
        </w:rPr>
        <w:t>The water-energy-food nexus: a new approach in support of food security and sustainable agriculture</w:t>
      </w:r>
      <w:r>
        <w:t>. Rome: Food and Agriculture Organization of the United Nations.</w:t>
      </w:r>
    </w:p>
    <w:p w14:paraId="5F33AB64" w14:textId="3158EE1A" w:rsidR="00D726CD" w:rsidRDefault="00D726CD" w:rsidP="00D726CD">
      <w:pPr>
        <w:adjustRightInd w:val="0"/>
        <w:ind w:left="180" w:hanging="180"/>
        <w:rPr>
          <w:rStyle w:val="Hyperlink"/>
        </w:rPr>
      </w:pPr>
      <w:r>
        <w:t xml:space="preserve">19. Liu, J., Hull, V., </w:t>
      </w:r>
      <w:proofErr w:type="spellStart"/>
      <w:r>
        <w:t>Godfray</w:t>
      </w:r>
      <w:proofErr w:type="spellEnd"/>
      <w:r>
        <w:t xml:space="preserve">, H. C. J., Tilman, D., </w:t>
      </w:r>
      <w:proofErr w:type="spellStart"/>
      <w:r>
        <w:t>Gleick</w:t>
      </w:r>
      <w:proofErr w:type="spellEnd"/>
      <w:r>
        <w:t xml:space="preserve">, P., Hoff, H., Pahl-Wostl, C., Xu, Z., Chung, M.G., Sun, J., and Li, S. 2018. Nexus approaches to global sustainable development. </w:t>
      </w:r>
      <w:r w:rsidRPr="002227A9">
        <w:rPr>
          <w:i/>
          <w:iCs/>
        </w:rPr>
        <w:t>Nature Sustainability</w:t>
      </w:r>
      <w:r>
        <w:t xml:space="preserve"> </w:t>
      </w:r>
      <w:r w:rsidRPr="002227A9">
        <w:rPr>
          <w:b/>
          <w:bCs/>
        </w:rPr>
        <w:t>1</w:t>
      </w:r>
      <w:r>
        <w:t xml:space="preserve">, 466-476. </w:t>
      </w:r>
      <w:r w:rsidRPr="002227A9">
        <w:t>https://doi.org/10.1038/s41893-018-0135-8</w:t>
      </w:r>
    </w:p>
    <w:p w14:paraId="382769C4" w14:textId="1BAD9E76" w:rsidR="00D726CD" w:rsidRDefault="00D726CD" w:rsidP="00D726CD">
      <w:pPr>
        <w:adjustRightInd w:val="0"/>
        <w:ind w:left="180" w:hanging="180"/>
        <w:rPr>
          <w:rStyle w:val="Hyperlink"/>
        </w:rPr>
      </w:pPr>
      <w:r>
        <w:t xml:space="preserve">20. Walker, B., </w:t>
      </w:r>
      <w:proofErr w:type="spellStart"/>
      <w:r>
        <w:t>Holling</w:t>
      </w:r>
      <w:proofErr w:type="spellEnd"/>
      <w:r>
        <w:t xml:space="preserve">, C. S., Carpenter, S. R., &amp; </w:t>
      </w:r>
      <w:proofErr w:type="spellStart"/>
      <w:r>
        <w:t>Kinzig</w:t>
      </w:r>
      <w:proofErr w:type="spellEnd"/>
      <w:r>
        <w:t xml:space="preserve">, A. P. 2004. Resilience, adaptability and transformability in social–ecological systems. </w:t>
      </w:r>
      <w:r w:rsidRPr="00744279">
        <w:rPr>
          <w:i/>
          <w:iCs/>
        </w:rPr>
        <w:t>Ecology and Society</w:t>
      </w:r>
      <w:r>
        <w:t xml:space="preserve"> 9(2). </w:t>
      </w:r>
      <w:r w:rsidRPr="00494787">
        <w:t>https://doi.org/10.5751/ES-00650-090205</w:t>
      </w:r>
    </w:p>
    <w:p w14:paraId="4EF3C725" w14:textId="01AE3EDD" w:rsidR="00D726CD" w:rsidRDefault="00D726CD" w:rsidP="00D726CD">
      <w:pPr>
        <w:adjustRightInd w:val="0"/>
        <w:ind w:left="180" w:hanging="180"/>
      </w:pPr>
      <w:r>
        <w:t xml:space="preserve">21. </w:t>
      </w:r>
      <w:proofErr w:type="spellStart"/>
      <w:r>
        <w:t>Allouche</w:t>
      </w:r>
      <w:proofErr w:type="spellEnd"/>
      <w:r>
        <w:t xml:space="preserve">, J., Middleton, C., &amp; </w:t>
      </w:r>
      <w:proofErr w:type="spellStart"/>
      <w:r>
        <w:t>Gyawal</w:t>
      </w:r>
      <w:proofErr w:type="spellEnd"/>
      <w:r>
        <w:t>, D. (2014). Nexus nirvana or nexus nullity? A dynamic approach to security and sustainability in the water–energy–food nexus. STEPS Working Paper 63. Brighton: STEPS Centre.</w:t>
      </w:r>
    </w:p>
    <w:p w14:paraId="27360965" w14:textId="3C888E01" w:rsidR="00D726CD" w:rsidRDefault="00D726CD" w:rsidP="00D726CD">
      <w:pPr>
        <w:adjustRightInd w:val="0"/>
        <w:ind w:left="180" w:hanging="180"/>
      </w:pPr>
      <w:r>
        <w:t xml:space="preserve">22. </w:t>
      </w:r>
      <w:r w:rsidRPr="001C1EEF">
        <w:t>Goldsmith, S. G. 2008. Understanding Alaska's remote rural economy. UA Research Summary No. 10. Anchorage: Institute of Social and Economic Research, University of Alaska Anchorage.</w:t>
      </w:r>
    </w:p>
    <w:p w14:paraId="7FBA4CB4" w14:textId="09DB58CE" w:rsidR="00D726CD" w:rsidRDefault="00D726CD" w:rsidP="00D726CD">
      <w:pPr>
        <w:adjustRightInd w:val="0"/>
        <w:ind w:left="180" w:hanging="180"/>
      </w:pPr>
      <w:r>
        <w:t xml:space="preserve">23. </w:t>
      </w:r>
      <w:r w:rsidRPr="001C1EEF">
        <w:t xml:space="preserve">Berman, M., &amp; Schmidt, J.I. 2019. Economic </w:t>
      </w:r>
      <w:r>
        <w:t>e</w:t>
      </w:r>
      <w:r w:rsidRPr="001C1EEF">
        <w:t xml:space="preserve">ffects of </w:t>
      </w:r>
      <w:r>
        <w:t>c</w:t>
      </w:r>
      <w:r w:rsidRPr="001C1EEF">
        <w:t xml:space="preserve">limate </w:t>
      </w:r>
      <w:r>
        <w:t>c</w:t>
      </w:r>
      <w:r w:rsidRPr="001C1EEF">
        <w:t xml:space="preserve">hange in Alaska. </w:t>
      </w:r>
      <w:r w:rsidRPr="001C1EEF">
        <w:rPr>
          <w:i/>
          <w:iCs/>
        </w:rPr>
        <w:t>Weather, Climate and Society</w:t>
      </w:r>
      <w:r w:rsidRPr="001C1EEF">
        <w:t xml:space="preserve"> </w:t>
      </w:r>
      <w:r w:rsidRPr="001C1EEF">
        <w:rPr>
          <w:b/>
          <w:bCs/>
        </w:rPr>
        <w:t>11</w:t>
      </w:r>
      <w:r w:rsidRPr="001C1EEF">
        <w:t>, 245-258.</w:t>
      </w:r>
      <w:r w:rsidRPr="00F87BD0">
        <w:t xml:space="preserve"> https://doi.org/10.1175/WCAS-D-18-0056.1</w:t>
      </w:r>
    </w:p>
    <w:p w14:paraId="50322CC0" w14:textId="47A3CF90" w:rsidR="00D726CD" w:rsidRDefault="00D726CD" w:rsidP="00D726CD">
      <w:pPr>
        <w:adjustRightInd w:val="0"/>
        <w:ind w:left="180" w:hanging="180"/>
      </w:pPr>
      <w:r>
        <w:t xml:space="preserve">24. </w:t>
      </w:r>
      <w:r w:rsidRPr="001C1EEF">
        <w:t xml:space="preserve">Fall, J. A., &amp; </w:t>
      </w:r>
      <w:proofErr w:type="spellStart"/>
      <w:r w:rsidRPr="001C1EEF">
        <w:t>Kostick</w:t>
      </w:r>
      <w:proofErr w:type="spellEnd"/>
      <w:r w:rsidRPr="001C1EEF">
        <w:t>, M. L. 2018 Food security and wild resource harvest in Alaska.  Juneau: Alaska Department of Fish and Game, Division of Subsistence.</w:t>
      </w:r>
    </w:p>
    <w:p w14:paraId="100A1979" w14:textId="33E740A0" w:rsidR="00D726CD" w:rsidRDefault="00D726CD" w:rsidP="00D726CD">
      <w:pPr>
        <w:adjustRightInd w:val="0"/>
        <w:ind w:left="180" w:hanging="180"/>
      </w:pPr>
      <w:r>
        <w:t xml:space="preserve">25. </w:t>
      </w:r>
      <w:r w:rsidRPr="00936C25">
        <w:t xml:space="preserve">ICC. 2015. </w:t>
      </w:r>
      <w:r w:rsidRPr="00936C25">
        <w:rPr>
          <w:i/>
          <w:iCs/>
        </w:rPr>
        <w:t xml:space="preserve">Alaskan Inuit food security conceptual framework: how to assess the </w:t>
      </w:r>
      <w:r>
        <w:rPr>
          <w:i/>
          <w:iCs/>
        </w:rPr>
        <w:t>A</w:t>
      </w:r>
      <w:r w:rsidRPr="00936C25">
        <w:rPr>
          <w:i/>
          <w:iCs/>
        </w:rPr>
        <w:t>rctic from an Inuit perspective</w:t>
      </w:r>
      <w:r w:rsidRPr="00936C25">
        <w:t xml:space="preserve">. </w:t>
      </w:r>
      <w:r>
        <w:t xml:space="preserve">Anchorage: </w:t>
      </w:r>
      <w:r w:rsidRPr="00936C25">
        <w:t>Inuit Circumpolar Council</w:t>
      </w:r>
      <w:r>
        <w:t>-Alaska</w:t>
      </w:r>
      <w:r w:rsidRPr="00936C25">
        <w:t>.</w:t>
      </w:r>
    </w:p>
    <w:p w14:paraId="7589287A" w14:textId="6AF84169" w:rsidR="00D726CD" w:rsidRPr="00F90693" w:rsidRDefault="00D726CD" w:rsidP="00D726CD">
      <w:pPr>
        <w:adjustRightInd w:val="0"/>
        <w:ind w:left="180" w:hanging="180"/>
        <w:rPr>
          <w:rFonts w:eastAsia="Times New Roman" w:cs="Times New Roman"/>
          <w:lang w:val="en-CA" w:eastAsia="en-CA"/>
        </w:rPr>
      </w:pPr>
      <w:r>
        <w:lastRenderedPageBreak/>
        <w:t xml:space="preserve">26. </w:t>
      </w:r>
      <w:r w:rsidRPr="00936C25">
        <w:t xml:space="preserve">Loring, P. A., &amp; Gerlach, S. C. 2015. Searching for progress on food security in the North American North: a research synthesis and meta-analysis of the peer-review literature. </w:t>
      </w:r>
      <w:r w:rsidRPr="00936C25">
        <w:rPr>
          <w:i/>
          <w:iCs/>
        </w:rPr>
        <w:t>Arctic</w:t>
      </w:r>
      <w:r w:rsidRPr="00936C25">
        <w:t xml:space="preserve"> </w:t>
      </w:r>
      <w:r w:rsidRPr="00936C25">
        <w:rPr>
          <w:b/>
          <w:bCs/>
        </w:rPr>
        <w:t>68</w:t>
      </w:r>
      <w:r w:rsidRPr="00936C25">
        <w:t xml:space="preserve">, 380–92. </w:t>
      </w:r>
      <w:r w:rsidRPr="00494787">
        <w:t>https://doi.org/10.14430/arctic4509</w:t>
      </w:r>
    </w:p>
    <w:p w14:paraId="1C85CD8D" w14:textId="3309F9E5" w:rsidR="00D726CD" w:rsidRDefault="00D726CD" w:rsidP="00D726CD">
      <w:pPr>
        <w:adjustRightInd w:val="0"/>
        <w:ind w:left="180" w:hanging="180"/>
        <w:rPr>
          <w:rStyle w:val="Hyperlink"/>
        </w:rPr>
      </w:pPr>
      <w:r>
        <w:t xml:space="preserve">27. Fall, James A. 2016. Regional patterns of fish and wildlife harvests in contemporary Alaska. </w:t>
      </w:r>
      <w:r w:rsidRPr="00744279">
        <w:rPr>
          <w:i/>
          <w:iCs/>
        </w:rPr>
        <w:t>Arctic</w:t>
      </w:r>
      <w:r>
        <w:t xml:space="preserve"> 69(1):47-74. </w:t>
      </w:r>
      <w:r w:rsidRPr="00494787">
        <w:t>https://doi.org/10.14430/arctic4547</w:t>
      </w:r>
    </w:p>
    <w:p w14:paraId="600313B8" w14:textId="38DECA2D" w:rsidR="00D726CD" w:rsidRDefault="00D726CD" w:rsidP="00D726CD">
      <w:pPr>
        <w:adjustRightInd w:val="0"/>
        <w:ind w:left="180" w:hanging="180"/>
      </w:pPr>
      <w:r>
        <w:t xml:space="preserve">28. </w:t>
      </w:r>
      <w:r w:rsidRPr="001C1EEF">
        <w:t xml:space="preserve">Eichelberger, L. P. 2010. Living in utility scarcity: energy and water insecurity in northwest Alaska. </w:t>
      </w:r>
      <w:r w:rsidRPr="001C1EEF">
        <w:rPr>
          <w:i/>
          <w:iCs/>
        </w:rPr>
        <w:t>American Journal of Public Health</w:t>
      </w:r>
      <w:r w:rsidRPr="001C1EEF">
        <w:t xml:space="preserve"> </w:t>
      </w:r>
      <w:r w:rsidRPr="001C1EEF">
        <w:rPr>
          <w:b/>
          <w:bCs/>
        </w:rPr>
        <w:t>100</w:t>
      </w:r>
      <w:r w:rsidRPr="001C1EEF">
        <w:t xml:space="preserve">, 1010–18. </w:t>
      </w:r>
      <w:r w:rsidRPr="001407A3">
        <w:t>https://doi.org/10.2105/AJPH.2009.160846</w:t>
      </w:r>
      <w:r w:rsidRPr="001C1EEF">
        <w:t>.</w:t>
      </w:r>
    </w:p>
    <w:p w14:paraId="4AE2B386" w14:textId="79DF87B4" w:rsidR="00D726CD" w:rsidRPr="00625D67" w:rsidRDefault="00D726CD" w:rsidP="00D726CD">
      <w:pPr>
        <w:adjustRightInd w:val="0"/>
        <w:ind w:left="180" w:hanging="180"/>
      </w:pPr>
      <w:r>
        <w:rPr>
          <w:rFonts w:eastAsia="Times New Roman" w:cs="Times New Roman"/>
          <w:lang w:val="en-CA" w:eastAsia="en-CA"/>
        </w:rPr>
        <w:t xml:space="preserve">29. </w:t>
      </w:r>
      <w:r w:rsidRPr="00936C25">
        <w:rPr>
          <w:rFonts w:eastAsia="Times New Roman" w:cs="Times New Roman"/>
          <w:lang w:val="en-CA" w:eastAsia="en-CA"/>
        </w:rPr>
        <w:t xml:space="preserve">Hossain, Y., Loring, P. A., &amp; </w:t>
      </w:r>
      <w:proofErr w:type="spellStart"/>
      <w:r w:rsidRPr="00936C25">
        <w:rPr>
          <w:rFonts w:eastAsia="Times New Roman" w:cs="Times New Roman"/>
          <w:lang w:val="en-CA" w:eastAsia="en-CA"/>
        </w:rPr>
        <w:t>Marsik</w:t>
      </w:r>
      <w:proofErr w:type="spellEnd"/>
      <w:r w:rsidRPr="00936C25">
        <w:rPr>
          <w:rFonts w:eastAsia="Times New Roman" w:cs="Times New Roman"/>
          <w:lang w:val="en-CA" w:eastAsia="en-CA"/>
        </w:rPr>
        <w:t xml:space="preserve">, T. 2016. Defining energy security in the rural North - historical and contemporary perspectives from Alaska. </w:t>
      </w:r>
      <w:r w:rsidRPr="00936C25">
        <w:rPr>
          <w:rFonts w:eastAsia="Times New Roman" w:cs="Times New Roman"/>
          <w:i/>
          <w:iCs/>
          <w:lang w:val="en-CA" w:eastAsia="en-CA"/>
        </w:rPr>
        <w:t>Energy Research and Social Science</w:t>
      </w:r>
      <w:r w:rsidRPr="00936C25">
        <w:rPr>
          <w:rFonts w:eastAsia="Times New Roman" w:cs="Times New Roman"/>
          <w:lang w:val="en-CA" w:eastAsia="en-CA"/>
        </w:rPr>
        <w:t xml:space="preserve"> </w:t>
      </w:r>
      <w:r w:rsidRPr="00936C25">
        <w:rPr>
          <w:rFonts w:eastAsia="Times New Roman" w:cs="Times New Roman"/>
          <w:b/>
          <w:bCs/>
          <w:lang w:val="en-CA" w:eastAsia="en-CA"/>
        </w:rPr>
        <w:t>16</w:t>
      </w:r>
      <w:r w:rsidRPr="00936C25">
        <w:rPr>
          <w:rFonts w:eastAsia="Times New Roman" w:cs="Times New Roman"/>
          <w:lang w:val="en-CA" w:eastAsia="en-CA"/>
        </w:rPr>
        <w:t>, 89-97.</w:t>
      </w:r>
      <w:r w:rsidRPr="00F87BD0">
        <w:t xml:space="preserve"> </w:t>
      </w:r>
      <w:r w:rsidRPr="00F87BD0">
        <w:rPr>
          <w:rFonts w:eastAsia="Times New Roman" w:cs="Times New Roman"/>
          <w:lang w:val="en-CA" w:eastAsia="en-CA"/>
        </w:rPr>
        <w:t>https://doi.org/10.1016/j.erss.2016.03.014</w:t>
      </w:r>
    </w:p>
    <w:p w14:paraId="63273B52" w14:textId="14F7FB15" w:rsidR="00D726CD" w:rsidRDefault="00D726CD" w:rsidP="00D726CD">
      <w:pPr>
        <w:adjustRightInd w:val="0"/>
        <w:ind w:left="180" w:hanging="180"/>
      </w:pPr>
      <w:r>
        <w:t xml:space="preserve">30. </w:t>
      </w:r>
      <w:r w:rsidRPr="00221F6A">
        <w:t xml:space="preserve">Penn, H. J. F., Loring, P. A., &amp; Schnabel, W. E. 2017. Diagnosing water security in the rural North with an environmental security framework. </w:t>
      </w:r>
      <w:r w:rsidRPr="00221F6A">
        <w:rPr>
          <w:i/>
          <w:iCs/>
        </w:rPr>
        <w:t>Journal of Environmental Management</w:t>
      </w:r>
      <w:r w:rsidRPr="00221F6A">
        <w:t xml:space="preserve"> </w:t>
      </w:r>
      <w:r w:rsidRPr="00221F6A">
        <w:rPr>
          <w:b/>
          <w:bCs/>
        </w:rPr>
        <w:t>199</w:t>
      </w:r>
      <w:r w:rsidRPr="00221F6A">
        <w:t xml:space="preserve">, 91-98. </w:t>
      </w:r>
      <w:r w:rsidRPr="0072079A">
        <w:t>https://doi.org/10.1016/j.jenvman.2017.04.088</w:t>
      </w:r>
    </w:p>
    <w:p w14:paraId="6DACD0D3" w14:textId="4A18A568" w:rsidR="00D726CD" w:rsidRDefault="00D726CD" w:rsidP="00D726CD">
      <w:pPr>
        <w:adjustRightInd w:val="0"/>
        <w:ind w:left="180" w:hanging="180"/>
      </w:pPr>
      <w:r>
        <w:t xml:space="preserve">31. </w:t>
      </w:r>
      <w:proofErr w:type="spellStart"/>
      <w:r>
        <w:t>Cañizares</w:t>
      </w:r>
      <w:proofErr w:type="spellEnd"/>
      <w:r>
        <w:t xml:space="preserve">, C., </w:t>
      </w:r>
      <w:proofErr w:type="spellStart"/>
      <w:r>
        <w:t>Nathwani</w:t>
      </w:r>
      <w:proofErr w:type="spellEnd"/>
      <w:r>
        <w:t xml:space="preserve">, J., &amp; </w:t>
      </w:r>
      <w:proofErr w:type="spellStart"/>
      <w:r>
        <w:t>Kammen</w:t>
      </w:r>
      <w:proofErr w:type="spellEnd"/>
      <w:r>
        <w:t xml:space="preserve">, D. 2019. Electricity for all: issues, challenges, and solutions for energy-disadvantaged communities. </w:t>
      </w:r>
      <w:r>
        <w:rPr>
          <w:rStyle w:val="Emphasis"/>
        </w:rPr>
        <w:t>Proceedings of the IEEE</w:t>
      </w:r>
      <w:r>
        <w:rPr>
          <w:rStyle w:val="Emphasis"/>
          <w:i w:val="0"/>
          <w:iCs w:val="0"/>
        </w:rPr>
        <w:t xml:space="preserve">, </w:t>
      </w:r>
      <w:r>
        <w:rPr>
          <w:rStyle w:val="Emphasis"/>
          <w:b/>
          <w:bCs/>
          <w:i w:val="0"/>
          <w:iCs w:val="0"/>
        </w:rPr>
        <w:t>107</w:t>
      </w:r>
      <w:r>
        <w:rPr>
          <w:rStyle w:val="Emphasis"/>
          <w:i w:val="0"/>
          <w:iCs w:val="0"/>
        </w:rPr>
        <w:t>(9),</w:t>
      </w:r>
      <w:r>
        <w:t xml:space="preserve"> 1775-1779. </w:t>
      </w:r>
      <w:r w:rsidRPr="00494787">
        <w:t>https://doi.org/10.1109/JPROC.2019.2935856</w:t>
      </w:r>
    </w:p>
    <w:p w14:paraId="4368927F" w14:textId="1405015A" w:rsidR="00D869DB" w:rsidRDefault="00D869DB" w:rsidP="00D869DB">
      <w:pPr>
        <w:adjustRightInd w:val="0"/>
        <w:ind w:left="180" w:hanging="180"/>
      </w:pPr>
      <w:r>
        <w:t xml:space="preserve">32. Cairns, R., &amp; </w:t>
      </w:r>
      <w:proofErr w:type="spellStart"/>
      <w:r>
        <w:t>Krzywozynska</w:t>
      </w:r>
      <w:proofErr w:type="spellEnd"/>
      <w:r>
        <w:t xml:space="preserve">, A. 2016. </w:t>
      </w:r>
      <w:r w:rsidRPr="001407A3">
        <w:t xml:space="preserve">Anatomy of a buzzword: </w:t>
      </w:r>
      <w:r>
        <w:t>t</w:t>
      </w:r>
      <w:r w:rsidRPr="001407A3">
        <w:t xml:space="preserve">he emergence of ‘the water-energy-food nexus’ in UK natural resource debates. </w:t>
      </w:r>
      <w:r w:rsidRPr="001407A3">
        <w:rPr>
          <w:i/>
          <w:iCs/>
        </w:rPr>
        <w:t xml:space="preserve">Environmental Science </w:t>
      </w:r>
      <w:r>
        <w:rPr>
          <w:i/>
          <w:iCs/>
        </w:rPr>
        <w:t>&amp;</w:t>
      </w:r>
      <w:r w:rsidRPr="001407A3">
        <w:rPr>
          <w:i/>
          <w:iCs/>
        </w:rPr>
        <w:t xml:space="preserve"> Policy</w:t>
      </w:r>
      <w:r>
        <w:t xml:space="preserve">, </w:t>
      </w:r>
      <w:r w:rsidRPr="001407A3">
        <w:rPr>
          <w:b/>
          <w:bCs/>
        </w:rPr>
        <w:t>64</w:t>
      </w:r>
      <w:r>
        <w:t>, 164-170.</w:t>
      </w:r>
      <w:r w:rsidRPr="00F87BD0">
        <w:t xml:space="preserve"> https://doi.org/10.1016/j.envsci.2016.07.007</w:t>
      </w:r>
    </w:p>
    <w:p w14:paraId="62DAB220" w14:textId="68BA181A" w:rsidR="00D869DB" w:rsidRDefault="00D869DB" w:rsidP="00D869DB">
      <w:pPr>
        <w:adjustRightInd w:val="0"/>
        <w:ind w:left="180" w:hanging="180"/>
      </w:pPr>
      <w:r>
        <w:t xml:space="preserve">33. Martinez-Hernandez, E., Leach, M., &amp; Yang, A. 2017. </w:t>
      </w:r>
      <w:r>
        <w:rPr>
          <w:rStyle w:val="title-text"/>
        </w:rPr>
        <w:t xml:space="preserve">Understanding water-energy-food and ecosystem interactions using the nexus simulation tool </w:t>
      </w:r>
      <w:proofErr w:type="spellStart"/>
      <w:r>
        <w:rPr>
          <w:rStyle w:val="title-text"/>
        </w:rPr>
        <w:t>NexSym</w:t>
      </w:r>
      <w:proofErr w:type="spellEnd"/>
      <w:r>
        <w:t xml:space="preserve">. </w:t>
      </w:r>
      <w:r w:rsidRPr="005A13F1">
        <w:rPr>
          <w:i/>
          <w:iCs/>
        </w:rPr>
        <w:t>Applied Energy</w:t>
      </w:r>
      <w:r>
        <w:t xml:space="preserve">, </w:t>
      </w:r>
      <w:r w:rsidRPr="005A13F1">
        <w:rPr>
          <w:b/>
          <w:bCs/>
        </w:rPr>
        <w:t>206</w:t>
      </w:r>
      <w:r>
        <w:t>, 1009-1021.</w:t>
      </w:r>
      <w:r w:rsidRPr="00494787">
        <w:t xml:space="preserve"> https://doi.org/10.1016/j.apenergy.2017.09.022</w:t>
      </w:r>
    </w:p>
    <w:p w14:paraId="3B847B80" w14:textId="4139AA7E" w:rsidR="00D869DB" w:rsidRDefault="00D869DB" w:rsidP="00D869DB">
      <w:pPr>
        <w:adjustRightInd w:val="0"/>
        <w:ind w:left="180" w:hanging="180"/>
        <w:rPr>
          <w:rFonts w:eastAsia="Times New Roman" w:cs="Times New Roman"/>
          <w:lang w:val="en-CA" w:eastAsia="en-CA"/>
        </w:rPr>
      </w:pPr>
      <w:r>
        <w:rPr>
          <w:rFonts w:eastAsia="Times New Roman" w:cs="Times New Roman"/>
          <w:lang w:val="en-CA" w:eastAsia="en-CA"/>
        </w:rPr>
        <w:t xml:space="preserve">34. </w:t>
      </w:r>
      <w:r w:rsidRPr="00936C25">
        <w:rPr>
          <w:rFonts w:eastAsia="Times New Roman" w:cs="Times New Roman"/>
          <w:lang w:val="en-CA" w:eastAsia="en-CA"/>
        </w:rPr>
        <w:t xml:space="preserve">Loring, P. A. </w:t>
      </w:r>
      <w:r>
        <w:rPr>
          <w:rFonts w:eastAsia="Times New Roman" w:cs="Times New Roman"/>
          <w:lang w:val="en-CA" w:eastAsia="en-CA"/>
        </w:rPr>
        <w:t>2020</w:t>
      </w:r>
      <w:r w:rsidRPr="00936C25">
        <w:rPr>
          <w:rFonts w:eastAsia="Times New Roman" w:cs="Times New Roman"/>
          <w:lang w:val="en-CA" w:eastAsia="en-CA"/>
        </w:rPr>
        <w:t xml:space="preserve">. Threshold concepts for sustainability: features of a contested paradigm. </w:t>
      </w:r>
      <w:r w:rsidRPr="00936C25">
        <w:rPr>
          <w:rFonts w:eastAsia="Times New Roman" w:cs="Times New Roman"/>
          <w:i/>
          <w:iCs/>
          <w:lang w:val="en-CA" w:eastAsia="en-CA"/>
        </w:rPr>
        <w:t>FACETS</w:t>
      </w:r>
      <w:r>
        <w:rPr>
          <w:rFonts w:eastAsia="Times New Roman" w:cs="Times New Roman"/>
          <w:lang w:val="en-CA" w:eastAsia="en-CA"/>
        </w:rPr>
        <w:t xml:space="preserve"> </w:t>
      </w:r>
      <w:r w:rsidRPr="00E30581">
        <w:rPr>
          <w:rFonts w:eastAsia="Times New Roman" w:cs="Times New Roman"/>
          <w:b/>
          <w:bCs/>
          <w:lang w:val="en-CA" w:eastAsia="en-CA"/>
        </w:rPr>
        <w:t>5</w:t>
      </w:r>
      <w:r>
        <w:rPr>
          <w:rFonts w:eastAsia="Times New Roman" w:cs="Times New Roman"/>
          <w:lang w:val="en-CA" w:eastAsia="en-CA"/>
        </w:rPr>
        <w:t xml:space="preserve">, </w:t>
      </w:r>
      <w:r w:rsidRPr="00E30581">
        <w:rPr>
          <w:rFonts w:eastAsia="Times New Roman" w:cs="Times New Roman"/>
          <w:lang w:val="en-CA" w:eastAsia="en-CA"/>
        </w:rPr>
        <w:t>182</w:t>
      </w:r>
      <w:r>
        <w:rPr>
          <w:rFonts w:eastAsia="Times New Roman" w:cs="Times New Roman"/>
          <w:lang w:val="en-CA" w:eastAsia="en-CA"/>
        </w:rPr>
        <w:t>-</w:t>
      </w:r>
      <w:r w:rsidRPr="00E30581">
        <w:rPr>
          <w:rFonts w:eastAsia="Times New Roman" w:cs="Times New Roman"/>
          <w:lang w:val="en-CA" w:eastAsia="en-CA"/>
        </w:rPr>
        <w:t>199.</w:t>
      </w:r>
      <w:r>
        <w:rPr>
          <w:rFonts w:eastAsia="Times New Roman" w:cs="Times New Roman"/>
          <w:lang w:val="en-CA" w:eastAsia="en-CA"/>
        </w:rPr>
        <w:t xml:space="preserve"> </w:t>
      </w:r>
      <w:r w:rsidRPr="00494787">
        <w:rPr>
          <w:rFonts w:eastAsia="Times New Roman" w:cs="Times New Roman"/>
          <w:lang w:val="en-CA" w:eastAsia="en-CA"/>
        </w:rPr>
        <w:t>https://doi.org/10.1139/facets-2019-0037</w:t>
      </w:r>
    </w:p>
    <w:p w14:paraId="54334D69" w14:textId="7E413105" w:rsidR="00D869DB" w:rsidRPr="001C1EEF" w:rsidRDefault="00D869DB" w:rsidP="00D869DB">
      <w:pPr>
        <w:adjustRightInd w:val="0"/>
        <w:ind w:left="180" w:hanging="180"/>
      </w:pPr>
      <w:r>
        <w:rPr>
          <w:rFonts w:eastAsia="Times New Roman" w:cs="Times New Roman"/>
          <w:lang w:val="en-CA" w:eastAsia="en-CA"/>
        </w:rPr>
        <w:t xml:space="preserve">35. </w:t>
      </w:r>
      <w:r w:rsidRPr="00920BD7">
        <w:rPr>
          <w:rFonts w:eastAsia="Times New Roman" w:cs="Times New Roman"/>
          <w:lang w:val="en-CA" w:eastAsia="en-CA"/>
        </w:rPr>
        <w:t>Howarth, C</w:t>
      </w:r>
      <w:r>
        <w:rPr>
          <w:rFonts w:eastAsia="Times New Roman" w:cs="Times New Roman"/>
          <w:lang w:val="en-CA" w:eastAsia="en-CA"/>
        </w:rPr>
        <w:t>., &amp;</w:t>
      </w:r>
      <w:r w:rsidRPr="00920BD7">
        <w:rPr>
          <w:rFonts w:eastAsia="Times New Roman" w:cs="Times New Roman"/>
          <w:lang w:val="en-CA" w:eastAsia="en-CA"/>
        </w:rPr>
        <w:t xml:space="preserve"> </w:t>
      </w:r>
      <w:proofErr w:type="spellStart"/>
      <w:r w:rsidRPr="00920BD7">
        <w:rPr>
          <w:rFonts w:eastAsia="Times New Roman" w:cs="Times New Roman"/>
          <w:lang w:val="en-CA" w:eastAsia="en-CA"/>
        </w:rPr>
        <w:t>Monasterolo</w:t>
      </w:r>
      <w:proofErr w:type="spellEnd"/>
      <w:r>
        <w:rPr>
          <w:rFonts w:eastAsia="Times New Roman" w:cs="Times New Roman"/>
          <w:lang w:val="en-CA" w:eastAsia="en-CA"/>
        </w:rPr>
        <w:t>, I</w:t>
      </w:r>
      <w:r w:rsidRPr="00920BD7">
        <w:rPr>
          <w:rFonts w:eastAsia="Times New Roman" w:cs="Times New Roman"/>
          <w:lang w:val="en-CA" w:eastAsia="en-CA"/>
        </w:rPr>
        <w:t xml:space="preserve">. 2017. Opportunities for </w:t>
      </w:r>
      <w:r>
        <w:rPr>
          <w:rFonts w:eastAsia="Times New Roman" w:cs="Times New Roman"/>
          <w:lang w:val="en-CA" w:eastAsia="en-CA"/>
        </w:rPr>
        <w:t>k</w:t>
      </w:r>
      <w:r w:rsidRPr="00920BD7">
        <w:rPr>
          <w:rFonts w:eastAsia="Times New Roman" w:cs="Times New Roman"/>
          <w:lang w:val="en-CA" w:eastAsia="en-CA"/>
        </w:rPr>
        <w:t xml:space="preserve">nowledge </w:t>
      </w:r>
      <w:r>
        <w:rPr>
          <w:rFonts w:eastAsia="Times New Roman" w:cs="Times New Roman"/>
          <w:lang w:val="en-CA" w:eastAsia="en-CA"/>
        </w:rPr>
        <w:t>c</w:t>
      </w:r>
      <w:r w:rsidRPr="00920BD7">
        <w:rPr>
          <w:rFonts w:eastAsia="Times New Roman" w:cs="Times New Roman"/>
          <w:lang w:val="en-CA" w:eastAsia="en-CA"/>
        </w:rPr>
        <w:t>o-</w:t>
      </w:r>
      <w:r>
        <w:rPr>
          <w:rFonts w:eastAsia="Times New Roman" w:cs="Times New Roman"/>
          <w:lang w:val="en-CA" w:eastAsia="en-CA"/>
        </w:rPr>
        <w:t>p</w:t>
      </w:r>
      <w:r w:rsidRPr="00920BD7">
        <w:rPr>
          <w:rFonts w:eastAsia="Times New Roman" w:cs="Times New Roman"/>
          <w:lang w:val="en-CA" w:eastAsia="en-CA"/>
        </w:rPr>
        <w:t xml:space="preserve">roduction across the </w:t>
      </w:r>
      <w:r>
        <w:rPr>
          <w:rFonts w:eastAsia="Times New Roman" w:cs="Times New Roman"/>
          <w:lang w:val="en-CA" w:eastAsia="en-CA"/>
        </w:rPr>
        <w:t>e</w:t>
      </w:r>
      <w:r w:rsidRPr="00920BD7">
        <w:rPr>
          <w:rFonts w:eastAsia="Times New Roman" w:cs="Times New Roman"/>
          <w:lang w:val="en-CA" w:eastAsia="en-CA"/>
        </w:rPr>
        <w:t>nergy-</w:t>
      </w:r>
      <w:r>
        <w:rPr>
          <w:rFonts w:eastAsia="Times New Roman" w:cs="Times New Roman"/>
          <w:lang w:val="en-CA" w:eastAsia="en-CA"/>
        </w:rPr>
        <w:t>f</w:t>
      </w:r>
      <w:r w:rsidRPr="00920BD7">
        <w:rPr>
          <w:rFonts w:eastAsia="Times New Roman" w:cs="Times New Roman"/>
          <w:lang w:val="en-CA" w:eastAsia="en-CA"/>
        </w:rPr>
        <w:t>ood-</w:t>
      </w:r>
      <w:r>
        <w:rPr>
          <w:rFonts w:eastAsia="Times New Roman" w:cs="Times New Roman"/>
          <w:lang w:val="en-CA" w:eastAsia="en-CA"/>
        </w:rPr>
        <w:t>w</w:t>
      </w:r>
      <w:r w:rsidRPr="00920BD7">
        <w:rPr>
          <w:rFonts w:eastAsia="Times New Roman" w:cs="Times New Roman"/>
          <w:lang w:val="en-CA" w:eastAsia="en-CA"/>
        </w:rPr>
        <w:t xml:space="preserve">ater </w:t>
      </w:r>
      <w:r>
        <w:rPr>
          <w:rFonts w:eastAsia="Times New Roman" w:cs="Times New Roman"/>
          <w:lang w:val="en-CA" w:eastAsia="en-CA"/>
        </w:rPr>
        <w:t>n</w:t>
      </w:r>
      <w:r w:rsidRPr="00920BD7">
        <w:rPr>
          <w:rFonts w:eastAsia="Times New Roman" w:cs="Times New Roman"/>
          <w:lang w:val="en-CA" w:eastAsia="en-CA"/>
        </w:rPr>
        <w:t xml:space="preserve">exus: </w:t>
      </w:r>
      <w:r>
        <w:rPr>
          <w:rFonts w:eastAsia="Times New Roman" w:cs="Times New Roman"/>
          <w:lang w:val="en-CA" w:eastAsia="en-CA"/>
        </w:rPr>
        <w:t>m</w:t>
      </w:r>
      <w:r w:rsidRPr="00920BD7">
        <w:rPr>
          <w:rFonts w:eastAsia="Times New Roman" w:cs="Times New Roman"/>
          <w:lang w:val="en-CA" w:eastAsia="en-CA"/>
        </w:rPr>
        <w:t xml:space="preserve">aking </w:t>
      </w:r>
      <w:r>
        <w:rPr>
          <w:rFonts w:eastAsia="Times New Roman" w:cs="Times New Roman"/>
          <w:lang w:val="en-CA" w:eastAsia="en-CA"/>
        </w:rPr>
        <w:t>i</w:t>
      </w:r>
      <w:r w:rsidRPr="00920BD7">
        <w:rPr>
          <w:rFonts w:eastAsia="Times New Roman" w:cs="Times New Roman"/>
          <w:lang w:val="en-CA" w:eastAsia="en-CA"/>
        </w:rPr>
        <w:t xml:space="preserve">nterdisciplinary </w:t>
      </w:r>
      <w:r>
        <w:rPr>
          <w:rFonts w:eastAsia="Times New Roman" w:cs="Times New Roman"/>
          <w:lang w:val="en-CA" w:eastAsia="en-CA"/>
        </w:rPr>
        <w:t>a</w:t>
      </w:r>
      <w:r w:rsidRPr="00920BD7">
        <w:rPr>
          <w:rFonts w:eastAsia="Times New Roman" w:cs="Times New Roman"/>
          <w:lang w:val="en-CA" w:eastAsia="en-CA"/>
        </w:rPr>
        <w:t xml:space="preserve">pproaches </w:t>
      </w:r>
      <w:r>
        <w:rPr>
          <w:rFonts w:eastAsia="Times New Roman" w:cs="Times New Roman"/>
          <w:lang w:val="en-CA" w:eastAsia="en-CA"/>
        </w:rPr>
        <w:t>w</w:t>
      </w:r>
      <w:r w:rsidRPr="00920BD7">
        <w:rPr>
          <w:rFonts w:eastAsia="Times New Roman" w:cs="Times New Roman"/>
          <w:lang w:val="en-CA" w:eastAsia="en-CA"/>
        </w:rPr>
        <w:t xml:space="preserve">ork for </w:t>
      </w:r>
      <w:r>
        <w:rPr>
          <w:rFonts w:eastAsia="Times New Roman" w:cs="Times New Roman"/>
          <w:lang w:val="en-CA" w:eastAsia="en-CA"/>
        </w:rPr>
        <w:t>b</w:t>
      </w:r>
      <w:r w:rsidRPr="00920BD7">
        <w:rPr>
          <w:rFonts w:eastAsia="Times New Roman" w:cs="Times New Roman"/>
          <w:lang w:val="en-CA" w:eastAsia="en-CA"/>
        </w:rPr>
        <w:t xml:space="preserve">etter </w:t>
      </w:r>
      <w:r>
        <w:rPr>
          <w:rFonts w:eastAsia="Times New Roman" w:cs="Times New Roman"/>
          <w:lang w:val="en-CA" w:eastAsia="en-CA"/>
        </w:rPr>
        <w:t>c</w:t>
      </w:r>
      <w:r w:rsidRPr="00920BD7">
        <w:rPr>
          <w:rFonts w:eastAsia="Times New Roman" w:cs="Times New Roman"/>
          <w:lang w:val="en-CA" w:eastAsia="en-CA"/>
        </w:rPr>
        <w:t xml:space="preserve">limate </w:t>
      </w:r>
      <w:r>
        <w:rPr>
          <w:rFonts w:eastAsia="Times New Roman" w:cs="Times New Roman"/>
          <w:lang w:val="en-CA" w:eastAsia="en-CA"/>
        </w:rPr>
        <w:t>d</w:t>
      </w:r>
      <w:r w:rsidRPr="00920BD7">
        <w:rPr>
          <w:rFonts w:eastAsia="Times New Roman" w:cs="Times New Roman"/>
          <w:lang w:val="en-CA" w:eastAsia="en-CA"/>
        </w:rPr>
        <w:t xml:space="preserve">ecision </w:t>
      </w:r>
      <w:r>
        <w:rPr>
          <w:rFonts w:eastAsia="Times New Roman" w:cs="Times New Roman"/>
          <w:lang w:val="en-CA" w:eastAsia="en-CA"/>
        </w:rPr>
        <w:t>m</w:t>
      </w:r>
      <w:r w:rsidRPr="00920BD7">
        <w:rPr>
          <w:rFonts w:eastAsia="Times New Roman" w:cs="Times New Roman"/>
          <w:lang w:val="en-CA" w:eastAsia="en-CA"/>
        </w:rPr>
        <w:t xml:space="preserve">aking. </w:t>
      </w:r>
      <w:r w:rsidRPr="00920BD7">
        <w:rPr>
          <w:rFonts w:eastAsia="Times New Roman" w:cs="Times New Roman"/>
          <w:i/>
          <w:iCs/>
          <w:lang w:val="en-CA" w:eastAsia="en-CA"/>
        </w:rPr>
        <w:t>Environmental Science &amp; Policy</w:t>
      </w:r>
      <w:r>
        <w:rPr>
          <w:rFonts w:eastAsia="Times New Roman" w:cs="Times New Roman"/>
          <w:lang w:val="en-CA" w:eastAsia="en-CA"/>
        </w:rPr>
        <w:t>,</w:t>
      </w:r>
      <w:r w:rsidRPr="00920BD7">
        <w:rPr>
          <w:rFonts w:eastAsia="Times New Roman" w:cs="Times New Roman"/>
          <w:lang w:val="en-CA" w:eastAsia="en-CA"/>
        </w:rPr>
        <w:t xml:space="preserve"> </w:t>
      </w:r>
      <w:r w:rsidRPr="001407A3">
        <w:rPr>
          <w:rFonts w:eastAsia="Times New Roman" w:cs="Times New Roman"/>
          <w:b/>
          <w:bCs/>
          <w:lang w:val="en-CA" w:eastAsia="en-CA"/>
        </w:rPr>
        <w:t>75</w:t>
      </w:r>
      <w:r>
        <w:rPr>
          <w:rFonts w:eastAsia="Times New Roman" w:cs="Times New Roman"/>
          <w:lang w:val="en-CA" w:eastAsia="en-CA"/>
        </w:rPr>
        <w:t>.</w:t>
      </w:r>
      <w:r w:rsidRPr="00920BD7">
        <w:rPr>
          <w:rFonts w:eastAsia="Times New Roman" w:cs="Times New Roman"/>
          <w:lang w:val="en-CA" w:eastAsia="en-CA"/>
        </w:rPr>
        <w:t xml:space="preserve"> 103–10.</w:t>
      </w:r>
      <w:r w:rsidRPr="00F87BD0">
        <w:t xml:space="preserve"> </w:t>
      </w:r>
      <w:r w:rsidRPr="00F87BD0">
        <w:rPr>
          <w:rFonts w:eastAsia="Times New Roman" w:cs="Times New Roman"/>
          <w:lang w:val="en-CA" w:eastAsia="en-CA"/>
        </w:rPr>
        <w:t>https://doi.org/10.1016/j.envsci.2017.05.019</w:t>
      </w:r>
    </w:p>
    <w:p w14:paraId="4A3C6985" w14:textId="7BD69CB8" w:rsidR="00D816D4" w:rsidRDefault="00D869DB" w:rsidP="00D816D4">
      <w:pPr>
        <w:adjustRightInd w:val="0"/>
        <w:ind w:left="180" w:hanging="180"/>
      </w:pPr>
      <w:r>
        <w:t xml:space="preserve">36. </w:t>
      </w:r>
      <w:r w:rsidR="00D816D4">
        <w:t xml:space="preserve">Alaska Department of Labor. 2020. </w:t>
      </w:r>
      <w:r w:rsidR="00D816D4" w:rsidRPr="00D816D4">
        <w:t>Alaska Population Estimates by Borough, Census Area, City, and Census Designated Place (CDP), 2010 to 2019</w:t>
      </w:r>
      <w:r w:rsidR="00D816D4">
        <w:t xml:space="preserve">. </w:t>
      </w:r>
      <w:r w:rsidR="00996E4B" w:rsidRPr="00996E4B">
        <w:t>https://live.laborstats.alaska.gov/pop/</w:t>
      </w:r>
    </w:p>
    <w:p w14:paraId="6E9C14B7" w14:textId="4EE98F43" w:rsidR="00D869DB" w:rsidRDefault="00D869DB" w:rsidP="00D869DB">
      <w:pPr>
        <w:adjustRightInd w:val="0"/>
        <w:ind w:left="180" w:hanging="180"/>
      </w:pPr>
      <w:r>
        <w:t xml:space="preserve">37. </w:t>
      </w:r>
      <w:r w:rsidRPr="006975C1">
        <w:t xml:space="preserve">Whitney, E., </w:t>
      </w:r>
      <w:r>
        <w:t>S</w:t>
      </w:r>
      <w:r w:rsidRPr="006975C1">
        <w:t xml:space="preserve">chnabel, </w:t>
      </w:r>
      <w:r>
        <w:t>W. E.,</w:t>
      </w:r>
      <w:r w:rsidRPr="006975C1">
        <w:t xml:space="preserve"> Aggarwal, </w:t>
      </w:r>
      <w:r>
        <w:t>S.,</w:t>
      </w:r>
      <w:r w:rsidRPr="006975C1">
        <w:t xml:space="preserve"> Huang, </w:t>
      </w:r>
      <w:r>
        <w:t>D.,</w:t>
      </w:r>
      <w:r w:rsidRPr="006975C1">
        <w:t xml:space="preserve"> Weis Jr.</w:t>
      </w:r>
      <w:r>
        <w:t>, R. W.</w:t>
      </w:r>
      <w:r w:rsidRPr="006975C1">
        <w:t xml:space="preserve">, Karenzi, </w:t>
      </w:r>
      <w:r>
        <w:t>J., Huntington,</w:t>
      </w:r>
      <w:r w:rsidRPr="006975C1">
        <w:t xml:space="preserve"> </w:t>
      </w:r>
      <w:r>
        <w:t>H. P.,</w:t>
      </w:r>
      <w:r w:rsidRPr="006975C1">
        <w:t xml:space="preserve"> Schmidt, </w:t>
      </w:r>
      <w:r>
        <w:t>J. I., &amp;</w:t>
      </w:r>
      <w:r w:rsidRPr="006975C1">
        <w:t xml:space="preserve"> Dotson</w:t>
      </w:r>
      <w:r>
        <w:t>, A. D</w:t>
      </w:r>
      <w:r w:rsidRPr="006975C1">
        <w:t xml:space="preserve">. 2019. </w:t>
      </w:r>
      <w:proofErr w:type="spellStart"/>
      <w:r w:rsidRPr="006975C1">
        <w:t>MicroFEWs</w:t>
      </w:r>
      <w:proofErr w:type="spellEnd"/>
      <w:r w:rsidRPr="006975C1">
        <w:t xml:space="preserve">: a food-energy-water systems approach to renewable energy decisions in islanded microgrid communities in rural Alaska. </w:t>
      </w:r>
      <w:r w:rsidRPr="006975C1">
        <w:rPr>
          <w:i/>
          <w:iCs/>
        </w:rPr>
        <w:t>Environmental Engineering Science</w:t>
      </w:r>
      <w:r>
        <w:t xml:space="preserve"> </w:t>
      </w:r>
      <w:r>
        <w:rPr>
          <w:b/>
          <w:bCs/>
        </w:rPr>
        <w:t>36(7),</w:t>
      </w:r>
      <w:r>
        <w:t xml:space="preserve"> 843-849</w:t>
      </w:r>
      <w:r w:rsidRPr="006975C1">
        <w:t xml:space="preserve">. </w:t>
      </w:r>
      <w:r w:rsidRPr="00DB3289">
        <w:t>https://doi.org/10.1089/ees.2019.0055</w:t>
      </w:r>
    </w:p>
    <w:p w14:paraId="139BF7D0" w14:textId="2E3DCA44" w:rsidR="00996E4B" w:rsidRDefault="00D869DB" w:rsidP="00D816D4">
      <w:pPr>
        <w:adjustRightInd w:val="0"/>
        <w:ind w:left="180" w:hanging="180"/>
      </w:pPr>
      <w:r>
        <w:t xml:space="preserve">38. </w:t>
      </w:r>
      <w:r w:rsidR="00996E4B">
        <w:t xml:space="preserve">Alaska Energy Authority. 2019. Power cost equalization (PCE). </w:t>
      </w:r>
      <w:r w:rsidR="00996E4B" w:rsidRPr="00996E4B">
        <w:t>http://www.akenergyauthority.org/What-We-Do/Power-Cost-Equalization</w:t>
      </w:r>
    </w:p>
    <w:p w14:paraId="08106BEF" w14:textId="25E77EFF" w:rsidR="006E682E" w:rsidRDefault="00D869DB" w:rsidP="00452E00">
      <w:pPr>
        <w:adjustRightInd w:val="0"/>
        <w:ind w:left="180" w:hanging="180"/>
      </w:pPr>
      <w:r>
        <w:t xml:space="preserve">39. </w:t>
      </w:r>
      <w:proofErr w:type="spellStart"/>
      <w:r w:rsidR="006E682E">
        <w:t>Artioli</w:t>
      </w:r>
      <w:proofErr w:type="spellEnd"/>
      <w:r w:rsidR="006E682E">
        <w:t xml:space="preserve">, F., </w:t>
      </w:r>
      <w:proofErr w:type="spellStart"/>
      <w:r w:rsidR="006E682E">
        <w:t>Acuto</w:t>
      </w:r>
      <w:proofErr w:type="spellEnd"/>
      <w:r w:rsidR="006E682E">
        <w:t xml:space="preserve">, M., &amp; McArthur, J. 2017. </w:t>
      </w:r>
      <w:r w:rsidR="006E682E">
        <w:rPr>
          <w:rStyle w:val="title-text"/>
        </w:rPr>
        <w:t xml:space="preserve">The water-energy-food nexus: an integration agenda and implications for urban governance. </w:t>
      </w:r>
      <w:r w:rsidR="006E682E" w:rsidRPr="006E682E">
        <w:rPr>
          <w:rStyle w:val="title-text"/>
          <w:i/>
          <w:iCs/>
        </w:rPr>
        <w:t>Political Geography</w:t>
      </w:r>
      <w:r w:rsidR="006E682E">
        <w:rPr>
          <w:rStyle w:val="title-text"/>
        </w:rPr>
        <w:t xml:space="preserve">, </w:t>
      </w:r>
      <w:r w:rsidR="006E682E" w:rsidRPr="006E682E">
        <w:rPr>
          <w:rStyle w:val="title-text"/>
          <w:b/>
          <w:bCs/>
        </w:rPr>
        <w:t>61</w:t>
      </w:r>
      <w:r w:rsidR="006E682E">
        <w:rPr>
          <w:rStyle w:val="title-text"/>
        </w:rPr>
        <w:t>, 215-223.</w:t>
      </w:r>
      <w:r w:rsidR="00F87BD0" w:rsidRPr="00F87BD0">
        <w:t xml:space="preserve"> </w:t>
      </w:r>
      <w:r w:rsidR="00F87BD0" w:rsidRPr="00F87BD0">
        <w:rPr>
          <w:rStyle w:val="title-text"/>
        </w:rPr>
        <w:t>https://doi.org/10.1016/j.polgeo.2017.08.009</w:t>
      </w:r>
    </w:p>
    <w:p w14:paraId="0F6D1CE1" w14:textId="34F82EB9" w:rsidR="00D869DB" w:rsidRPr="001C1EEF" w:rsidRDefault="00D869DB" w:rsidP="00D869DB">
      <w:pPr>
        <w:adjustRightInd w:val="0"/>
        <w:ind w:left="180" w:hanging="180"/>
      </w:pPr>
      <w:r>
        <w:t xml:space="preserve">40. </w:t>
      </w:r>
      <w:r w:rsidRPr="001C1EEF">
        <w:t xml:space="preserve">Chan, H. M., </w:t>
      </w:r>
      <w:proofErr w:type="spellStart"/>
      <w:r w:rsidRPr="001C1EEF">
        <w:t>Fediuk</w:t>
      </w:r>
      <w:proofErr w:type="spellEnd"/>
      <w:r w:rsidRPr="001C1EEF">
        <w:t xml:space="preserve">, K., Hamilton, S., </w:t>
      </w:r>
      <w:proofErr w:type="spellStart"/>
      <w:r w:rsidRPr="001C1EEF">
        <w:t>Rostas</w:t>
      </w:r>
      <w:proofErr w:type="spellEnd"/>
      <w:r w:rsidRPr="001C1EEF">
        <w:t xml:space="preserve">, L., </w:t>
      </w:r>
      <w:proofErr w:type="spellStart"/>
      <w:r w:rsidRPr="001C1EEF">
        <w:t>Caughey</w:t>
      </w:r>
      <w:proofErr w:type="spellEnd"/>
      <w:r w:rsidRPr="001C1EEF">
        <w:t xml:space="preserve">, A., </w:t>
      </w:r>
      <w:proofErr w:type="spellStart"/>
      <w:r w:rsidRPr="001C1EEF">
        <w:t>Kuhnlein</w:t>
      </w:r>
      <w:proofErr w:type="spellEnd"/>
      <w:r w:rsidRPr="001C1EEF">
        <w:t xml:space="preserve">, H., Egeland, G., &amp; Loring, E. 2006. Food security in Nunavut, Canada: barriers and recommendations. </w:t>
      </w:r>
      <w:r w:rsidRPr="001C1EEF">
        <w:rPr>
          <w:i/>
          <w:iCs/>
        </w:rPr>
        <w:t>International Journal of Circumpolar Health</w:t>
      </w:r>
      <w:r w:rsidRPr="001C1EEF">
        <w:t xml:space="preserve"> </w:t>
      </w:r>
      <w:r w:rsidRPr="001C1EEF">
        <w:rPr>
          <w:b/>
          <w:bCs/>
        </w:rPr>
        <w:t>65</w:t>
      </w:r>
      <w:r w:rsidRPr="001C1EEF">
        <w:t>, 416-431.</w:t>
      </w:r>
      <w:r w:rsidRPr="00F87BD0">
        <w:t xml:space="preserve"> https://doi.org/10.3402/ijch.v65i5.18132</w:t>
      </w:r>
    </w:p>
    <w:p w14:paraId="0980F0AD" w14:textId="4065AF35" w:rsidR="00BC6528" w:rsidRDefault="00D869DB" w:rsidP="00BC6528">
      <w:pPr>
        <w:adjustRightInd w:val="0"/>
        <w:ind w:left="180" w:hanging="180"/>
      </w:pPr>
      <w:r>
        <w:lastRenderedPageBreak/>
        <w:t xml:space="preserve">41. </w:t>
      </w:r>
      <w:r w:rsidR="00BC6528" w:rsidRPr="001C1EEF">
        <w:t xml:space="preserve">Biggs, E. M., Bruce, </w:t>
      </w:r>
      <w:r w:rsidR="001C1EEF" w:rsidRPr="001C1EEF">
        <w:t xml:space="preserve">E., </w:t>
      </w:r>
      <w:proofErr w:type="spellStart"/>
      <w:r w:rsidR="00BC6528" w:rsidRPr="001C1EEF">
        <w:t>Boruff</w:t>
      </w:r>
      <w:proofErr w:type="spellEnd"/>
      <w:r w:rsidR="00BC6528" w:rsidRPr="001C1EEF">
        <w:t xml:space="preserve">, </w:t>
      </w:r>
      <w:r w:rsidR="001C1EEF" w:rsidRPr="001C1EEF">
        <w:t xml:space="preserve">B., </w:t>
      </w:r>
      <w:r w:rsidR="00BC6528" w:rsidRPr="001C1EEF">
        <w:t xml:space="preserve">Duncan, </w:t>
      </w:r>
      <w:r w:rsidR="001C1EEF" w:rsidRPr="001C1EEF">
        <w:t xml:space="preserve">J. M. A., </w:t>
      </w:r>
      <w:r w:rsidR="00BC6528" w:rsidRPr="001C1EEF">
        <w:t>Horsley,</w:t>
      </w:r>
      <w:r w:rsidR="001C1EEF" w:rsidRPr="001C1EEF">
        <w:t xml:space="preserve"> J.,</w:t>
      </w:r>
      <w:r w:rsidR="00BC6528" w:rsidRPr="001C1EEF">
        <w:t xml:space="preserve"> Pauli, </w:t>
      </w:r>
      <w:r w:rsidR="001C1EEF" w:rsidRPr="001C1EEF">
        <w:t>N.,</w:t>
      </w:r>
      <w:r w:rsidR="00BC6528" w:rsidRPr="001C1EEF">
        <w:t xml:space="preserve"> McNeill, </w:t>
      </w:r>
      <w:r w:rsidR="001C1EEF" w:rsidRPr="001C1EEF">
        <w:t>K.,</w:t>
      </w:r>
      <w:r w:rsidR="00BC6528" w:rsidRPr="001C1EEF">
        <w:t xml:space="preserve"> </w:t>
      </w:r>
      <w:proofErr w:type="spellStart"/>
      <w:r w:rsidR="00BC6528" w:rsidRPr="001C1EEF">
        <w:t>Neef</w:t>
      </w:r>
      <w:proofErr w:type="spellEnd"/>
      <w:r w:rsidR="00BC6528" w:rsidRPr="001C1EEF">
        <w:t xml:space="preserve">, </w:t>
      </w:r>
      <w:r w:rsidR="001C1EEF" w:rsidRPr="001C1EEF">
        <w:t>A.,</w:t>
      </w:r>
      <w:r w:rsidR="00BC6528" w:rsidRPr="001C1EEF">
        <w:t xml:space="preserve"> Van </w:t>
      </w:r>
      <w:proofErr w:type="spellStart"/>
      <w:r w:rsidR="00BC6528" w:rsidRPr="001C1EEF">
        <w:t>Ogtrop</w:t>
      </w:r>
      <w:proofErr w:type="spellEnd"/>
      <w:r w:rsidR="00BC6528" w:rsidRPr="001C1EEF">
        <w:t xml:space="preserve">, </w:t>
      </w:r>
      <w:r w:rsidR="001C1EEF" w:rsidRPr="001C1EEF">
        <w:t>F.,</w:t>
      </w:r>
      <w:r w:rsidR="00BC6528" w:rsidRPr="001C1EEF">
        <w:t xml:space="preserve"> Curnow, </w:t>
      </w:r>
      <w:r w:rsidR="001C1EEF" w:rsidRPr="001C1EEF">
        <w:t>J.,</w:t>
      </w:r>
      <w:r w:rsidR="00BC6528" w:rsidRPr="001C1EEF">
        <w:t xml:space="preserve"> Haworth, </w:t>
      </w:r>
      <w:r w:rsidR="001C1EEF" w:rsidRPr="001C1EEF">
        <w:t>B.,</w:t>
      </w:r>
      <w:r w:rsidR="00BC6528" w:rsidRPr="001C1EEF">
        <w:t xml:space="preserve"> Duce, </w:t>
      </w:r>
      <w:r w:rsidR="001C1EEF" w:rsidRPr="001C1EEF">
        <w:t>S., &amp;</w:t>
      </w:r>
      <w:r w:rsidR="00BC6528" w:rsidRPr="001C1EEF">
        <w:t xml:space="preserve"> </w:t>
      </w:r>
      <w:proofErr w:type="spellStart"/>
      <w:r w:rsidR="00BC6528" w:rsidRPr="001C1EEF">
        <w:t>Irnanari</w:t>
      </w:r>
      <w:proofErr w:type="spellEnd"/>
      <w:r w:rsidR="001C1EEF" w:rsidRPr="001C1EEF">
        <w:t>, Y</w:t>
      </w:r>
      <w:r w:rsidR="00BC6528" w:rsidRPr="001C1EEF">
        <w:t xml:space="preserve">. 2015. Sustainable development and the water-energy-food nexus: A perspective on livelihoods. </w:t>
      </w:r>
      <w:r w:rsidR="00BC6528" w:rsidRPr="001C1EEF">
        <w:rPr>
          <w:i/>
          <w:iCs/>
        </w:rPr>
        <w:t>Environmental Science &amp; Policy</w:t>
      </w:r>
      <w:r w:rsidR="00BC6528" w:rsidRPr="001C1EEF">
        <w:t xml:space="preserve"> </w:t>
      </w:r>
      <w:r w:rsidR="00BC6528" w:rsidRPr="001C1EEF">
        <w:rPr>
          <w:b/>
          <w:bCs/>
        </w:rPr>
        <w:t>54</w:t>
      </w:r>
      <w:r w:rsidR="001C1EEF" w:rsidRPr="001C1EEF">
        <w:t xml:space="preserve">, </w:t>
      </w:r>
      <w:r w:rsidR="00BC6528" w:rsidRPr="001C1EEF">
        <w:t>389-397.</w:t>
      </w:r>
      <w:r w:rsidR="00F87BD0" w:rsidRPr="00F87BD0">
        <w:t xml:space="preserve"> https://doi.org/10.1016/j.envsci.2015.08.002</w:t>
      </w:r>
    </w:p>
    <w:p w14:paraId="4370F833" w14:textId="23E46E72" w:rsidR="00D869DB" w:rsidRDefault="00D869DB" w:rsidP="00D869DB">
      <w:pPr>
        <w:adjustRightInd w:val="0"/>
        <w:ind w:left="180" w:hanging="180"/>
      </w:pPr>
      <w:r>
        <w:t xml:space="preserve">42. </w:t>
      </w:r>
      <w:proofErr w:type="spellStart"/>
      <w:r w:rsidRPr="00936C25">
        <w:t>Machell</w:t>
      </w:r>
      <w:proofErr w:type="spellEnd"/>
      <w:r w:rsidRPr="00936C25">
        <w:t xml:space="preserve">, J., Prior, K., Allan, R., &amp; Andresen, J. M. 2015. The water energy food nexus - challenges and emerging solutions. </w:t>
      </w:r>
      <w:r w:rsidRPr="00936C25">
        <w:rPr>
          <w:i/>
          <w:iCs/>
        </w:rPr>
        <w:t>Environmental Science-Water Research &amp; Technology</w:t>
      </w:r>
      <w:r w:rsidRPr="00936C25">
        <w:t xml:space="preserve"> </w:t>
      </w:r>
      <w:r w:rsidRPr="00936C25">
        <w:rPr>
          <w:b/>
          <w:bCs/>
        </w:rPr>
        <w:t>1</w:t>
      </w:r>
      <w:r>
        <w:t xml:space="preserve">, </w:t>
      </w:r>
      <w:r w:rsidRPr="00936C25">
        <w:t>15-16.</w:t>
      </w:r>
      <w:r w:rsidRPr="00494787">
        <w:t xml:space="preserve"> https://doi.org/10.1039/C4EW90001D</w:t>
      </w:r>
    </w:p>
    <w:p w14:paraId="0911C5FC" w14:textId="2AB2ED89" w:rsidR="00D869DB" w:rsidRPr="00675607" w:rsidRDefault="00D869DB" w:rsidP="00D869DB">
      <w:pPr>
        <w:adjustRightInd w:val="0"/>
        <w:ind w:left="180" w:hanging="180"/>
      </w:pPr>
      <w:r>
        <w:t>43. Huntington, H. P.</w:t>
      </w:r>
      <w:r w:rsidRPr="00675607">
        <w:t xml:space="preserve">, </w:t>
      </w:r>
      <w:proofErr w:type="spellStart"/>
      <w:r w:rsidRPr="00675607">
        <w:t>Begossi</w:t>
      </w:r>
      <w:proofErr w:type="spellEnd"/>
      <w:r w:rsidRPr="00675607">
        <w:t xml:space="preserve">, </w:t>
      </w:r>
      <w:r>
        <w:t xml:space="preserve">A., </w:t>
      </w:r>
      <w:r w:rsidRPr="00675607">
        <w:t xml:space="preserve">Gearheard, </w:t>
      </w:r>
      <w:r>
        <w:t xml:space="preserve">S. F., </w:t>
      </w:r>
      <w:r w:rsidRPr="00675607">
        <w:t xml:space="preserve">Kersey, </w:t>
      </w:r>
      <w:r>
        <w:t xml:space="preserve">B., </w:t>
      </w:r>
      <w:r w:rsidRPr="00675607">
        <w:t xml:space="preserve">Loring, </w:t>
      </w:r>
      <w:r>
        <w:t xml:space="preserve">P., </w:t>
      </w:r>
      <w:proofErr w:type="spellStart"/>
      <w:r w:rsidRPr="00675607">
        <w:t>Mustonen</w:t>
      </w:r>
      <w:proofErr w:type="spellEnd"/>
      <w:r w:rsidRPr="00675607">
        <w:t xml:space="preserve">, </w:t>
      </w:r>
      <w:r>
        <w:t>T.,</w:t>
      </w:r>
      <w:r w:rsidRPr="00675607">
        <w:t xml:space="preserve"> </w:t>
      </w:r>
      <w:proofErr w:type="spellStart"/>
      <w:r w:rsidRPr="00675607">
        <w:t>Paudel</w:t>
      </w:r>
      <w:proofErr w:type="spellEnd"/>
      <w:r w:rsidRPr="00675607">
        <w:t xml:space="preserve">, </w:t>
      </w:r>
      <w:r>
        <w:t>P. K.,</w:t>
      </w:r>
      <w:r w:rsidRPr="00675607">
        <w:t xml:space="preserve"> </w:t>
      </w:r>
      <w:proofErr w:type="spellStart"/>
      <w:r w:rsidRPr="00675607">
        <w:t>Silvano</w:t>
      </w:r>
      <w:proofErr w:type="spellEnd"/>
      <w:r w:rsidRPr="00675607">
        <w:t xml:space="preserve">, </w:t>
      </w:r>
      <w:r>
        <w:t>R. A. M., &amp;</w:t>
      </w:r>
      <w:r w:rsidRPr="00675607">
        <w:t xml:space="preserve"> </w:t>
      </w:r>
      <w:proofErr w:type="spellStart"/>
      <w:r w:rsidRPr="00675607">
        <w:t>Vave</w:t>
      </w:r>
      <w:proofErr w:type="spellEnd"/>
      <w:r>
        <w:t>, R</w:t>
      </w:r>
      <w:r w:rsidRPr="00675607">
        <w:t xml:space="preserve">. 2017. How small communities respond to environmental change: patterns from tropical to polar ecosystems. </w:t>
      </w:r>
      <w:r w:rsidRPr="00675607">
        <w:rPr>
          <w:i/>
          <w:iCs/>
        </w:rPr>
        <w:t>Ecology and Society</w:t>
      </w:r>
      <w:r w:rsidRPr="00675607">
        <w:t xml:space="preserve"> </w:t>
      </w:r>
      <w:r w:rsidRPr="00675607">
        <w:rPr>
          <w:b/>
          <w:bCs/>
        </w:rPr>
        <w:t>22(3),</w:t>
      </w:r>
      <w:r>
        <w:t xml:space="preserve"> </w:t>
      </w:r>
      <w:r w:rsidRPr="00675607">
        <w:t>9.</w:t>
      </w:r>
    </w:p>
    <w:p w14:paraId="59F4A1EF" w14:textId="1685675E" w:rsidR="00D869DB" w:rsidRDefault="00D869DB" w:rsidP="00D869DB">
      <w:pPr>
        <w:adjustRightInd w:val="0"/>
        <w:ind w:left="180" w:hanging="180"/>
      </w:pPr>
      <w:r>
        <w:t xml:space="preserve">44. IEA, IRENA, UNSD, WB, and WHO. 2019. </w:t>
      </w:r>
      <w:r w:rsidRPr="00E9017C">
        <w:rPr>
          <w:i/>
          <w:iCs/>
        </w:rPr>
        <w:t xml:space="preserve">Tracking SDG 7: </w:t>
      </w:r>
      <w:r>
        <w:rPr>
          <w:i/>
          <w:iCs/>
        </w:rPr>
        <w:t>t</w:t>
      </w:r>
      <w:r w:rsidRPr="00E9017C">
        <w:rPr>
          <w:i/>
          <w:iCs/>
        </w:rPr>
        <w:t xml:space="preserve">he </w:t>
      </w:r>
      <w:r>
        <w:rPr>
          <w:i/>
          <w:iCs/>
        </w:rPr>
        <w:t>e</w:t>
      </w:r>
      <w:r w:rsidRPr="00E9017C">
        <w:rPr>
          <w:i/>
          <w:iCs/>
        </w:rPr>
        <w:t xml:space="preserve">nergy </w:t>
      </w:r>
      <w:r>
        <w:rPr>
          <w:i/>
          <w:iCs/>
        </w:rPr>
        <w:t>p</w:t>
      </w:r>
      <w:r w:rsidRPr="00E9017C">
        <w:rPr>
          <w:i/>
          <w:iCs/>
        </w:rPr>
        <w:t xml:space="preserve">rogress </w:t>
      </w:r>
      <w:r>
        <w:rPr>
          <w:i/>
          <w:iCs/>
        </w:rPr>
        <w:t>r</w:t>
      </w:r>
      <w:r w:rsidRPr="00E9017C">
        <w:rPr>
          <w:i/>
          <w:iCs/>
        </w:rPr>
        <w:t>eport 2019</w:t>
      </w:r>
      <w:r>
        <w:t>. Washington DC: International Energy Agency, International Renewable Energy Authority, United Nations Statistics Division, World Bank Group, and World Health Organization.</w:t>
      </w:r>
    </w:p>
    <w:p w14:paraId="30071B76" w14:textId="24CBD180" w:rsidR="00D869DB" w:rsidRDefault="00D869DB" w:rsidP="00D869DB">
      <w:pPr>
        <w:adjustRightInd w:val="0"/>
        <w:ind w:left="180" w:hanging="180"/>
      </w:pPr>
      <w:r>
        <w:t xml:space="preserve">45. Vinca, A., Parkinson, S., Byers, E., </w:t>
      </w:r>
      <w:proofErr w:type="spellStart"/>
      <w:r>
        <w:t>Burek</w:t>
      </w:r>
      <w:proofErr w:type="spellEnd"/>
      <w:r>
        <w:t xml:space="preserve">, P., Khan, Z., </w:t>
      </w:r>
      <w:proofErr w:type="spellStart"/>
      <w:r>
        <w:t>Krey</w:t>
      </w:r>
      <w:proofErr w:type="spellEnd"/>
      <w:r>
        <w:t xml:space="preserve">, V., </w:t>
      </w:r>
      <w:proofErr w:type="spellStart"/>
      <w:r>
        <w:t>Diuana</w:t>
      </w:r>
      <w:proofErr w:type="spellEnd"/>
      <w:r>
        <w:t xml:space="preserve">, F. A., Wang, Y., Ilyas, A., </w:t>
      </w:r>
      <w:proofErr w:type="spellStart"/>
      <w:r>
        <w:t>Köberle</w:t>
      </w:r>
      <w:proofErr w:type="spellEnd"/>
      <w:r>
        <w:t xml:space="preserve">, A. C., </w:t>
      </w:r>
      <w:proofErr w:type="spellStart"/>
      <w:r>
        <w:t>Staffell</w:t>
      </w:r>
      <w:proofErr w:type="spellEnd"/>
      <w:r>
        <w:t xml:space="preserve">, I., </w:t>
      </w:r>
      <w:proofErr w:type="spellStart"/>
      <w:r>
        <w:t>Pfenninger</w:t>
      </w:r>
      <w:proofErr w:type="spellEnd"/>
      <w:r>
        <w:t xml:space="preserve">, S., Muhammad, A., Rowe, A., Schaeffer, R., Rao, N. D., Wada, Y., </w:t>
      </w:r>
      <w:proofErr w:type="spellStart"/>
      <w:r>
        <w:t>Djilali</w:t>
      </w:r>
      <w:proofErr w:type="spellEnd"/>
      <w:r>
        <w:t xml:space="preserve">, N., &amp; </w:t>
      </w:r>
      <w:proofErr w:type="spellStart"/>
      <w:r>
        <w:t>Riahi</w:t>
      </w:r>
      <w:proofErr w:type="spellEnd"/>
      <w:r>
        <w:t xml:space="preserve">, K. 2020. The </w:t>
      </w:r>
      <w:proofErr w:type="spellStart"/>
      <w:r>
        <w:t>NExus</w:t>
      </w:r>
      <w:proofErr w:type="spellEnd"/>
      <w:r>
        <w:t xml:space="preserve"> Solutions Tool (NEST) v1.0: an open platform for optimizing multi-scale energy–water–land system transformations. </w:t>
      </w:r>
      <w:r w:rsidRPr="004B5BD6">
        <w:rPr>
          <w:i/>
          <w:iCs/>
        </w:rPr>
        <w:t>Geosci</w:t>
      </w:r>
      <w:r>
        <w:rPr>
          <w:i/>
          <w:iCs/>
        </w:rPr>
        <w:t>entific</w:t>
      </w:r>
      <w:r w:rsidRPr="004B5BD6">
        <w:rPr>
          <w:i/>
          <w:iCs/>
        </w:rPr>
        <w:t xml:space="preserve"> Model Dev</w:t>
      </w:r>
      <w:r>
        <w:rPr>
          <w:i/>
          <w:iCs/>
        </w:rPr>
        <w:t>elopment</w:t>
      </w:r>
      <w:r>
        <w:t xml:space="preserve"> </w:t>
      </w:r>
      <w:r w:rsidRPr="004B5BD6">
        <w:rPr>
          <w:b/>
          <w:bCs/>
        </w:rPr>
        <w:t>13,</w:t>
      </w:r>
      <w:r>
        <w:t xml:space="preserve"> 1095-1121. </w:t>
      </w:r>
      <w:r w:rsidRPr="004B5BD6">
        <w:t>https://doi.org/10.5194/gmd-13-1095-2020</w:t>
      </w:r>
    </w:p>
    <w:p w14:paraId="589EC771" w14:textId="0206FA91" w:rsidR="00D869DB" w:rsidRDefault="00D869DB" w:rsidP="00D869DB">
      <w:pPr>
        <w:adjustRightInd w:val="0"/>
        <w:ind w:left="180" w:hanging="180"/>
      </w:pPr>
      <w:r>
        <w:t xml:space="preserve">46. </w:t>
      </w:r>
      <w:r w:rsidRPr="00936C25">
        <w:t xml:space="preserve">Hellegers, P., Zilberman, D., </w:t>
      </w:r>
      <w:proofErr w:type="spellStart"/>
      <w:r w:rsidRPr="00936C25">
        <w:t>Steduto</w:t>
      </w:r>
      <w:proofErr w:type="spellEnd"/>
      <w:r w:rsidRPr="00936C25">
        <w:t xml:space="preserve">, P., &amp; </w:t>
      </w:r>
      <w:proofErr w:type="spellStart"/>
      <w:r w:rsidRPr="00936C25">
        <w:t>McCornick</w:t>
      </w:r>
      <w:proofErr w:type="spellEnd"/>
      <w:r w:rsidRPr="00936C25">
        <w:t xml:space="preserve">, P. 2008. Interactions between water, energy, food and environment: evolving perspectives and policy issues. </w:t>
      </w:r>
      <w:r w:rsidRPr="00936C25">
        <w:rPr>
          <w:i/>
          <w:iCs/>
        </w:rPr>
        <w:t>Water Policy</w:t>
      </w:r>
      <w:r w:rsidRPr="00936C25">
        <w:t xml:space="preserve"> </w:t>
      </w:r>
      <w:r w:rsidRPr="00936C25">
        <w:rPr>
          <w:b/>
          <w:bCs/>
        </w:rPr>
        <w:t>10</w:t>
      </w:r>
      <w:r w:rsidRPr="00936C25">
        <w:t>, 1-10.</w:t>
      </w:r>
      <w:r w:rsidRPr="00F87BD0">
        <w:t xml:space="preserve"> https://doi.org/10.2166/wp.2008.048</w:t>
      </w:r>
    </w:p>
    <w:p w14:paraId="6384E534" w14:textId="4D5A6A66" w:rsidR="00D869DB" w:rsidRPr="00221F6A" w:rsidRDefault="00D869DB" w:rsidP="00D869DB">
      <w:pPr>
        <w:adjustRightInd w:val="0"/>
        <w:ind w:left="180" w:hanging="180"/>
      </w:pPr>
      <w:r>
        <w:t xml:space="preserve">47. </w:t>
      </w:r>
      <w:r w:rsidRPr="00221F6A">
        <w:t>Meter, K., &amp; Phillips, M. 2014. Building food security in Alaska. Anchorage: Food Policy Council, Alaska Department of Health and Social Services.</w:t>
      </w:r>
    </w:p>
    <w:p w14:paraId="32BAAC10" w14:textId="6B39D13C" w:rsidR="00E64024" w:rsidRPr="00936C25" w:rsidRDefault="00E64024" w:rsidP="00E64024">
      <w:pPr>
        <w:adjustRightInd w:val="0"/>
        <w:ind w:left="180" w:hanging="180"/>
      </w:pPr>
      <w:r>
        <w:t xml:space="preserve">48. </w:t>
      </w:r>
      <w:r w:rsidRPr="00936C25">
        <w:t xml:space="preserve">Gragg, R. S., </w:t>
      </w:r>
      <w:proofErr w:type="spellStart"/>
      <w:r w:rsidRPr="00936C25">
        <w:t>Anandhi</w:t>
      </w:r>
      <w:proofErr w:type="spellEnd"/>
      <w:r w:rsidRPr="00936C25">
        <w:t xml:space="preserve">, A., </w:t>
      </w:r>
      <w:proofErr w:type="spellStart"/>
      <w:r w:rsidRPr="00936C25">
        <w:t>Jiru</w:t>
      </w:r>
      <w:proofErr w:type="spellEnd"/>
      <w:r w:rsidRPr="00936C25">
        <w:t xml:space="preserve">, M., &amp; Usher, K. M. 2018. A conceptualization of the urban food-energy-water nexus sustainability paradigm: modeling from theory to practice. </w:t>
      </w:r>
      <w:r w:rsidRPr="00936C25">
        <w:rPr>
          <w:i/>
          <w:iCs/>
        </w:rPr>
        <w:t>Frontiers in Environmental Science</w:t>
      </w:r>
      <w:r w:rsidRPr="00936C25">
        <w:t xml:space="preserve"> </w:t>
      </w:r>
      <w:r w:rsidRPr="00936C25">
        <w:rPr>
          <w:b/>
          <w:bCs/>
        </w:rPr>
        <w:t>6</w:t>
      </w:r>
      <w:r w:rsidRPr="00936C25">
        <w:t>, 14.</w:t>
      </w:r>
      <w:r w:rsidRPr="00F87BD0">
        <w:t xml:space="preserve"> https://doi.org/10.3389/fenvs.2018.00133</w:t>
      </w:r>
    </w:p>
    <w:p w14:paraId="4A56841B" w14:textId="3CBEBA5E" w:rsidR="00E64024" w:rsidRDefault="00E64024" w:rsidP="00E64024">
      <w:pPr>
        <w:adjustRightInd w:val="0"/>
        <w:ind w:left="180" w:hanging="180"/>
      </w:pPr>
      <w:r>
        <w:t xml:space="preserve">49. </w:t>
      </w:r>
      <w:r w:rsidRPr="005C42F9">
        <w:t>Hamilton, L.</w:t>
      </w:r>
      <w:r>
        <w:t xml:space="preserve"> </w:t>
      </w:r>
      <w:r w:rsidRPr="005C42F9">
        <w:t>C., Saito,</w:t>
      </w:r>
      <w:r>
        <w:t xml:space="preserve"> K.,</w:t>
      </w:r>
      <w:r w:rsidRPr="005C42F9">
        <w:t xml:space="preserve"> Loring,</w:t>
      </w:r>
      <w:r>
        <w:t xml:space="preserve"> P. A.,</w:t>
      </w:r>
      <w:r w:rsidRPr="005C42F9">
        <w:t xml:space="preserve"> Lammers, </w:t>
      </w:r>
      <w:r>
        <w:t>R. B., &amp;</w:t>
      </w:r>
      <w:r w:rsidRPr="005C42F9">
        <w:t xml:space="preserve"> Huntington</w:t>
      </w:r>
      <w:r>
        <w:t>, H. P</w:t>
      </w:r>
      <w:r w:rsidRPr="005C42F9">
        <w:t xml:space="preserve">. 2016. </w:t>
      </w:r>
      <w:proofErr w:type="spellStart"/>
      <w:r w:rsidRPr="005C42F9">
        <w:t>Climigration</w:t>
      </w:r>
      <w:proofErr w:type="spellEnd"/>
      <w:r w:rsidRPr="005C42F9">
        <w:t xml:space="preserve">? Population and climate change in Arctic Alaska. </w:t>
      </w:r>
      <w:r w:rsidRPr="005C42F9">
        <w:rPr>
          <w:i/>
        </w:rPr>
        <w:t>Population and Environment</w:t>
      </w:r>
      <w:r w:rsidRPr="005C42F9">
        <w:t xml:space="preserve"> </w:t>
      </w:r>
      <w:r w:rsidRPr="00936C25">
        <w:rPr>
          <w:b/>
          <w:bCs/>
        </w:rPr>
        <w:t>38</w:t>
      </w:r>
      <w:r>
        <w:t xml:space="preserve">, </w:t>
      </w:r>
      <w:r w:rsidRPr="005C42F9">
        <w:t xml:space="preserve">115-133. </w:t>
      </w:r>
      <w:r w:rsidRPr="00494787">
        <w:t>https://doi.org/10.1007/s11111-016-0259-6</w:t>
      </w:r>
    </w:p>
    <w:p w14:paraId="19810D1F" w14:textId="12B36C0B" w:rsidR="00E64024" w:rsidRDefault="00E64024" w:rsidP="00E64024">
      <w:pPr>
        <w:adjustRightInd w:val="0"/>
        <w:ind w:left="180" w:hanging="180"/>
      </w:pPr>
      <w:bookmarkStart w:id="7" w:name="_Hlk32064728"/>
      <w:r>
        <w:t xml:space="preserve">50. </w:t>
      </w:r>
      <w:r w:rsidRPr="00725541">
        <w:t>Huntington, H.</w:t>
      </w:r>
      <w:r>
        <w:t xml:space="preserve"> </w:t>
      </w:r>
      <w:r w:rsidRPr="00725541">
        <w:t xml:space="preserve">P., Loring, </w:t>
      </w:r>
      <w:r>
        <w:t>P. A.,</w:t>
      </w:r>
      <w:r w:rsidRPr="00725541">
        <w:t xml:space="preserve"> Gannon, </w:t>
      </w:r>
      <w:r>
        <w:t>G.,</w:t>
      </w:r>
      <w:r w:rsidRPr="00725541">
        <w:t xml:space="preserve"> Gearheard, </w:t>
      </w:r>
      <w:r>
        <w:t>S.,</w:t>
      </w:r>
      <w:r w:rsidRPr="00725541">
        <w:t xml:space="preserve"> Gerlach, </w:t>
      </w:r>
      <w:r>
        <w:t>S. C., &amp;</w:t>
      </w:r>
      <w:r w:rsidRPr="00725541">
        <w:t xml:space="preserve"> Hamilton</w:t>
      </w:r>
      <w:r>
        <w:t>, L. C</w:t>
      </w:r>
      <w:r w:rsidRPr="00725541">
        <w:t xml:space="preserve">. 2018. Staying in place during times of change in Arctic Alaska: the implications of attachment, alternatives, and buffering. </w:t>
      </w:r>
      <w:r w:rsidRPr="00725541">
        <w:rPr>
          <w:i/>
        </w:rPr>
        <w:t>Regional Environmental Change</w:t>
      </w:r>
      <w:r w:rsidRPr="00725541">
        <w:t xml:space="preserve"> </w:t>
      </w:r>
      <w:r w:rsidRPr="00936C25">
        <w:rPr>
          <w:b/>
          <w:bCs/>
        </w:rPr>
        <w:t>18</w:t>
      </w:r>
      <w:r>
        <w:t xml:space="preserve">, </w:t>
      </w:r>
      <w:r w:rsidRPr="00725541">
        <w:t xml:space="preserve">489-499. </w:t>
      </w:r>
      <w:bookmarkEnd w:id="7"/>
      <w:r w:rsidRPr="00494787">
        <w:t>https://doi.org/10.1007/s10113-017-1221-6</w:t>
      </w:r>
    </w:p>
    <w:p w14:paraId="4E87C881" w14:textId="7A5C7277" w:rsidR="00E64024" w:rsidRDefault="00E64024" w:rsidP="00E64024">
      <w:pPr>
        <w:adjustRightInd w:val="0"/>
        <w:ind w:left="180" w:hanging="180"/>
        <w:rPr>
          <w:rFonts w:cs="Times New Roman"/>
        </w:rPr>
      </w:pPr>
      <w:r>
        <w:rPr>
          <w:rFonts w:cs="Times New Roman"/>
        </w:rPr>
        <w:t xml:space="preserve">51. </w:t>
      </w:r>
      <w:r w:rsidRPr="00F86D6D">
        <w:rPr>
          <w:rFonts w:cs="Times New Roman"/>
        </w:rPr>
        <w:t>Yin, R.</w:t>
      </w:r>
      <w:r>
        <w:rPr>
          <w:rFonts w:cs="Times New Roman"/>
        </w:rPr>
        <w:t xml:space="preserve"> </w:t>
      </w:r>
      <w:r w:rsidRPr="00F86D6D">
        <w:rPr>
          <w:rFonts w:cs="Times New Roman"/>
        </w:rPr>
        <w:t xml:space="preserve">K. 2009. </w:t>
      </w:r>
      <w:r w:rsidRPr="007A0B0B">
        <w:rPr>
          <w:rFonts w:cs="Times New Roman"/>
          <w:i/>
          <w:iCs/>
        </w:rPr>
        <w:t>Case study research: design and methods</w:t>
      </w:r>
      <w:r w:rsidRPr="00F86D6D">
        <w:rPr>
          <w:rFonts w:cs="Times New Roman"/>
        </w:rPr>
        <w:t>. 4</w:t>
      </w:r>
      <w:r w:rsidRPr="00F86D6D">
        <w:rPr>
          <w:rFonts w:cs="Times New Roman"/>
          <w:vertAlign w:val="superscript"/>
        </w:rPr>
        <w:t>th</w:t>
      </w:r>
      <w:r w:rsidRPr="00F86D6D">
        <w:rPr>
          <w:rFonts w:cs="Times New Roman"/>
        </w:rPr>
        <w:t xml:space="preserve"> edition. Thousand Oaks, </w:t>
      </w:r>
      <w:r>
        <w:rPr>
          <w:rFonts w:cs="Times New Roman"/>
        </w:rPr>
        <w:t>CA: SAGE</w:t>
      </w:r>
      <w:r w:rsidRPr="00F86D6D">
        <w:rPr>
          <w:rFonts w:cs="Times New Roman"/>
        </w:rPr>
        <w:t>.</w:t>
      </w:r>
    </w:p>
    <w:p w14:paraId="3EF7E01B" w14:textId="064BF55B" w:rsidR="00E64024" w:rsidRDefault="00E64024" w:rsidP="00E64024">
      <w:pPr>
        <w:adjustRightInd w:val="0"/>
        <w:ind w:left="180" w:hanging="180"/>
      </w:pPr>
      <w:r>
        <w:t xml:space="preserve">52. </w:t>
      </w:r>
      <w:proofErr w:type="spellStart"/>
      <w:r>
        <w:t>Sandelowski</w:t>
      </w:r>
      <w:proofErr w:type="spellEnd"/>
      <w:r>
        <w:t xml:space="preserve">, M. 1996. One is the liveliest number: the case orientation of qualitative research. </w:t>
      </w:r>
      <w:r>
        <w:rPr>
          <w:i/>
          <w:iCs/>
        </w:rPr>
        <w:t>Research in Nursing &amp; Health</w:t>
      </w:r>
      <w:r>
        <w:t xml:space="preserve"> </w:t>
      </w:r>
      <w:r w:rsidRPr="007A0B0B">
        <w:rPr>
          <w:b/>
          <w:bCs/>
        </w:rPr>
        <w:t>19(6)</w:t>
      </w:r>
      <w:r>
        <w:t xml:space="preserve">, 525–529. </w:t>
      </w:r>
      <w:r w:rsidRPr="00F87BD0">
        <w:t>https://doi.org/10.1002/(SICI)1098-240X(199612)19:6&lt;525::AID-NUR8&gt;3.0.CO;2-Q</w:t>
      </w:r>
    </w:p>
    <w:p w14:paraId="00C0C19F" w14:textId="7D5974A8" w:rsidR="00E64024" w:rsidRDefault="00E64024" w:rsidP="00E64024">
      <w:pPr>
        <w:adjustRightInd w:val="0"/>
        <w:ind w:left="180" w:hanging="180"/>
      </w:pPr>
      <w:r>
        <w:t xml:space="preserve">53. </w:t>
      </w:r>
      <w:r w:rsidRPr="007A0B0B">
        <w:t>Patton, M</w:t>
      </w:r>
      <w:r>
        <w:t xml:space="preserve">. </w:t>
      </w:r>
      <w:r w:rsidRPr="007A0B0B">
        <w:t>Q.</w:t>
      </w:r>
      <w:r>
        <w:t xml:space="preserve"> 2002.</w:t>
      </w:r>
      <w:r w:rsidRPr="007A0B0B">
        <w:t xml:space="preserve"> </w:t>
      </w:r>
      <w:r w:rsidRPr="007A0B0B">
        <w:rPr>
          <w:i/>
          <w:iCs/>
        </w:rPr>
        <w:t>Qualitative research and evaluation methods</w:t>
      </w:r>
      <w:r w:rsidRPr="007A0B0B">
        <w:t>. 3</w:t>
      </w:r>
      <w:r w:rsidRPr="007A0B0B">
        <w:rPr>
          <w:vertAlign w:val="superscript"/>
        </w:rPr>
        <w:t>rd</w:t>
      </w:r>
      <w:r>
        <w:t xml:space="preserve"> edition</w:t>
      </w:r>
      <w:r w:rsidRPr="007A0B0B">
        <w:t>.</w:t>
      </w:r>
      <w:r>
        <w:t xml:space="preserve"> Thousand Oaks, CA: SAGE</w:t>
      </w:r>
      <w:r w:rsidRPr="007A0B0B">
        <w:t>.</w:t>
      </w:r>
    </w:p>
    <w:p w14:paraId="5153C6E1" w14:textId="1AB7B27D" w:rsidR="00E64024" w:rsidRDefault="00E64024" w:rsidP="00E64024">
      <w:pPr>
        <w:adjustRightInd w:val="0"/>
        <w:ind w:left="180" w:hanging="180"/>
        <w:rPr>
          <w:rFonts w:eastAsia="Times New Roman" w:cs="Times New Roman"/>
          <w:lang w:val="en-CA" w:eastAsia="en-CA"/>
        </w:rPr>
      </w:pPr>
      <w:r>
        <w:rPr>
          <w:rFonts w:eastAsia="Times New Roman" w:cs="Times New Roman"/>
          <w:lang w:val="en-CA" w:eastAsia="en-CA"/>
        </w:rPr>
        <w:t xml:space="preserve">54. </w:t>
      </w:r>
      <w:r w:rsidRPr="00B114B0">
        <w:rPr>
          <w:rFonts w:eastAsia="Times New Roman" w:cs="Times New Roman"/>
          <w:lang w:val="en-CA" w:eastAsia="en-CA"/>
        </w:rPr>
        <w:t>Weiss, R. S. 199</w:t>
      </w:r>
      <w:r>
        <w:rPr>
          <w:rFonts w:eastAsia="Times New Roman" w:cs="Times New Roman"/>
          <w:lang w:val="en-CA" w:eastAsia="en-CA"/>
        </w:rPr>
        <w:t>4</w:t>
      </w:r>
      <w:r w:rsidRPr="00B114B0">
        <w:rPr>
          <w:rFonts w:eastAsia="Times New Roman" w:cs="Times New Roman"/>
          <w:lang w:val="en-CA" w:eastAsia="en-CA"/>
        </w:rPr>
        <w:t xml:space="preserve">. </w:t>
      </w:r>
      <w:r w:rsidRPr="00B114B0">
        <w:rPr>
          <w:rFonts w:eastAsia="Times New Roman" w:cs="Times New Roman"/>
          <w:i/>
          <w:iCs/>
          <w:lang w:val="en-CA" w:eastAsia="en-CA"/>
        </w:rPr>
        <w:t xml:space="preserve">Learning from strangers: </w:t>
      </w:r>
      <w:r>
        <w:rPr>
          <w:rFonts w:eastAsia="Times New Roman" w:cs="Times New Roman"/>
          <w:i/>
          <w:iCs/>
          <w:lang w:val="en-CA" w:eastAsia="en-CA"/>
        </w:rPr>
        <w:t>t</w:t>
      </w:r>
      <w:r w:rsidRPr="00B114B0">
        <w:rPr>
          <w:rFonts w:eastAsia="Times New Roman" w:cs="Times New Roman"/>
          <w:i/>
          <w:iCs/>
          <w:lang w:val="en-CA" w:eastAsia="en-CA"/>
        </w:rPr>
        <w:t>he art and method of qualitative interview studies</w:t>
      </w:r>
      <w:r w:rsidRPr="00B114B0">
        <w:rPr>
          <w:rFonts w:eastAsia="Times New Roman" w:cs="Times New Roman"/>
          <w:lang w:val="en-CA" w:eastAsia="en-CA"/>
        </w:rPr>
        <w:t xml:space="preserve">. </w:t>
      </w:r>
      <w:r>
        <w:rPr>
          <w:rFonts w:eastAsia="Times New Roman" w:cs="Times New Roman"/>
          <w:lang w:val="en-CA" w:eastAsia="en-CA"/>
        </w:rPr>
        <w:t xml:space="preserve">New York: </w:t>
      </w:r>
      <w:r w:rsidRPr="00B114B0">
        <w:rPr>
          <w:rFonts w:eastAsia="Times New Roman" w:cs="Times New Roman"/>
          <w:lang w:val="en-CA" w:eastAsia="en-CA"/>
        </w:rPr>
        <w:t>The Free Press.</w:t>
      </w:r>
    </w:p>
    <w:p w14:paraId="35F6D910" w14:textId="752CAB0E" w:rsidR="00E64024" w:rsidRDefault="00E64024" w:rsidP="00E64024">
      <w:pPr>
        <w:adjustRightInd w:val="0"/>
        <w:ind w:left="180" w:hanging="180"/>
      </w:pPr>
      <w:r>
        <w:t xml:space="preserve">55. Thomson, L. 2018. The guided tour: a research technique for the study of situated, embodied information. </w:t>
      </w:r>
      <w:r>
        <w:rPr>
          <w:i/>
          <w:iCs/>
        </w:rPr>
        <w:t>Library Trends</w:t>
      </w:r>
      <w:r>
        <w:t xml:space="preserve"> </w:t>
      </w:r>
      <w:r w:rsidRPr="00F9449D">
        <w:rPr>
          <w:b/>
          <w:bCs/>
        </w:rPr>
        <w:t>66(4)</w:t>
      </w:r>
      <w:r>
        <w:t xml:space="preserve">, 511-534. </w:t>
      </w:r>
      <w:r w:rsidRPr="00F87BD0">
        <w:t>https://doi.org/10.1353/lib.2018.0015</w:t>
      </w:r>
    </w:p>
    <w:p w14:paraId="766ED76B" w14:textId="17E5DE7D" w:rsidR="00E64024" w:rsidRDefault="00E64024" w:rsidP="00E64024">
      <w:pPr>
        <w:adjustRightInd w:val="0"/>
        <w:ind w:left="180" w:hanging="180"/>
        <w:rPr>
          <w:rFonts w:eastAsia="Times New Roman" w:cs="Times New Roman"/>
          <w:lang w:val="en-CA" w:eastAsia="en-CA"/>
        </w:rPr>
      </w:pPr>
      <w:r>
        <w:rPr>
          <w:rFonts w:eastAsia="Times New Roman" w:cs="Times New Roman"/>
          <w:lang w:val="en-CA" w:eastAsia="en-CA"/>
        </w:rPr>
        <w:lastRenderedPageBreak/>
        <w:t xml:space="preserve">56. </w:t>
      </w:r>
      <w:proofErr w:type="spellStart"/>
      <w:r w:rsidRPr="000767E2">
        <w:rPr>
          <w:rFonts w:eastAsia="Times New Roman" w:cs="Times New Roman"/>
          <w:lang w:val="en-CA" w:eastAsia="en-CA"/>
        </w:rPr>
        <w:t>Birt</w:t>
      </w:r>
      <w:proofErr w:type="spellEnd"/>
      <w:r w:rsidRPr="000767E2">
        <w:rPr>
          <w:rFonts w:eastAsia="Times New Roman" w:cs="Times New Roman"/>
          <w:lang w:val="en-CA" w:eastAsia="en-CA"/>
        </w:rPr>
        <w:t xml:space="preserve">, L., Scott, S., Cavers, D., Campbell, C., &amp; Walter, F. 2016. Member checking: </w:t>
      </w:r>
      <w:r>
        <w:rPr>
          <w:rFonts w:eastAsia="Times New Roman" w:cs="Times New Roman"/>
          <w:lang w:val="en-CA" w:eastAsia="en-CA"/>
        </w:rPr>
        <w:t>a</w:t>
      </w:r>
      <w:r w:rsidRPr="000767E2">
        <w:rPr>
          <w:rFonts w:eastAsia="Times New Roman" w:cs="Times New Roman"/>
          <w:lang w:val="en-CA" w:eastAsia="en-CA"/>
        </w:rPr>
        <w:t xml:space="preserve"> tool to enhance trustworthiness or merely a nod to validation? </w:t>
      </w:r>
      <w:r w:rsidRPr="000767E2">
        <w:rPr>
          <w:rFonts w:eastAsia="Times New Roman" w:cs="Times New Roman"/>
          <w:i/>
          <w:iCs/>
          <w:lang w:val="en-CA" w:eastAsia="en-CA"/>
        </w:rPr>
        <w:t>Qualitative Health Research</w:t>
      </w:r>
      <w:r w:rsidRPr="000767E2">
        <w:rPr>
          <w:rFonts w:eastAsia="Times New Roman" w:cs="Times New Roman"/>
          <w:lang w:val="en-CA" w:eastAsia="en-CA"/>
        </w:rPr>
        <w:t xml:space="preserve"> </w:t>
      </w:r>
      <w:r w:rsidRPr="00F9449D">
        <w:rPr>
          <w:rFonts w:eastAsia="Times New Roman" w:cs="Times New Roman"/>
          <w:b/>
          <w:bCs/>
          <w:lang w:val="en-CA" w:eastAsia="en-CA"/>
        </w:rPr>
        <w:t>26(13)</w:t>
      </w:r>
      <w:r w:rsidRPr="000767E2">
        <w:rPr>
          <w:rFonts w:eastAsia="Times New Roman" w:cs="Times New Roman"/>
          <w:lang w:val="en-CA" w:eastAsia="en-CA"/>
        </w:rPr>
        <w:t>, 1802</w:t>
      </w:r>
      <w:r>
        <w:rPr>
          <w:rFonts w:eastAsia="Times New Roman" w:cs="Times New Roman"/>
          <w:lang w:val="en-CA" w:eastAsia="en-CA"/>
        </w:rPr>
        <w:t>-</w:t>
      </w:r>
      <w:r w:rsidRPr="000767E2">
        <w:rPr>
          <w:rFonts w:eastAsia="Times New Roman" w:cs="Times New Roman"/>
          <w:lang w:val="en-CA" w:eastAsia="en-CA"/>
        </w:rPr>
        <w:t>1811.</w:t>
      </w:r>
      <w:r w:rsidRPr="00F87BD0">
        <w:t xml:space="preserve"> </w:t>
      </w:r>
      <w:r w:rsidRPr="00F87BD0">
        <w:rPr>
          <w:rFonts w:eastAsia="Times New Roman" w:cs="Times New Roman"/>
          <w:lang w:val="en-CA" w:eastAsia="en-CA"/>
        </w:rPr>
        <w:t>https://doi.org/10.1177/1049732316654870</w:t>
      </w:r>
    </w:p>
    <w:p w14:paraId="0E797C19" w14:textId="1856A8D3" w:rsidR="00E64024" w:rsidRDefault="00E64024" w:rsidP="00E64024">
      <w:pPr>
        <w:adjustRightInd w:val="0"/>
        <w:ind w:left="180" w:hanging="180"/>
        <w:rPr>
          <w:rFonts w:eastAsia="Times New Roman" w:cs="Times New Roman"/>
          <w:lang w:val="en-CA" w:eastAsia="en-CA"/>
        </w:rPr>
      </w:pPr>
      <w:bookmarkStart w:id="8" w:name="_Hlk504389464"/>
      <w:r>
        <w:rPr>
          <w:rFonts w:eastAsia="Times New Roman" w:cs="Times New Roman"/>
          <w:lang w:val="en-CA" w:eastAsia="en-CA"/>
        </w:rPr>
        <w:t xml:space="preserve">57. </w:t>
      </w:r>
      <w:r w:rsidRPr="0002261B">
        <w:rPr>
          <w:rFonts w:eastAsia="Times New Roman" w:cs="Times New Roman"/>
          <w:lang w:val="en-CA" w:eastAsia="en-CA"/>
        </w:rPr>
        <w:t xml:space="preserve">Wolcott, H. F. 1994. </w:t>
      </w:r>
      <w:r w:rsidRPr="0002261B">
        <w:rPr>
          <w:rFonts w:eastAsia="Times New Roman" w:cs="Times New Roman"/>
          <w:i/>
          <w:iCs/>
          <w:lang w:val="en-CA" w:eastAsia="en-CA"/>
        </w:rPr>
        <w:t xml:space="preserve">Transforming </w:t>
      </w:r>
      <w:r>
        <w:rPr>
          <w:rFonts w:eastAsia="Times New Roman" w:cs="Times New Roman"/>
          <w:i/>
          <w:iCs/>
          <w:lang w:val="en-CA" w:eastAsia="en-CA"/>
        </w:rPr>
        <w:t>q</w:t>
      </w:r>
      <w:r w:rsidRPr="0002261B">
        <w:rPr>
          <w:rFonts w:eastAsia="Times New Roman" w:cs="Times New Roman"/>
          <w:i/>
          <w:iCs/>
          <w:lang w:val="en-CA" w:eastAsia="en-CA"/>
        </w:rPr>
        <w:t xml:space="preserve">ualitative </w:t>
      </w:r>
      <w:r>
        <w:rPr>
          <w:rFonts w:eastAsia="Times New Roman" w:cs="Times New Roman"/>
          <w:i/>
          <w:iCs/>
          <w:lang w:val="en-CA" w:eastAsia="en-CA"/>
        </w:rPr>
        <w:t>d</w:t>
      </w:r>
      <w:r w:rsidRPr="0002261B">
        <w:rPr>
          <w:rFonts w:eastAsia="Times New Roman" w:cs="Times New Roman"/>
          <w:i/>
          <w:iCs/>
          <w:lang w:val="en-CA" w:eastAsia="en-CA"/>
        </w:rPr>
        <w:t xml:space="preserve">ata: </w:t>
      </w:r>
      <w:r>
        <w:rPr>
          <w:rFonts w:eastAsia="Times New Roman" w:cs="Times New Roman"/>
          <w:i/>
          <w:iCs/>
          <w:lang w:val="en-CA" w:eastAsia="en-CA"/>
        </w:rPr>
        <w:t>d</w:t>
      </w:r>
      <w:r w:rsidRPr="0002261B">
        <w:rPr>
          <w:rFonts w:eastAsia="Times New Roman" w:cs="Times New Roman"/>
          <w:i/>
          <w:iCs/>
          <w:lang w:val="en-CA" w:eastAsia="en-CA"/>
        </w:rPr>
        <w:t xml:space="preserve">escription, </w:t>
      </w:r>
      <w:r>
        <w:rPr>
          <w:rFonts w:eastAsia="Times New Roman" w:cs="Times New Roman"/>
          <w:i/>
          <w:iCs/>
          <w:lang w:val="en-CA" w:eastAsia="en-CA"/>
        </w:rPr>
        <w:t>a</w:t>
      </w:r>
      <w:r w:rsidRPr="0002261B">
        <w:rPr>
          <w:rFonts w:eastAsia="Times New Roman" w:cs="Times New Roman"/>
          <w:i/>
          <w:iCs/>
          <w:lang w:val="en-CA" w:eastAsia="en-CA"/>
        </w:rPr>
        <w:t xml:space="preserve">nalysis, and </w:t>
      </w:r>
      <w:r>
        <w:rPr>
          <w:rFonts w:eastAsia="Times New Roman" w:cs="Times New Roman"/>
          <w:i/>
          <w:iCs/>
          <w:lang w:val="en-CA" w:eastAsia="en-CA"/>
        </w:rPr>
        <w:t>i</w:t>
      </w:r>
      <w:r w:rsidRPr="0002261B">
        <w:rPr>
          <w:rFonts w:eastAsia="Times New Roman" w:cs="Times New Roman"/>
          <w:i/>
          <w:iCs/>
          <w:lang w:val="en-CA" w:eastAsia="en-CA"/>
        </w:rPr>
        <w:t>nterpretation</w:t>
      </w:r>
      <w:r w:rsidRPr="0002261B">
        <w:rPr>
          <w:rFonts w:eastAsia="Times New Roman" w:cs="Times New Roman"/>
          <w:lang w:val="en-CA" w:eastAsia="en-CA"/>
        </w:rPr>
        <w:t xml:space="preserve">. </w:t>
      </w:r>
      <w:r>
        <w:rPr>
          <w:rFonts w:eastAsia="Times New Roman" w:cs="Times New Roman"/>
          <w:lang w:val="en-CA" w:eastAsia="en-CA"/>
        </w:rPr>
        <w:t xml:space="preserve">Thousand Oaks, CA: </w:t>
      </w:r>
      <w:r w:rsidRPr="0002261B">
        <w:rPr>
          <w:rFonts w:eastAsia="Times New Roman" w:cs="Times New Roman"/>
          <w:lang w:val="en-CA" w:eastAsia="en-CA"/>
        </w:rPr>
        <w:t>SAGE.</w:t>
      </w:r>
    </w:p>
    <w:p w14:paraId="6C34FF59" w14:textId="4922B674" w:rsidR="00E64024" w:rsidRDefault="00E64024" w:rsidP="00E64024">
      <w:pPr>
        <w:adjustRightInd w:val="0"/>
        <w:ind w:left="180" w:hanging="180"/>
      </w:pPr>
      <w:r>
        <w:t xml:space="preserve">58. </w:t>
      </w:r>
      <w:proofErr w:type="spellStart"/>
      <w:r>
        <w:t>Luborsky</w:t>
      </w:r>
      <w:proofErr w:type="spellEnd"/>
      <w:r>
        <w:t xml:space="preserve">, M. R., &amp; Rubinstein, R. L. 1995. Sampling in qualitative research: rationale, issues, and methods. </w:t>
      </w:r>
      <w:r w:rsidRPr="00DB3289">
        <w:rPr>
          <w:i/>
          <w:iCs/>
        </w:rPr>
        <w:t>Research on Aging</w:t>
      </w:r>
      <w:r>
        <w:t xml:space="preserve"> </w:t>
      </w:r>
      <w:r w:rsidRPr="00DB3289">
        <w:rPr>
          <w:b/>
          <w:bCs/>
        </w:rPr>
        <w:t>17(1)</w:t>
      </w:r>
      <w:r>
        <w:t xml:space="preserve">, 89-113. </w:t>
      </w:r>
      <w:r w:rsidRPr="00494787">
        <w:t>https://doi.org/10.1177/0164027595171005</w:t>
      </w:r>
    </w:p>
    <w:p w14:paraId="7C51D9DA" w14:textId="7B6D497F" w:rsidR="00E64024" w:rsidRDefault="00E64024" w:rsidP="00E64024">
      <w:pPr>
        <w:adjustRightInd w:val="0"/>
        <w:ind w:left="180" w:hanging="180"/>
      </w:pPr>
      <w:r>
        <w:t xml:space="preserve">59. </w:t>
      </w:r>
      <w:r w:rsidRPr="00F9449D">
        <w:t>Huntington, H.</w:t>
      </w:r>
      <w:r>
        <w:t xml:space="preserve"> </w:t>
      </w:r>
      <w:r w:rsidRPr="00F9449D">
        <w:t xml:space="preserve">P. 1998. Observations on the utility of the semi-directive interview for documenting traditional ecological knowledge. </w:t>
      </w:r>
      <w:r w:rsidRPr="00F9449D">
        <w:rPr>
          <w:i/>
          <w:iCs/>
        </w:rPr>
        <w:t>Arctic</w:t>
      </w:r>
      <w:r w:rsidRPr="00F9449D">
        <w:t xml:space="preserve"> </w:t>
      </w:r>
      <w:r w:rsidRPr="00F9449D">
        <w:rPr>
          <w:b/>
          <w:bCs/>
        </w:rPr>
        <w:t>51(3)</w:t>
      </w:r>
      <w:r>
        <w:t>,</w:t>
      </w:r>
      <w:r w:rsidRPr="00F9449D">
        <w:t xml:space="preserve"> 237-242. </w:t>
      </w:r>
      <w:r w:rsidRPr="00F87BD0">
        <w:t>https://doi.org/10.14430/arctic1065</w:t>
      </w:r>
    </w:p>
    <w:p w14:paraId="628FD04A" w14:textId="2B6BB555" w:rsidR="00E64024" w:rsidRDefault="00E64024" w:rsidP="00E64024">
      <w:pPr>
        <w:adjustRightInd w:val="0"/>
        <w:ind w:left="180" w:hanging="180"/>
      </w:pPr>
      <w:bookmarkStart w:id="9" w:name="_Hlk32065074"/>
      <w:r>
        <w:t xml:space="preserve">60. </w:t>
      </w:r>
      <w:r w:rsidRPr="00F9449D">
        <w:t>Huntington, H.</w:t>
      </w:r>
      <w:r>
        <w:t xml:space="preserve"> </w:t>
      </w:r>
      <w:r w:rsidRPr="00F9449D">
        <w:t>P., Gearheard, S., Mahoney, A., &amp; Salomon, A.</w:t>
      </w:r>
      <w:r>
        <w:t xml:space="preserve"> </w:t>
      </w:r>
      <w:r w:rsidRPr="00F9449D">
        <w:t xml:space="preserve">K. 2011. Integrating traditional and scientific knowledge through collaborative natural science field research: identifying elements for success. </w:t>
      </w:r>
      <w:r w:rsidRPr="00F9449D">
        <w:rPr>
          <w:i/>
          <w:iCs/>
        </w:rPr>
        <w:t>Arctic</w:t>
      </w:r>
      <w:r w:rsidRPr="00F9449D">
        <w:t xml:space="preserve"> </w:t>
      </w:r>
      <w:r w:rsidRPr="00F9449D">
        <w:rPr>
          <w:b/>
          <w:bCs/>
        </w:rPr>
        <w:t>64(4)</w:t>
      </w:r>
      <w:r>
        <w:t xml:space="preserve">, </w:t>
      </w:r>
      <w:r w:rsidRPr="00F9449D">
        <w:t xml:space="preserve">437-445. </w:t>
      </w:r>
      <w:r w:rsidRPr="00F87BD0">
        <w:t>https://doi.org/10.14430/arctic4143</w:t>
      </w:r>
    </w:p>
    <w:bookmarkEnd w:id="9"/>
    <w:p w14:paraId="662AE22E" w14:textId="14C3EE36" w:rsidR="00E64024" w:rsidRDefault="00E64024" w:rsidP="00E64024">
      <w:pPr>
        <w:adjustRightInd w:val="0"/>
        <w:ind w:left="180" w:hanging="180"/>
      </w:pPr>
      <w:r>
        <w:t xml:space="preserve">61. Penn, H. J. F., Gerlach, S. C., &amp; Loring, P. A. 2016. </w:t>
      </w:r>
      <w:r w:rsidRPr="00DB3289">
        <w:t>Seasons of stress: understanding the dynamic nature of people’s ability to respond to change and surprise</w:t>
      </w:r>
      <w:r>
        <w:t xml:space="preserve">. </w:t>
      </w:r>
      <w:r w:rsidRPr="00DB3289">
        <w:rPr>
          <w:i/>
          <w:iCs/>
        </w:rPr>
        <w:t>Weather, Climate, and Society</w:t>
      </w:r>
      <w:r>
        <w:t xml:space="preserve"> </w:t>
      </w:r>
      <w:r w:rsidRPr="00DB3289">
        <w:rPr>
          <w:b/>
          <w:bCs/>
        </w:rPr>
        <w:t>8(4)</w:t>
      </w:r>
      <w:r>
        <w:t xml:space="preserve">, 435-446. </w:t>
      </w:r>
      <w:r w:rsidRPr="00F87BD0">
        <w:t>https://doi.org/10.1175/WCAS-D-15-0061.1</w:t>
      </w:r>
    </w:p>
    <w:p w14:paraId="16CCD54C" w14:textId="1DD25623" w:rsidR="0016780E" w:rsidRPr="00936C25" w:rsidRDefault="0016780E" w:rsidP="0016780E">
      <w:pPr>
        <w:adjustRightInd w:val="0"/>
        <w:ind w:left="180" w:hanging="180"/>
      </w:pPr>
      <w:r>
        <w:t xml:space="preserve">62. </w:t>
      </w:r>
      <w:r w:rsidRPr="00936C25">
        <w:t xml:space="preserve">Loring, P. A., Gerlach, S. C., &amp; Harrison, H. L. 2013b. Seafood as local food: food security and locally caught seafood on Alaska's Kenai Peninsula. </w:t>
      </w:r>
      <w:r w:rsidRPr="00936C25">
        <w:rPr>
          <w:i/>
          <w:iCs/>
        </w:rPr>
        <w:t>Journal of Agriculture, Food Systems, and Community Development</w:t>
      </w:r>
      <w:r w:rsidRPr="00936C25">
        <w:t xml:space="preserve"> </w:t>
      </w:r>
      <w:r w:rsidRPr="00936C25">
        <w:rPr>
          <w:b/>
          <w:bCs/>
        </w:rPr>
        <w:t>3</w:t>
      </w:r>
      <w:r w:rsidRPr="00936C25">
        <w:t>,13-30.</w:t>
      </w:r>
      <w:r w:rsidRPr="00494787">
        <w:t xml:space="preserve"> https://doi.org/10.5304/jafscd.2013.033.006</w:t>
      </w:r>
    </w:p>
    <w:p w14:paraId="154B293F" w14:textId="30EEF801" w:rsidR="00E64024" w:rsidRDefault="0016780E" w:rsidP="00E64024">
      <w:pPr>
        <w:adjustRightInd w:val="0"/>
        <w:ind w:left="180" w:hanging="180"/>
      </w:pPr>
      <w:r>
        <w:t xml:space="preserve">63. </w:t>
      </w:r>
      <w:proofErr w:type="spellStart"/>
      <w:r w:rsidR="00E64024">
        <w:t>Goldhar</w:t>
      </w:r>
      <w:proofErr w:type="spellEnd"/>
      <w:r w:rsidR="00E64024">
        <w:t xml:space="preserve">, C., Bell, T., &amp; Wolf, J. 2013. Rethinking existing approaches to water security in remote communities: an analysis of two drinking water systems in Nunatsiavut, Labrador, Canada. </w:t>
      </w:r>
      <w:r w:rsidR="00E64024" w:rsidRPr="00F9449D">
        <w:rPr>
          <w:i/>
          <w:iCs/>
        </w:rPr>
        <w:t>Water Alternatives</w:t>
      </w:r>
      <w:r w:rsidR="00E64024">
        <w:t xml:space="preserve"> </w:t>
      </w:r>
      <w:r w:rsidR="00E64024" w:rsidRPr="00F9449D">
        <w:rPr>
          <w:b/>
          <w:bCs/>
        </w:rPr>
        <w:t>6</w:t>
      </w:r>
      <w:r w:rsidR="00E64024">
        <w:t>, 462-486.</w:t>
      </w:r>
    </w:p>
    <w:bookmarkEnd w:id="8"/>
    <w:p w14:paraId="11815997" w14:textId="22A3043F" w:rsidR="00E64024" w:rsidRPr="00221F6A" w:rsidRDefault="0016780E" w:rsidP="00E64024">
      <w:pPr>
        <w:adjustRightInd w:val="0"/>
        <w:ind w:left="180" w:hanging="180"/>
      </w:pPr>
      <w:r>
        <w:t xml:space="preserve">64. </w:t>
      </w:r>
      <w:r w:rsidR="00E64024" w:rsidRPr="00221F6A">
        <w:t xml:space="preserve">Walch, A., Bersamin, A., Loring, P., Johnson, R., </w:t>
      </w:r>
      <w:r w:rsidR="00E64024">
        <w:t>&amp;</w:t>
      </w:r>
      <w:r w:rsidR="00E64024" w:rsidRPr="00221F6A">
        <w:t xml:space="preserve"> Tholl, M. 2018. A scoping review of traditional food security in Alaska. </w:t>
      </w:r>
      <w:r w:rsidR="00E64024" w:rsidRPr="00221F6A">
        <w:rPr>
          <w:i/>
          <w:iCs/>
        </w:rPr>
        <w:t>International Journal of Circumpolar Health</w:t>
      </w:r>
      <w:r w:rsidR="00E64024" w:rsidRPr="00221F6A">
        <w:t xml:space="preserve"> </w:t>
      </w:r>
      <w:r w:rsidR="00E64024" w:rsidRPr="00221F6A">
        <w:rPr>
          <w:b/>
          <w:bCs/>
        </w:rPr>
        <w:t>77</w:t>
      </w:r>
      <w:r w:rsidR="00E64024" w:rsidRPr="00221F6A">
        <w:t>, 1419678.</w:t>
      </w:r>
      <w:r w:rsidR="00E64024" w:rsidRPr="00494787">
        <w:t xml:space="preserve"> https://doi.org/10.1080/22423982.2017.1419678</w:t>
      </w:r>
    </w:p>
    <w:p w14:paraId="06ACBCA6" w14:textId="0D45D9B5" w:rsidR="00794FEF" w:rsidRDefault="00794FEF" w:rsidP="00F653A7">
      <w:pPr>
        <w:adjustRightInd w:val="0"/>
        <w:ind w:left="180" w:hanging="180"/>
        <w:rPr>
          <w:rFonts w:cs="Times New Roman"/>
        </w:rPr>
      </w:pPr>
    </w:p>
    <w:p w14:paraId="7372C2DE" w14:textId="77777777" w:rsidR="00A00167" w:rsidRDefault="00A00167">
      <w:pPr>
        <w:spacing w:after="160" w:line="259" w:lineRule="auto"/>
        <w:rPr>
          <w:u w:val="single"/>
        </w:rPr>
      </w:pPr>
      <w:r>
        <w:rPr>
          <w:u w:val="single"/>
        </w:rPr>
        <w:br w:type="page"/>
      </w:r>
    </w:p>
    <w:p w14:paraId="07F7D791" w14:textId="1883EED0" w:rsidR="00A117DC" w:rsidRDefault="00A117DC" w:rsidP="00A117DC">
      <w:pPr>
        <w:spacing w:line="360" w:lineRule="auto"/>
      </w:pPr>
      <w:r w:rsidRPr="000100D9">
        <w:rPr>
          <w:u w:val="single"/>
        </w:rPr>
        <w:lastRenderedPageBreak/>
        <w:t>Acknowledgments</w:t>
      </w:r>
    </w:p>
    <w:p w14:paraId="4A158C73" w14:textId="1541DB0B" w:rsidR="00A117DC" w:rsidRDefault="00A117DC" w:rsidP="00A117DC">
      <w:pPr>
        <w:spacing w:line="360" w:lineRule="auto"/>
      </w:pPr>
      <w:r w:rsidRPr="00F32FF6">
        <w:t xml:space="preserve">Funding for this work was provided by the </w:t>
      </w:r>
      <w:r>
        <w:t xml:space="preserve">U.S. </w:t>
      </w:r>
      <w:r w:rsidRPr="00F32FF6">
        <w:t>National Science</w:t>
      </w:r>
      <w:r>
        <w:t xml:space="preserve"> </w:t>
      </w:r>
      <w:r w:rsidRPr="00F32FF6">
        <w:t xml:space="preserve">Foundation, Award No. 1740075: INFEWS/T3: </w:t>
      </w:r>
      <w:r>
        <w:t>C</w:t>
      </w:r>
      <w:r w:rsidRPr="00F32FF6">
        <w:t>oupling infrastructure</w:t>
      </w:r>
      <w:r>
        <w:t xml:space="preserve"> </w:t>
      </w:r>
      <w:r w:rsidRPr="00F32FF6">
        <w:t>improvements to food</w:t>
      </w:r>
      <w:r>
        <w:t>-</w:t>
      </w:r>
      <w:r w:rsidRPr="00F32FF6">
        <w:t>energy</w:t>
      </w:r>
      <w:r>
        <w:t>-</w:t>
      </w:r>
      <w:r w:rsidRPr="00F32FF6">
        <w:t>water system dynamics</w:t>
      </w:r>
      <w:r>
        <w:t xml:space="preserve"> </w:t>
      </w:r>
      <w:r w:rsidRPr="00F32FF6">
        <w:t xml:space="preserve">in small cold region communities: </w:t>
      </w:r>
      <w:r w:rsidR="00BB15B4">
        <w:t xml:space="preserve">The funding supported all authors except A.S., who contributed without outside support. No other funding was used to support this work. </w:t>
      </w:r>
      <w:proofErr w:type="spellStart"/>
      <w:r w:rsidRPr="00F32FF6">
        <w:t>MicroFEWs</w:t>
      </w:r>
      <w:proofErr w:type="spellEnd"/>
      <w:r w:rsidRPr="00F32FF6">
        <w:t>.</w:t>
      </w:r>
      <w:r>
        <w:t xml:space="preserve"> Figures 2, 3, and 4 were prepared by Melanie Rohr, for which we are grateful. Joe </w:t>
      </w:r>
      <w:proofErr w:type="spellStart"/>
      <w:r>
        <w:t>Selmont</w:t>
      </w:r>
      <w:proofErr w:type="spellEnd"/>
      <w:r>
        <w:t xml:space="preserve"> reviewed the paper prior to submission, for which we are also grateful.</w:t>
      </w:r>
    </w:p>
    <w:p w14:paraId="37B9E926" w14:textId="77777777" w:rsidR="00A117DC" w:rsidRDefault="00A117DC" w:rsidP="00A117DC">
      <w:pPr>
        <w:spacing w:line="360" w:lineRule="auto"/>
      </w:pPr>
    </w:p>
    <w:p w14:paraId="72323AAE" w14:textId="77777777" w:rsidR="00A117DC" w:rsidRDefault="00A117DC" w:rsidP="00A117DC">
      <w:pPr>
        <w:spacing w:line="360" w:lineRule="auto"/>
        <w:rPr>
          <w:u w:val="single"/>
        </w:rPr>
      </w:pPr>
      <w:r>
        <w:rPr>
          <w:u w:val="single"/>
        </w:rPr>
        <w:t>Ethics Declarations</w:t>
      </w:r>
    </w:p>
    <w:p w14:paraId="0C022A49" w14:textId="77777777" w:rsidR="00A117DC" w:rsidRPr="003E12CF" w:rsidRDefault="00A117DC" w:rsidP="00A117DC">
      <w:pPr>
        <w:spacing w:line="360" w:lineRule="auto"/>
        <w:rPr>
          <w:i/>
          <w:iCs/>
        </w:rPr>
      </w:pPr>
      <w:r w:rsidRPr="003E12CF">
        <w:rPr>
          <w:i/>
          <w:iCs/>
        </w:rPr>
        <w:t>Competing Interests</w:t>
      </w:r>
    </w:p>
    <w:p w14:paraId="4A1CFCC6" w14:textId="77777777" w:rsidR="00A117DC" w:rsidRDefault="00A117DC" w:rsidP="00A117DC">
      <w:pPr>
        <w:spacing w:line="360" w:lineRule="auto"/>
      </w:pPr>
      <w:r>
        <w:t>The authors declare no competing interests.</w:t>
      </w:r>
    </w:p>
    <w:p w14:paraId="551A11FE" w14:textId="77777777" w:rsidR="00A117DC" w:rsidRDefault="00A117DC" w:rsidP="00A117DC">
      <w:pPr>
        <w:spacing w:line="360" w:lineRule="auto"/>
      </w:pPr>
    </w:p>
    <w:p w14:paraId="643123D9" w14:textId="77777777" w:rsidR="00A117DC" w:rsidRPr="005129E5" w:rsidRDefault="00A117DC" w:rsidP="00A117DC">
      <w:pPr>
        <w:spacing w:line="360" w:lineRule="auto"/>
        <w:rPr>
          <w:i/>
          <w:iCs/>
        </w:rPr>
      </w:pPr>
      <w:r w:rsidRPr="005129E5">
        <w:rPr>
          <w:i/>
          <w:iCs/>
        </w:rPr>
        <w:t>Human Subjects Approval</w:t>
      </w:r>
    </w:p>
    <w:p w14:paraId="4C392F39" w14:textId="77777777" w:rsidR="00A117DC" w:rsidRDefault="00A117DC" w:rsidP="00A117DC">
      <w:pPr>
        <w:spacing w:line="360" w:lineRule="auto"/>
      </w:pPr>
      <w:r>
        <w:t>This study was approved by the University of Alaska Fairbanks Institutional Review Board (# 1368554) and the University of Alaska Anchorage Institutional Review Board (#1093666).</w:t>
      </w:r>
    </w:p>
    <w:p w14:paraId="48D56D0E" w14:textId="77777777" w:rsidR="00A117DC" w:rsidRDefault="00A117DC" w:rsidP="00A117DC">
      <w:pPr>
        <w:spacing w:line="360" w:lineRule="auto"/>
      </w:pPr>
    </w:p>
    <w:p w14:paraId="3EC599A3" w14:textId="77777777" w:rsidR="00A117DC" w:rsidRPr="005129E5" w:rsidRDefault="00A117DC" w:rsidP="00A117DC">
      <w:pPr>
        <w:spacing w:line="360" w:lineRule="auto"/>
        <w:rPr>
          <w:u w:val="single"/>
        </w:rPr>
      </w:pPr>
      <w:r w:rsidRPr="005129E5">
        <w:rPr>
          <w:u w:val="single"/>
        </w:rPr>
        <w:t>Contributions</w:t>
      </w:r>
    </w:p>
    <w:p w14:paraId="3DA3DD1A" w14:textId="1FDB67D9" w:rsidR="00A117DC" w:rsidRDefault="00A117DC" w:rsidP="00A117DC">
      <w:pPr>
        <w:spacing w:line="360" w:lineRule="auto"/>
      </w:pPr>
      <w:r>
        <w:t xml:space="preserve">H.P.H., J.I.S., P.A.L., E.W., and W.E.S. developed the idea and contributed to writing and editing the paper. S.A., </w:t>
      </w:r>
      <w:r w:rsidR="00BB15B4">
        <w:t xml:space="preserve">A.G.B., </w:t>
      </w:r>
      <w:r>
        <w:t>S.D., A.D.D., D.H., B.J., J.K., H.J.F.P., A.S., D.J.S., R.W.W., and M.W. wrote sections of the paper and contributed to editing of the manuscript. All authors reviewed the final manuscript and approved it for submission and publication.</w:t>
      </w:r>
    </w:p>
    <w:p w14:paraId="1984F975" w14:textId="77777777" w:rsidR="00AF6026" w:rsidRDefault="00AF6026">
      <w:pPr>
        <w:spacing w:after="160" w:line="259" w:lineRule="auto"/>
      </w:pPr>
    </w:p>
    <w:p w14:paraId="1AA66D00" w14:textId="743111CE" w:rsidR="00A00167" w:rsidRDefault="00A00167">
      <w:pPr>
        <w:spacing w:after="160" w:line="259" w:lineRule="auto"/>
        <w:rPr>
          <w:u w:val="single"/>
        </w:rPr>
      </w:pPr>
      <w:r>
        <w:rPr>
          <w:u w:val="single"/>
        </w:rPr>
        <w:br w:type="page"/>
      </w:r>
    </w:p>
    <w:p w14:paraId="5953FE9D" w14:textId="3ABDB3C5" w:rsidR="00794FEF" w:rsidRPr="00776F31" w:rsidRDefault="00794FEF" w:rsidP="00794FEF">
      <w:pPr>
        <w:spacing w:line="360" w:lineRule="auto"/>
        <w:rPr>
          <w:u w:val="single"/>
        </w:rPr>
      </w:pPr>
      <w:r w:rsidRPr="00776F31">
        <w:rPr>
          <w:u w:val="single"/>
        </w:rPr>
        <w:lastRenderedPageBreak/>
        <w:t>Methods</w:t>
      </w:r>
    </w:p>
    <w:p w14:paraId="065BB68A" w14:textId="3EABD8D0" w:rsidR="00794FEF" w:rsidRPr="00744279" w:rsidRDefault="00794FEF" w:rsidP="00794FEF">
      <w:pPr>
        <w:spacing w:line="360" w:lineRule="auto"/>
        <w:rPr>
          <w:rFonts w:cs="Times New Roman"/>
        </w:rPr>
      </w:pPr>
      <w:r w:rsidRPr="000E1081">
        <w:rPr>
          <w:rFonts w:cs="Times New Roman"/>
        </w:rPr>
        <w:t>This study follow</w:t>
      </w:r>
      <w:r>
        <w:rPr>
          <w:rFonts w:cs="Times New Roman"/>
        </w:rPr>
        <w:t>ed</w:t>
      </w:r>
      <w:r w:rsidRPr="000E1081">
        <w:rPr>
          <w:rFonts w:cs="Times New Roman"/>
        </w:rPr>
        <w:t xml:space="preserve"> an exploratory case study methodology (</w:t>
      </w:r>
      <w:r w:rsidR="00E64024">
        <w:rPr>
          <w:rFonts w:cs="Times New Roman"/>
        </w:rPr>
        <w:t>51</w:t>
      </w:r>
      <w:r w:rsidRPr="000E1081">
        <w:rPr>
          <w:rFonts w:cs="Times New Roman"/>
        </w:rPr>
        <w:t xml:space="preserve">), which is generally phenomenological in nature, </w:t>
      </w:r>
      <w:r w:rsidRPr="00744279">
        <w:rPr>
          <w:rFonts w:cs="Times New Roman"/>
          <w:lang w:val="en-CA"/>
        </w:rPr>
        <w:t>and as such fundamentally different than variable-oriented</w:t>
      </w:r>
      <w:r>
        <w:rPr>
          <w:rFonts w:cs="Times New Roman"/>
          <w:lang w:val="en-CA"/>
        </w:rPr>
        <w:t xml:space="preserve"> (explanatory) quantitative</w:t>
      </w:r>
      <w:r w:rsidRPr="000E1081">
        <w:rPr>
          <w:rFonts w:cs="Times New Roman"/>
          <w:lang w:val="en-CA"/>
        </w:rPr>
        <w:t xml:space="preserve"> research </w:t>
      </w:r>
      <w:r>
        <w:rPr>
          <w:rFonts w:cs="Times New Roman"/>
          <w:lang w:val="en-CA"/>
        </w:rPr>
        <w:t>(</w:t>
      </w:r>
      <w:r w:rsidR="00E64024">
        <w:rPr>
          <w:rFonts w:cs="Times New Roman"/>
          <w:lang w:val="en-CA"/>
        </w:rPr>
        <w:t>52</w:t>
      </w:r>
      <w:r>
        <w:rPr>
          <w:rFonts w:cs="Times New Roman"/>
          <w:lang w:val="en-CA"/>
        </w:rPr>
        <w:t>)</w:t>
      </w:r>
      <w:r w:rsidRPr="000E1081">
        <w:rPr>
          <w:rFonts w:cs="Times New Roman"/>
          <w:lang w:val="en-CA"/>
        </w:rPr>
        <w:t>. Whereas the latter seeks to disaggregate variables from cases/individuals and look for relationships (e.g., causation, correlation) among them</w:t>
      </w:r>
      <w:r>
        <w:rPr>
          <w:rFonts w:cs="Times New Roman"/>
          <w:lang w:val="en-CA"/>
        </w:rPr>
        <w:t>, t</w:t>
      </w:r>
      <w:r w:rsidRPr="00744279">
        <w:rPr>
          <w:rFonts w:cs="Times New Roman"/>
          <w:lang w:val="en-CA"/>
        </w:rPr>
        <w:t xml:space="preserve">his study </w:t>
      </w:r>
      <w:r>
        <w:rPr>
          <w:rFonts w:cs="Times New Roman"/>
          <w:lang w:val="en-CA"/>
        </w:rPr>
        <w:t>sought</w:t>
      </w:r>
      <w:r w:rsidRPr="00744279">
        <w:rPr>
          <w:rFonts w:cs="Times New Roman"/>
          <w:lang w:val="en-CA"/>
        </w:rPr>
        <w:t xml:space="preserve"> to discern the confluence of variables</w:t>
      </w:r>
      <w:r>
        <w:rPr>
          <w:rFonts w:cs="Times New Roman"/>
          <w:lang w:val="en-CA"/>
        </w:rPr>
        <w:t xml:space="preserve"> that</w:t>
      </w:r>
      <w:r w:rsidRPr="00744279">
        <w:rPr>
          <w:rFonts w:cs="Times New Roman"/>
          <w:lang w:val="en-CA"/>
        </w:rPr>
        <w:t xml:space="preserve">, in whatever relationship to one another and in whatever specific contexts, best characterize the </w:t>
      </w:r>
      <w:r>
        <w:rPr>
          <w:rFonts w:cs="Times New Roman"/>
          <w:lang w:val="en-CA"/>
        </w:rPr>
        <w:t xml:space="preserve">phenomenon in question: in this case, the nexus among rural Alaska </w:t>
      </w:r>
      <w:r w:rsidRPr="000E1081">
        <w:rPr>
          <w:rFonts w:cs="Times New Roman"/>
          <w:lang w:val="en-CA"/>
        </w:rPr>
        <w:t xml:space="preserve">food, water, and energy systems at the local scale. </w:t>
      </w:r>
    </w:p>
    <w:p w14:paraId="07767606" w14:textId="77777777" w:rsidR="00794FEF" w:rsidRDefault="00794FEF" w:rsidP="00794FEF">
      <w:pPr>
        <w:spacing w:line="360" w:lineRule="auto"/>
      </w:pPr>
    </w:p>
    <w:p w14:paraId="669A65E5" w14:textId="5C3A7F4B" w:rsidR="00794FEF" w:rsidRDefault="00794FEF" w:rsidP="00794FEF">
      <w:pPr>
        <w:spacing w:line="360" w:lineRule="auto"/>
      </w:pPr>
      <w:r w:rsidRPr="00E40B8F">
        <w:t>To gather community-level data,</w:t>
      </w:r>
      <w:r>
        <w:t xml:space="preserve"> we used</w:t>
      </w:r>
      <w:r w:rsidRPr="00E40B8F">
        <w:t xml:space="preserve"> </w:t>
      </w:r>
      <w:r>
        <w:t>purposive sampling, which is effective for gathering informative information on a specific topic with limited resources (</w:t>
      </w:r>
      <w:r w:rsidR="00E64024">
        <w:t>53</w:t>
      </w:r>
      <w:r>
        <w:t>). Specifically, w</w:t>
      </w:r>
      <w:r w:rsidRPr="00E40B8F">
        <w:t>e conducted open-ended interviews</w:t>
      </w:r>
      <w:r>
        <w:t xml:space="preserve"> in 2018 and 2019 (</w:t>
      </w:r>
      <w:r w:rsidR="00E64024">
        <w:t>54</w:t>
      </w:r>
      <w:r>
        <w:t>)</w:t>
      </w:r>
      <w:r w:rsidRPr="00E40B8F">
        <w:t xml:space="preserve"> with tribal and municipal leaders in each </w:t>
      </w:r>
      <w:r>
        <w:t xml:space="preserve">of the four partner </w:t>
      </w:r>
      <w:r w:rsidRPr="00E40B8F">
        <w:t>communit</w:t>
      </w:r>
      <w:r>
        <w:t>ies</w:t>
      </w:r>
      <w:r w:rsidRPr="00E40B8F">
        <w:t xml:space="preserve">, </w:t>
      </w:r>
      <w:r>
        <w:t>as well as</w:t>
      </w:r>
      <w:r w:rsidRPr="00E40B8F">
        <w:t xml:space="preserve"> with those responsible for food, energy, and water systems</w:t>
      </w:r>
      <w:r>
        <w:t xml:space="preserve">, such as the operators of water and power plants and the owners or managers of local stores and greenhouses. </w:t>
      </w:r>
      <w:r>
        <w:rPr>
          <w:color w:val="000000" w:themeColor="text1"/>
        </w:rPr>
        <w:t xml:space="preserve">Informed consent was obtained prior to the interviews. </w:t>
      </w:r>
      <w:r>
        <w:t xml:space="preserve">We interviewed 10 persons in </w:t>
      </w:r>
      <w:proofErr w:type="spellStart"/>
      <w:r>
        <w:t>Kongiganak</w:t>
      </w:r>
      <w:proofErr w:type="spellEnd"/>
      <w:r>
        <w:t xml:space="preserve"> in February 2018, 18 persons in Cordova in March 2018, 19 persons in Tanana in October 2018, and seven persons in Igiugig in July 2019</w:t>
      </w:r>
      <w:r w:rsidRPr="00E40B8F">
        <w:t xml:space="preserve">. </w:t>
      </w:r>
      <w:r>
        <w:t>We also conducted site tours of water and power plants, stores, greenhouses, and other local infrastructure. These were led by local leaders and operators. Site visits are effective for eliciting situated and embodied information, e.g., knowledge of interconnections among engineered food, water, and energy systems (</w:t>
      </w:r>
      <w:r w:rsidR="00E64024">
        <w:t>55</w:t>
      </w:r>
      <w:r>
        <w:t xml:space="preserve">). Some interviews were recorded with video, and we also wrote reports and blogs based on our community visits (see Data Availability below).  We also held numerous follow-up conversations about our emerging observations with community members as a means of member-checking our findings </w:t>
      </w:r>
      <w:r w:rsidR="00E64024">
        <w:t>(56</w:t>
      </w:r>
      <w:r>
        <w:t xml:space="preserve">).  In addition to the interviews and site visits in the communities, we held a stakeholders’ workshop in Fairbanks in April 2018, involving municipal and tribal leaders as well as power plant operators from Cordova, </w:t>
      </w:r>
      <w:proofErr w:type="spellStart"/>
      <w:r>
        <w:t>Kongiganak</w:t>
      </w:r>
      <w:proofErr w:type="spellEnd"/>
      <w:r>
        <w:t>, and Tanana, plus the members of our research team. The workshop functioned as an additional opportunity to gather information and to member-check our understanding.</w:t>
      </w:r>
    </w:p>
    <w:p w14:paraId="669B7FB1" w14:textId="77777777" w:rsidR="00794FEF" w:rsidRDefault="00794FEF" w:rsidP="00794FEF">
      <w:pPr>
        <w:spacing w:line="360" w:lineRule="auto"/>
      </w:pPr>
    </w:p>
    <w:p w14:paraId="767E91D3" w14:textId="77777777" w:rsidR="00794FEF" w:rsidRDefault="00794FEF" w:rsidP="00794FEF">
      <w:pPr>
        <w:spacing w:line="360" w:lineRule="auto"/>
      </w:pPr>
      <w:r>
        <w:t xml:space="preserve">Community visits were done by two members of the research team with interviews conducted together and independently. Regardless, each took notes and afterward the notes were compiled </w:t>
      </w:r>
      <w:r>
        <w:lastRenderedPageBreak/>
        <w:t xml:space="preserve">and reviewed for accuracy by the researchers who traveled to communities. Notes from the workshop were also reviewed by several team members and community partners for member checking as noted above. </w:t>
      </w:r>
    </w:p>
    <w:p w14:paraId="70AD3466" w14:textId="77777777" w:rsidR="00794FEF" w:rsidRDefault="00794FEF" w:rsidP="00794FEF">
      <w:pPr>
        <w:spacing w:line="360" w:lineRule="auto"/>
      </w:pPr>
    </w:p>
    <w:p w14:paraId="3FC02ADC" w14:textId="7FCCA126" w:rsidR="00794FEF" w:rsidRDefault="00794FEF" w:rsidP="00794FEF">
      <w:pPr>
        <w:spacing w:line="360" w:lineRule="auto"/>
        <w:rPr>
          <w:rFonts w:cs="Times New Roman"/>
        </w:rPr>
      </w:pPr>
      <w:r>
        <w:rPr>
          <w:rFonts w:cs="Times New Roman"/>
        </w:rPr>
        <w:t>Following Wolcott (</w:t>
      </w:r>
      <w:r w:rsidR="00E64024">
        <w:rPr>
          <w:rFonts w:cs="Times New Roman"/>
        </w:rPr>
        <w:t>57</w:t>
      </w:r>
      <w:r>
        <w:rPr>
          <w:rFonts w:cs="Times New Roman"/>
        </w:rPr>
        <w:t>), i</w:t>
      </w:r>
      <w:r>
        <w:t>nterview transcriptions, field notes, and workshop notes were coded, following a deductive coding scheme, for examples of two- and three-way interactions among food, water, and energy systems, as well as for evidence of feedbacks and the presence of exogenous (higher-scale) drivers in mediating food, water, and energy security outcomes. We also coded for the direction (positive=beneficial, negative=detrimental) and qualitative magnitude of these interactions. We used member checking to validate the results of our coding, including these qualitative interpretations.</w:t>
      </w:r>
    </w:p>
    <w:p w14:paraId="4A3912DD" w14:textId="77777777" w:rsidR="00794FEF" w:rsidRDefault="00794FEF" w:rsidP="00794FEF">
      <w:pPr>
        <w:spacing w:line="360" w:lineRule="auto"/>
        <w:rPr>
          <w:rFonts w:cs="Times New Roman"/>
        </w:rPr>
      </w:pPr>
    </w:p>
    <w:p w14:paraId="0A957311" w14:textId="00BB6CEC" w:rsidR="00794FEF" w:rsidRDefault="00794FEF" w:rsidP="00794FEF">
      <w:pPr>
        <w:spacing w:line="360" w:lineRule="auto"/>
        <w:rPr>
          <w:color w:val="000000" w:themeColor="text1"/>
        </w:rPr>
      </w:pPr>
      <w:r>
        <w:t>We adhered to the principle of qualitative grounding (</w:t>
      </w:r>
      <w:r w:rsidR="00E64024">
        <w:t>58</w:t>
      </w:r>
      <w:r>
        <w:t xml:space="preserve">), the analog in qualitative research to statistical power, to ensure the rigor and reliability of our interpretations. Briefly, qualitative grounding has three components: 1) sensitivity to context; 2) evidence of a critical view to the theories and methods being applied; and, 3) rich and diverse theoretical grounding. To attend to local context, we relied heavily on input from local leaders to identify appropriate local experts to serve as participants, and also included a diversity of experts on Alaska’s food, water, and energy systems on our team. Additional information concerning FEW interactions was obtained from the published literature and from websites of relevant agencies and organizations involved in FEW provision and related services in rural Alaska. </w:t>
      </w:r>
      <w:r w:rsidRPr="005C349A">
        <w:rPr>
          <w:color w:val="000000" w:themeColor="text1"/>
        </w:rPr>
        <w:t xml:space="preserve">The data were used to characterize the </w:t>
      </w:r>
      <w:r>
        <w:rPr>
          <w:color w:val="000000" w:themeColor="text1"/>
        </w:rPr>
        <w:t>FEW</w:t>
      </w:r>
      <w:r w:rsidRPr="005C349A">
        <w:rPr>
          <w:color w:val="000000" w:themeColor="text1"/>
        </w:rPr>
        <w:t xml:space="preserve"> systems</w:t>
      </w:r>
      <w:r>
        <w:rPr>
          <w:color w:val="000000" w:themeColor="text1"/>
        </w:rPr>
        <w:t xml:space="preserve"> in each community</w:t>
      </w:r>
      <w:r w:rsidRPr="005C349A">
        <w:rPr>
          <w:color w:val="000000" w:themeColor="text1"/>
        </w:rPr>
        <w:t>, including their main constraints and influences.</w:t>
      </w:r>
      <w:r>
        <w:rPr>
          <w:color w:val="000000" w:themeColor="text1"/>
        </w:rPr>
        <w:t xml:space="preserve"> Detailed findings </w:t>
      </w:r>
      <w:r w:rsidR="00A117DC">
        <w:rPr>
          <w:color w:val="000000" w:themeColor="text1"/>
        </w:rPr>
        <w:t xml:space="preserve">are </w:t>
      </w:r>
      <w:r>
        <w:rPr>
          <w:color w:val="000000" w:themeColor="text1"/>
        </w:rPr>
        <w:t>presented elsewhere (</w:t>
      </w:r>
      <w:r w:rsidR="00E64024">
        <w:rPr>
          <w:color w:val="000000" w:themeColor="text1"/>
        </w:rPr>
        <w:t>37 and papers forthcoming</w:t>
      </w:r>
      <w:r>
        <w:rPr>
          <w:color w:val="000000" w:themeColor="text1"/>
        </w:rPr>
        <w:t>) as they are beyond the scope of this paper.</w:t>
      </w:r>
    </w:p>
    <w:p w14:paraId="226C114B" w14:textId="77777777" w:rsidR="00794FEF" w:rsidRDefault="00794FEF" w:rsidP="00794FEF">
      <w:pPr>
        <w:spacing w:line="360" w:lineRule="auto"/>
        <w:rPr>
          <w:color w:val="000000" w:themeColor="text1"/>
        </w:rPr>
      </w:pPr>
    </w:p>
    <w:p w14:paraId="26E033FA" w14:textId="139E7532" w:rsidR="00794FEF" w:rsidRDefault="00794FEF" w:rsidP="00794FEF">
      <w:pPr>
        <w:spacing w:line="360" w:lineRule="auto"/>
      </w:pPr>
      <w:r>
        <w:t>To maintain a critical view, we designed the research following established practices and procedures for doing collaborative, cross-cultural research in Arctic Alaska (</w:t>
      </w:r>
      <w:r w:rsidR="00E64024">
        <w:t>59-61</w:t>
      </w:r>
      <w:r>
        <w:t xml:space="preserve">). We also relied heavily on member checking, through one-on-one conversations, the workshop, and multiple repeat consultations with community partners during the drafting of this manuscript. Finally, to ensure diverse theoretical grounding, we followed </w:t>
      </w:r>
      <w:r w:rsidRPr="009A174E">
        <w:t>Loring et al. (</w:t>
      </w:r>
      <w:r w:rsidR="009A174E" w:rsidRPr="009A174E">
        <w:t>14</w:t>
      </w:r>
      <w:r w:rsidRPr="009A174E">
        <w:t>)</w:t>
      </w:r>
      <w:r>
        <w:t xml:space="preserve"> </w:t>
      </w:r>
      <w:r w:rsidR="009A174E">
        <w:t>in</w:t>
      </w:r>
      <w:r>
        <w:t xml:space="preserve"> adopting a diagnostic approach that, rather than beginning with a specific framework or theory in an </w:t>
      </w:r>
      <w:r>
        <w:rPr>
          <w:i/>
          <w:iCs/>
        </w:rPr>
        <w:t xml:space="preserve">a priori </w:t>
      </w:r>
      <w:r>
        <w:lastRenderedPageBreak/>
        <w:t xml:space="preserve">sense, instead sought out diverse analytical framings from the existing literature to emphasize </w:t>
      </w:r>
      <w:r w:rsidRPr="00E40B8F">
        <w:t xml:space="preserve">availability of, access to, suitability of, and stability in food, energy, and water </w:t>
      </w:r>
      <w:r>
        <w:t xml:space="preserve">across scales </w:t>
      </w:r>
      <w:r w:rsidRPr="00E40B8F">
        <w:t>(</w:t>
      </w:r>
      <w:r w:rsidR="0016780E">
        <w:t>18,29,62-64</w:t>
      </w:r>
      <w:r w:rsidRPr="00E40B8F">
        <w:t>)</w:t>
      </w:r>
      <w:r>
        <w:t xml:space="preserve">. </w:t>
      </w:r>
    </w:p>
    <w:p w14:paraId="0236CD79" w14:textId="77777777" w:rsidR="00794FEF" w:rsidRDefault="00794FEF" w:rsidP="00794FEF">
      <w:pPr>
        <w:spacing w:line="360" w:lineRule="auto"/>
      </w:pPr>
    </w:p>
    <w:p w14:paraId="0B7551A9" w14:textId="77777777" w:rsidR="00794FEF" w:rsidRPr="005129E5" w:rsidRDefault="00794FEF" w:rsidP="00794FEF">
      <w:pPr>
        <w:spacing w:line="360" w:lineRule="auto"/>
        <w:rPr>
          <w:u w:val="single"/>
        </w:rPr>
      </w:pPr>
      <w:r w:rsidRPr="005129E5">
        <w:rPr>
          <w:u w:val="single"/>
        </w:rPr>
        <w:t>Data Availability</w:t>
      </w:r>
    </w:p>
    <w:p w14:paraId="2ECA6470" w14:textId="77777777" w:rsidR="00794FEF" w:rsidRDefault="00794FEF" w:rsidP="00794FEF">
      <w:pPr>
        <w:spacing w:line="360" w:lineRule="auto"/>
      </w:pPr>
      <w:r>
        <w:t xml:space="preserve">This paper is based on data available in the form of reports, videos, and blogs at the project website, </w:t>
      </w:r>
      <w:bookmarkStart w:id="10" w:name="_Hlk56849189"/>
      <w:r w:rsidRPr="009F1C18">
        <w:t>http://ine.uaf.edu/microfews</w:t>
      </w:r>
      <w:bookmarkEnd w:id="10"/>
      <w:r>
        <w:t>. Upon completion of the project, the data will be transferred to a permanent archive.</w:t>
      </w:r>
    </w:p>
    <w:p w14:paraId="257BF552" w14:textId="77777777" w:rsidR="00794FEF" w:rsidRDefault="00794FEF" w:rsidP="00794FEF">
      <w:pPr>
        <w:spacing w:line="360" w:lineRule="auto"/>
      </w:pPr>
    </w:p>
    <w:p w14:paraId="1F7F10D0" w14:textId="77777777" w:rsidR="00794FEF" w:rsidRDefault="00794FEF" w:rsidP="00794FEF">
      <w:pPr>
        <w:spacing w:line="360" w:lineRule="auto"/>
      </w:pPr>
      <w:r>
        <w:t>Correspondence and requests for materials should be directed to Henry P. Huntington.</w:t>
      </w:r>
    </w:p>
    <w:p w14:paraId="4BBDB03F" w14:textId="77777777" w:rsidR="00794FEF" w:rsidRDefault="00794FEF" w:rsidP="00AF6026">
      <w:pPr>
        <w:adjustRightInd w:val="0"/>
      </w:pPr>
    </w:p>
    <w:sectPr w:rsidR="00794FEF" w:rsidSect="0093546D">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428C7"/>
    <w:multiLevelType w:val="hybridMultilevel"/>
    <w:tmpl w:val="47A84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5144A9E"/>
    <w:multiLevelType w:val="hybridMultilevel"/>
    <w:tmpl w:val="9B84B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3MLQ0MbIwMbU0MTZS0lEKTi0uzszPAykwrQUAsk/pgywAAAA="/>
  </w:docVars>
  <w:rsids>
    <w:rsidRoot w:val="00824B97"/>
    <w:rsid w:val="00002C10"/>
    <w:rsid w:val="00005B1D"/>
    <w:rsid w:val="000100D9"/>
    <w:rsid w:val="00013A20"/>
    <w:rsid w:val="00013C33"/>
    <w:rsid w:val="00020239"/>
    <w:rsid w:val="0002261B"/>
    <w:rsid w:val="00023F1A"/>
    <w:rsid w:val="000250BB"/>
    <w:rsid w:val="00037869"/>
    <w:rsid w:val="00050397"/>
    <w:rsid w:val="00052613"/>
    <w:rsid w:val="00057BFA"/>
    <w:rsid w:val="000767E2"/>
    <w:rsid w:val="000862D7"/>
    <w:rsid w:val="000916CC"/>
    <w:rsid w:val="00093E02"/>
    <w:rsid w:val="000B1CBE"/>
    <w:rsid w:val="000B3F98"/>
    <w:rsid w:val="000C2972"/>
    <w:rsid w:val="000D4CA6"/>
    <w:rsid w:val="000D55D2"/>
    <w:rsid w:val="000E1081"/>
    <w:rsid w:val="000E4D3A"/>
    <w:rsid w:val="00104089"/>
    <w:rsid w:val="00105D3B"/>
    <w:rsid w:val="00111E12"/>
    <w:rsid w:val="00124DFA"/>
    <w:rsid w:val="00126469"/>
    <w:rsid w:val="001265BA"/>
    <w:rsid w:val="001300BF"/>
    <w:rsid w:val="00130121"/>
    <w:rsid w:val="0013606E"/>
    <w:rsid w:val="001407A3"/>
    <w:rsid w:val="00151912"/>
    <w:rsid w:val="00152180"/>
    <w:rsid w:val="00155864"/>
    <w:rsid w:val="0016780E"/>
    <w:rsid w:val="00167F47"/>
    <w:rsid w:val="001742F5"/>
    <w:rsid w:val="00175551"/>
    <w:rsid w:val="00184F6C"/>
    <w:rsid w:val="001870A4"/>
    <w:rsid w:val="001A144E"/>
    <w:rsid w:val="001A56DF"/>
    <w:rsid w:val="001A6520"/>
    <w:rsid w:val="001A7F25"/>
    <w:rsid w:val="001B02A5"/>
    <w:rsid w:val="001B70AB"/>
    <w:rsid w:val="001C1EEF"/>
    <w:rsid w:val="001C2DB5"/>
    <w:rsid w:val="001C3F02"/>
    <w:rsid w:val="00207F52"/>
    <w:rsid w:val="00221F6A"/>
    <w:rsid w:val="002227A9"/>
    <w:rsid w:val="00227094"/>
    <w:rsid w:val="002468AC"/>
    <w:rsid w:val="00247606"/>
    <w:rsid w:val="00276256"/>
    <w:rsid w:val="00290EB8"/>
    <w:rsid w:val="00294E67"/>
    <w:rsid w:val="002A2023"/>
    <w:rsid w:val="002D4DD9"/>
    <w:rsid w:val="002E31C2"/>
    <w:rsid w:val="002E55FC"/>
    <w:rsid w:val="002F573E"/>
    <w:rsid w:val="002F699D"/>
    <w:rsid w:val="00306601"/>
    <w:rsid w:val="00311962"/>
    <w:rsid w:val="00331675"/>
    <w:rsid w:val="003441B7"/>
    <w:rsid w:val="00344309"/>
    <w:rsid w:val="00347092"/>
    <w:rsid w:val="00351DC5"/>
    <w:rsid w:val="00377C56"/>
    <w:rsid w:val="00391AF2"/>
    <w:rsid w:val="00394BBE"/>
    <w:rsid w:val="003A7D8F"/>
    <w:rsid w:val="003B1724"/>
    <w:rsid w:val="003B5642"/>
    <w:rsid w:val="003C7A08"/>
    <w:rsid w:val="003D34D7"/>
    <w:rsid w:val="003D6433"/>
    <w:rsid w:val="003D66DF"/>
    <w:rsid w:val="003E12CF"/>
    <w:rsid w:val="003E67F9"/>
    <w:rsid w:val="003F7581"/>
    <w:rsid w:val="00403E49"/>
    <w:rsid w:val="004048CD"/>
    <w:rsid w:val="00405A63"/>
    <w:rsid w:val="00410F3F"/>
    <w:rsid w:val="00411367"/>
    <w:rsid w:val="004162A4"/>
    <w:rsid w:val="00417608"/>
    <w:rsid w:val="00423A08"/>
    <w:rsid w:val="00445EAE"/>
    <w:rsid w:val="004507F3"/>
    <w:rsid w:val="00452E00"/>
    <w:rsid w:val="00455814"/>
    <w:rsid w:val="00461261"/>
    <w:rsid w:val="00477734"/>
    <w:rsid w:val="004813E1"/>
    <w:rsid w:val="0049208C"/>
    <w:rsid w:val="00494787"/>
    <w:rsid w:val="004B04C0"/>
    <w:rsid w:val="004B5BD6"/>
    <w:rsid w:val="004C41DB"/>
    <w:rsid w:val="004C66CA"/>
    <w:rsid w:val="004E3621"/>
    <w:rsid w:val="004E4AD0"/>
    <w:rsid w:val="004E74C4"/>
    <w:rsid w:val="004F64A6"/>
    <w:rsid w:val="0050129B"/>
    <w:rsid w:val="00505038"/>
    <w:rsid w:val="00505FE5"/>
    <w:rsid w:val="00507557"/>
    <w:rsid w:val="005129E5"/>
    <w:rsid w:val="005269A8"/>
    <w:rsid w:val="0053081E"/>
    <w:rsid w:val="005356BD"/>
    <w:rsid w:val="00536A5F"/>
    <w:rsid w:val="005413FC"/>
    <w:rsid w:val="00544A6F"/>
    <w:rsid w:val="005506AB"/>
    <w:rsid w:val="00550745"/>
    <w:rsid w:val="0055424D"/>
    <w:rsid w:val="00556C03"/>
    <w:rsid w:val="005621F7"/>
    <w:rsid w:val="0056476B"/>
    <w:rsid w:val="00572E81"/>
    <w:rsid w:val="00574082"/>
    <w:rsid w:val="00585EA9"/>
    <w:rsid w:val="00590AB6"/>
    <w:rsid w:val="005A13F1"/>
    <w:rsid w:val="005A3DA0"/>
    <w:rsid w:val="005C349A"/>
    <w:rsid w:val="005C42F9"/>
    <w:rsid w:val="005D4909"/>
    <w:rsid w:val="005E1B68"/>
    <w:rsid w:val="005F0D99"/>
    <w:rsid w:val="006022E5"/>
    <w:rsid w:val="00617781"/>
    <w:rsid w:val="00625D67"/>
    <w:rsid w:val="00625D9E"/>
    <w:rsid w:val="00627B9F"/>
    <w:rsid w:val="00634927"/>
    <w:rsid w:val="0063709B"/>
    <w:rsid w:val="00637F30"/>
    <w:rsid w:val="0065038B"/>
    <w:rsid w:val="0065579B"/>
    <w:rsid w:val="00657DB9"/>
    <w:rsid w:val="00670B06"/>
    <w:rsid w:val="00675607"/>
    <w:rsid w:val="006802C4"/>
    <w:rsid w:val="00680566"/>
    <w:rsid w:val="006818AD"/>
    <w:rsid w:val="00686240"/>
    <w:rsid w:val="006917CA"/>
    <w:rsid w:val="006975C1"/>
    <w:rsid w:val="006A791F"/>
    <w:rsid w:val="006B0BED"/>
    <w:rsid w:val="006B73CD"/>
    <w:rsid w:val="006C09D5"/>
    <w:rsid w:val="006D35FF"/>
    <w:rsid w:val="006E1B28"/>
    <w:rsid w:val="006E2EAA"/>
    <w:rsid w:val="006E682E"/>
    <w:rsid w:val="006F3289"/>
    <w:rsid w:val="00701D59"/>
    <w:rsid w:val="0070256D"/>
    <w:rsid w:val="00712120"/>
    <w:rsid w:val="0071661E"/>
    <w:rsid w:val="0071791D"/>
    <w:rsid w:val="0072079A"/>
    <w:rsid w:val="00725541"/>
    <w:rsid w:val="00731FEF"/>
    <w:rsid w:val="007348BF"/>
    <w:rsid w:val="00744279"/>
    <w:rsid w:val="00756E17"/>
    <w:rsid w:val="00763A62"/>
    <w:rsid w:val="0077304E"/>
    <w:rsid w:val="00774D23"/>
    <w:rsid w:val="00776F31"/>
    <w:rsid w:val="007809C9"/>
    <w:rsid w:val="00780C73"/>
    <w:rsid w:val="00783B91"/>
    <w:rsid w:val="00786ADC"/>
    <w:rsid w:val="00794FEF"/>
    <w:rsid w:val="007A044A"/>
    <w:rsid w:val="007A0B0B"/>
    <w:rsid w:val="007A1C2B"/>
    <w:rsid w:val="007A202A"/>
    <w:rsid w:val="007B0DCE"/>
    <w:rsid w:val="007B0F99"/>
    <w:rsid w:val="007B34D0"/>
    <w:rsid w:val="007C21F3"/>
    <w:rsid w:val="007E31F0"/>
    <w:rsid w:val="007E5027"/>
    <w:rsid w:val="007E5A00"/>
    <w:rsid w:val="007E6B3C"/>
    <w:rsid w:val="007E6DB2"/>
    <w:rsid w:val="007F1F60"/>
    <w:rsid w:val="007F3065"/>
    <w:rsid w:val="007F7A35"/>
    <w:rsid w:val="0080030E"/>
    <w:rsid w:val="008023E7"/>
    <w:rsid w:val="00805005"/>
    <w:rsid w:val="00816E8C"/>
    <w:rsid w:val="00820D0C"/>
    <w:rsid w:val="00822323"/>
    <w:rsid w:val="00824B97"/>
    <w:rsid w:val="00825108"/>
    <w:rsid w:val="00826A0B"/>
    <w:rsid w:val="00843CCA"/>
    <w:rsid w:val="008448E0"/>
    <w:rsid w:val="00867964"/>
    <w:rsid w:val="00874166"/>
    <w:rsid w:val="008809FE"/>
    <w:rsid w:val="008B07A1"/>
    <w:rsid w:val="008B1977"/>
    <w:rsid w:val="008B3549"/>
    <w:rsid w:val="008D5C68"/>
    <w:rsid w:val="008F6C1B"/>
    <w:rsid w:val="0090204B"/>
    <w:rsid w:val="0090387D"/>
    <w:rsid w:val="0091414A"/>
    <w:rsid w:val="0091445B"/>
    <w:rsid w:val="00917582"/>
    <w:rsid w:val="00920BD7"/>
    <w:rsid w:val="00923899"/>
    <w:rsid w:val="00930F0C"/>
    <w:rsid w:val="009328CD"/>
    <w:rsid w:val="0093546D"/>
    <w:rsid w:val="009366CA"/>
    <w:rsid w:val="00936C25"/>
    <w:rsid w:val="0093712B"/>
    <w:rsid w:val="00937CFE"/>
    <w:rsid w:val="009406B5"/>
    <w:rsid w:val="00942A61"/>
    <w:rsid w:val="00945D71"/>
    <w:rsid w:val="00954D5D"/>
    <w:rsid w:val="0095560F"/>
    <w:rsid w:val="0095676D"/>
    <w:rsid w:val="0096349F"/>
    <w:rsid w:val="0098298D"/>
    <w:rsid w:val="00985908"/>
    <w:rsid w:val="00996E4B"/>
    <w:rsid w:val="009A174E"/>
    <w:rsid w:val="009B2D92"/>
    <w:rsid w:val="009B6639"/>
    <w:rsid w:val="009D1950"/>
    <w:rsid w:val="009D6280"/>
    <w:rsid w:val="009E65E3"/>
    <w:rsid w:val="009F1496"/>
    <w:rsid w:val="009F1C18"/>
    <w:rsid w:val="00A00167"/>
    <w:rsid w:val="00A015D4"/>
    <w:rsid w:val="00A0587B"/>
    <w:rsid w:val="00A117DC"/>
    <w:rsid w:val="00A124B5"/>
    <w:rsid w:val="00A15DC9"/>
    <w:rsid w:val="00A2184A"/>
    <w:rsid w:val="00A30702"/>
    <w:rsid w:val="00A43762"/>
    <w:rsid w:val="00A541FC"/>
    <w:rsid w:val="00A5668F"/>
    <w:rsid w:val="00A735D1"/>
    <w:rsid w:val="00A82C7E"/>
    <w:rsid w:val="00A95C4F"/>
    <w:rsid w:val="00A97EDF"/>
    <w:rsid w:val="00AA54E3"/>
    <w:rsid w:val="00AA5F87"/>
    <w:rsid w:val="00AB63D8"/>
    <w:rsid w:val="00AC2B74"/>
    <w:rsid w:val="00AE48EB"/>
    <w:rsid w:val="00AE71E1"/>
    <w:rsid w:val="00AF3354"/>
    <w:rsid w:val="00AF6026"/>
    <w:rsid w:val="00B05638"/>
    <w:rsid w:val="00B0670B"/>
    <w:rsid w:val="00B114B0"/>
    <w:rsid w:val="00B12C9F"/>
    <w:rsid w:val="00B30183"/>
    <w:rsid w:val="00B45596"/>
    <w:rsid w:val="00B476A3"/>
    <w:rsid w:val="00B50F95"/>
    <w:rsid w:val="00B53033"/>
    <w:rsid w:val="00B97FC7"/>
    <w:rsid w:val="00BA65A8"/>
    <w:rsid w:val="00BB0517"/>
    <w:rsid w:val="00BB15B4"/>
    <w:rsid w:val="00BC00CE"/>
    <w:rsid w:val="00BC356A"/>
    <w:rsid w:val="00BC6528"/>
    <w:rsid w:val="00BD66CE"/>
    <w:rsid w:val="00C0481E"/>
    <w:rsid w:val="00C05358"/>
    <w:rsid w:val="00C11275"/>
    <w:rsid w:val="00C13986"/>
    <w:rsid w:val="00C1581E"/>
    <w:rsid w:val="00C161E9"/>
    <w:rsid w:val="00C2450C"/>
    <w:rsid w:val="00C426D3"/>
    <w:rsid w:val="00C42D80"/>
    <w:rsid w:val="00C43FA5"/>
    <w:rsid w:val="00C52FCA"/>
    <w:rsid w:val="00C5578E"/>
    <w:rsid w:val="00C76874"/>
    <w:rsid w:val="00C922A7"/>
    <w:rsid w:val="00C94ECB"/>
    <w:rsid w:val="00C95B38"/>
    <w:rsid w:val="00C9666B"/>
    <w:rsid w:val="00CA4592"/>
    <w:rsid w:val="00CA4EBC"/>
    <w:rsid w:val="00CC2004"/>
    <w:rsid w:val="00CE16BF"/>
    <w:rsid w:val="00CE2A91"/>
    <w:rsid w:val="00CE6D02"/>
    <w:rsid w:val="00CF0561"/>
    <w:rsid w:val="00CF7BB4"/>
    <w:rsid w:val="00D15421"/>
    <w:rsid w:val="00D15DFD"/>
    <w:rsid w:val="00D33D67"/>
    <w:rsid w:val="00D4627E"/>
    <w:rsid w:val="00D54A4F"/>
    <w:rsid w:val="00D726CD"/>
    <w:rsid w:val="00D816D4"/>
    <w:rsid w:val="00D834C8"/>
    <w:rsid w:val="00D8506C"/>
    <w:rsid w:val="00D8641C"/>
    <w:rsid w:val="00D869DB"/>
    <w:rsid w:val="00DA3715"/>
    <w:rsid w:val="00DA63E2"/>
    <w:rsid w:val="00DB3289"/>
    <w:rsid w:val="00DC2D75"/>
    <w:rsid w:val="00DC6753"/>
    <w:rsid w:val="00DD0076"/>
    <w:rsid w:val="00DF63F9"/>
    <w:rsid w:val="00E0587C"/>
    <w:rsid w:val="00E11CB8"/>
    <w:rsid w:val="00E254C7"/>
    <w:rsid w:val="00E30581"/>
    <w:rsid w:val="00E317AA"/>
    <w:rsid w:val="00E3447D"/>
    <w:rsid w:val="00E37E77"/>
    <w:rsid w:val="00E40B8F"/>
    <w:rsid w:val="00E40C7A"/>
    <w:rsid w:val="00E56CB2"/>
    <w:rsid w:val="00E56D6B"/>
    <w:rsid w:val="00E64024"/>
    <w:rsid w:val="00E6409C"/>
    <w:rsid w:val="00E834AB"/>
    <w:rsid w:val="00E83F73"/>
    <w:rsid w:val="00E85877"/>
    <w:rsid w:val="00E86C89"/>
    <w:rsid w:val="00E9017C"/>
    <w:rsid w:val="00E95751"/>
    <w:rsid w:val="00E965B0"/>
    <w:rsid w:val="00E97048"/>
    <w:rsid w:val="00EA0157"/>
    <w:rsid w:val="00EA2981"/>
    <w:rsid w:val="00EA5C15"/>
    <w:rsid w:val="00EE118E"/>
    <w:rsid w:val="00EE632E"/>
    <w:rsid w:val="00EE7369"/>
    <w:rsid w:val="00EF2FFC"/>
    <w:rsid w:val="00F141CD"/>
    <w:rsid w:val="00F21359"/>
    <w:rsid w:val="00F235CB"/>
    <w:rsid w:val="00F31862"/>
    <w:rsid w:val="00F32FF6"/>
    <w:rsid w:val="00F628FA"/>
    <w:rsid w:val="00F6322D"/>
    <w:rsid w:val="00F653A7"/>
    <w:rsid w:val="00F75F65"/>
    <w:rsid w:val="00F843E5"/>
    <w:rsid w:val="00F874BA"/>
    <w:rsid w:val="00F87BD0"/>
    <w:rsid w:val="00F90693"/>
    <w:rsid w:val="00F933E0"/>
    <w:rsid w:val="00F9449D"/>
    <w:rsid w:val="00F9467E"/>
    <w:rsid w:val="00F95B60"/>
    <w:rsid w:val="00FA1D68"/>
    <w:rsid w:val="00FB325E"/>
    <w:rsid w:val="00FC13F2"/>
    <w:rsid w:val="00FC4102"/>
    <w:rsid w:val="00FC51A2"/>
    <w:rsid w:val="00FC6B9D"/>
    <w:rsid w:val="00FD1CA6"/>
    <w:rsid w:val="00FE0CEC"/>
    <w:rsid w:val="00FE18A8"/>
    <w:rsid w:val="00FE512F"/>
    <w:rsid w:val="00FE5BE9"/>
    <w:rsid w:val="00FE6E52"/>
    <w:rsid w:val="00F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2D0A"/>
  <w15:docId w15:val="{A3E02213-CBEE-480D-B0BE-7C416FB9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18E"/>
    <w:pPr>
      <w:spacing w:after="0" w:line="240" w:lineRule="auto"/>
    </w:pPr>
    <w:rPr>
      <w:rFonts w:ascii="Times New Roman" w:hAnsi="Times New Roman"/>
      <w:sz w:val="24"/>
      <w:szCs w:val="24"/>
    </w:rPr>
  </w:style>
  <w:style w:type="paragraph" w:styleId="Heading1">
    <w:name w:val="heading 1"/>
    <w:basedOn w:val="Normal"/>
    <w:link w:val="Heading1Char"/>
    <w:uiPriority w:val="9"/>
    <w:qFormat/>
    <w:rsid w:val="00E56CB2"/>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1407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F1A"/>
    <w:pPr>
      <w:ind w:left="720"/>
      <w:contextualSpacing/>
    </w:pPr>
  </w:style>
  <w:style w:type="paragraph" w:styleId="BalloonText">
    <w:name w:val="Balloon Text"/>
    <w:basedOn w:val="Normal"/>
    <w:link w:val="BalloonTextChar"/>
    <w:uiPriority w:val="99"/>
    <w:semiHidden/>
    <w:unhideWhenUsed/>
    <w:rsid w:val="00CC2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04"/>
    <w:rPr>
      <w:rFonts w:ascii="Segoe UI" w:hAnsi="Segoe UI" w:cs="Segoe UI"/>
      <w:sz w:val="18"/>
      <w:szCs w:val="18"/>
    </w:rPr>
  </w:style>
  <w:style w:type="character" w:styleId="Hyperlink">
    <w:name w:val="Hyperlink"/>
    <w:basedOn w:val="DefaultParagraphFont"/>
    <w:uiPriority w:val="99"/>
    <w:unhideWhenUsed/>
    <w:rsid w:val="002E55FC"/>
    <w:rPr>
      <w:color w:val="0000FF"/>
      <w:u w:val="single"/>
    </w:rPr>
  </w:style>
  <w:style w:type="character" w:customStyle="1" w:styleId="UnresolvedMention1">
    <w:name w:val="Unresolved Mention1"/>
    <w:basedOn w:val="DefaultParagraphFont"/>
    <w:uiPriority w:val="99"/>
    <w:semiHidden/>
    <w:unhideWhenUsed/>
    <w:rsid w:val="00805005"/>
    <w:rPr>
      <w:color w:val="605E5C"/>
      <w:shd w:val="clear" w:color="auto" w:fill="E1DFDD"/>
    </w:rPr>
  </w:style>
  <w:style w:type="character" w:styleId="CommentReference">
    <w:name w:val="annotation reference"/>
    <w:basedOn w:val="DefaultParagraphFont"/>
    <w:uiPriority w:val="99"/>
    <w:semiHidden/>
    <w:unhideWhenUsed/>
    <w:rsid w:val="00805005"/>
    <w:rPr>
      <w:sz w:val="16"/>
      <w:szCs w:val="16"/>
    </w:rPr>
  </w:style>
  <w:style w:type="paragraph" w:styleId="CommentText">
    <w:name w:val="annotation text"/>
    <w:basedOn w:val="Normal"/>
    <w:link w:val="CommentTextChar"/>
    <w:uiPriority w:val="99"/>
    <w:semiHidden/>
    <w:unhideWhenUsed/>
    <w:rsid w:val="00805005"/>
    <w:rPr>
      <w:sz w:val="20"/>
      <w:szCs w:val="20"/>
    </w:rPr>
  </w:style>
  <w:style w:type="character" w:customStyle="1" w:styleId="CommentTextChar">
    <w:name w:val="Comment Text Char"/>
    <w:basedOn w:val="DefaultParagraphFont"/>
    <w:link w:val="CommentText"/>
    <w:uiPriority w:val="99"/>
    <w:semiHidden/>
    <w:rsid w:val="0080500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5005"/>
    <w:rPr>
      <w:b/>
      <w:bCs/>
    </w:rPr>
  </w:style>
  <w:style w:type="character" w:customStyle="1" w:styleId="CommentSubjectChar">
    <w:name w:val="Comment Subject Char"/>
    <w:basedOn w:val="CommentTextChar"/>
    <w:link w:val="CommentSubject"/>
    <w:uiPriority w:val="99"/>
    <w:semiHidden/>
    <w:rsid w:val="00805005"/>
    <w:rPr>
      <w:rFonts w:ascii="Times New Roman" w:hAnsi="Times New Roman"/>
      <w:b/>
      <w:bCs/>
      <w:sz w:val="20"/>
      <w:szCs w:val="20"/>
    </w:rPr>
  </w:style>
  <w:style w:type="character" w:styleId="FollowedHyperlink">
    <w:name w:val="FollowedHyperlink"/>
    <w:basedOn w:val="DefaultParagraphFont"/>
    <w:uiPriority w:val="99"/>
    <w:semiHidden/>
    <w:unhideWhenUsed/>
    <w:rsid w:val="007F7A35"/>
    <w:rPr>
      <w:color w:val="954F72" w:themeColor="followedHyperlink"/>
      <w:u w:val="single"/>
    </w:rPr>
  </w:style>
  <w:style w:type="table" w:styleId="TableGrid">
    <w:name w:val="Table Grid"/>
    <w:basedOn w:val="TableNormal"/>
    <w:uiPriority w:val="39"/>
    <w:rsid w:val="000B1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6CB2"/>
    <w:rPr>
      <w:rFonts w:ascii="Times New Roman" w:eastAsia="Times New Roman" w:hAnsi="Times New Roman" w:cs="Times New Roman"/>
      <w:b/>
      <w:bCs/>
      <w:kern w:val="36"/>
      <w:sz w:val="48"/>
      <w:szCs w:val="48"/>
    </w:rPr>
  </w:style>
  <w:style w:type="paragraph" w:styleId="Revision">
    <w:name w:val="Revision"/>
    <w:hidden/>
    <w:uiPriority w:val="99"/>
    <w:semiHidden/>
    <w:rsid w:val="005C349A"/>
    <w:pPr>
      <w:spacing w:after="0" w:line="240" w:lineRule="auto"/>
    </w:pPr>
    <w:rPr>
      <w:rFonts w:ascii="Times New Roman" w:hAnsi="Times New Roman"/>
      <w:sz w:val="24"/>
      <w:szCs w:val="24"/>
    </w:rPr>
  </w:style>
  <w:style w:type="paragraph" w:styleId="NormalWeb">
    <w:name w:val="Normal (Web)"/>
    <w:basedOn w:val="Normal"/>
    <w:uiPriority w:val="99"/>
    <w:unhideWhenUsed/>
    <w:rsid w:val="00002C10"/>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002C10"/>
    <w:rPr>
      <w:i/>
      <w:iCs/>
    </w:rPr>
  </w:style>
  <w:style w:type="character" w:styleId="LineNumber">
    <w:name w:val="line number"/>
    <w:basedOn w:val="DefaultParagraphFont"/>
    <w:uiPriority w:val="99"/>
    <w:semiHidden/>
    <w:unhideWhenUsed/>
    <w:rsid w:val="0093546D"/>
  </w:style>
  <w:style w:type="character" w:styleId="UnresolvedMention">
    <w:name w:val="Unresolved Mention"/>
    <w:basedOn w:val="DefaultParagraphFont"/>
    <w:uiPriority w:val="99"/>
    <w:semiHidden/>
    <w:unhideWhenUsed/>
    <w:rsid w:val="00C161E9"/>
    <w:rPr>
      <w:color w:val="605E5C"/>
      <w:shd w:val="clear" w:color="auto" w:fill="E1DFDD"/>
    </w:rPr>
  </w:style>
  <w:style w:type="character" w:customStyle="1" w:styleId="title-text">
    <w:name w:val="title-text"/>
    <w:basedOn w:val="DefaultParagraphFont"/>
    <w:rsid w:val="001407A3"/>
  </w:style>
  <w:style w:type="character" w:customStyle="1" w:styleId="Heading2Char">
    <w:name w:val="Heading 2 Char"/>
    <w:basedOn w:val="DefaultParagraphFont"/>
    <w:link w:val="Heading2"/>
    <w:uiPriority w:val="9"/>
    <w:semiHidden/>
    <w:rsid w:val="001407A3"/>
    <w:rPr>
      <w:rFonts w:asciiTheme="majorHAnsi" w:eastAsiaTheme="majorEastAsia" w:hAnsiTheme="majorHAnsi" w:cstheme="majorBidi"/>
      <w:color w:val="2F5496" w:themeColor="accent1" w:themeShade="BF"/>
      <w:sz w:val="26"/>
      <w:szCs w:val="26"/>
    </w:rPr>
  </w:style>
  <w:style w:type="character" w:customStyle="1" w:styleId="sr-only">
    <w:name w:val="sr-only"/>
    <w:basedOn w:val="DefaultParagraphFont"/>
    <w:rsid w:val="005A13F1"/>
  </w:style>
  <w:style w:type="character" w:customStyle="1" w:styleId="text">
    <w:name w:val="text"/>
    <w:basedOn w:val="DefaultParagraphFont"/>
    <w:rsid w:val="005A13F1"/>
  </w:style>
  <w:style w:type="character" w:customStyle="1" w:styleId="author-ref">
    <w:name w:val="author-ref"/>
    <w:basedOn w:val="DefaultParagraphFont"/>
    <w:rsid w:val="005A13F1"/>
  </w:style>
  <w:style w:type="paragraph" w:customStyle="1" w:styleId="Default">
    <w:name w:val="Default"/>
    <w:rsid w:val="00FA1D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iblio">
    <w:name w:val="biblio"/>
    <w:basedOn w:val="Normal"/>
    <w:uiPriority w:val="99"/>
    <w:rsid w:val="00F9449D"/>
    <w:pPr>
      <w:widowControl w:val="0"/>
      <w:suppressAutoHyphens/>
      <w:spacing w:before="100" w:after="10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0408">
      <w:bodyDiv w:val="1"/>
      <w:marLeft w:val="0"/>
      <w:marRight w:val="0"/>
      <w:marTop w:val="0"/>
      <w:marBottom w:val="0"/>
      <w:divBdr>
        <w:top w:val="none" w:sz="0" w:space="0" w:color="auto"/>
        <w:left w:val="none" w:sz="0" w:space="0" w:color="auto"/>
        <w:bottom w:val="none" w:sz="0" w:space="0" w:color="auto"/>
        <w:right w:val="none" w:sz="0" w:space="0" w:color="auto"/>
      </w:divBdr>
      <w:divsChild>
        <w:div w:id="1019428788">
          <w:marLeft w:val="0"/>
          <w:marRight w:val="0"/>
          <w:marTop w:val="0"/>
          <w:marBottom w:val="0"/>
          <w:divBdr>
            <w:top w:val="none" w:sz="0" w:space="0" w:color="auto"/>
            <w:left w:val="none" w:sz="0" w:space="0" w:color="auto"/>
            <w:bottom w:val="none" w:sz="0" w:space="0" w:color="auto"/>
            <w:right w:val="none" w:sz="0" w:space="0" w:color="auto"/>
          </w:divBdr>
        </w:div>
        <w:div w:id="1758407671">
          <w:marLeft w:val="0"/>
          <w:marRight w:val="0"/>
          <w:marTop w:val="0"/>
          <w:marBottom w:val="0"/>
          <w:divBdr>
            <w:top w:val="none" w:sz="0" w:space="0" w:color="auto"/>
            <w:left w:val="none" w:sz="0" w:space="0" w:color="auto"/>
            <w:bottom w:val="none" w:sz="0" w:space="0" w:color="auto"/>
            <w:right w:val="none" w:sz="0" w:space="0" w:color="auto"/>
          </w:divBdr>
        </w:div>
        <w:div w:id="888340877">
          <w:marLeft w:val="0"/>
          <w:marRight w:val="0"/>
          <w:marTop w:val="0"/>
          <w:marBottom w:val="0"/>
          <w:divBdr>
            <w:top w:val="none" w:sz="0" w:space="0" w:color="auto"/>
            <w:left w:val="none" w:sz="0" w:space="0" w:color="auto"/>
            <w:bottom w:val="none" w:sz="0" w:space="0" w:color="auto"/>
            <w:right w:val="none" w:sz="0" w:space="0" w:color="auto"/>
          </w:divBdr>
        </w:div>
      </w:divsChild>
    </w:div>
    <w:div w:id="127825762">
      <w:bodyDiv w:val="1"/>
      <w:marLeft w:val="0"/>
      <w:marRight w:val="0"/>
      <w:marTop w:val="0"/>
      <w:marBottom w:val="0"/>
      <w:divBdr>
        <w:top w:val="none" w:sz="0" w:space="0" w:color="auto"/>
        <w:left w:val="none" w:sz="0" w:space="0" w:color="auto"/>
        <w:bottom w:val="none" w:sz="0" w:space="0" w:color="auto"/>
        <w:right w:val="none" w:sz="0" w:space="0" w:color="auto"/>
      </w:divBdr>
      <w:divsChild>
        <w:div w:id="388113330">
          <w:marLeft w:val="480"/>
          <w:marRight w:val="0"/>
          <w:marTop w:val="0"/>
          <w:marBottom w:val="0"/>
          <w:divBdr>
            <w:top w:val="none" w:sz="0" w:space="0" w:color="auto"/>
            <w:left w:val="none" w:sz="0" w:space="0" w:color="auto"/>
            <w:bottom w:val="none" w:sz="0" w:space="0" w:color="auto"/>
            <w:right w:val="none" w:sz="0" w:space="0" w:color="auto"/>
          </w:divBdr>
          <w:divsChild>
            <w:div w:id="16609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87074">
      <w:bodyDiv w:val="1"/>
      <w:marLeft w:val="0"/>
      <w:marRight w:val="0"/>
      <w:marTop w:val="0"/>
      <w:marBottom w:val="0"/>
      <w:divBdr>
        <w:top w:val="none" w:sz="0" w:space="0" w:color="auto"/>
        <w:left w:val="none" w:sz="0" w:space="0" w:color="auto"/>
        <w:bottom w:val="none" w:sz="0" w:space="0" w:color="auto"/>
        <w:right w:val="none" w:sz="0" w:space="0" w:color="auto"/>
      </w:divBdr>
      <w:divsChild>
        <w:div w:id="431517571">
          <w:marLeft w:val="480"/>
          <w:marRight w:val="0"/>
          <w:marTop w:val="0"/>
          <w:marBottom w:val="0"/>
          <w:divBdr>
            <w:top w:val="none" w:sz="0" w:space="0" w:color="auto"/>
            <w:left w:val="none" w:sz="0" w:space="0" w:color="auto"/>
            <w:bottom w:val="none" w:sz="0" w:space="0" w:color="auto"/>
            <w:right w:val="none" w:sz="0" w:space="0" w:color="auto"/>
          </w:divBdr>
          <w:divsChild>
            <w:div w:id="16230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6639">
      <w:bodyDiv w:val="1"/>
      <w:marLeft w:val="0"/>
      <w:marRight w:val="0"/>
      <w:marTop w:val="0"/>
      <w:marBottom w:val="0"/>
      <w:divBdr>
        <w:top w:val="none" w:sz="0" w:space="0" w:color="auto"/>
        <w:left w:val="none" w:sz="0" w:space="0" w:color="auto"/>
        <w:bottom w:val="none" w:sz="0" w:space="0" w:color="auto"/>
        <w:right w:val="none" w:sz="0" w:space="0" w:color="auto"/>
      </w:divBdr>
      <w:divsChild>
        <w:div w:id="1419789778">
          <w:marLeft w:val="480"/>
          <w:marRight w:val="0"/>
          <w:marTop w:val="0"/>
          <w:marBottom w:val="0"/>
          <w:divBdr>
            <w:top w:val="none" w:sz="0" w:space="0" w:color="auto"/>
            <w:left w:val="none" w:sz="0" w:space="0" w:color="auto"/>
            <w:bottom w:val="none" w:sz="0" w:space="0" w:color="auto"/>
            <w:right w:val="none" w:sz="0" w:space="0" w:color="auto"/>
          </w:divBdr>
          <w:divsChild>
            <w:div w:id="1016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1396">
      <w:bodyDiv w:val="1"/>
      <w:marLeft w:val="0"/>
      <w:marRight w:val="0"/>
      <w:marTop w:val="0"/>
      <w:marBottom w:val="0"/>
      <w:divBdr>
        <w:top w:val="none" w:sz="0" w:space="0" w:color="auto"/>
        <w:left w:val="none" w:sz="0" w:space="0" w:color="auto"/>
        <w:bottom w:val="none" w:sz="0" w:space="0" w:color="auto"/>
        <w:right w:val="none" w:sz="0" w:space="0" w:color="auto"/>
      </w:divBdr>
      <w:divsChild>
        <w:div w:id="1769229384">
          <w:marLeft w:val="480"/>
          <w:marRight w:val="0"/>
          <w:marTop w:val="0"/>
          <w:marBottom w:val="0"/>
          <w:divBdr>
            <w:top w:val="none" w:sz="0" w:space="0" w:color="auto"/>
            <w:left w:val="none" w:sz="0" w:space="0" w:color="auto"/>
            <w:bottom w:val="none" w:sz="0" w:space="0" w:color="auto"/>
            <w:right w:val="none" w:sz="0" w:space="0" w:color="auto"/>
          </w:divBdr>
          <w:divsChild>
            <w:div w:id="2765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554">
      <w:bodyDiv w:val="1"/>
      <w:marLeft w:val="0"/>
      <w:marRight w:val="0"/>
      <w:marTop w:val="0"/>
      <w:marBottom w:val="0"/>
      <w:divBdr>
        <w:top w:val="none" w:sz="0" w:space="0" w:color="auto"/>
        <w:left w:val="none" w:sz="0" w:space="0" w:color="auto"/>
        <w:bottom w:val="none" w:sz="0" w:space="0" w:color="auto"/>
        <w:right w:val="none" w:sz="0" w:space="0" w:color="auto"/>
      </w:divBdr>
      <w:divsChild>
        <w:div w:id="389036567">
          <w:marLeft w:val="0"/>
          <w:marRight w:val="0"/>
          <w:marTop w:val="0"/>
          <w:marBottom w:val="0"/>
          <w:divBdr>
            <w:top w:val="none" w:sz="0" w:space="0" w:color="auto"/>
            <w:left w:val="none" w:sz="0" w:space="0" w:color="auto"/>
            <w:bottom w:val="none" w:sz="0" w:space="0" w:color="auto"/>
            <w:right w:val="none" w:sz="0" w:space="0" w:color="auto"/>
          </w:divBdr>
          <w:divsChild>
            <w:div w:id="1496989132">
              <w:marLeft w:val="0"/>
              <w:marRight w:val="0"/>
              <w:marTop w:val="0"/>
              <w:marBottom w:val="0"/>
              <w:divBdr>
                <w:top w:val="none" w:sz="0" w:space="0" w:color="auto"/>
                <w:left w:val="none" w:sz="0" w:space="0" w:color="auto"/>
                <w:bottom w:val="none" w:sz="0" w:space="0" w:color="auto"/>
                <w:right w:val="none" w:sz="0" w:space="0" w:color="auto"/>
              </w:divBdr>
              <w:divsChild>
                <w:div w:id="928849180">
                  <w:marLeft w:val="0"/>
                  <w:marRight w:val="0"/>
                  <w:marTop w:val="0"/>
                  <w:marBottom w:val="0"/>
                  <w:divBdr>
                    <w:top w:val="none" w:sz="0" w:space="0" w:color="auto"/>
                    <w:left w:val="none" w:sz="0" w:space="0" w:color="auto"/>
                    <w:bottom w:val="none" w:sz="0" w:space="0" w:color="auto"/>
                    <w:right w:val="none" w:sz="0" w:space="0" w:color="auto"/>
                  </w:divBdr>
                </w:div>
              </w:divsChild>
            </w:div>
            <w:div w:id="1707632231">
              <w:marLeft w:val="0"/>
              <w:marRight w:val="0"/>
              <w:marTop w:val="0"/>
              <w:marBottom w:val="0"/>
              <w:divBdr>
                <w:top w:val="none" w:sz="0" w:space="0" w:color="auto"/>
                <w:left w:val="none" w:sz="0" w:space="0" w:color="auto"/>
                <w:bottom w:val="none" w:sz="0" w:space="0" w:color="auto"/>
                <w:right w:val="none" w:sz="0" w:space="0" w:color="auto"/>
              </w:divBdr>
            </w:div>
          </w:divsChild>
        </w:div>
        <w:div w:id="1521623023">
          <w:marLeft w:val="0"/>
          <w:marRight w:val="0"/>
          <w:marTop w:val="0"/>
          <w:marBottom w:val="0"/>
          <w:divBdr>
            <w:top w:val="none" w:sz="0" w:space="0" w:color="auto"/>
            <w:left w:val="none" w:sz="0" w:space="0" w:color="auto"/>
            <w:bottom w:val="none" w:sz="0" w:space="0" w:color="auto"/>
            <w:right w:val="none" w:sz="0" w:space="0" w:color="auto"/>
          </w:divBdr>
          <w:divsChild>
            <w:div w:id="396248678">
              <w:marLeft w:val="0"/>
              <w:marRight w:val="0"/>
              <w:marTop w:val="0"/>
              <w:marBottom w:val="0"/>
              <w:divBdr>
                <w:top w:val="none" w:sz="0" w:space="0" w:color="auto"/>
                <w:left w:val="none" w:sz="0" w:space="0" w:color="auto"/>
                <w:bottom w:val="none" w:sz="0" w:space="0" w:color="auto"/>
                <w:right w:val="none" w:sz="0" w:space="0" w:color="auto"/>
              </w:divBdr>
              <w:divsChild>
                <w:div w:id="1110586772">
                  <w:marLeft w:val="0"/>
                  <w:marRight w:val="0"/>
                  <w:marTop w:val="0"/>
                  <w:marBottom w:val="0"/>
                  <w:divBdr>
                    <w:top w:val="none" w:sz="0" w:space="0" w:color="auto"/>
                    <w:left w:val="none" w:sz="0" w:space="0" w:color="auto"/>
                    <w:bottom w:val="none" w:sz="0" w:space="0" w:color="auto"/>
                    <w:right w:val="none" w:sz="0" w:space="0" w:color="auto"/>
                  </w:divBdr>
                  <w:divsChild>
                    <w:div w:id="3836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4102">
      <w:bodyDiv w:val="1"/>
      <w:marLeft w:val="0"/>
      <w:marRight w:val="0"/>
      <w:marTop w:val="0"/>
      <w:marBottom w:val="0"/>
      <w:divBdr>
        <w:top w:val="none" w:sz="0" w:space="0" w:color="auto"/>
        <w:left w:val="none" w:sz="0" w:space="0" w:color="auto"/>
        <w:bottom w:val="none" w:sz="0" w:space="0" w:color="auto"/>
        <w:right w:val="none" w:sz="0" w:space="0" w:color="auto"/>
      </w:divBdr>
      <w:divsChild>
        <w:div w:id="1607999245">
          <w:marLeft w:val="0"/>
          <w:marRight w:val="0"/>
          <w:marTop w:val="0"/>
          <w:marBottom w:val="0"/>
          <w:divBdr>
            <w:top w:val="none" w:sz="0" w:space="0" w:color="auto"/>
            <w:left w:val="none" w:sz="0" w:space="0" w:color="auto"/>
            <w:bottom w:val="none" w:sz="0" w:space="0" w:color="auto"/>
            <w:right w:val="none" w:sz="0" w:space="0" w:color="auto"/>
          </w:divBdr>
          <w:divsChild>
            <w:div w:id="343433461">
              <w:marLeft w:val="0"/>
              <w:marRight w:val="0"/>
              <w:marTop w:val="0"/>
              <w:marBottom w:val="0"/>
              <w:divBdr>
                <w:top w:val="none" w:sz="0" w:space="0" w:color="auto"/>
                <w:left w:val="none" w:sz="0" w:space="0" w:color="auto"/>
                <w:bottom w:val="none" w:sz="0" w:space="0" w:color="auto"/>
                <w:right w:val="none" w:sz="0" w:space="0" w:color="auto"/>
              </w:divBdr>
              <w:divsChild>
                <w:div w:id="1594898560">
                  <w:marLeft w:val="0"/>
                  <w:marRight w:val="0"/>
                  <w:marTop w:val="0"/>
                  <w:marBottom w:val="0"/>
                  <w:divBdr>
                    <w:top w:val="none" w:sz="0" w:space="0" w:color="auto"/>
                    <w:left w:val="none" w:sz="0" w:space="0" w:color="auto"/>
                    <w:bottom w:val="none" w:sz="0" w:space="0" w:color="auto"/>
                    <w:right w:val="none" w:sz="0" w:space="0" w:color="auto"/>
                  </w:divBdr>
                </w:div>
              </w:divsChild>
            </w:div>
            <w:div w:id="879781457">
              <w:marLeft w:val="0"/>
              <w:marRight w:val="0"/>
              <w:marTop w:val="0"/>
              <w:marBottom w:val="0"/>
              <w:divBdr>
                <w:top w:val="none" w:sz="0" w:space="0" w:color="auto"/>
                <w:left w:val="none" w:sz="0" w:space="0" w:color="auto"/>
                <w:bottom w:val="none" w:sz="0" w:space="0" w:color="auto"/>
                <w:right w:val="none" w:sz="0" w:space="0" w:color="auto"/>
              </w:divBdr>
            </w:div>
          </w:divsChild>
        </w:div>
        <w:div w:id="560603375">
          <w:marLeft w:val="0"/>
          <w:marRight w:val="0"/>
          <w:marTop w:val="0"/>
          <w:marBottom w:val="0"/>
          <w:divBdr>
            <w:top w:val="none" w:sz="0" w:space="0" w:color="auto"/>
            <w:left w:val="none" w:sz="0" w:space="0" w:color="auto"/>
            <w:bottom w:val="none" w:sz="0" w:space="0" w:color="auto"/>
            <w:right w:val="none" w:sz="0" w:space="0" w:color="auto"/>
          </w:divBdr>
          <w:divsChild>
            <w:div w:id="488786116">
              <w:marLeft w:val="0"/>
              <w:marRight w:val="0"/>
              <w:marTop w:val="0"/>
              <w:marBottom w:val="0"/>
              <w:divBdr>
                <w:top w:val="none" w:sz="0" w:space="0" w:color="auto"/>
                <w:left w:val="none" w:sz="0" w:space="0" w:color="auto"/>
                <w:bottom w:val="none" w:sz="0" w:space="0" w:color="auto"/>
                <w:right w:val="none" w:sz="0" w:space="0" w:color="auto"/>
              </w:divBdr>
              <w:divsChild>
                <w:div w:id="17125552">
                  <w:marLeft w:val="0"/>
                  <w:marRight w:val="0"/>
                  <w:marTop w:val="0"/>
                  <w:marBottom w:val="0"/>
                  <w:divBdr>
                    <w:top w:val="none" w:sz="0" w:space="0" w:color="auto"/>
                    <w:left w:val="none" w:sz="0" w:space="0" w:color="auto"/>
                    <w:bottom w:val="none" w:sz="0" w:space="0" w:color="auto"/>
                    <w:right w:val="none" w:sz="0" w:space="0" w:color="auto"/>
                  </w:divBdr>
                  <w:divsChild>
                    <w:div w:id="10008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03522">
      <w:bodyDiv w:val="1"/>
      <w:marLeft w:val="0"/>
      <w:marRight w:val="0"/>
      <w:marTop w:val="0"/>
      <w:marBottom w:val="0"/>
      <w:divBdr>
        <w:top w:val="none" w:sz="0" w:space="0" w:color="auto"/>
        <w:left w:val="none" w:sz="0" w:space="0" w:color="auto"/>
        <w:bottom w:val="none" w:sz="0" w:space="0" w:color="auto"/>
        <w:right w:val="none" w:sz="0" w:space="0" w:color="auto"/>
      </w:divBdr>
      <w:divsChild>
        <w:div w:id="885679385">
          <w:marLeft w:val="480"/>
          <w:marRight w:val="0"/>
          <w:marTop w:val="0"/>
          <w:marBottom w:val="0"/>
          <w:divBdr>
            <w:top w:val="none" w:sz="0" w:space="0" w:color="auto"/>
            <w:left w:val="none" w:sz="0" w:space="0" w:color="auto"/>
            <w:bottom w:val="none" w:sz="0" w:space="0" w:color="auto"/>
            <w:right w:val="none" w:sz="0" w:space="0" w:color="auto"/>
          </w:divBdr>
          <w:divsChild>
            <w:div w:id="6887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7893">
      <w:bodyDiv w:val="1"/>
      <w:marLeft w:val="0"/>
      <w:marRight w:val="0"/>
      <w:marTop w:val="0"/>
      <w:marBottom w:val="0"/>
      <w:divBdr>
        <w:top w:val="none" w:sz="0" w:space="0" w:color="auto"/>
        <w:left w:val="none" w:sz="0" w:space="0" w:color="auto"/>
        <w:bottom w:val="none" w:sz="0" w:space="0" w:color="auto"/>
        <w:right w:val="none" w:sz="0" w:space="0" w:color="auto"/>
      </w:divBdr>
      <w:divsChild>
        <w:div w:id="215505620">
          <w:marLeft w:val="480"/>
          <w:marRight w:val="0"/>
          <w:marTop w:val="0"/>
          <w:marBottom w:val="0"/>
          <w:divBdr>
            <w:top w:val="none" w:sz="0" w:space="0" w:color="auto"/>
            <w:left w:val="none" w:sz="0" w:space="0" w:color="auto"/>
            <w:bottom w:val="none" w:sz="0" w:space="0" w:color="auto"/>
            <w:right w:val="none" w:sz="0" w:space="0" w:color="auto"/>
          </w:divBdr>
          <w:divsChild>
            <w:div w:id="9842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5388">
      <w:bodyDiv w:val="1"/>
      <w:marLeft w:val="0"/>
      <w:marRight w:val="0"/>
      <w:marTop w:val="0"/>
      <w:marBottom w:val="0"/>
      <w:divBdr>
        <w:top w:val="none" w:sz="0" w:space="0" w:color="auto"/>
        <w:left w:val="none" w:sz="0" w:space="0" w:color="auto"/>
        <w:bottom w:val="none" w:sz="0" w:space="0" w:color="auto"/>
        <w:right w:val="none" w:sz="0" w:space="0" w:color="auto"/>
      </w:divBdr>
      <w:divsChild>
        <w:div w:id="1278869708">
          <w:marLeft w:val="480"/>
          <w:marRight w:val="0"/>
          <w:marTop w:val="0"/>
          <w:marBottom w:val="0"/>
          <w:divBdr>
            <w:top w:val="none" w:sz="0" w:space="0" w:color="auto"/>
            <w:left w:val="none" w:sz="0" w:space="0" w:color="auto"/>
            <w:bottom w:val="none" w:sz="0" w:space="0" w:color="auto"/>
            <w:right w:val="none" w:sz="0" w:space="0" w:color="auto"/>
          </w:divBdr>
          <w:divsChild>
            <w:div w:id="7262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30548">
      <w:bodyDiv w:val="1"/>
      <w:marLeft w:val="0"/>
      <w:marRight w:val="0"/>
      <w:marTop w:val="0"/>
      <w:marBottom w:val="0"/>
      <w:divBdr>
        <w:top w:val="none" w:sz="0" w:space="0" w:color="auto"/>
        <w:left w:val="none" w:sz="0" w:space="0" w:color="auto"/>
        <w:bottom w:val="none" w:sz="0" w:space="0" w:color="auto"/>
        <w:right w:val="none" w:sz="0" w:space="0" w:color="auto"/>
      </w:divBdr>
      <w:divsChild>
        <w:div w:id="335350966">
          <w:marLeft w:val="480"/>
          <w:marRight w:val="0"/>
          <w:marTop w:val="0"/>
          <w:marBottom w:val="0"/>
          <w:divBdr>
            <w:top w:val="none" w:sz="0" w:space="0" w:color="auto"/>
            <w:left w:val="none" w:sz="0" w:space="0" w:color="auto"/>
            <w:bottom w:val="none" w:sz="0" w:space="0" w:color="auto"/>
            <w:right w:val="none" w:sz="0" w:space="0" w:color="auto"/>
          </w:divBdr>
          <w:divsChild>
            <w:div w:id="1620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0528">
      <w:bodyDiv w:val="1"/>
      <w:marLeft w:val="0"/>
      <w:marRight w:val="0"/>
      <w:marTop w:val="0"/>
      <w:marBottom w:val="0"/>
      <w:divBdr>
        <w:top w:val="none" w:sz="0" w:space="0" w:color="auto"/>
        <w:left w:val="none" w:sz="0" w:space="0" w:color="auto"/>
        <w:bottom w:val="none" w:sz="0" w:space="0" w:color="auto"/>
        <w:right w:val="none" w:sz="0" w:space="0" w:color="auto"/>
      </w:divBdr>
      <w:divsChild>
        <w:div w:id="1209223968">
          <w:marLeft w:val="480"/>
          <w:marRight w:val="0"/>
          <w:marTop w:val="0"/>
          <w:marBottom w:val="0"/>
          <w:divBdr>
            <w:top w:val="none" w:sz="0" w:space="0" w:color="auto"/>
            <w:left w:val="none" w:sz="0" w:space="0" w:color="auto"/>
            <w:bottom w:val="none" w:sz="0" w:space="0" w:color="auto"/>
            <w:right w:val="none" w:sz="0" w:space="0" w:color="auto"/>
          </w:divBdr>
          <w:divsChild>
            <w:div w:id="19390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39955">
      <w:bodyDiv w:val="1"/>
      <w:marLeft w:val="0"/>
      <w:marRight w:val="0"/>
      <w:marTop w:val="0"/>
      <w:marBottom w:val="0"/>
      <w:divBdr>
        <w:top w:val="none" w:sz="0" w:space="0" w:color="auto"/>
        <w:left w:val="none" w:sz="0" w:space="0" w:color="auto"/>
        <w:bottom w:val="none" w:sz="0" w:space="0" w:color="auto"/>
        <w:right w:val="none" w:sz="0" w:space="0" w:color="auto"/>
      </w:divBdr>
      <w:divsChild>
        <w:div w:id="267586356">
          <w:marLeft w:val="0"/>
          <w:marRight w:val="0"/>
          <w:marTop w:val="0"/>
          <w:marBottom w:val="0"/>
          <w:divBdr>
            <w:top w:val="none" w:sz="0" w:space="0" w:color="auto"/>
            <w:left w:val="none" w:sz="0" w:space="0" w:color="auto"/>
            <w:bottom w:val="none" w:sz="0" w:space="0" w:color="auto"/>
            <w:right w:val="none" w:sz="0" w:space="0" w:color="auto"/>
          </w:divBdr>
        </w:div>
        <w:div w:id="1379360586">
          <w:marLeft w:val="0"/>
          <w:marRight w:val="0"/>
          <w:marTop w:val="0"/>
          <w:marBottom w:val="0"/>
          <w:divBdr>
            <w:top w:val="none" w:sz="0" w:space="0" w:color="auto"/>
            <w:left w:val="none" w:sz="0" w:space="0" w:color="auto"/>
            <w:bottom w:val="none" w:sz="0" w:space="0" w:color="auto"/>
            <w:right w:val="none" w:sz="0" w:space="0" w:color="auto"/>
          </w:divBdr>
        </w:div>
        <w:div w:id="1256983668">
          <w:marLeft w:val="0"/>
          <w:marRight w:val="0"/>
          <w:marTop w:val="0"/>
          <w:marBottom w:val="0"/>
          <w:divBdr>
            <w:top w:val="none" w:sz="0" w:space="0" w:color="auto"/>
            <w:left w:val="none" w:sz="0" w:space="0" w:color="auto"/>
            <w:bottom w:val="none" w:sz="0" w:space="0" w:color="auto"/>
            <w:right w:val="none" w:sz="0" w:space="0" w:color="auto"/>
          </w:divBdr>
        </w:div>
        <w:div w:id="1335910564">
          <w:marLeft w:val="0"/>
          <w:marRight w:val="0"/>
          <w:marTop w:val="0"/>
          <w:marBottom w:val="0"/>
          <w:divBdr>
            <w:top w:val="none" w:sz="0" w:space="0" w:color="auto"/>
            <w:left w:val="none" w:sz="0" w:space="0" w:color="auto"/>
            <w:bottom w:val="none" w:sz="0" w:space="0" w:color="auto"/>
            <w:right w:val="none" w:sz="0" w:space="0" w:color="auto"/>
          </w:divBdr>
        </w:div>
        <w:div w:id="390005111">
          <w:marLeft w:val="0"/>
          <w:marRight w:val="0"/>
          <w:marTop w:val="0"/>
          <w:marBottom w:val="0"/>
          <w:divBdr>
            <w:top w:val="none" w:sz="0" w:space="0" w:color="auto"/>
            <w:left w:val="none" w:sz="0" w:space="0" w:color="auto"/>
            <w:bottom w:val="none" w:sz="0" w:space="0" w:color="auto"/>
            <w:right w:val="none" w:sz="0" w:space="0" w:color="auto"/>
          </w:divBdr>
        </w:div>
      </w:divsChild>
    </w:div>
    <w:div w:id="936136454">
      <w:bodyDiv w:val="1"/>
      <w:marLeft w:val="0"/>
      <w:marRight w:val="0"/>
      <w:marTop w:val="0"/>
      <w:marBottom w:val="0"/>
      <w:divBdr>
        <w:top w:val="none" w:sz="0" w:space="0" w:color="auto"/>
        <w:left w:val="none" w:sz="0" w:space="0" w:color="auto"/>
        <w:bottom w:val="none" w:sz="0" w:space="0" w:color="auto"/>
        <w:right w:val="none" w:sz="0" w:space="0" w:color="auto"/>
      </w:divBdr>
      <w:divsChild>
        <w:div w:id="179052294">
          <w:marLeft w:val="480"/>
          <w:marRight w:val="0"/>
          <w:marTop w:val="0"/>
          <w:marBottom w:val="0"/>
          <w:divBdr>
            <w:top w:val="none" w:sz="0" w:space="0" w:color="auto"/>
            <w:left w:val="none" w:sz="0" w:space="0" w:color="auto"/>
            <w:bottom w:val="none" w:sz="0" w:space="0" w:color="auto"/>
            <w:right w:val="none" w:sz="0" w:space="0" w:color="auto"/>
          </w:divBdr>
          <w:divsChild>
            <w:div w:id="12180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8469">
      <w:bodyDiv w:val="1"/>
      <w:marLeft w:val="0"/>
      <w:marRight w:val="0"/>
      <w:marTop w:val="0"/>
      <w:marBottom w:val="0"/>
      <w:divBdr>
        <w:top w:val="none" w:sz="0" w:space="0" w:color="auto"/>
        <w:left w:val="none" w:sz="0" w:space="0" w:color="auto"/>
        <w:bottom w:val="none" w:sz="0" w:space="0" w:color="auto"/>
        <w:right w:val="none" w:sz="0" w:space="0" w:color="auto"/>
      </w:divBdr>
      <w:divsChild>
        <w:div w:id="2033922473">
          <w:marLeft w:val="480"/>
          <w:marRight w:val="0"/>
          <w:marTop w:val="0"/>
          <w:marBottom w:val="0"/>
          <w:divBdr>
            <w:top w:val="none" w:sz="0" w:space="0" w:color="auto"/>
            <w:left w:val="none" w:sz="0" w:space="0" w:color="auto"/>
            <w:bottom w:val="none" w:sz="0" w:space="0" w:color="auto"/>
            <w:right w:val="none" w:sz="0" w:space="0" w:color="auto"/>
          </w:divBdr>
          <w:divsChild>
            <w:div w:id="14420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3481">
      <w:bodyDiv w:val="1"/>
      <w:marLeft w:val="0"/>
      <w:marRight w:val="0"/>
      <w:marTop w:val="0"/>
      <w:marBottom w:val="0"/>
      <w:divBdr>
        <w:top w:val="none" w:sz="0" w:space="0" w:color="auto"/>
        <w:left w:val="none" w:sz="0" w:space="0" w:color="auto"/>
        <w:bottom w:val="none" w:sz="0" w:space="0" w:color="auto"/>
        <w:right w:val="none" w:sz="0" w:space="0" w:color="auto"/>
      </w:divBdr>
    </w:div>
    <w:div w:id="1079330376">
      <w:bodyDiv w:val="1"/>
      <w:marLeft w:val="0"/>
      <w:marRight w:val="0"/>
      <w:marTop w:val="0"/>
      <w:marBottom w:val="0"/>
      <w:divBdr>
        <w:top w:val="none" w:sz="0" w:space="0" w:color="auto"/>
        <w:left w:val="none" w:sz="0" w:space="0" w:color="auto"/>
        <w:bottom w:val="none" w:sz="0" w:space="0" w:color="auto"/>
        <w:right w:val="none" w:sz="0" w:space="0" w:color="auto"/>
      </w:divBdr>
      <w:divsChild>
        <w:div w:id="882792022">
          <w:marLeft w:val="480"/>
          <w:marRight w:val="0"/>
          <w:marTop w:val="0"/>
          <w:marBottom w:val="0"/>
          <w:divBdr>
            <w:top w:val="none" w:sz="0" w:space="0" w:color="auto"/>
            <w:left w:val="none" w:sz="0" w:space="0" w:color="auto"/>
            <w:bottom w:val="none" w:sz="0" w:space="0" w:color="auto"/>
            <w:right w:val="none" w:sz="0" w:space="0" w:color="auto"/>
          </w:divBdr>
          <w:divsChild>
            <w:div w:id="20277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6436">
      <w:bodyDiv w:val="1"/>
      <w:marLeft w:val="0"/>
      <w:marRight w:val="0"/>
      <w:marTop w:val="0"/>
      <w:marBottom w:val="0"/>
      <w:divBdr>
        <w:top w:val="none" w:sz="0" w:space="0" w:color="auto"/>
        <w:left w:val="none" w:sz="0" w:space="0" w:color="auto"/>
        <w:bottom w:val="none" w:sz="0" w:space="0" w:color="auto"/>
        <w:right w:val="none" w:sz="0" w:space="0" w:color="auto"/>
      </w:divBdr>
      <w:divsChild>
        <w:div w:id="1628050589">
          <w:marLeft w:val="0"/>
          <w:marRight w:val="0"/>
          <w:marTop w:val="0"/>
          <w:marBottom w:val="0"/>
          <w:divBdr>
            <w:top w:val="none" w:sz="0" w:space="0" w:color="auto"/>
            <w:left w:val="none" w:sz="0" w:space="0" w:color="auto"/>
            <w:bottom w:val="none" w:sz="0" w:space="0" w:color="auto"/>
            <w:right w:val="none" w:sz="0" w:space="0" w:color="auto"/>
          </w:divBdr>
        </w:div>
        <w:div w:id="1212578349">
          <w:marLeft w:val="0"/>
          <w:marRight w:val="0"/>
          <w:marTop w:val="0"/>
          <w:marBottom w:val="0"/>
          <w:divBdr>
            <w:top w:val="none" w:sz="0" w:space="0" w:color="auto"/>
            <w:left w:val="none" w:sz="0" w:space="0" w:color="auto"/>
            <w:bottom w:val="none" w:sz="0" w:space="0" w:color="auto"/>
            <w:right w:val="none" w:sz="0" w:space="0" w:color="auto"/>
          </w:divBdr>
        </w:div>
      </w:divsChild>
    </w:div>
    <w:div w:id="1148203619">
      <w:bodyDiv w:val="1"/>
      <w:marLeft w:val="0"/>
      <w:marRight w:val="0"/>
      <w:marTop w:val="0"/>
      <w:marBottom w:val="0"/>
      <w:divBdr>
        <w:top w:val="none" w:sz="0" w:space="0" w:color="auto"/>
        <w:left w:val="none" w:sz="0" w:space="0" w:color="auto"/>
        <w:bottom w:val="none" w:sz="0" w:space="0" w:color="auto"/>
        <w:right w:val="none" w:sz="0" w:space="0" w:color="auto"/>
      </w:divBdr>
      <w:divsChild>
        <w:div w:id="1789351597">
          <w:marLeft w:val="480"/>
          <w:marRight w:val="0"/>
          <w:marTop w:val="0"/>
          <w:marBottom w:val="0"/>
          <w:divBdr>
            <w:top w:val="none" w:sz="0" w:space="0" w:color="auto"/>
            <w:left w:val="none" w:sz="0" w:space="0" w:color="auto"/>
            <w:bottom w:val="none" w:sz="0" w:space="0" w:color="auto"/>
            <w:right w:val="none" w:sz="0" w:space="0" w:color="auto"/>
          </w:divBdr>
          <w:divsChild>
            <w:div w:id="10898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4989">
      <w:bodyDiv w:val="1"/>
      <w:marLeft w:val="0"/>
      <w:marRight w:val="0"/>
      <w:marTop w:val="0"/>
      <w:marBottom w:val="0"/>
      <w:divBdr>
        <w:top w:val="none" w:sz="0" w:space="0" w:color="auto"/>
        <w:left w:val="none" w:sz="0" w:space="0" w:color="auto"/>
        <w:bottom w:val="none" w:sz="0" w:space="0" w:color="auto"/>
        <w:right w:val="none" w:sz="0" w:space="0" w:color="auto"/>
      </w:divBdr>
    </w:div>
    <w:div w:id="1596983628">
      <w:bodyDiv w:val="1"/>
      <w:marLeft w:val="0"/>
      <w:marRight w:val="0"/>
      <w:marTop w:val="0"/>
      <w:marBottom w:val="0"/>
      <w:divBdr>
        <w:top w:val="none" w:sz="0" w:space="0" w:color="auto"/>
        <w:left w:val="none" w:sz="0" w:space="0" w:color="auto"/>
        <w:bottom w:val="none" w:sz="0" w:space="0" w:color="auto"/>
        <w:right w:val="none" w:sz="0" w:space="0" w:color="auto"/>
      </w:divBdr>
      <w:divsChild>
        <w:div w:id="949707812">
          <w:marLeft w:val="0"/>
          <w:marRight w:val="0"/>
          <w:marTop w:val="0"/>
          <w:marBottom w:val="0"/>
          <w:divBdr>
            <w:top w:val="none" w:sz="0" w:space="0" w:color="auto"/>
            <w:left w:val="none" w:sz="0" w:space="0" w:color="auto"/>
            <w:bottom w:val="none" w:sz="0" w:space="0" w:color="auto"/>
            <w:right w:val="none" w:sz="0" w:space="0" w:color="auto"/>
          </w:divBdr>
          <w:divsChild>
            <w:div w:id="6015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6642">
      <w:bodyDiv w:val="1"/>
      <w:marLeft w:val="0"/>
      <w:marRight w:val="0"/>
      <w:marTop w:val="0"/>
      <w:marBottom w:val="0"/>
      <w:divBdr>
        <w:top w:val="none" w:sz="0" w:space="0" w:color="auto"/>
        <w:left w:val="none" w:sz="0" w:space="0" w:color="auto"/>
        <w:bottom w:val="none" w:sz="0" w:space="0" w:color="auto"/>
        <w:right w:val="none" w:sz="0" w:space="0" w:color="auto"/>
      </w:divBdr>
      <w:divsChild>
        <w:div w:id="877817676">
          <w:marLeft w:val="480"/>
          <w:marRight w:val="0"/>
          <w:marTop w:val="0"/>
          <w:marBottom w:val="0"/>
          <w:divBdr>
            <w:top w:val="none" w:sz="0" w:space="0" w:color="auto"/>
            <w:left w:val="none" w:sz="0" w:space="0" w:color="auto"/>
            <w:bottom w:val="none" w:sz="0" w:space="0" w:color="auto"/>
            <w:right w:val="none" w:sz="0" w:space="0" w:color="auto"/>
          </w:divBdr>
          <w:divsChild>
            <w:div w:id="6206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7274">
      <w:bodyDiv w:val="1"/>
      <w:marLeft w:val="0"/>
      <w:marRight w:val="0"/>
      <w:marTop w:val="0"/>
      <w:marBottom w:val="0"/>
      <w:divBdr>
        <w:top w:val="none" w:sz="0" w:space="0" w:color="auto"/>
        <w:left w:val="none" w:sz="0" w:space="0" w:color="auto"/>
        <w:bottom w:val="none" w:sz="0" w:space="0" w:color="auto"/>
        <w:right w:val="none" w:sz="0" w:space="0" w:color="auto"/>
      </w:divBdr>
    </w:div>
    <w:div w:id="1898778694">
      <w:bodyDiv w:val="1"/>
      <w:marLeft w:val="0"/>
      <w:marRight w:val="0"/>
      <w:marTop w:val="0"/>
      <w:marBottom w:val="0"/>
      <w:divBdr>
        <w:top w:val="none" w:sz="0" w:space="0" w:color="auto"/>
        <w:left w:val="none" w:sz="0" w:space="0" w:color="auto"/>
        <w:bottom w:val="none" w:sz="0" w:space="0" w:color="auto"/>
        <w:right w:val="none" w:sz="0" w:space="0" w:color="auto"/>
      </w:divBdr>
      <w:divsChild>
        <w:div w:id="223372378">
          <w:marLeft w:val="480"/>
          <w:marRight w:val="0"/>
          <w:marTop w:val="0"/>
          <w:marBottom w:val="0"/>
          <w:divBdr>
            <w:top w:val="none" w:sz="0" w:space="0" w:color="auto"/>
            <w:left w:val="none" w:sz="0" w:space="0" w:color="auto"/>
            <w:bottom w:val="none" w:sz="0" w:space="0" w:color="auto"/>
            <w:right w:val="none" w:sz="0" w:space="0" w:color="auto"/>
          </w:divBdr>
          <w:divsChild>
            <w:div w:id="6504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0399">
      <w:bodyDiv w:val="1"/>
      <w:marLeft w:val="0"/>
      <w:marRight w:val="0"/>
      <w:marTop w:val="0"/>
      <w:marBottom w:val="0"/>
      <w:divBdr>
        <w:top w:val="none" w:sz="0" w:space="0" w:color="auto"/>
        <w:left w:val="none" w:sz="0" w:space="0" w:color="auto"/>
        <w:bottom w:val="none" w:sz="0" w:space="0" w:color="auto"/>
        <w:right w:val="none" w:sz="0" w:space="0" w:color="auto"/>
      </w:divBdr>
      <w:divsChild>
        <w:div w:id="1449542991">
          <w:marLeft w:val="0"/>
          <w:marRight w:val="0"/>
          <w:marTop w:val="0"/>
          <w:marBottom w:val="0"/>
          <w:divBdr>
            <w:top w:val="none" w:sz="0" w:space="0" w:color="auto"/>
            <w:left w:val="none" w:sz="0" w:space="0" w:color="auto"/>
            <w:bottom w:val="none" w:sz="0" w:space="0" w:color="auto"/>
            <w:right w:val="none" w:sz="0" w:space="0" w:color="auto"/>
          </w:divBdr>
        </w:div>
      </w:divsChild>
    </w:div>
    <w:div w:id="1985892036">
      <w:bodyDiv w:val="1"/>
      <w:marLeft w:val="0"/>
      <w:marRight w:val="0"/>
      <w:marTop w:val="0"/>
      <w:marBottom w:val="0"/>
      <w:divBdr>
        <w:top w:val="none" w:sz="0" w:space="0" w:color="auto"/>
        <w:left w:val="none" w:sz="0" w:space="0" w:color="auto"/>
        <w:bottom w:val="none" w:sz="0" w:space="0" w:color="auto"/>
        <w:right w:val="none" w:sz="0" w:space="0" w:color="auto"/>
      </w:divBdr>
      <w:divsChild>
        <w:div w:id="809173742">
          <w:marLeft w:val="480"/>
          <w:marRight w:val="0"/>
          <w:marTop w:val="0"/>
          <w:marBottom w:val="0"/>
          <w:divBdr>
            <w:top w:val="none" w:sz="0" w:space="0" w:color="auto"/>
            <w:left w:val="none" w:sz="0" w:space="0" w:color="auto"/>
            <w:bottom w:val="none" w:sz="0" w:space="0" w:color="auto"/>
            <w:right w:val="none" w:sz="0" w:space="0" w:color="auto"/>
          </w:divBdr>
          <w:divsChild>
            <w:div w:id="2879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5348">
      <w:bodyDiv w:val="1"/>
      <w:marLeft w:val="0"/>
      <w:marRight w:val="0"/>
      <w:marTop w:val="0"/>
      <w:marBottom w:val="0"/>
      <w:divBdr>
        <w:top w:val="none" w:sz="0" w:space="0" w:color="auto"/>
        <w:left w:val="none" w:sz="0" w:space="0" w:color="auto"/>
        <w:bottom w:val="none" w:sz="0" w:space="0" w:color="auto"/>
        <w:right w:val="none" w:sz="0" w:space="0" w:color="auto"/>
      </w:divBdr>
      <w:divsChild>
        <w:div w:id="337463908">
          <w:marLeft w:val="480"/>
          <w:marRight w:val="0"/>
          <w:marTop w:val="0"/>
          <w:marBottom w:val="0"/>
          <w:divBdr>
            <w:top w:val="none" w:sz="0" w:space="0" w:color="auto"/>
            <w:left w:val="none" w:sz="0" w:space="0" w:color="auto"/>
            <w:bottom w:val="none" w:sz="0" w:space="0" w:color="auto"/>
            <w:right w:val="none" w:sz="0" w:space="0" w:color="auto"/>
          </w:divBdr>
          <w:divsChild>
            <w:div w:id="384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1702">
      <w:bodyDiv w:val="1"/>
      <w:marLeft w:val="0"/>
      <w:marRight w:val="0"/>
      <w:marTop w:val="0"/>
      <w:marBottom w:val="0"/>
      <w:divBdr>
        <w:top w:val="none" w:sz="0" w:space="0" w:color="auto"/>
        <w:left w:val="none" w:sz="0" w:space="0" w:color="auto"/>
        <w:bottom w:val="none" w:sz="0" w:space="0" w:color="auto"/>
        <w:right w:val="none" w:sz="0" w:space="0" w:color="auto"/>
      </w:divBdr>
      <w:divsChild>
        <w:div w:id="160434024">
          <w:marLeft w:val="0"/>
          <w:marRight w:val="0"/>
          <w:marTop w:val="0"/>
          <w:marBottom w:val="0"/>
          <w:divBdr>
            <w:top w:val="none" w:sz="0" w:space="0" w:color="auto"/>
            <w:left w:val="none" w:sz="0" w:space="0" w:color="auto"/>
            <w:bottom w:val="none" w:sz="0" w:space="0" w:color="auto"/>
            <w:right w:val="none" w:sz="0" w:space="0" w:color="auto"/>
          </w:divBdr>
          <w:divsChild>
            <w:div w:id="793327347">
              <w:marLeft w:val="0"/>
              <w:marRight w:val="0"/>
              <w:marTop w:val="0"/>
              <w:marBottom w:val="0"/>
              <w:divBdr>
                <w:top w:val="none" w:sz="0" w:space="0" w:color="auto"/>
                <w:left w:val="none" w:sz="0" w:space="0" w:color="auto"/>
                <w:bottom w:val="none" w:sz="0" w:space="0" w:color="auto"/>
                <w:right w:val="none" w:sz="0" w:space="0" w:color="auto"/>
              </w:divBdr>
              <w:divsChild>
                <w:div w:id="2018968794">
                  <w:marLeft w:val="0"/>
                  <w:marRight w:val="0"/>
                  <w:marTop w:val="0"/>
                  <w:marBottom w:val="0"/>
                  <w:divBdr>
                    <w:top w:val="none" w:sz="0" w:space="0" w:color="auto"/>
                    <w:left w:val="none" w:sz="0" w:space="0" w:color="auto"/>
                    <w:bottom w:val="none" w:sz="0" w:space="0" w:color="auto"/>
                    <w:right w:val="none" w:sz="0" w:space="0" w:color="auto"/>
                  </w:divBdr>
                </w:div>
              </w:divsChild>
            </w:div>
            <w:div w:id="694961023">
              <w:marLeft w:val="0"/>
              <w:marRight w:val="0"/>
              <w:marTop w:val="0"/>
              <w:marBottom w:val="0"/>
              <w:divBdr>
                <w:top w:val="none" w:sz="0" w:space="0" w:color="auto"/>
                <w:left w:val="none" w:sz="0" w:space="0" w:color="auto"/>
                <w:bottom w:val="none" w:sz="0" w:space="0" w:color="auto"/>
                <w:right w:val="none" w:sz="0" w:space="0" w:color="auto"/>
              </w:divBdr>
            </w:div>
          </w:divsChild>
        </w:div>
        <w:div w:id="1715154727">
          <w:marLeft w:val="0"/>
          <w:marRight w:val="0"/>
          <w:marTop w:val="0"/>
          <w:marBottom w:val="0"/>
          <w:divBdr>
            <w:top w:val="none" w:sz="0" w:space="0" w:color="auto"/>
            <w:left w:val="none" w:sz="0" w:space="0" w:color="auto"/>
            <w:bottom w:val="none" w:sz="0" w:space="0" w:color="auto"/>
            <w:right w:val="none" w:sz="0" w:space="0" w:color="auto"/>
          </w:divBdr>
          <w:divsChild>
            <w:div w:id="1759861312">
              <w:marLeft w:val="0"/>
              <w:marRight w:val="0"/>
              <w:marTop w:val="0"/>
              <w:marBottom w:val="0"/>
              <w:divBdr>
                <w:top w:val="none" w:sz="0" w:space="0" w:color="auto"/>
                <w:left w:val="none" w:sz="0" w:space="0" w:color="auto"/>
                <w:bottom w:val="none" w:sz="0" w:space="0" w:color="auto"/>
                <w:right w:val="none" w:sz="0" w:space="0" w:color="auto"/>
              </w:divBdr>
              <w:divsChild>
                <w:div w:id="1871649800">
                  <w:marLeft w:val="0"/>
                  <w:marRight w:val="0"/>
                  <w:marTop w:val="0"/>
                  <w:marBottom w:val="0"/>
                  <w:divBdr>
                    <w:top w:val="none" w:sz="0" w:space="0" w:color="auto"/>
                    <w:left w:val="none" w:sz="0" w:space="0" w:color="auto"/>
                    <w:bottom w:val="none" w:sz="0" w:space="0" w:color="auto"/>
                    <w:right w:val="none" w:sz="0" w:space="0" w:color="auto"/>
                  </w:divBdr>
                  <w:divsChild>
                    <w:div w:id="5138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53838">
      <w:bodyDiv w:val="1"/>
      <w:marLeft w:val="0"/>
      <w:marRight w:val="0"/>
      <w:marTop w:val="0"/>
      <w:marBottom w:val="0"/>
      <w:divBdr>
        <w:top w:val="none" w:sz="0" w:space="0" w:color="auto"/>
        <w:left w:val="none" w:sz="0" w:space="0" w:color="auto"/>
        <w:bottom w:val="none" w:sz="0" w:space="0" w:color="auto"/>
        <w:right w:val="none" w:sz="0" w:space="0" w:color="auto"/>
      </w:divBdr>
      <w:divsChild>
        <w:div w:id="1287616891">
          <w:marLeft w:val="480"/>
          <w:marRight w:val="0"/>
          <w:marTop w:val="0"/>
          <w:marBottom w:val="0"/>
          <w:divBdr>
            <w:top w:val="none" w:sz="0" w:space="0" w:color="auto"/>
            <w:left w:val="none" w:sz="0" w:space="0" w:color="auto"/>
            <w:bottom w:val="none" w:sz="0" w:space="0" w:color="auto"/>
            <w:right w:val="none" w:sz="0" w:space="0" w:color="auto"/>
          </w:divBdr>
          <w:divsChild>
            <w:div w:id="17320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x.doi.org/10.1038/s41893-021-00719-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209A8-6EFA-4005-90D6-3B57748F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7617</Words>
  <Characters>43419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Ocean Conservancy</Company>
  <LinksUpToDate>false</LinksUpToDate>
  <CharactersWithSpaces>50935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Huntington</dc:creator>
  <cp:lastModifiedBy>Philip Loring</cp:lastModifiedBy>
  <cp:revision>4</cp:revision>
  <dcterms:created xsi:type="dcterms:W3CDTF">2021-03-31T20:36:00Z</dcterms:created>
  <dcterms:modified xsi:type="dcterms:W3CDTF">2021-05-11T14:35:00Z</dcterms:modified>
</cp:coreProperties>
</file>