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media/image2.wmf" ContentType="image/x-wmf"/>
  <Override PartName="/word/media/image3.png" ContentType="image/png"/>
  <Override PartName="/word/media/image4.wmf" ContentType="image/x-wmf"/>
  <Override PartName="/word/media/image5.wmf" ContentType="image/x-wmf"/>
  <Override PartName="/word/media/image6.jpeg" ContentType="image/jpe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rPr/>
      </w:pPr>
      <w:r>
        <w:rPr>
          <w:rStyle w:val="Tipodeletrapredefinidodopargrafo1"/>
          <w:rFonts w:ascii="Times New Roman" w:hAnsi="Times New Roman"/>
          <w:b/>
          <w:bCs/>
          <w:lang w:val="en-GB"/>
        </w:rPr>
        <w:t xml:space="preserve">Title: </w:t>
      </w:r>
      <w:r>
        <w:rPr>
          <w:rStyle w:val="Tipodeletrapredefinidodopargrafo1"/>
          <w:rFonts w:ascii="Times New Roman" w:hAnsi="Times New Roman"/>
          <w:lang w:val="en-GB"/>
        </w:rPr>
        <w:t>A Bayesian approach for analysing pairwise comparisons: a case study using species composition similarity</w:t>
      </w:r>
    </w:p>
    <w:p>
      <w:pPr>
        <w:pStyle w:val="Normal"/>
        <w:spacing w:lineRule="auto" w:line="480"/>
        <w:rPr>
          <w:lang w:val="en-GB"/>
        </w:rPr>
      </w:pPr>
      <w:r>
        <w:rPr>
          <w:rFonts w:ascii="Times New Roman" w:hAnsi="Times New Roman"/>
          <w:b/>
          <w:bCs/>
          <w:lang w:val="en-GB"/>
        </w:rPr>
        <w:t>Running headline:</w:t>
      </w:r>
      <w:r>
        <w:rPr>
          <w:rFonts w:ascii="Times New Roman" w:hAnsi="Times New Roman"/>
          <w:lang w:val="en-GB"/>
        </w:rPr>
        <w:t xml:space="preserve"> A Bayesian approach for pairwise comparisons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Filipe S. Dias</w:t>
      </w:r>
      <w:r>
        <w:rPr>
          <w:rFonts w:ascii="Times New Roman" w:hAnsi="Times New Roman"/>
          <w:position w:val="6"/>
          <w:lang w:val="en-GB"/>
        </w:rPr>
        <w:t>1,2</w:t>
      </w:r>
      <w:r>
        <w:rPr>
          <w:rFonts w:ascii="Times New Roman" w:hAnsi="Times New Roman"/>
          <w:lang w:val="en-GB"/>
        </w:rPr>
        <w:t>, Michael Betancourt</w:t>
      </w:r>
      <w:r>
        <w:rPr>
          <w:rFonts w:ascii="Times New Roman" w:hAnsi="Times New Roman"/>
          <w:position w:val="6"/>
          <w:lang w:val="en-GB"/>
        </w:rPr>
        <w:t>3</w:t>
      </w:r>
      <w:r>
        <w:rPr>
          <w:rFonts w:ascii="Times New Roman" w:hAnsi="Times New Roman"/>
          <w:lang w:val="en-GB"/>
        </w:rPr>
        <w:t>, Patricia María Rodríguez-González</w:t>
      </w:r>
      <w:r>
        <w:rPr>
          <w:rFonts w:ascii="Times New Roman" w:hAnsi="Times New Roman"/>
          <w:position w:val="6"/>
          <w:lang w:val="en-GB"/>
        </w:rPr>
        <w:t>4</w:t>
      </w:r>
      <w:r>
        <w:rPr>
          <w:rFonts w:ascii="Times New Roman" w:hAnsi="Times New Roman"/>
          <w:lang w:val="en-GB"/>
        </w:rPr>
        <w:t>, Luís Borda-de-Água</w:t>
      </w:r>
      <w:r>
        <w:rPr>
          <w:rFonts w:ascii="Times New Roman" w:hAnsi="Times New Roman"/>
          <w:position w:val="6"/>
          <w:lang w:val="en-GB"/>
        </w:rPr>
        <w:t>1,2</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b/>
          <w:bCs/>
          <w:lang w:val="en-GB"/>
        </w:rPr>
        <w:t>Affiliations</w:t>
      </w:r>
    </w:p>
    <w:p>
      <w:pPr>
        <w:pStyle w:val="Normal"/>
        <w:spacing w:lineRule="auto" w:line="480"/>
        <w:rPr>
          <w:lang w:val="en-GB"/>
        </w:rPr>
      </w:pPr>
      <w:r>
        <w:rPr>
          <w:rFonts w:ascii="Times New Roman" w:hAnsi="Times New Roman"/>
          <w:lang w:val="en-GB"/>
        </w:rPr>
        <w:t>1. CIBIO/InBio, Centro de Investigação em Biodiversidade e Recursos Genéticos, Laboratório Associado, Universidade do Porto, Campus Agrário de Vairão, 4485-661 Vairão, Portugal</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2. CIBIO/InBio, Centro de Investigação em Biodiversidade e Recursos Genéticos, Laboratório Associado, Instituto Superior de Agronomia, Universidade de Lisboa, Tapada da Ajuda, 1349-017 Lisbon, Portugal</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3. Symplectomorphic, LLC., New York, USA</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4. Centro de Estudos Florestais, Instituto Superior de Agronomia, Universidade de Lisboa, Tapada da Ajuda, 1349-017 Lisboa, Portugal</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Corresponding author: Filipe S. Dias, CIBIO, Tapada da Ajuda, 1349-017 Lisbon, Portugal, (fsdias@isa.ulisboa,pt) </w:t>
      </w:r>
    </w:p>
    <w:p>
      <w:pPr>
        <w:pStyle w:val="Normal"/>
        <w:spacing w:lineRule="auto" w:line="480"/>
        <w:rPr>
          <w:lang w:val="en-GB"/>
        </w:rPr>
      </w:pPr>
      <w:r>
        <w:rPr>
          <w:lang w:val="en-GB"/>
        </w:rPr>
      </w:r>
    </w:p>
    <w:p>
      <w:pPr>
        <w:pStyle w:val="Normal"/>
        <w:spacing w:lineRule="auto" w:line="480"/>
        <w:rPr>
          <w:lang w:val="en-GB"/>
        </w:rPr>
      </w:pPr>
      <w:r>
        <w:rPr>
          <w:lang w:val="en-GB"/>
        </w:rPr>
      </w:r>
    </w:p>
    <w:p>
      <w:pPr>
        <w:pStyle w:val="TextBody"/>
        <w:spacing w:lineRule="auto" w:line="480" w:before="0" w:after="0"/>
        <w:rPr/>
      </w:pPr>
      <w:r>
        <w:rPr>
          <w:rStyle w:val="StrongEmphasis"/>
          <w:rFonts w:cs="Times New Roman" w:ascii="Times New Roman" w:hAnsi="Times New Roman"/>
          <w:color w:val="0E101A"/>
          <w:lang w:val="en-GB"/>
        </w:rPr>
        <w:t>Abstract</w:t>
      </w:r>
    </w:p>
    <w:p>
      <w:pPr>
        <w:pStyle w:val="TextBody"/>
        <w:spacing w:lineRule="auto" w:line="480" w:before="0" w:after="0"/>
        <w:rPr>
          <w:lang w:val="en-GB"/>
        </w:rPr>
      </w:pPr>
      <w:r>
        <w:rPr>
          <w:lang w:val="en-GB"/>
        </w:rPr>
      </w:r>
    </w:p>
    <w:p>
      <w:pPr>
        <w:pStyle w:val="TextBody"/>
        <w:spacing w:lineRule="auto" w:line="480" w:before="0" w:after="0"/>
        <w:rPr>
          <w:lang w:val="en-GB"/>
        </w:rPr>
      </w:pPr>
      <w:r>
        <w:rPr>
          <w:rFonts w:ascii="Times New Roman" w:hAnsi="Times New Roman"/>
          <w:color w:val="0E101A"/>
          <w:lang w:val="en-GB"/>
        </w:rPr>
        <w:t>1. Pairwise comparison data are relatively common in ecology, with beta diversity indices being the most common. Mantel and partial-Mantel tests are the most widely used methods for analysing the relationship between changes in species composition as measured by beta diversity indices and changes in environmental covariates. However, recent studies have shown that these tests can produce invalid results and called for their replacement with more robust methods. In this work, we introduce a novel Bayesian approach for modelling pairwise comparisons that we apply to analyse changes in species composition.</w:t>
      </w:r>
    </w:p>
    <w:p>
      <w:pPr>
        <w:pStyle w:val="TextBody"/>
        <w:spacing w:lineRule="auto" w:line="480" w:before="0" w:after="0"/>
        <w:rPr>
          <w:lang w:val="en-GB"/>
        </w:rPr>
      </w:pPr>
      <w:r>
        <w:rPr>
          <w:lang w:val="en-GB"/>
        </w:rPr>
      </w:r>
    </w:p>
    <w:p>
      <w:pPr>
        <w:pStyle w:val="TextBody"/>
        <w:spacing w:lineRule="auto" w:line="480" w:before="0" w:after="0"/>
        <w:rPr>
          <w:lang w:val="en-GB"/>
        </w:rPr>
      </w:pPr>
      <w:r>
        <w:rPr>
          <w:rFonts w:ascii="Times New Roman" w:hAnsi="Times New Roman"/>
          <w:color w:val="0E101A"/>
          <w:lang w:val="en-GB"/>
        </w:rPr>
        <w:t>2. To analyse changes in species composition, we usually calculate community similarity indices (e.g. the Sorensen index) and assess the relationship between those indices and environmental covariates. The problem is that community similarity indices are paired comparisons, which means that indices calculated with the same community are not independent. To solve this issue, we followed a model-based approach to fit a regression model of beta diversity indices and covariates that contains two varying intercepts that capture the heterogeneity corresponding to the communities compared by the index. Additionally, our approach allows the relationship between beta diversity indices and covariates to change across data clusters. Moreover, it allows for different types of response variables (continuous or discrete) and provides a clear pathway for model validation.</w:t>
      </w:r>
    </w:p>
    <w:p>
      <w:pPr>
        <w:pStyle w:val="TextBody"/>
        <w:spacing w:lineRule="auto" w:line="480" w:before="0" w:after="0"/>
        <w:rPr>
          <w:lang w:val="en-GB"/>
        </w:rPr>
      </w:pPr>
      <w:r>
        <w:rPr>
          <w:lang w:val="en-GB"/>
        </w:rPr>
      </w:r>
    </w:p>
    <w:p>
      <w:pPr>
        <w:pStyle w:val="TextBody"/>
        <w:spacing w:lineRule="auto" w:line="480" w:before="0" w:after="0"/>
        <w:rPr>
          <w:lang w:val="en-GB"/>
        </w:rPr>
      </w:pPr>
      <w:r>
        <w:rPr>
          <w:rFonts w:ascii="Times New Roman" w:hAnsi="Times New Roman"/>
          <w:color w:val="0E101A"/>
          <w:lang w:val="en-GB"/>
        </w:rPr>
        <w:t xml:space="preserve">3. We demonstrate the benefits of our approach using both simulated and actual data on community similarity collected in 338 riparian plant communities. We used Sorensen indices to assess community similarity and analysed the effects of two covariates, network distance and precipitation difference. </w:t>
      </w:r>
    </w:p>
    <w:p>
      <w:pPr>
        <w:pStyle w:val="TextBody"/>
        <w:spacing w:lineRule="auto" w:line="480" w:before="0" w:after="0"/>
        <w:rPr>
          <w:lang w:val="en-GB"/>
        </w:rPr>
      </w:pPr>
      <w:r>
        <w:rPr>
          <w:rFonts w:ascii="Times New Roman" w:hAnsi="Times New Roman"/>
          <w:color w:val="0E101A"/>
          <w:lang w:val="en-GB"/>
        </w:rPr>
        <w:t>4. Our approach provides a robust and verifiable framework for analysing paired comparisons data that can be of particular interest to ecologists and evolutionary biologists, but also to researchers in other areas whenever pairwise comparisons are used.</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b/>
          <w:bCs/>
          <w:lang w:val="en-GB"/>
        </w:rPr>
        <w:t xml:space="preserve">Keywords: </w:t>
      </w:r>
      <w:r>
        <w:rPr>
          <w:rFonts w:ascii="Times New Roman" w:hAnsi="Times New Roman"/>
          <w:lang w:val="en-GB"/>
        </w:rPr>
        <w:t>Beta diversity;  community similarity; Mantel tests;  pairwise comparisons; riparian vegetation; Sorensen index.</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b/>
          <w:bCs/>
          <w:lang w:val="en-GB"/>
        </w:rPr>
        <w:t>1. Introduction</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Pairwise comparison data are relatively common in ecology. One of the most common use arises when analysing how and why species composition changes across space (Legendre et al., 2005; Wilson et al., 2009). In this paper, we introduce a method to analyse pairwise comparisons that considers the dependenc</w:t>
      </w:r>
      <w:r>
        <w:rPr>
          <w:rFonts w:ascii="Times New Roman" w:hAnsi="Times New Roman"/>
          <w:lang w:val="en-GB"/>
        </w:rPr>
        <w:t>e</w:t>
      </w:r>
      <w:r>
        <w:rPr>
          <w:rFonts w:ascii="Times New Roman" w:hAnsi="Times New Roman"/>
          <w:lang w:val="en-GB"/>
        </w:rPr>
        <w:t xml:space="preserve"> that is introduced when a sample is used two or more times. </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lang w:val="en-GB"/>
        </w:rPr>
        <w:t xml:space="preserve">A common approach for modelling species composition changes consists of calculating beta diversity indices between pairs of communities, e.g., the Sorensen index or the Morisita Horn index (Magurran 1988). The main difficulty with these analyses is that beta-diversity indices are paired comparisons. Since comparisons that share a common community are correlated, the corresponding indices will not be independent of each other. The most widely used </w:t>
      </w:r>
      <w:r>
        <w:rPr>
          <w:rFonts w:ascii="Times New Roman" w:hAnsi="Times New Roman"/>
          <w:color w:val="000000"/>
          <w:lang w:val="en-GB"/>
        </w:rPr>
        <w:t>approach</w:t>
      </w:r>
      <w:r>
        <w:rPr>
          <w:rFonts w:ascii="Times New Roman" w:hAnsi="Times New Roman"/>
          <w:lang w:val="en-GB"/>
        </w:rPr>
        <w:t xml:space="preserve"> to deal with this problem is to transform community composition data and environmental covariates into distance matrices and then to use matrix correlations (Legendre et al., 2005). Mantel tests and partial Mantel tests (Mantel, 1967) are the most popular techniques that employ this approach. The Mantel test examines the linear correlation between a community similarity matrix and a covariate distances matrix. The significance of the correlation coefficient (i.e, the Mantel statistic) is usually assessed through a randomization test that involves the permutation of rows or columns of either matrix. When the number of observations is large (n &gt; 40), it is possible to transform the Mantel statistic into a </w:t>
      </w:r>
      <w:r>
        <w:rPr>
          <w:rFonts w:ascii="Times New Roman" w:hAnsi="Times New Roman"/>
          <w:i/>
          <w:lang w:val="en-GB"/>
        </w:rPr>
        <w:t>t</w:t>
      </w:r>
      <w:r>
        <w:rPr>
          <w:rFonts w:ascii="Times New Roman" w:hAnsi="Times New Roman"/>
          <w:lang w:val="en-GB"/>
        </w:rPr>
        <w:t xml:space="preserve">-statistic whose significance is obtained from an asymptotic approximation of the </w:t>
      </w:r>
      <w:r>
        <w:rPr>
          <w:rFonts w:ascii="Times New Roman" w:hAnsi="Times New Roman"/>
          <w:i/>
          <w:lang w:val="en-GB"/>
        </w:rPr>
        <w:t>t</w:t>
      </w:r>
      <w:r>
        <w:rPr>
          <w:rFonts w:ascii="Times New Roman" w:hAnsi="Times New Roman"/>
          <w:lang w:val="en-GB"/>
        </w:rPr>
        <w:t>-test. The partial Mantel test is an extension of the original Mantel test where a third matrix (or more) is held constant while the relationship between the other two is determined (Smouse et al., 1986). This test is performed by regressing the first two matrices' elements onto the third matrix and using the residuals from the regressions as the input for the standard Mantel test (Legendre, 2000).</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The use of Mantel and partial Mantel tests has been criticised in the literature. For instance, Guillot &amp; Rousset (2013) conducted a simulation study that found that when spatial autocorrelation is present, both Mantel and partial Mantel tests produce an excess of small P-values. That is, both tests reject the null hypothesis of independence </w:t>
      </w:r>
      <w:r>
        <w:rPr>
          <w:rFonts w:ascii="Times New Roman" w:hAnsi="Times New Roman"/>
          <w:color w:val="000000"/>
          <w:lang w:val="en-GB"/>
        </w:rPr>
        <w:t xml:space="preserve">between distance matrices </w:t>
      </w:r>
      <w:r>
        <w:rPr>
          <w:rFonts w:ascii="Times New Roman" w:hAnsi="Times New Roman"/>
          <w:lang w:val="en-GB"/>
        </w:rPr>
        <w:t>more often than they should, producing a higher number of false positives than expected. In partial-Mantel tests, this also happens when a third matrix with geographic distances is added to control for spatial autocorrelation.  In a similar vein, Legendre et al. (2015) used simulated data to show that in spatial analysis the assumptions of linearity and homoscedasticity of the Mantel test generally do not hold, except when spatial correlation extends over the whole study area. In both studies the authors argued against the use of Mantel tests in a large number of situations and called for the use of more robust methods.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Here we introduce a Bayesian approach for analysing pairwise comparisons that we </w:t>
      </w:r>
      <w:r>
        <w:rPr>
          <w:rFonts w:ascii="Times New Roman" w:hAnsi="Times New Roman"/>
          <w:color w:val="000000"/>
          <w:lang w:val="en-GB"/>
        </w:rPr>
        <w:t>demonstrate</w:t>
      </w:r>
      <w:r>
        <w:rPr>
          <w:rFonts w:ascii="Times New Roman" w:hAnsi="Times New Roman"/>
          <w:lang w:val="en-GB"/>
        </w:rPr>
        <w:t xml:space="preserve"> by analysing changes in species composition. The novelty of our approach to deal with the dependence in the data consists of adding two varying intercepts that capture the heterogeneity corresponding to each of the communities being compared, a </w:t>
      </w:r>
      <w:r>
        <w:rPr>
          <w:rFonts w:cs="Times New Roman" w:ascii="Times New Roman" w:hAnsi="Times New Roman"/>
          <w:lang w:val="en-GB"/>
        </w:rPr>
        <w:t xml:space="preserve">procedure that resembles that of Bradley-Terry models (Bradley &amp; Terry, 1952). </w:t>
      </w:r>
      <w:r>
        <w:rPr>
          <w:rFonts w:ascii="Times New Roman" w:hAnsi="Times New Roman"/>
          <w:lang w:val="en-GB"/>
        </w:rPr>
        <w:t xml:space="preserve">Our approach can be used with different types of response variables, continuous or discrete, and provides a clear pathway for performing model validation. We explore our approach with simulations and provide a detailed explanation of our method with a case study using riparian plant communities. Although we </w:t>
      </w:r>
      <w:r>
        <w:rPr>
          <w:rFonts w:ascii="Times New Roman" w:hAnsi="Times New Roman"/>
          <w:color w:val="000000"/>
          <w:lang w:val="en-GB"/>
        </w:rPr>
        <w:t>apply</w:t>
      </w:r>
      <w:r>
        <w:rPr>
          <w:rFonts w:ascii="Times New Roman" w:hAnsi="Times New Roman"/>
          <w:lang w:val="en-GB"/>
        </w:rPr>
        <w:t xml:space="preserve"> our method to analyse changes in species composition of different communities using the Sorensen index, we emphasize that it is applicable to any type of paired comparison with applications beyond ecology.</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b/>
          <w:bCs/>
          <w:lang w:val="en-GB"/>
        </w:rPr>
        <w:t>2. Description of the Method</w:t>
      </w:r>
    </w:p>
    <w:p>
      <w:pPr>
        <w:pStyle w:val="Normal"/>
        <w:spacing w:lineRule="auto" w:line="480"/>
        <w:rPr>
          <w:lang w:val="en-GB"/>
        </w:rPr>
      </w:pPr>
      <w:r>
        <w:rPr>
          <w:lang w:val="en-GB"/>
        </w:rPr>
      </w:r>
    </w:p>
    <w:p>
      <w:pPr>
        <w:pStyle w:val="Normal"/>
        <w:spacing w:lineRule="auto" w:line="480"/>
        <w:rPr>
          <w:b/>
          <w:b/>
          <w:bCs/>
        </w:rPr>
      </w:pPr>
      <w:r>
        <w:rPr>
          <w:rFonts w:ascii="Times New Roman" w:hAnsi="Times New Roman"/>
          <w:b/>
          <w:bCs/>
          <w:lang w:val="en-GB"/>
        </w:rPr>
        <w:t>2.1 General overview</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We start by providing a general introduction to our method using linear regression as an example. </w:t>
      </w:r>
      <w:r>
        <w:rPr>
          <w:rFonts w:eastAsia="Times New Roman" w:cs="Times New Roman" w:ascii="Times New Roman" w:hAnsi="Times New Roman"/>
          <w:color w:val="000000" w:themeColor="text1"/>
          <w:lang w:val="en-GB"/>
        </w:rPr>
        <w:t xml:space="preserve">Suppose we are modelling the correlation between variable C and another variable </w:t>
      </w:r>
      <w:r>
        <w:rPr>
          <w:rFonts w:eastAsia="Times New Roman" w:cs="Times New Roman" w:ascii="Times New Roman" w:hAnsi="Times New Roman"/>
          <w:i/>
          <w:color w:val="000000" w:themeColor="text1"/>
          <w:lang w:val="en-GB"/>
        </w:rPr>
        <w:t>S</w:t>
      </w:r>
      <w:r>
        <w:rPr>
          <w:rFonts w:ascii="Times New Roman" w:hAnsi="Times New Roman"/>
          <w:lang w:val="en-GB"/>
        </w:rPr>
        <w:t xml:space="preserve">. The traditional linear regression approach assumes that </w:t>
      </w:r>
      <w:r>
        <w:rPr>
          <w:rFonts w:ascii="Times New Roman" w:hAnsi="Times New Roman"/>
          <w:i/>
          <w:iCs/>
          <w:lang w:val="en-GB"/>
        </w:rPr>
        <w:t>S</w:t>
      </w:r>
      <w:r>
        <w:rPr>
          <w:rFonts w:ascii="Times New Roman" w:hAnsi="Times New Roman"/>
          <w:lang w:val="en-GB"/>
        </w:rPr>
        <w:t xml:space="preserve"> is normally distributed and that there is a linear relationship between the expected value of </w:t>
      </w:r>
      <w:r>
        <w:rPr>
          <w:rFonts w:ascii="Times New Roman" w:hAnsi="Times New Roman"/>
          <w:i/>
          <w:iCs/>
          <w:lang w:val="en-GB"/>
        </w:rPr>
        <w:t>S</w:t>
      </w:r>
      <w:r>
        <w:rPr>
          <w:rFonts w:ascii="Times New Roman" w:hAnsi="Times New Roman"/>
          <w:lang w:val="en-GB"/>
        </w:rPr>
        <w:t xml:space="preserve"> and </w:t>
      </w:r>
      <w:r>
        <w:rPr>
          <w:rFonts w:ascii="Times New Roman" w:hAnsi="Times New Roman"/>
          <w:i/>
          <w:iCs/>
          <w:lang w:val="en-GB"/>
        </w:rPr>
        <w:t>C</w:t>
      </w:r>
      <w:r>
        <w:rPr>
          <w:rFonts w:ascii="Times New Roman" w:hAnsi="Times New Roman"/>
          <w:lang w:val="en-GB"/>
        </w:rPr>
        <w:t>:</w:t>
      </w:r>
    </w:p>
    <w:p>
      <w:pPr>
        <w:pStyle w:val="Normal"/>
        <w:spacing w:lineRule="auto" w:line="480"/>
        <w:rPr>
          <w:rFonts w:ascii="Times New Roman" w:hAnsi="Times New Roman"/>
          <w:i/>
          <w:i/>
          <w:iCs/>
        </w:rPr>
      </w:pPr>
      <w:r>
        <w:rPr>
          <w:rFonts w:ascii="Times New Roman" w:hAnsi="Times New Roman"/>
          <w:i/>
          <w:iCs/>
        </w:rPr>
      </w:r>
    </w:p>
    <w:p>
      <w:pPr>
        <w:pStyle w:val="Normal"/>
        <w:spacing w:lineRule="auto" w:line="480"/>
        <w:rPr>
          <w:lang w:val="en-GB"/>
        </w:rPr>
      </w:pPr>
      <w:r>
        <w:rPr>
          <w:rFonts w:ascii="Times New Roman" w:hAnsi="Times New Roman"/>
          <w:i/>
          <w:iCs/>
          <w:lang w:val="en-GB"/>
        </w:rPr>
        <w:t>S</w:t>
      </w:r>
      <w:r>
        <w:rPr>
          <w:rFonts w:ascii="Times New Roman" w:hAnsi="Times New Roman"/>
          <w:lang w:val="en-GB"/>
        </w:rPr>
        <w:t xml:space="preserve"> ~ Normal (</w:t>
      </w:r>
      <w:r>
        <w:rPr>
          <w:rFonts w:ascii="Times New Roman" w:hAnsi="Times New Roman"/>
          <w:bCs/>
          <w:i/>
          <w:lang w:val="en-GB"/>
        </w:rPr>
        <w:t>μ</w:t>
      </w:r>
      <w:r>
        <w:rPr>
          <w:rFonts w:ascii="Times New Roman" w:hAnsi="Times New Roman"/>
          <w:lang w:val="en-GB"/>
        </w:rPr>
        <w:t xml:space="preserve">, </w:t>
      </w:r>
      <w:r>
        <w:rPr>
          <w:rFonts w:ascii="Times New Roman" w:hAnsi="Times New Roman"/>
          <w:bCs/>
          <w:i/>
          <w:lang w:val="en-GB"/>
        </w:rPr>
        <w:t>σ</w:t>
      </w:r>
      <w:r>
        <w:rPr>
          <w:rFonts w:ascii="Times New Roman" w:hAnsi="Times New Roman"/>
          <w:lang w:val="en-GB"/>
        </w:rPr>
        <w:t>)</w:t>
      </w:r>
    </w:p>
    <w:p>
      <w:pPr>
        <w:pStyle w:val="Normal"/>
        <w:spacing w:lineRule="auto" w:line="480"/>
        <w:rPr>
          <w:lang w:val="en-GB"/>
        </w:rPr>
      </w:pPr>
      <w:r>
        <w:rPr>
          <w:rFonts w:ascii="Times New Roman" w:hAnsi="Times New Roman"/>
          <w:bCs/>
          <w:i/>
          <w:lang w:val="en-GB"/>
        </w:rPr>
        <w:t>μ</w:t>
      </w:r>
      <w:r>
        <w:rPr>
          <w:rFonts w:ascii="Times New Roman" w:hAnsi="Times New Roman"/>
          <w:lang w:val="en-GB"/>
        </w:rPr>
        <w:t xml:space="preserve"> = </w:t>
      </w:r>
      <w:r>
        <w:rPr>
          <w:rFonts w:ascii="Times New Roman" w:hAnsi="Times New Roman"/>
          <w:bCs/>
          <w:i/>
          <w:lang w:val="en-GB"/>
        </w:rPr>
        <w:t>α</w:t>
      </w:r>
      <w:r>
        <w:rPr>
          <w:rFonts w:ascii="Times New Roman" w:hAnsi="Times New Roman"/>
          <w:lang w:val="en-GB"/>
        </w:rPr>
        <w:t xml:space="preserve"> + </w:t>
      </w:r>
      <w:r>
        <w:rPr>
          <w:rFonts w:ascii="Times New Roman" w:hAnsi="Times New Roman"/>
          <w:bCs/>
          <w:i/>
          <w:lang w:val="en-GB"/>
        </w:rPr>
        <w:t>β</w:t>
      </w:r>
      <w:r>
        <w:rPr>
          <w:rFonts w:ascii="Times New Roman" w:hAnsi="Times New Roman"/>
          <w:bCs/>
          <w:i/>
          <w:iCs/>
          <w:lang w:val="en-GB"/>
        </w:rPr>
        <w:t>C</w:t>
      </w:r>
      <w:r>
        <w:rPr>
          <w:rFonts w:ascii="Times New Roman" w:hAnsi="Times New Roman"/>
          <w:bCs/>
          <w:iCs/>
          <w:lang w:val="en-GB"/>
        </w:rPr>
        <w:t xml:space="preserve">                                                             </w:t>
      </w:r>
    </w:p>
    <w:p>
      <w:pPr>
        <w:pStyle w:val="Normal"/>
        <w:spacing w:lineRule="auto" w:line="480"/>
        <w:rPr>
          <w:rFonts w:ascii="Times New Roman" w:hAnsi="Times New Roman"/>
          <w:bCs/>
          <w:i/>
          <w:i/>
          <w:iCs/>
          <w:lang w:val="en-GB"/>
        </w:rPr>
      </w:pPr>
      <w:r>
        <w:rPr>
          <w:rFonts w:ascii="Times New Roman" w:hAnsi="Times New Roman"/>
          <w:bCs/>
          <w:i/>
          <w:iCs/>
          <w:lang w:val="en-GB"/>
        </w:rPr>
      </w:r>
    </w:p>
    <w:p>
      <w:pPr>
        <w:pStyle w:val="Normal"/>
        <w:spacing w:lineRule="auto" w:line="480"/>
        <w:rPr>
          <w:lang w:val="en-GB"/>
        </w:rPr>
      </w:pPr>
      <w:r>
        <w:rPr>
          <w:rFonts w:ascii="Times New Roman" w:hAnsi="Times New Roman"/>
          <w:lang w:val="en-GB"/>
        </w:rPr>
        <w:t xml:space="preserve">where </w:t>
      </w:r>
      <w:r>
        <w:rPr>
          <w:rFonts w:ascii="Times New Roman" w:hAnsi="Times New Roman"/>
          <w:bCs/>
          <w:i/>
          <w:lang w:val="en-GB"/>
        </w:rPr>
        <w:t>μ</w:t>
      </w:r>
      <w:r>
        <w:rPr>
          <w:rFonts w:ascii="Times New Roman" w:hAnsi="Times New Roman"/>
          <w:lang w:val="en-GB"/>
        </w:rPr>
        <w:t xml:space="preserve"> and </w:t>
      </w:r>
      <w:r>
        <w:rPr>
          <w:rFonts w:ascii="Times New Roman" w:hAnsi="Times New Roman"/>
          <w:bCs/>
          <w:i/>
          <w:lang w:val="en-GB"/>
        </w:rPr>
        <w:t>σ</w:t>
      </w:r>
      <w:r>
        <w:rPr>
          <w:rFonts w:ascii="Times New Roman" w:hAnsi="Times New Roman"/>
          <w:lang w:val="en-GB"/>
        </w:rPr>
        <w:t xml:space="preserve"> are the mean and the standard deviation of the normal distribution and </w:t>
      </w:r>
      <w:r>
        <w:rPr>
          <w:rFonts w:ascii="Times New Roman" w:hAnsi="Times New Roman"/>
          <w:bCs/>
          <w:i/>
          <w:lang w:val="en-GB"/>
        </w:rPr>
        <w:t>α</w:t>
      </w:r>
      <w:r>
        <w:rPr>
          <w:rFonts w:ascii="Times New Roman" w:hAnsi="Times New Roman"/>
          <w:lang w:val="en-GB"/>
        </w:rPr>
        <w:t xml:space="preserve"> and </w:t>
      </w:r>
      <w:r>
        <w:rPr>
          <w:rFonts w:ascii="Times New Roman" w:hAnsi="Times New Roman"/>
          <w:bCs/>
          <w:i/>
          <w:lang w:val="en-GB"/>
        </w:rPr>
        <w:t>β</w:t>
      </w:r>
      <w:r>
        <w:rPr>
          <w:rFonts w:ascii="Times New Roman" w:hAnsi="Times New Roman"/>
          <w:lang w:val="en-GB"/>
        </w:rPr>
        <w:t xml:space="preserve"> </w:t>
      </w:r>
      <w:r>
        <w:rPr>
          <w:rFonts w:ascii="Times New Roman" w:hAnsi="Times New Roman"/>
          <w:color w:val="000000"/>
          <w:lang w:val="en-GB"/>
        </w:rPr>
        <w:t>are</w:t>
      </w:r>
      <w:r>
        <w:rPr>
          <w:rFonts w:ascii="Times New Roman" w:hAnsi="Times New Roman"/>
          <w:lang w:val="en-GB"/>
        </w:rPr>
        <w:t xml:space="preserve"> the intercept and slope of the regression.</w:t>
      </w:r>
      <w:r>
        <w:rPr>
          <w:rFonts w:eastAsia="Times New Roman" w:cs="Times New Roman" w:ascii="Times New Roman" w:hAnsi="Times New Roman"/>
          <w:color w:val="000000" w:themeColor="text1"/>
          <w:lang w:val="en-GB"/>
        </w:rPr>
        <w:t xml:space="preserve"> An important consequence of these model assumptions is that once the covariates </w:t>
      </w:r>
      <w:r>
        <w:rPr>
          <w:rFonts w:eastAsia="Times New Roman" w:cs="Times New Roman" w:ascii="Times New Roman" w:hAnsi="Times New Roman"/>
          <w:i/>
          <w:color w:val="000000" w:themeColor="text1"/>
          <w:lang w:val="en-GB"/>
        </w:rPr>
        <w:t>C</w:t>
      </w:r>
      <w:r>
        <w:rPr>
          <w:rFonts w:eastAsia="Times New Roman" w:cs="Times New Roman" w:ascii="Times New Roman" w:hAnsi="Times New Roman"/>
          <w:color w:val="000000" w:themeColor="text1"/>
          <w:lang w:val="en-GB"/>
        </w:rPr>
        <w:t xml:space="preserve"> have been fixed the observed values of </w:t>
      </w:r>
      <w:r>
        <w:rPr>
          <w:rFonts w:eastAsia="Times New Roman" w:cs="Times New Roman" w:ascii="Times New Roman" w:hAnsi="Times New Roman"/>
          <w:i/>
          <w:color w:val="000000" w:themeColor="text1"/>
          <w:lang w:val="en-GB"/>
        </w:rPr>
        <w:t>S</w:t>
      </w:r>
      <w:r>
        <w:rPr>
          <w:rFonts w:eastAsia="Times New Roman" w:cs="Times New Roman" w:ascii="Times New Roman" w:hAnsi="Times New Roman"/>
          <w:color w:val="000000" w:themeColor="text1"/>
          <w:lang w:val="en-GB"/>
        </w:rPr>
        <w:t xml:space="preserve"> are independent. In other words, the residuals between any two observations, </w:t>
      </w:r>
      <w:r>
        <w:rPr>
          <w:rFonts w:eastAsia="Times New Roman" w:cs="Times New Roman" w:ascii="Times New Roman" w:hAnsi="Times New Roman"/>
          <w:i/>
          <w:color w:val="000000" w:themeColor="text1"/>
          <w:lang w:val="en-GB"/>
        </w:rPr>
        <w:t>S</w:t>
      </w:r>
      <w:r>
        <w:rPr>
          <w:rFonts w:eastAsia="Times New Roman" w:cs="Times New Roman" w:ascii="Times New Roman" w:hAnsi="Times New Roman"/>
          <w:i/>
          <w:color w:val="000000" w:themeColor="text1"/>
          <w:vertAlign w:val="subscript"/>
          <w:lang w:val="en-GB"/>
        </w:rPr>
        <w:t>n</w:t>
      </w:r>
      <w:r>
        <w:rPr>
          <w:rFonts w:eastAsia="Times New Roman" w:cs="Times New Roman" w:ascii="Times New Roman" w:hAnsi="Times New Roman"/>
          <w:color w:val="000000" w:themeColor="text1"/>
          <w:lang w:val="en-GB"/>
        </w:rPr>
        <w:t>-</w:t>
      </w:r>
      <w:r>
        <w:rPr>
          <w:rFonts w:eastAsia="Symbol" w:cs="Symbol" w:ascii="Times New Roman" w:hAnsi="Times New Roman"/>
          <w:color w:val="000000" w:themeColor="text1"/>
          <w:lang w:val="en-GB"/>
        </w:rPr>
        <w:t> μ</w:t>
      </w:r>
      <w:r>
        <w:rPr>
          <w:rFonts w:eastAsia="Times New Roman" w:cs="Times New Roman" w:ascii="Times New Roman" w:hAnsi="Times New Roman"/>
          <w:color w:val="000000" w:themeColor="text1"/>
          <w:lang w:val="en-GB"/>
        </w:rPr>
        <w:t>(</w:t>
      </w:r>
      <w:r>
        <w:rPr>
          <w:rFonts w:eastAsia="Times New Roman" w:cs="Times New Roman" w:ascii="Times New Roman" w:hAnsi="Times New Roman"/>
          <w:i/>
          <w:color w:val="000000" w:themeColor="text1"/>
          <w:lang w:val="en-GB"/>
        </w:rPr>
        <w:t>C</w:t>
      </w:r>
      <w:r>
        <w:rPr>
          <w:rFonts w:eastAsia="Times New Roman" w:cs="Times New Roman" w:ascii="Times New Roman" w:hAnsi="Times New Roman"/>
          <w:i/>
          <w:color w:val="000000" w:themeColor="text1"/>
          <w:vertAlign w:val="subscript"/>
          <w:lang w:val="en-GB"/>
        </w:rPr>
        <w:t>n</w:t>
      </w:r>
      <w:r>
        <w:rPr>
          <w:rFonts w:eastAsia="Times New Roman" w:cs="Times New Roman" w:ascii="Times New Roman" w:hAnsi="Times New Roman"/>
          <w:color w:val="000000" w:themeColor="text1"/>
          <w:lang w:val="en-GB"/>
        </w:rPr>
        <w:t>), will be independent</w:t>
      </w:r>
      <w:r>
        <w:rPr>
          <w:rFonts w:ascii="Times New Roman" w:hAnsi="Times New Roman"/>
          <w:lang w:val="en-GB"/>
        </w:rPr>
        <w:t xml:space="preserve">. </w:t>
      </w:r>
      <w:r>
        <w:rPr>
          <w:rFonts w:eastAsia="Times New Roman" w:cs="Times New Roman" w:ascii="Times New Roman" w:hAnsi="Times New Roman"/>
          <w:color w:val="000000" w:themeColor="text1"/>
          <w:lang w:val="en-GB"/>
        </w:rPr>
        <w:t xml:space="preserve">If the observed </w:t>
      </w:r>
      <w:r>
        <w:rPr>
          <w:rFonts w:eastAsia="Times New Roman" w:cs="Times New Roman" w:ascii="Times New Roman" w:hAnsi="Times New Roman"/>
          <w:i/>
          <w:color w:val="000000" w:themeColor="text1"/>
          <w:lang w:val="en-GB"/>
        </w:rPr>
        <w:t>S</w:t>
      </w:r>
      <w:r>
        <w:rPr>
          <w:rFonts w:eastAsia="Times New Roman" w:cs="Times New Roman" w:ascii="Times New Roman" w:hAnsi="Times New Roman"/>
          <w:color w:val="000000" w:themeColor="text1"/>
          <w:lang w:val="en-GB"/>
        </w:rPr>
        <w:t xml:space="preserve"> values arise from paired comparisons, however, the residuals are not be independent. Note that any </w:t>
      </w:r>
      <w:r>
        <w:rPr>
          <w:rFonts w:eastAsia="Times New Roman" w:cs="Times New Roman" w:ascii="Times New Roman" w:hAnsi="Times New Roman"/>
          <w:i/>
          <w:color w:val="000000" w:themeColor="text1"/>
          <w:lang w:val="en-GB"/>
        </w:rPr>
        <w:t>S</w:t>
      </w:r>
      <w:r>
        <w:rPr>
          <w:rFonts w:eastAsia="Times New Roman" w:cs="Times New Roman" w:ascii="Times New Roman" w:hAnsi="Times New Roman"/>
          <w:color w:val="000000" w:themeColor="text1"/>
          <w:lang w:val="en-GB"/>
        </w:rPr>
        <w:t xml:space="preserve"> observations containing a shared sample, for example a comparison between sample 1 and 3 and between sample 3 and 10, will exhibit additional correlation beyond that taken into account by the covariates</w:t>
      </w:r>
      <w:r>
        <w:rPr>
          <w:rFonts w:cs="Times New Roman" w:ascii="Times New Roman" w:hAnsi="Times New Roman"/>
          <w:lang w:val="en-GB"/>
        </w:rPr>
        <w:t xml:space="preserve">. </w:t>
      </w:r>
    </w:p>
    <w:p>
      <w:pPr>
        <w:pStyle w:val="Normal"/>
        <w:spacing w:lineRule="auto" w:line="480"/>
        <w:rPr>
          <w:lang w:val="en-GB"/>
        </w:rPr>
      </w:pPr>
      <w:r>
        <w:rPr>
          <w:lang w:val="en-GB"/>
        </w:rPr>
      </w:r>
    </w:p>
    <w:p>
      <w:pPr>
        <w:pStyle w:val="Normal"/>
        <w:spacing w:lineRule="auto" w:line="480"/>
        <w:rPr>
          <w:lang w:val="en-GB"/>
        </w:rPr>
      </w:pPr>
      <w:r>
        <w:rPr>
          <w:rFonts w:eastAsia="Times New Roman" w:cs="Times New Roman" w:ascii="Times New Roman" w:hAnsi="Times New Roman"/>
          <w:kern w:val="0"/>
          <w:lang w:val="en-GB" w:eastAsia="en-US" w:bidi="ar-SA"/>
        </w:rPr>
        <w:t>Consider, then, a set of pair comparisons (</w:t>
      </w:r>
      <w:r>
        <w:rPr>
          <w:rFonts w:eastAsia="Times New Roman" w:cs="Times New Roman" w:ascii="Times New Roman" w:hAnsi="Times New Roman"/>
          <w:i/>
          <w:kern w:val="0"/>
          <w:lang w:val="en-GB" w:eastAsia="en-US" w:bidi="ar-SA"/>
        </w:rPr>
        <w:t>i</w:t>
      </w:r>
      <w:r>
        <w:rPr>
          <w:rFonts w:eastAsia="Times New Roman" w:cs="Times New Roman" w:ascii="Times New Roman" w:hAnsi="Times New Roman"/>
          <w:kern w:val="0"/>
          <w:lang w:val="en-GB" w:eastAsia="en-US" w:bidi="ar-SA"/>
        </w:rPr>
        <w:t>,</w:t>
      </w:r>
      <w:r>
        <w:rPr>
          <w:rFonts w:eastAsia="Times New Roman" w:cs="Times New Roman" w:ascii="Times New Roman" w:hAnsi="Times New Roman"/>
          <w:i/>
          <w:kern w:val="0"/>
          <w:lang w:val="en-GB" w:eastAsia="en-US" w:bidi="ar-SA"/>
        </w:rPr>
        <w:t>j</w:t>
      </w:r>
      <w:r>
        <w:rPr>
          <w:rFonts w:eastAsia="Times New Roman" w:cs="Times New Roman" w:ascii="Times New Roman" w:hAnsi="Times New Roman"/>
          <w:kern w:val="0"/>
          <w:lang w:val="en-GB" w:eastAsia="en-US" w:bidi="ar-SA"/>
        </w:rPr>
        <w:t xml:space="preserve">) among </w:t>
      </w:r>
      <w:r>
        <w:rPr>
          <w:rFonts w:eastAsia="Times New Roman" w:cs="Times New Roman" w:ascii="Times New Roman" w:hAnsi="Times New Roman"/>
          <w:i/>
          <w:kern w:val="0"/>
          <w:lang w:val="en-GB" w:eastAsia="en-US" w:bidi="ar-SA"/>
        </w:rPr>
        <w:t xml:space="preserve">n </w:t>
      </w:r>
      <w:r>
        <w:rPr>
          <w:rFonts w:eastAsia="Times New Roman" w:cs="Times New Roman" w:ascii="Times New Roman" w:hAnsi="Times New Roman"/>
          <w:kern w:val="0"/>
          <w:lang w:val="en-GB" w:eastAsia="en-US" w:bidi="ar-SA"/>
        </w:rPr>
        <w:t xml:space="preserve">samples, where the indices </w:t>
      </w:r>
      <w:r>
        <w:rPr>
          <w:rFonts w:eastAsia="Times New Roman" w:cs="Times New Roman" w:ascii="Times New Roman" w:hAnsi="Times New Roman"/>
          <w:i/>
          <w:kern w:val="0"/>
          <w:lang w:val="en-GB" w:eastAsia="en-US" w:bidi="ar-SA"/>
        </w:rPr>
        <w:t>i</w:t>
      </w:r>
      <w:r>
        <w:rPr>
          <w:rFonts w:eastAsia="Times New Roman" w:cs="Times New Roman" w:ascii="Times New Roman" w:hAnsi="Times New Roman"/>
          <w:kern w:val="0"/>
          <w:lang w:val="en-GB" w:eastAsia="en-US" w:bidi="ar-SA"/>
        </w:rPr>
        <w:t xml:space="preserve"> and </w:t>
      </w:r>
      <w:r>
        <w:rPr>
          <w:rFonts w:eastAsia="Times New Roman" w:cs="Times New Roman" w:ascii="Times New Roman" w:hAnsi="Times New Roman"/>
          <w:i/>
          <w:kern w:val="0"/>
          <w:lang w:val="en-GB" w:eastAsia="en-US" w:bidi="ar-SA"/>
        </w:rPr>
        <w:t>j</w:t>
      </w:r>
      <w:r>
        <w:rPr>
          <w:rFonts w:eastAsia="Times New Roman" w:cs="Times New Roman" w:ascii="Times New Roman" w:hAnsi="Times New Roman"/>
          <w:kern w:val="0"/>
          <w:lang w:val="en-GB" w:eastAsia="en-US" w:bidi="ar-SA"/>
        </w:rPr>
        <w:t xml:space="preserve"> run from 1 to </w:t>
      </w:r>
      <w:r>
        <w:rPr>
          <w:rFonts w:eastAsia="Times New Roman" w:cs="Times New Roman" w:ascii="Times New Roman" w:hAnsi="Times New Roman"/>
          <w:i/>
          <w:kern w:val="0"/>
          <w:lang w:val="en-GB" w:eastAsia="en-US" w:bidi="ar-SA"/>
        </w:rPr>
        <w:t>n</w:t>
      </w:r>
      <w:r>
        <w:rPr>
          <w:rFonts w:eastAsia="Times New Roman" w:cs="Times New Roman" w:ascii="Times New Roman" w:hAnsi="Times New Roman"/>
          <w:kern w:val="0"/>
          <w:lang w:val="en-GB" w:eastAsia="en-US" w:bidi="ar-SA"/>
        </w:rPr>
        <w:t xml:space="preserve"> but the combinations where </w:t>
      </w:r>
      <w:r>
        <w:rPr>
          <w:rFonts w:eastAsia="Times New Roman" w:cs="Times New Roman" w:ascii="Times New Roman" w:hAnsi="Times New Roman"/>
          <w:i/>
          <w:kern w:val="0"/>
          <w:lang w:val="en-GB" w:eastAsia="en-US" w:bidi="ar-SA"/>
        </w:rPr>
        <w:t>i</w:t>
      </w:r>
      <w:r>
        <w:rPr>
          <w:rFonts w:eastAsia="Times New Roman" w:cs="Times New Roman" w:ascii="Times New Roman" w:hAnsi="Times New Roman"/>
          <w:kern w:val="0"/>
          <w:lang w:val="en-GB" w:eastAsia="en-US" w:bidi="ar-SA"/>
        </w:rPr>
        <w:t>=</w:t>
      </w:r>
      <w:r>
        <w:rPr>
          <w:rFonts w:eastAsia="Times New Roman" w:cs="Times New Roman" w:ascii="Times New Roman" w:hAnsi="Times New Roman"/>
          <w:i/>
          <w:kern w:val="0"/>
          <w:lang w:val="en-GB" w:eastAsia="en-US" w:bidi="ar-SA"/>
        </w:rPr>
        <w:t xml:space="preserve">j </w:t>
      </w:r>
      <w:r>
        <w:rPr>
          <w:rFonts w:eastAsia="Times New Roman" w:cs="Times New Roman" w:ascii="Times New Roman" w:hAnsi="Times New Roman"/>
          <w:kern w:val="0"/>
          <w:lang w:val="en-GB" w:eastAsia="en-US" w:bidi="ar-SA"/>
        </w:rPr>
        <w:t xml:space="preserve">are excluded. </w:t>
      </w:r>
      <w:r>
        <w:rPr>
          <w:rFonts w:eastAsia="Times New Roman" w:cs="Times New Roman" w:ascii="Times New Roman" w:hAnsi="Times New Roman"/>
          <w:color w:val="000000" w:themeColor="text1"/>
          <w:lang w:val="en-GB"/>
        </w:rPr>
        <w:t xml:space="preserve">In order to capture the correlation between comparisons, we can introduce additional contributions for each possible paired comparison,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oMath>
      <w:r>
        <w:rPr>
          <w:rFonts w:eastAsia="Times New Roman" w:cs="Times New Roman" w:ascii="Times New Roman" w:hAnsi="Times New Roman"/>
          <w:kern w:val="0"/>
          <w:lang w:val="en-GB" w:eastAsia="en-US" w:bidi="ar-SA"/>
        </w:rPr>
        <w:t xml:space="preserve">, corresponding to all possible combinations of </w:t>
      </w:r>
      <w:r>
        <w:rPr>
          <w:rFonts w:eastAsia="Times New Roman" w:cs="Times New Roman" w:ascii="Times New Roman" w:hAnsi="Times New Roman"/>
          <w:i/>
          <w:kern w:val="0"/>
          <w:lang w:val="en-GB" w:eastAsia="en-US" w:bidi="ar-SA"/>
        </w:rPr>
        <w:t xml:space="preserve">i </w:t>
      </w:r>
      <w:r>
        <w:rPr>
          <w:rFonts w:eastAsia="Times New Roman" w:cs="Times New Roman" w:ascii="Times New Roman" w:hAnsi="Times New Roman"/>
          <w:kern w:val="0"/>
          <w:lang w:val="en-GB" w:eastAsia="en-US" w:bidi="ar-SA"/>
        </w:rPr>
        <w:t xml:space="preserve">and </w:t>
      </w:r>
      <w:r>
        <w:rPr>
          <w:rFonts w:eastAsia="Times New Roman" w:cs="Times New Roman" w:ascii="Times New Roman" w:hAnsi="Times New Roman"/>
          <w:i/>
          <w:kern w:val="0"/>
          <w:lang w:val="en-GB" w:eastAsia="en-US" w:bidi="ar-SA"/>
        </w:rPr>
        <w:t>j</w:t>
      </w:r>
      <w:r>
        <w:rPr>
          <w:rFonts w:eastAsia="Times New Roman" w:cs="Times New Roman" w:ascii="Times New Roman" w:hAnsi="Times New Roman"/>
          <w:kern w:val="0"/>
          <w:lang w:val="en-GB" w:eastAsia="en-US" w:bidi="ar-SA"/>
        </w:rPr>
        <w:t xml:space="preserve">, except </w:t>
      </w:r>
      <w:r>
        <w:rPr>
          <w:rFonts w:eastAsia="Times New Roman" w:cs="Times New Roman" w:ascii="Times New Roman" w:hAnsi="Times New Roman"/>
          <w:i/>
          <w:kern w:val="0"/>
          <w:lang w:val="en-GB" w:eastAsia="en-US" w:bidi="ar-SA"/>
        </w:rPr>
        <w:t xml:space="preserve">i </w:t>
      </w:r>
      <w:r>
        <w:rPr>
          <w:rFonts w:eastAsia="Times New Roman" w:cs="Times New Roman" w:ascii="Times New Roman" w:hAnsi="Times New Roman"/>
          <w:kern w:val="0"/>
          <w:lang w:val="en-GB" w:eastAsia="en-US" w:bidi="ar-SA"/>
        </w:rPr>
        <w:t xml:space="preserve">= </w:t>
      </w:r>
      <w:r>
        <w:rPr>
          <w:rFonts w:eastAsia="Times New Roman" w:cs="Times New Roman" w:ascii="Times New Roman" w:hAnsi="Times New Roman"/>
          <w:i/>
          <w:kern w:val="0"/>
          <w:lang w:val="en-GB" w:eastAsia="en-US" w:bidi="ar-SA"/>
        </w:rPr>
        <w:t>j</w:t>
      </w:r>
      <w:r>
        <w:rPr>
          <w:rFonts w:eastAsia="Times New Roman" w:cs="Times New Roman" w:ascii="Times New Roman" w:hAnsi="Times New Roman"/>
          <w:kern w:val="0"/>
          <w:lang w:val="en-GB" w:eastAsia="en-US" w:bidi="ar-SA"/>
        </w:rPr>
        <w:t xml:space="preserve">, resulting in a model like </w:t>
      </w:r>
      <w:r>
        <w:rPr/>
      </w:r>
      <m:oMath xmlns:m="http://schemas.openxmlformats.org/officeDocument/2006/math">
        <m:r>
          <w:rPr>
            <w:rFonts w:ascii="Cambria Math" w:hAnsi="Cambria Math"/>
          </w:rPr>
          <m:t xml:space="preserve">μ</m:t>
        </m:r>
        <m:r>
          <w:rPr>
            <w:rFonts w:ascii="Cambria Math" w:hAnsi="Cambria Math"/>
          </w:rPr>
          <m:t xml:space="preserve">=</m:t>
        </m:r>
        <m:sSub>
          <m:e>
            <m:r>
              <w:rPr>
                <w:rFonts w:ascii="Cambria Math" w:hAnsi="Cambria Math"/>
              </w:rPr>
              <m:t xml:space="preserve">α</m:t>
            </m:r>
          </m:e>
          <m:sub>
            <m:r>
              <w:rPr>
                <w:rFonts w:ascii="Cambria Math" w:hAnsi="Cambria Math"/>
              </w:rPr>
              <m:t xml:space="preserve">0</m:t>
            </m:r>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r>
          <w:rPr>
            <w:rFonts w:ascii="Cambria Math" w:hAnsi="Cambria Math"/>
          </w:rPr>
          <m:t xml:space="preserve">+</m:t>
        </m:r>
        <m:r>
          <w:rPr>
            <w:rFonts w:ascii="Cambria Math" w:hAnsi="Cambria Math"/>
          </w:rPr>
          <m:t xml:space="preserve">βC</m:t>
        </m:r>
      </m:oMath>
      <w:r>
        <w:rPr>
          <w:rFonts w:eastAsia="Times New Roman" w:cs="Times New Roman" w:ascii="Times New Roman" w:hAnsi="Times New Roman"/>
          <w:kern w:val="0"/>
          <w:lang w:val="en-GB" w:eastAsia="en-US" w:bidi="ar-SA"/>
        </w:rPr>
        <w:t xml:space="preserve">. The term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oMath>
      <w:r>
        <w:rPr>
          <w:rFonts w:ascii="Times New Roman" w:hAnsi="Times New Roman"/>
        </w:rPr>
        <w:t xml:space="preserve"> </w:t>
      </w:r>
      <w:r>
        <w:rPr>
          <w:rFonts w:eastAsia="Times New Roman" w:cs="Times New Roman" w:ascii="Times New Roman" w:hAnsi="Times New Roman"/>
          <w:kern w:val="0"/>
          <w:lang w:val="en-GB" w:eastAsia="en-US" w:bidi="ar-SA"/>
        </w:rPr>
        <w:t>could in principle take several forms, however, the structure of the measurements imposes restrictions. For example, when comparing the species composition of two samples, the order in which the samples appear should not matter.</w:t>
      </w:r>
      <w:r>
        <w:rPr>
          <w:rFonts w:eastAsia="Times New Roman" w:cs="Times New Roman" w:ascii="Times New Roman" w:hAnsi="Times New Roman"/>
          <w:color w:val="000000" w:themeColor="text1"/>
          <w:kern w:val="0"/>
          <w:lang w:val="en-GB" w:eastAsia="en-US" w:bidi="ar-SA"/>
        </w:rPr>
        <w:t xml:space="preserve"> </w:t>
      </w:r>
      <w:r>
        <w:rPr>
          <w:rFonts w:eastAsia="Times New Roman" w:cs="Times New Roman" w:ascii="Times New Roman" w:hAnsi="Times New Roman"/>
          <w:color w:val="000000" w:themeColor="text1"/>
          <w:lang w:val="en-GB"/>
        </w:rPr>
        <w:t>In other words, each sample should have the same contribution regardless of being coded as the first sample (</w:t>
      </w:r>
      <w:r>
        <w:rPr>
          <w:rFonts w:eastAsia="Times New Roman" w:cs="Times New Roman" w:ascii="Times New Roman" w:hAnsi="Times New Roman"/>
          <w:i/>
          <w:iCs/>
          <w:color w:val="000000" w:themeColor="text1"/>
          <w:lang w:val="en-GB"/>
        </w:rPr>
        <w:t>i</w:t>
      </w:r>
      <w:r>
        <w:rPr>
          <w:rFonts w:eastAsia="Times New Roman" w:cs="Times New Roman" w:ascii="Times New Roman" w:hAnsi="Times New Roman"/>
          <w:color w:val="000000" w:themeColor="text1"/>
          <w:lang w:val="en-GB"/>
        </w:rPr>
        <w:t>) or as the second sample (</w:t>
      </w:r>
      <w:r>
        <w:rPr>
          <w:rFonts w:eastAsia="Times New Roman" w:cs="Times New Roman" w:ascii="Times New Roman" w:hAnsi="Times New Roman"/>
          <w:i/>
          <w:iCs/>
          <w:color w:val="000000" w:themeColor="text1"/>
          <w:lang w:val="en-GB"/>
        </w:rPr>
        <w:t>j</w:t>
      </w:r>
      <w:r>
        <w:rPr>
          <w:rFonts w:eastAsia="Times New Roman" w:cs="Times New Roman" w:ascii="Times New Roman" w:hAnsi="Times New Roman"/>
          <w:color w:val="000000" w:themeColor="text1"/>
          <w:lang w:val="en-GB"/>
        </w:rPr>
        <w:t xml:space="preserve">). To accomplish this, we need to make sure the additional contribution is symmetric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j</m:t>
                </m:r>
                <m:r>
                  <w:rPr>
                    <w:rFonts w:ascii="Cambria Math" w:hAnsi="Cambria Math"/>
                  </w:rPr>
                  <m:t xml:space="preserve">,</m:t>
                </m:r>
                <m:r>
                  <w:rPr>
                    <w:rFonts w:ascii="Cambria Math" w:hAnsi="Cambria Math"/>
                  </w:rPr>
                  <m:t xml:space="preserve">i</m:t>
                </m:r>
              </m:e>
            </m:d>
          </m:sub>
        </m:sSub>
      </m:oMath>
      <w:r>
        <w:rPr>
          <w:rFonts w:eastAsia="Times New Roman" w:cs="Times New Roman" w:ascii="Times New Roman" w:hAnsi="Times New Roman"/>
          <w:color w:val="000000" w:themeColor="text1"/>
          <w:kern w:val="0"/>
          <w:lang w:val="en-GB" w:eastAsia="en-US" w:bidi="ar-SA"/>
        </w:rPr>
        <w:t xml:space="preserve"> (see below the example using the Sorensen index).</w:t>
      </w:r>
      <w:r>
        <w:rPr>
          <w:rFonts w:eastAsia="Times New Roman" w:cs="Times New Roman" w:ascii="Times New Roman" w:hAnsi="Times New Roman"/>
          <w:kern w:val="0"/>
          <w:lang w:val="en-GB" w:eastAsia="en-US" w:bidi="ar-SA"/>
        </w:rPr>
        <w:t xml:space="preserve"> Finally,</w:t>
      </w:r>
      <w:r>
        <w:rPr>
          <w:rFonts w:eastAsia="Times New Roman" w:cs="Times New Roman" w:ascii="Times New Roman" w:hAnsi="Times New Roman"/>
          <w:color w:val="000000" w:themeColor="text1"/>
          <w:lang w:val="en-GB"/>
        </w:rPr>
        <w:t xml:space="preserve"> assuming that each sample in a comparison contributes independently motivates the additive form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e>
            </m:d>
          </m:sub>
        </m:sSub>
      </m:oMath>
      <w:r>
        <w:rPr>
          <w:rFonts w:eastAsia="Times New Roman" w:cs="Times New Roman" w:ascii="Times New Roman" w:hAnsi="Times New Roman"/>
          <w:kern w:val="0"/>
          <w:lang w:val="en-GB" w:eastAsia="en-US" w:bidi="ar-SA"/>
        </w:rPr>
        <w:t xml:space="preserve"> </w:t>
      </w:r>
      <w:r>
        <w:rPr>
          <w:rFonts w:eastAsia="Times New Roman" w:cs="Times New Roman" w:ascii="Times New Roman" w:hAnsi="Times New Roman"/>
          <w:color w:val="000000" w:themeColor="text1"/>
          <w:lang w:val="en-GB"/>
        </w:rPr>
        <w:t>which is manifestly symmetric, as required by our previous considerations</w:t>
      </w:r>
      <w:r>
        <w:rPr>
          <w:rFonts w:eastAsia="Times New Roman" w:cs="Times New Roman" w:ascii="Times New Roman" w:hAnsi="Times New Roman"/>
          <w:color w:val="000000" w:themeColor="text1"/>
          <w:kern w:val="0"/>
          <w:lang w:val="en-GB" w:eastAsia="en-US" w:bidi="ar-SA"/>
        </w:rPr>
        <w:t xml:space="preserve">. </w:t>
      </w:r>
      <w:r>
        <w:rPr>
          <w:rFonts w:eastAsia="Times New Roman" w:cs="Times New Roman" w:ascii="Times New Roman" w:hAnsi="Times New Roman"/>
          <w:kern w:val="0"/>
          <w:lang w:val="en-GB" w:eastAsia="en-US" w:bidi="ar-SA"/>
        </w:rPr>
        <w:t xml:space="preserve">This procedure has similarities with that of Bradley-Terry models (Bradley &amp; Terry, 1952), the difference being that in the latter model the term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oMath>
      <w:r>
        <w:rPr>
          <w:rFonts w:eastAsia="Times New Roman" w:cs="Times New Roman" w:ascii="Times New Roman" w:hAnsi="Times New Roman"/>
          <w:kern w:val="0"/>
          <w:lang w:val="en-GB" w:eastAsia="en-US" w:bidi="ar-SA"/>
        </w:rPr>
        <w:t xml:space="preserve">is of the form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r>
                  <w:rPr>
                    <w:rFonts w:ascii="Cambria Math" w:hAnsi="Cambria Math"/>
                  </w:rPr>
                  <m:t xml:space="preserve">,</m:t>
                </m:r>
                <m:r>
                  <w:rPr>
                    <w:rFonts w:ascii="Cambria Math" w:hAnsi="Cambria Math"/>
                  </w:rPr>
                  <m:t xml:space="preserve">j</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j</m:t>
                </m:r>
              </m:e>
            </m:d>
          </m:sub>
        </m:sSub>
      </m:oMath>
      <w:r>
        <w:rPr>
          <w:rFonts w:eastAsia="Times New Roman" w:cs="Times New Roman" w:ascii="Times New Roman" w:hAnsi="Times New Roman"/>
          <w:kern w:val="0"/>
          <w:lang w:val="en-GB" w:eastAsia="en-US" w:bidi="ar-SA"/>
        </w:rPr>
        <w:t xml:space="preserve"> (note the minus sign).</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eastAsia="Times New Roman" w:cs="Times New Roman" w:ascii="Times New Roman" w:hAnsi="Times New Roman"/>
          <w:color w:val="000000" w:themeColor="text1"/>
          <w:kern w:val="0"/>
          <w:lang w:val="en-GB" w:eastAsia="en-US" w:bidi="ar-SA"/>
        </w:rPr>
        <w:t xml:space="preserve">Notice that a classic “random effects” modelling approach of the form </w:t>
      </w:r>
      <w:r>
        <w:rPr/>
      </w:r>
      <m:oMath xmlns:m="http://schemas.openxmlformats.org/officeDocument/2006/math">
        <m:r>
          <w:rPr>
            <w:rFonts w:ascii="Cambria Math" w:hAnsi="Cambria Math"/>
          </w:rPr>
          <m:t xml:space="preserve">μ</m:t>
        </m:r>
        <m:r>
          <w:rPr>
            <w:rFonts w:ascii="Cambria Math" w:hAnsi="Cambria Math"/>
          </w:rPr>
          <m:t xml:space="preserve">=</m:t>
        </m:r>
        <m:sSub>
          <m:e>
            <m:r>
              <w:rPr>
                <w:rFonts w:ascii="Cambria Math" w:hAnsi="Cambria Math"/>
              </w:rPr>
              <m:t xml:space="preserve">α</m:t>
            </m:r>
          </m:e>
          <m:sub>
            <m:r>
              <w:rPr>
                <w:rFonts w:ascii="Cambria Math" w:hAnsi="Cambria Math"/>
              </w:rPr>
              <m:t xml:space="preserve">0</m:t>
            </m:r>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r>
              <w:rPr>
                <w:rFonts w:ascii="Cambria Math" w:hAnsi="Cambria Math"/>
              </w:rPr>
              <m:t xml:space="preserve">1</m:t>
            </m:r>
            <m:d>
              <m:dPr>
                <m:begChr m:val="["/>
                <m:endChr m:val="]"/>
              </m:dPr>
              <m:e>
                <m:r>
                  <w:rPr>
                    <w:rFonts w:ascii="Cambria Math" w:hAnsi="Cambria Math"/>
                  </w:rPr>
                  <m:t xml:space="preserve">i</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r>
              <w:rPr>
                <w:rFonts w:ascii="Cambria Math" w:hAnsi="Cambria Math"/>
              </w:rPr>
              <m:t xml:space="preserve">2</m:t>
            </m:r>
            <m:d>
              <m:dPr>
                <m:begChr m:val="["/>
                <m:endChr m:val="]"/>
              </m:dPr>
            </m:d>
          </m:sub>
        </m:sSub>
        <m:r>
          <w:rPr>
            <w:rFonts w:ascii="Cambria Math" w:hAnsi="Cambria Math"/>
          </w:rPr>
          <m:t xml:space="preserve">+</m:t>
        </m:r>
        <m:r>
          <w:rPr>
            <w:rFonts w:ascii="Cambria Math" w:hAnsi="Cambria Math"/>
          </w:rPr>
          <m:t xml:space="preserve">βC</m:t>
        </m:r>
      </m:oMath>
      <w:r>
        <w:rPr>
          <w:rFonts w:eastAsia="Times New Roman" w:cs="Times New Roman" w:ascii="Times New Roman" w:hAnsi="Times New Roman"/>
          <w:kern w:val="0"/>
          <w:lang w:val="en-GB" w:eastAsia="en-US" w:bidi="ar-SA"/>
        </w:rPr>
        <w:t xml:space="preserve">, with  </w:t>
      </w:r>
      <w:r>
        <w:rPr/>
      </w:r>
      <m:oMath xmlns:m="http://schemas.openxmlformats.org/officeDocument/2006/math">
        <m:sSub>
          <m:e>
            <m:r>
              <w:rPr>
                <w:rFonts w:ascii="Cambria Math" w:hAnsi="Cambria Math"/>
              </w:rPr>
              <m:t xml:space="preserve">α</m:t>
            </m:r>
          </m:e>
          <m:sub>
            <m:r>
              <w:rPr>
                <w:rFonts w:ascii="Cambria Math" w:hAnsi="Cambria Math"/>
              </w:rPr>
              <m:t xml:space="preserve">S</m:t>
            </m:r>
            <m:r>
              <w:rPr>
                <w:rFonts w:ascii="Cambria Math" w:hAnsi="Cambria Math"/>
              </w:rPr>
              <m:t xml:space="preserve">1</m:t>
            </m:r>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r>
              <w:rPr>
                <w:rFonts w:ascii="Cambria Math" w:hAnsi="Cambria Math"/>
              </w:rPr>
              <m:t xml:space="preserve">2</m:t>
            </m:r>
          </m:sub>
        </m:sSub>
      </m:oMath>
      <w:r>
        <w:rPr>
          <w:rFonts w:eastAsia="Times New Roman" w:cs="Times New Roman" w:ascii="Times New Roman" w:hAnsi="Times New Roman"/>
          <w:kern w:val="0"/>
          <w:lang w:val="en-GB" w:eastAsia="en-US" w:bidi="ar-SA"/>
        </w:rPr>
        <w:t xml:space="preserve">, would not correctly describe our model, for two reasons. First, it </w:t>
      </w:r>
      <w:r>
        <w:rPr>
          <w:rFonts w:eastAsia="Times New Roman" w:cs="Times New Roman" w:ascii="Times New Roman" w:hAnsi="Times New Roman"/>
          <w:color w:val="000000" w:themeColor="text1"/>
          <w:kern w:val="0"/>
          <w:lang w:val="en-GB" w:eastAsia="en-US" w:bidi="ar-SA"/>
        </w:rPr>
        <w:t xml:space="preserve">assumes that the </w:t>
      </w:r>
      <w:r>
        <w:rPr>
          <w:rFonts w:cs="Times New Roman" w:ascii="Times New Roman" w:hAnsi="Times New Roman"/>
          <w:color w:val="000000" w:themeColor="text1"/>
          <w:lang w:val="en-GB"/>
        </w:rPr>
        <w:t>individual elements being indexed with “1” and “2” come from different populations, while in a paired comparison the two elements come from the same population. Second</w:t>
      </w:r>
      <w:r>
        <w:rPr>
          <w:rFonts w:eastAsia="Times New Roman" w:cs="Times New Roman" w:ascii="Times New Roman" w:hAnsi="Times New Roman"/>
          <w:kern w:val="0"/>
          <w:lang w:val="en-GB" w:eastAsia="en-US" w:bidi="ar-SA"/>
        </w:rPr>
        <w:t xml:space="preserve">, this approach would also violate the assumption that the order by which the samples are considered should not matter (the condition that the order does not matters implies that </w:t>
      </w:r>
      <w:r>
        <w:rPr/>
      </w:r>
      <m:oMath xmlns:m="http://schemas.openxmlformats.org/officeDocument/2006/math">
        <m:sSub>
          <m:e>
            <m:r>
              <w:rPr>
                <w:rFonts w:ascii="Cambria Math" w:hAnsi="Cambria Math"/>
              </w:rPr>
              <m:t xml:space="preserve">α</m:t>
            </m:r>
          </m:e>
          <m:sub>
            <m:r>
              <w:rPr>
                <w:rFonts w:ascii="Cambria Math" w:hAnsi="Cambria Math"/>
              </w:rPr>
              <m:t xml:space="preserve">S</m:t>
            </m:r>
            <m:r>
              <w:rPr>
                <w:rFonts w:ascii="Cambria Math" w:hAnsi="Cambria Math"/>
              </w:rPr>
              <m:t xml:space="preserve">1</m:t>
            </m:r>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r>
              <w:rPr>
                <w:rFonts w:ascii="Cambria Math" w:hAnsi="Cambria Math"/>
              </w:rPr>
              <m:t xml:space="preserve">2</m:t>
            </m:r>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sub>
        </m:sSub>
      </m:oMath>
      <w:r>
        <w:rPr>
          <w:rFonts w:eastAsia="Times New Roman" w:cs="Times New Roman" w:ascii="Times New Roman" w:hAnsi="Times New Roman"/>
          <w:kern w:val="0"/>
          <w:lang w:val="en-GB" w:eastAsia="en-US" w:bidi="ar-SA"/>
        </w:rPr>
        <w:t xml:space="preserve"> </w:t>
      </w:r>
      <w:r>
        <w:rPr>
          <w:rFonts w:eastAsia="Times New Roman" w:cs="Times New Roman" w:ascii="Times New Roman" w:hAnsi="Times New Roman"/>
          <w:color w:val="000000" w:themeColor="text1"/>
          <w:kern w:val="0"/>
          <w:lang w:val="en-GB" w:eastAsia="en-US" w:bidi="ar-SA"/>
        </w:rPr>
        <w:t>for all indices).</w:t>
      </w:r>
      <w:r>
        <w:rPr>
          <w:rFonts w:cs="Times New Roman" w:ascii="Times New Roman" w:hAnsi="Times New Roman"/>
          <w:color w:val="0E101A"/>
          <w:lang w:val="en-GB"/>
        </w:rPr>
        <w:t xml:space="preserve"> </w:t>
      </w:r>
    </w:p>
    <w:p>
      <w:pPr>
        <w:pStyle w:val="Normal"/>
        <w:spacing w:lineRule="auto" w:line="480"/>
        <w:rPr>
          <w:rFonts w:ascii="Times New Roman" w:hAnsi="Times New Roman" w:eastAsia="Times New Roman" w:cs="Times New Roman"/>
          <w:kern w:val="0"/>
          <w:lang w:val="en-GB" w:eastAsia="en-US" w:bidi="ar-SA"/>
        </w:rPr>
      </w:pPr>
      <w:r>
        <w:rPr>
          <w:rFonts w:eastAsia="Times New Roman" w:cs="Times New Roman" w:ascii="Times New Roman" w:hAnsi="Times New Roman"/>
          <w:kern w:val="0"/>
          <w:lang w:val="en-GB" w:eastAsia="en-US" w:bidi="ar-SA"/>
        </w:rPr>
      </w:r>
    </w:p>
    <w:p>
      <w:pPr>
        <w:pStyle w:val="Normal"/>
        <w:spacing w:lineRule="auto" w:line="480"/>
        <w:rPr>
          <w:lang w:val="en-GB"/>
        </w:rPr>
      </w:pPr>
      <w:r>
        <w:rPr>
          <w:rFonts w:eastAsia="Times New Roman" w:cs="Times New Roman" w:ascii="Times New Roman" w:hAnsi="Times New Roman"/>
          <w:kern w:val="0"/>
          <w:lang w:val="en-GB" w:eastAsia="en-US" w:bidi="ar-SA"/>
        </w:rPr>
        <w:t xml:space="preserve">Our final model is, then, </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i/>
          <w:iCs/>
          <w:lang w:val="en-GB"/>
        </w:rPr>
        <w:t>S</w:t>
      </w:r>
      <w:r>
        <w:rPr>
          <w:rFonts w:ascii="Times New Roman" w:hAnsi="Times New Roman"/>
          <w:lang w:val="en-GB"/>
        </w:rPr>
        <w:t xml:space="preserve"> ~ Normal (</w:t>
      </w:r>
      <w:r>
        <w:rPr>
          <w:rFonts w:ascii="Times New Roman" w:hAnsi="Times New Roman"/>
          <w:bCs/>
          <w:i/>
          <w:lang w:val="en-GB"/>
        </w:rPr>
        <w:t>μ</w:t>
      </w:r>
      <w:r>
        <w:rPr>
          <w:rFonts w:ascii="Times New Roman" w:hAnsi="Times New Roman"/>
          <w:lang w:val="en-GB"/>
        </w:rPr>
        <w:t xml:space="preserve">, </w:t>
      </w:r>
      <w:r>
        <w:rPr>
          <w:rFonts w:ascii="Times New Roman" w:hAnsi="Times New Roman"/>
          <w:bCs/>
          <w:i/>
          <w:lang w:val="en-GB"/>
        </w:rPr>
        <w:t>σ</w:t>
      </w:r>
      <w:r>
        <w:rPr>
          <w:rFonts w:ascii="Times New Roman" w:hAnsi="Times New Roman"/>
          <w:lang w:val="en-GB"/>
        </w:rPr>
        <w:t>)</w:t>
      </w:r>
    </w:p>
    <w:p>
      <w:pPr>
        <w:pStyle w:val="Normal"/>
        <w:spacing w:lineRule="auto" w:line="480"/>
        <w:rPr>
          <w:lang w:val="en-GB"/>
        </w:rPr>
      </w:pP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lang w:val="en-GB"/>
        </w:rPr>
        <w:t>+</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i</w:t>
      </w:r>
      <w:r>
        <w:rPr>
          <w:rFonts w:ascii="Times New Roman" w:hAnsi="Times New Roman"/>
          <w:bCs/>
          <w:vertAlign w:val="subscript"/>
          <w:lang w:val="en-GB"/>
        </w:rPr>
        <w:t>]</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j</w:t>
      </w:r>
      <w:r>
        <w:rPr>
          <w:rFonts w:ascii="Times New Roman" w:hAnsi="Times New Roman"/>
          <w:bCs/>
          <w:vertAlign w:val="subscript"/>
          <w:lang w:val="en-GB"/>
        </w:rPr>
        <w:t>]</w:t>
      </w:r>
      <w:r>
        <w:rPr>
          <w:rFonts w:ascii="Times New Roman" w:hAnsi="Times New Roman"/>
          <w:bCs/>
          <w:lang w:val="en-GB"/>
        </w:rPr>
        <w:t>+</w:t>
      </w:r>
      <w:r>
        <w:rPr>
          <w:rFonts w:ascii="Times New Roman" w:hAnsi="Times New Roman"/>
          <w:bCs/>
          <w:i/>
          <w:lang w:val="en-GB"/>
        </w:rPr>
        <w:t>βC</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iCs/>
          <w:lang w:val="en-GB"/>
        </w:rPr>
        <w:t>Nevertheless, a</w:t>
      </w:r>
      <w:r>
        <w:rPr>
          <w:rFonts w:ascii="Times New Roman" w:hAnsi="Times New Roman"/>
          <w:lang w:val="en-GB"/>
        </w:rPr>
        <w:t xml:space="preserve">s with any regression model, care is required with this approach. </w:t>
      </w:r>
      <w:r>
        <w:rPr>
          <w:rFonts w:eastAsia="Times New Roman" w:cs="Times New Roman" w:ascii="Times New Roman" w:hAnsi="Times New Roman"/>
          <w:color w:val="000000" w:themeColor="text1"/>
          <w:lang w:val="en-GB"/>
        </w:rPr>
        <w:t>If we fit a model with just</w:t>
      </w:r>
      <w:r>
        <w:rPr>
          <w:rFonts w:ascii="Times New Roman" w:hAnsi="Times New Roman"/>
          <w:lang w:val="en-GB"/>
        </w:rPr>
        <w:t xml:space="preserve"> </w:t>
      </w: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lang w:val="en-GB"/>
        </w:rPr>
        <w:t>+</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i</w:t>
      </w:r>
      <w:r>
        <w:rPr>
          <w:rFonts w:ascii="Times New Roman" w:hAnsi="Times New Roman"/>
          <w:bCs/>
          <w:vertAlign w:val="subscript"/>
          <w:lang w:val="en-GB"/>
        </w:rPr>
        <w:t>]</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j</w:t>
      </w:r>
      <w:r>
        <w:rPr>
          <w:rFonts w:ascii="Times New Roman" w:hAnsi="Times New Roman"/>
          <w:bCs/>
          <w:vertAlign w:val="subscript"/>
          <w:lang w:val="en-GB"/>
        </w:rPr>
        <w:t>]</w:t>
      </w:r>
      <w:r>
        <w:rPr>
          <w:rFonts w:eastAsia="Times New Roman" w:cs="Times New Roman" w:ascii="Times New Roman" w:hAnsi="Times New Roman"/>
          <w:color w:val="000000"/>
          <w:kern w:val="0"/>
          <w:lang w:val="en-GB" w:eastAsia="en-US" w:bidi="ar-SA"/>
        </w:rPr>
        <w:t xml:space="preserve"> then the </w:t>
      </w:r>
      <w:bookmarkStart w:id="0" w:name="move80779518"/>
      <w:r>
        <w:rPr/>
      </w:r>
      <m:oMath xmlns:m="http://schemas.openxmlformats.org/officeDocument/2006/math">
        <m:sSub>
          <m:e>
            <m:r>
              <w:rPr>
                <w:rFonts w:ascii="Cambria Math" w:hAnsi="Cambria Math"/>
              </w:rPr>
              <m:t xml:space="preserve">α</m:t>
            </m:r>
          </m:e>
          <m:sub>
            <m:r>
              <w:rPr>
                <w:rFonts w:ascii="Cambria Math" w:hAnsi="Cambria Math"/>
              </w:rPr>
              <m:t xml:space="preserve">S</m:t>
            </m:r>
          </m:sub>
        </m:sSub>
      </m:oMath>
      <w:bookmarkEnd w:id="0"/>
      <w:r>
        <w:rPr>
          <w:rFonts w:eastAsia="Times New Roman" w:cs="Times New Roman" w:ascii="Times New Roman" w:hAnsi="Times New Roman"/>
          <w:color w:val="000000"/>
          <w:kern w:val="0"/>
          <w:lang w:val="en-GB" w:eastAsia="en-US" w:bidi="ar-SA"/>
        </w:rPr>
        <w:t>intercepts</w:t>
      </w:r>
      <w:bookmarkStart w:id="1" w:name="move807795181"/>
      <w:r>
        <w:rPr>
          <w:rFonts w:eastAsia="Times New Roman" w:cs="Times New Roman" w:ascii="Times New Roman" w:hAnsi="Times New Roman"/>
          <w:color w:val="000000"/>
          <w:kern w:val="0"/>
          <w:lang w:val="en-GB" w:eastAsia="en-US" w:bidi="ar-SA"/>
        </w:rPr>
        <w:t xml:space="preserve"> </w:t>
      </w:r>
      <w:bookmarkEnd w:id="1"/>
      <w:r>
        <w:rPr>
          <w:rFonts w:eastAsia="Times New Roman" w:cs="Times New Roman" w:ascii="Times New Roman" w:hAnsi="Times New Roman"/>
          <w:color w:val="000000" w:themeColor="text1"/>
          <w:lang w:val="en-GB"/>
        </w:rPr>
        <w:t>may absorb not just the variation due to the paired comparison but also any confounding variation caused by environmental covariates.</w:t>
      </w:r>
      <w:r>
        <w:rPr>
          <w:rFonts w:ascii="Times New Roman" w:hAnsi="Times New Roman"/>
          <w:lang w:val="en-GB"/>
        </w:rPr>
        <w:t xml:space="preserve">  To ensure that </w:t>
      </w:r>
      <w:r>
        <w:rPr/>
      </w:r>
      <m:oMath xmlns:m="http://schemas.openxmlformats.org/officeDocument/2006/math">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i</m:t>
                </m:r>
              </m:e>
            </m:d>
          </m:sub>
        </m:sSub>
        <m:r>
          <w:rPr>
            <w:rFonts w:ascii="Cambria Math" w:hAnsi="Cambria Math"/>
          </w:rPr>
          <m:t xml:space="preserve">+</m:t>
        </m:r>
        <m:sSub>
          <m:e>
            <m:r>
              <w:rPr>
                <w:rFonts w:ascii="Cambria Math" w:hAnsi="Cambria Math"/>
              </w:rPr>
              <m:t xml:space="preserve">α</m:t>
            </m:r>
          </m:e>
          <m:sub>
            <m:r>
              <w:rPr>
                <w:rFonts w:ascii="Cambria Math" w:hAnsi="Cambria Math"/>
              </w:rPr>
              <m:t xml:space="preserve">S</m:t>
            </m:r>
            <m:d>
              <m:dPr>
                <m:begChr m:val="["/>
                <m:endChr m:val="]"/>
              </m:dPr>
              <m:e>
                <m:r>
                  <w:rPr>
                    <w:rFonts w:ascii="Cambria Math" w:hAnsi="Cambria Math"/>
                  </w:rPr>
                  <m:t xml:space="preserve">j</m:t>
                </m:r>
              </m:e>
            </m:d>
          </m:sub>
        </m:sSub>
      </m:oMath>
      <w:r>
        <w:rPr>
          <w:rFonts w:ascii="Times New Roman" w:hAnsi="Times New Roman"/>
          <w:lang w:val="en-GB"/>
        </w:rPr>
        <w:t xml:space="preserve"> captures only </w:t>
      </w:r>
      <w:r>
        <w:rPr>
          <w:rFonts w:eastAsia="Times New Roman" w:cs="Times New Roman" w:ascii="Times New Roman" w:hAnsi="Times New Roman"/>
          <w:color w:val="000000" w:themeColor="text1"/>
          <w:lang w:val="en-GB"/>
        </w:rPr>
        <w:t>variation due to the paired comparison, and hence can be interpreted as such, we need to include relevant covariates in the model as well</w:t>
      </w:r>
      <w:r>
        <w:rPr>
          <w:rFonts w:ascii="Times New Roman" w:hAnsi="Times New Roman"/>
          <w:lang w:val="en-GB"/>
        </w:rPr>
        <w:t>.</w:t>
      </w:r>
    </w:p>
    <w:p>
      <w:pPr>
        <w:pStyle w:val="Normal"/>
        <w:spacing w:lineRule="auto" w:line="480"/>
        <w:rPr>
          <w:lang w:val="en-GB"/>
        </w:rPr>
      </w:pPr>
      <w:r>
        <w:rPr>
          <w:lang w:val="en-GB"/>
        </w:rPr>
      </w:r>
    </w:p>
    <w:p>
      <w:pPr>
        <w:pStyle w:val="Normal"/>
        <w:spacing w:lineRule="auto" w:line="480"/>
        <w:rPr>
          <w:b/>
          <w:b/>
          <w:bCs/>
        </w:rPr>
      </w:pPr>
      <w:r>
        <w:rPr>
          <w:rFonts w:ascii="Times New Roman" w:hAnsi="Times New Roman"/>
          <w:b/>
          <w:bCs/>
          <w:lang w:val="en-GB"/>
        </w:rPr>
        <w:t>2.2 Model extensions</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lang w:val="en-GB"/>
        </w:rPr>
        <w:t xml:space="preserve">In the previous section, we assumed </w:t>
      </w:r>
      <w:r>
        <w:rPr>
          <w:rFonts w:ascii="Times New Roman" w:hAnsi="Times New Roman"/>
          <w:i/>
          <w:iCs/>
          <w:lang w:val="en-GB"/>
        </w:rPr>
        <w:t xml:space="preserve">S </w:t>
      </w:r>
      <w:r>
        <w:rPr>
          <w:rFonts w:ascii="Times New Roman" w:hAnsi="Times New Roman"/>
          <w:lang w:val="en-GB"/>
        </w:rPr>
        <w:t xml:space="preserve">followed a normal distribution, but this does not have to be the case. </w:t>
      </w:r>
      <w:r>
        <w:rPr>
          <w:rFonts w:eastAsia="Times New Roman" w:cs="Times New Roman" w:ascii="Times New Roman" w:hAnsi="Times New Roman"/>
          <w:color w:val="000000" w:themeColor="text1"/>
          <w:lang w:val="en-GB"/>
        </w:rPr>
        <w:t xml:space="preserve">We can use any regression model specified by a family of distributions with some location parameter. </w:t>
      </w:r>
      <w:r>
        <w:rPr>
          <w:rFonts w:ascii="Times New Roman" w:hAnsi="Times New Roman"/>
          <w:color w:val="0E101A"/>
          <w:lang w:val="en-GB"/>
        </w:rPr>
        <w:t xml:space="preserve">For instance, if </w:t>
      </w:r>
      <w:r>
        <w:rPr>
          <w:rFonts w:ascii="Times New Roman" w:hAnsi="Times New Roman"/>
          <w:i/>
          <w:iCs/>
          <w:color w:val="0E101A"/>
          <w:lang w:val="en-GB"/>
        </w:rPr>
        <w:t xml:space="preserve">S </w:t>
      </w:r>
      <w:r>
        <w:rPr>
          <w:rFonts w:ascii="Times New Roman" w:hAnsi="Times New Roman"/>
          <w:color w:val="0E101A"/>
          <w:lang w:val="en-GB"/>
        </w:rPr>
        <w:t xml:space="preserve">is overdispersed, we can replace the normal distribution with a Student's </w:t>
      </w:r>
      <w:r>
        <w:rPr>
          <w:rFonts w:ascii="Times New Roman" w:hAnsi="Times New Roman"/>
          <w:i/>
          <w:color w:val="0E101A"/>
          <w:lang w:val="en-GB"/>
        </w:rPr>
        <w:t>t</w:t>
      </w:r>
      <w:r>
        <w:rPr>
          <w:rFonts w:ascii="Times New Roman" w:hAnsi="Times New Roman"/>
          <w:color w:val="0E101A"/>
          <w:lang w:val="en-GB"/>
        </w:rPr>
        <w:t xml:space="preserve"> distribution:</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i/>
          <w:iCs/>
          <w:lang w:val="en-GB"/>
        </w:rPr>
        <w:t>S</w:t>
      </w:r>
      <w:r>
        <w:rPr>
          <w:rFonts w:ascii="Times New Roman" w:hAnsi="Times New Roman"/>
          <w:lang w:val="en-GB"/>
        </w:rPr>
        <w:t xml:space="preserve"> ~ Student’s-</w:t>
      </w:r>
      <w:r>
        <w:rPr>
          <w:rFonts w:ascii="Times New Roman" w:hAnsi="Times New Roman"/>
          <w:i/>
          <w:iCs/>
          <w:lang w:val="en-GB"/>
        </w:rPr>
        <w:t>t</w:t>
      </w:r>
      <w:r>
        <w:rPr>
          <w:rFonts w:ascii="Times New Roman" w:hAnsi="Times New Roman"/>
          <w:b/>
          <w:bCs/>
          <w:lang w:val="en-GB"/>
        </w:rPr>
        <w:t xml:space="preserve"> </w:t>
      </w:r>
      <w:r>
        <w:rPr>
          <w:rFonts w:ascii="Times New Roman" w:hAnsi="Times New Roman"/>
          <w:bCs/>
          <w:lang w:val="en-GB"/>
        </w:rPr>
        <w:t>(</w:t>
      </w:r>
      <w:r>
        <w:rPr>
          <w:rFonts w:ascii="Times New Roman" w:hAnsi="Times New Roman"/>
          <w:bCs/>
          <w:i/>
          <w:lang w:val="en-GB"/>
        </w:rPr>
        <w:t>ν</w:t>
      </w:r>
      <w:r>
        <w:rPr>
          <w:rFonts w:ascii="Times New Roman" w:hAnsi="Times New Roman"/>
          <w:bCs/>
          <w:lang w:val="en-GB"/>
        </w:rPr>
        <w:t xml:space="preserve">, </w:t>
      </w: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σ</w:t>
      </w:r>
      <w:r>
        <w:rPr>
          <w:rFonts w:ascii="Times New Roman" w:hAnsi="Times New Roman"/>
          <w:bCs/>
          <w:lang w:val="en-GB"/>
        </w:rPr>
        <w:t>)</w:t>
      </w:r>
    </w:p>
    <w:p>
      <w:pPr>
        <w:pStyle w:val="Normal"/>
        <w:spacing w:lineRule="auto" w:line="480"/>
        <w:rPr>
          <w:lang w:val="en-GB"/>
        </w:rPr>
      </w:pP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lang w:val="en-GB"/>
        </w:rPr>
        <w:t>+</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i</w:t>
      </w:r>
      <w:r>
        <w:rPr>
          <w:rFonts w:ascii="Times New Roman" w:hAnsi="Times New Roman"/>
          <w:bCs/>
          <w:vertAlign w:val="subscript"/>
          <w:lang w:val="en-GB"/>
        </w:rPr>
        <w:t>]</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j</w:t>
      </w:r>
      <w:r>
        <w:rPr>
          <w:rFonts w:ascii="Times New Roman" w:hAnsi="Times New Roman"/>
          <w:bCs/>
          <w:vertAlign w:val="subscript"/>
          <w:lang w:val="en-GB"/>
        </w:rPr>
        <w:t>]</w:t>
      </w:r>
      <w:r>
        <w:rPr>
          <w:rFonts w:ascii="Times New Roman" w:hAnsi="Times New Roman"/>
          <w:bCs/>
          <w:lang w:val="en-GB"/>
        </w:rPr>
        <w:t>+</w:t>
      </w:r>
      <w:r>
        <w:rPr>
          <w:rFonts w:ascii="Times New Roman" w:hAnsi="Times New Roman"/>
          <w:bCs/>
          <w:i/>
          <w:lang w:val="en-GB"/>
        </w:rPr>
        <w:t>βC</w:t>
      </w:r>
    </w:p>
    <w:p>
      <w:pPr>
        <w:pStyle w:val="Normal"/>
        <w:spacing w:lineRule="auto" w:line="480"/>
        <w:rPr>
          <w:lang w:val="en-GB"/>
        </w:rPr>
      </w:pPr>
      <w:r>
        <w:rPr>
          <w:rFonts w:ascii="Times New Roman" w:hAnsi="Times New Roman"/>
          <w:lang w:val="en-GB"/>
        </w:rPr>
        <w:t xml:space="preserve">where </w:t>
      </w:r>
      <w:r>
        <w:rPr>
          <w:rFonts w:ascii="Times New Roman" w:hAnsi="Times New Roman"/>
          <w:i/>
          <w:lang w:val="en-GB"/>
        </w:rPr>
        <w:t>ν</w:t>
      </w:r>
      <w:r>
        <w:rPr>
          <w:rFonts w:ascii="Times New Roman" w:hAnsi="Times New Roman"/>
          <w:lang w:val="en-GB"/>
        </w:rPr>
        <w:t xml:space="preserve"> stands for the degrees of freedom, </w:t>
      </w:r>
      <w:r>
        <w:rPr>
          <w:rFonts w:ascii="Times New Roman" w:hAnsi="Times New Roman"/>
          <w:i/>
          <w:lang w:val="en-GB"/>
        </w:rPr>
        <w:t>μ</w:t>
      </w:r>
      <w:r>
        <w:rPr>
          <w:rFonts w:ascii="Times New Roman" w:hAnsi="Times New Roman"/>
          <w:lang w:val="en-GB"/>
        </w:rPr>
        <w:t xml:space="preserve"> for location and </w:t>
      </w:r>
      <w:r>
        <w:rPr>
          <w:rFonts w:ascii="Times New Roman" w:hAnsi="Times New Roman"/>
          <w:i/>
          <w:lang w:val="en-GB"/>
        </w:rPr>
        <w:t>σ</w:t>
      </w:r>
      <w:r>
        <w:rPr>
          <w:rFonts w:ascii="Times New Roman" w:hAnsi="Times New Roman"/>
          <w:lang w:val="en-GB"/>
        </w:rPr>
        <w:t xml:space="preserve"> for scale.</w:t>
      </w:r>
    </w:p>
    <w:p>
      <w:pPr>
        <w:pStyle w:val="Normal"/>
        <w:spacing w:lineRule="auto" w:line="480"/>
        <w:rPr>
          <w:lang w:val="en-GB"/>
        </w:rPr>
      </w:pPr>
      <w:r>
        <w:rPr>
          <w:lang w:val="en-GB"/>
        </w:rPr>
      </w:r>
    </w:p>
    <w:p>
      <w:pPr>
        <w:pStyle w:val="Normal"/>
        <w:spacing w:lineRule="auto" w:line="480"/>
        <w:rPr>
          <w:lang w:val="en-GB"/>
        </w:rPr>
      </w:pPr>
      <w:r>
        <w:rPr>
          <w:rFonts w:eastAsia="Times New Roman" w:cs="Times New Roman" w:ascii="Times New Roman" w:hAnsi="Times New Roman"/>
          <w:color w:val="000000" w:themeColor="text1"/>
          <w:lang w:val="en-GB"/>
        </w:rPr>
        <w:t xml:space="preserve">If </w:t>
      </w:r>
      <w:r>
        <w:rPr>
          <w:rFonts w:eastAsia="Times New Roman" w:cs="Times New Roman" w:ascii="Times New Roman" w:hAnsi="Times New Roman"/>
          <w:i/>
          <w:color w:val="000000" w:themeColor="text1"/>
          <w:lang w:val="en-GB"/>
        </w:rPr>
        <w:t>S</w:t>
      </w:r>
      <w:r>
        <w:rPr>
          <w:rFonts w:eastAsia="Times New Roman" w:cs="Times New Roman" w:ascii="Times New Roman" w:hAnsi="Times New Roman"/>
          <w:color w:val="000000" w:themeColor="text1"/>
          <w:lang w:val="en-GB"/>
        </w:rPr>
        <w:t xml:space="preserve"> values are counts, for example the number of species in common, then we can use a distribution suitable for count data such as the Poisson or the negative binomial distribution with an appropriate link function:</w:t>
      </w:r>
    </w:p>
    <w:p>
      <w:pPr>
        <w:pStyle w:val="Normal"/>
        <w:spacing w:lineRule="auto" w:line="480"/>
        <w:rPr>
          <w:lang w:val="en-GB"/>
        </w:rPr>
      </w:pPr>
      <w:r>
        <w:rPr>
          <w:lang w:val="en-GB"/>
        </w:rPr>
      </w:r>
    </w:p>
    <w:p>
      <w:pPr>
        <w:pStyle w:val="Normal"/>
        <w:spacing w:lineRule="auto" w:line="480"/>
        <w:rPr>
          <w:lang w:val="en-GB"/>
        </w:rPr>
      </w:pPr>
      <w:r>
        <w:rPr>
          <w:rFonts w:eastAsia="Times New Roman" w:cs="Times New Roman" w:ascii="Times New Roman" w:hAnsi="Times New Roman"/>
          <w:i/>
          <w:color w:val="000000" w:themeColor="text1"/>
          <w:lang w:val="en-GB"/>
        </w:rPr>
        <w:t>S</w:t>
      </w:r>
      <w:r>
        <w:rPr>
          <w:rFonts w:eastAsia="Times New Roman" w:cs="Times New Roman" w:ascii="Times New Roman" w:hAnsi="Times New Roman"/>
          <w:color w:val="000000" w:themeColor="text1"/>
          <w:lang w:val="en-GB"/>
        </w:rPr>
        <w:t xml:space="preserve"> ~ Poisson(</w:t>
      </w:r>
      <w:r>
        <w:rPr>
          <w:rFonts w:eastAsia="Times New Roman" w:cs="Times New Roman" w:ascii="Times New Roman" w:hAnsi="Times New Roman"/>
          <w:i/>
          <w:color w:val="000000" w:themeColor="text1"/>
          <w:lang w:val="en-GB"/>
        </w:rPr>
        <w:t>λ</w:t>
      </w:r>
      <w:r>
        <w:rPr>
          <w:rFonts w:eastAsia="Times New Roman" w:cs="Times New Roman" w:ascii="Times New Roman" w:hAnsi="Times New Roman"/>
          <w:color w:val="000000" w:themeColor="text1"/>
          <w:lang w:val="en-GB"/>
        </w:rPr>
        <w:t>)</w:t>
      </w:r>
    </w:p>
    <w:p>
      <w:pPr>
        <w:pStyle w:val="Normal"/>
        <w:spacing w:lineRule="auto" w:line="480"/>
        <w:rPr>
          <w:rFonts w:ascii="Times New Roman" w:hAnsi="Times New Roman"/>
          <w:bCs/>
          <w:i/>
          <w:i/>
          <w:lang w:val="en-GB"/>
        </w:rPr>
      </w:pPr>
      <w:r>
        <w:rPr>
          <w:i/>
          <w:lang w:val="en-GB"/>
        </w:rPr>
        <w:t>λ</w:t>
      </w:r>
      <w:r>
        <w:rPr>
          <w:lang w:val="en-GB"/>
        </w:rPr>
        <w:t>=exp(</w:t>
      </w: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lang w:val="en-GB"/>
        </w:rPr>
        <w:t>+</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i</w:t>
      </w:r>
      <w:r>
        <w:rPr>
          <w:rFonts w:ascii="Times New Roman" w:hAnsi="Times New Roman"/>
          <w:bCs/>
          <w:vertAlign w:val="subscript"/>
          <w:lang w:val="en-GB"/>
        </w:rPr>
        <w:t>]</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w:t>
      </w:r>
      <w:r>
        <w:rPr>
          <w:rFonts w:ascii="Times New Roman" w:hAnsi="Times New Roman"/>
          <w:bCs/>
          <w:i/>
          <w:vertAlign w:val="subscript"/>
          <w:lang w:val="en-GB"/>
        </w:rPr>
        <w:t>j</w:t>
      </w:r>
      <w:r>
        <w:rPr>
          <w:rFonts w:ascii="Times New Roman" w:hAnsi="Times New Roman"/>
          <w:bCs/>
          <w:vertAlign w:val="subscript"/>
          <w:lang w:val="en-GB"/>
        </w:rPr>
        <w:t>]</w:t>
      </w:r>
      <w:r>
        <w:rPr>
          <w:rFonts w:ascii="Times New Roman" w:hAnsi="Times New Roman"/>
          <w:bCs/>
          <w:lang w:val="en-GB"/>
        </w:rPr>
        <w:t>+</w:t>
      </w:r>
      <w:r>
        <w:rPr>
          <w:rFonts w:ascii="Times New Roman" w:hAnsi="Times New Roman"/>
          <w:bCs/>
          <w:i/>
          <w:lang w:val="en-GB"/>
        </w:rPr>
        <w:t>βC</w:t>
      </w:r>
      <w:r>
        <w:rPr>
          <w:rFonts w:ascii="Times New Roman" w:hAnsi="Times New Roman"/>
          <w:bCs/>
          <w:lang w:val="en-GB"/>
        </w:rPr>
        <w:t>)</w:t>
      </w:r>
    </w:p>
    <w:p>
      <w:pPr>
        <w:pStyle w:val="Normal"/>
        <w:spacing w:lineRule="auto" w:line="480"/>
        <w:rPr>
          <w:rFonts w:ascii="Times New Roman" w:hAnsi="Times New Roman"/>
          <w:bCs/>
          <w:lang w:val="en-GB"/>
        </w:rPr>
      </w:pPr>
      <w:r>
        <w:rPr>
          <w:rFonts w:ascii="Times New Roman" w:hAnsi="Times New Roman"/>
          <w:bCs/>
          <w:lang w:val="en-GB"/>
        </w:rPr>
      </w:r>
    </w:p>
    <w:p>
      <w:pPr>
        <w:pStyle w:val="Normal"/>
        <w:spacing w:lineRule="auto" w:line="480"/>
        <w:rPr>
          <w:lang w:val="en-GB"/>
        </w:rPr>
      </w:pPr>
      <w:r>
        <w:rPr>
          <w:rFonts w:ascii="Times New Roman" w:hAnsi="Times New Roman"/>
          <w:lang w:val="en-GB"/>
        </w:rPr>
        <w:t xml:space="preserve">In the “case study” section, we will use a Beta distribution because the </w:t>
      </w:r>
      <w:r>
        <w:rPr>
          <w:rFonts w:ascii="Times New Roman" w:hAnsi="Times New Roman"/>
          <w:color w:val="000000"/>
          <w:lang w:val="en-GB"/>
        </w:rPr>
        <w:t>pairwise comparisons</w:t>
      </w:r>
      <w:r>
        <w:rPr>
          <w:rFonts w:ascii="Times New Roman" w:hAnsi="Times New Roman"/>
          <w:lang w:val="en-GB"/>
        </w:rPr>
        <w:t xml:space="preserve"> are between 0 and 1</w:t>
      </w:r>
      <w:bookmarkStart w:id="2" w:name="MathJax-Span-26"/>
      <w:bookmarkStart w:id="3" w:name="MathJax-Span-25"/>
      <w:bookmarkStart w:id="4" w:name="MathJax-Span-24"/>
      <w:bookmarkStart w:id="5" w:name="MathJax-Span-23"/>
      <w:bookmarkStart w:id="6" w:name="MathJax-Element-3-Frame"/>
      <w:bookmarkStart w:id="7" w:name="MathJax-Span-28"/>
      <w:bookmarkEnd w:id="2"/>
      <w:bookmarkEnd w:id="3"/>
      <w:bookmarkEnd w:id="4"/>
      <w:bookmarkEnd w:id="5"/>
      <w:bookmarkEnd w:id="6"/>
      <w:bookmarkEnd w:id="7"/>
      <w:r>
        <w:rPr>
          <w:rFonts w:ascii="Times New Roman" w:hAnsi="Times New Roman"/>
          <w:lang w:val="en-GB"/>
        </w:rPr>
        <w:t>.</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lang w:val="en-GB"/>
        </w:rPr>
        <w:t>Our framework also permits the inclusion of varying intercepts (</w:t>
      </w:r>
      <w:r>
        <w:rPr>
          <w:rFonts w:ascii="Times New Roman" w:hAnsi="Times New Roman"/>
          <w:bCs/>
          <w:i/>
          <w:lang w:val="en-GB"/>
        </w:rPr>
        <w:t>α</w:t>
      </w:r>
      <w:r>
        <w:rPr>
          <w:rFonts w:ascii="Times New Roman" w:hAnsi="Times New Roman"/>
          <w:bCs/>
          <w:i/>
          <w:vertAlign w:val="subscript"/>
          <w:lang w:val="en-GB"/>
        </w:rPr>
        <w:t>c</w:t>
      </w:r>
      <w:r>
        <w:rPr>
          <w:rFonts w:ascii="Times New Roman" w:hAnsi="Times New Roman"/>
          <w:bCs/>
          <w:vertAlign w:val="subscript"/>
          <w:lang w:val="en-GB"/>
        </w:rPr>
        <w:t>[cluster]</w:t>
      </w:r>
      <w:r>
        <w:rPr>
          <w:rFonts w:ascii="Times New Roman" w:hAnsi="Times New Roman"/>
          <w:lang w:val="en-GB"/>
        </w:rPr>
        <w:t>) and slopes (</w:t>
      </w:r>
      <w:r>
        <w:rPr>
          <w:rFonts w:ascii="Times New Roman" w:hAnsi="Times New Roman"/>
          <w:bCs/>
          <w:i/>
          <w:lang w:val="en-GB"/>
        </w:rPr>
        <w:t>β</w:t>
      </w:r>
      <w:r>
        <w:rPr>
          <w:rFonts w:ascii="Times New Roman" w:hAnsi="Times New Roman"/>
          <w:bCs/>
          <w:vertAlign w:val="subscript"/>
          <w:lang w:val="en-GB"/>
        </w:rPr>
        <w:t>[cluster]</w:t>
      </w:r>
      <w:r>
        <w:rPr>
          <w:rFonts w:ascii="Times New Roman" w:hAnsi="Times New Roman"/>
          <w:lang w:val="en-GB"/>
        </w:rPr>
        <w:t xml:space="preserve">), thus allowing the relationship between </w:t>
      </w:r>
      <w:r>
        <w:rPr>
          <w:rFonts w:ascii="Times New Roman" w:hAnsi="Times New Roman"/>
          <w:i/>
          <w:iCs/>
          <w:lang w:val="en-GB"/>
        </w:rPr>
        <w:t>S</w:t>
      </w:r>
      <w:r>
        <w:rPr>
          <w:rFonts w:ascii="Times New Roman" w:hAnsi="Times New Roman"/>
          <w:lang w:val="en-GB"/>
        </w:rPr>
        <w:t xml:space="preserve"> and </w:t>
      </w:r>
      <w:r>
        <w:rPr>
          <w:rFonts w:ascii="Times New Roman" w:hAnsi="Times New Roman"/>
          <w:i/>
          <w:iCs/>
          <w:lang w:val="en-GB"/>
        </w:rPr>
        <w:t>C</w:t>
      </w:r>
      <w:r>
        <w:rPr>
          <w:rFonts w:ascii="Times New Roman" w:hAnsi="Times New Roman"/>
          <w:lang w:val="en-GB"/>
        </w:rPr>
        <w:t xml:space="preserve"> to change across different clusters. Therefore, taking as example the model specified by eq. (2) we can add these new relationships as follows:</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bCs/>
          <w:i/>
          <w:iCs/>
          <w:lang w:val="en-GB"/>
        </w:rPr>
        <w:t>S</w:t>
      </w:r>
      <w:r>
        <w:rPr>
          <w:rFonts w:ascii="Times New Roman" w:hAnsi="Times New Roman"/>
          <w:bCs/>
          <w:lang w:val="en-GB"/>
        </w:rPr>
        <w:t xml:space="preserve"> ~ Normal (</w:t>
      </w: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σ</w:t>
      </w:r>
      <w:r>
        <w:rPr>
          <w:rFonts w:ascii="Times New Roman" w:hAnsi="Times New Roman"/>
          <w:bCs/>
          <w:lang w:val="en-GB"/>
        </w:rPr>
        <w:t>)</w:t>
      </w:r>
    </w:p>
    <w:p>
      <w:pPr>
        <w:pStyle w:val="Normal"/>
        <w:spacing w:lineRule="auto" w:line="480"/>
        <w:rPr>
          <w:i/>
          <w:i/>
          <w:lang w:val="en-GB"/>
        </w:rPr>
      </w:pPr>
      <w:r>
        <w:rPr>
          <w:rFonts w:ascii="Times New Roman" w:hAnsi="Times New Roman"/>
          <w:bCs/>
          <w:i/>
          <w:lang w:val="en-GB"/>
        </w:rPr>
        <w:t>μ= α+ α</w:t>
      </w:r>
      <w:r>
        <w:rPr>
          <w:rFonts w:ascii="Times New Roman" w:hAnsi="Times New Roman"/>
          <w:bCs/>
          <w:i/>
          <w:vertAlign w:val="subscript"/>
          <w:lang w:val="en-GB"/>
        </w:rPr>
        <w:t>s[i]</w:t>
      </w:r>
      <w:r>
        <w:rPr>
          <w:rFonts w:ascii="Times New Roman" w:hAnsi="Times New Roman"/>
          <w:bCs/>
          <w:i/>
          <w:lang w:val="en-GB"/>
        </w:rPr>
        <w:t>+α</w:t>
      </w:r>
      <w:r>
        <w:rPr>
          <w:rFonts w:ascii="Times New Roman" w:hAnsi="Times New Roman"/>
          <w:bCs/>
          <w:i/>
          <w:vertAlign w:val="subscript"/>
          <w:lang w:val="en-GB"/>
        </w:rPr>
        <w:t>s[j]</w:t>
      </w:r>
      <w:r>
        <w:rPr>
          <w:rFonts w:ascii="Times New Roman" w:hAnsi="Times New Roman"/>
          <w:bCs/>
          <w:i/>
          <w:lang w:val="en-GB"/>
        </w:rPr>
        <w:t>+α</w:t>
      </w:r>
      <w:r>
        <w:rPr>
          <w:rFonts w:ascii="Times New Roman" w:hAnsi="Times New Roman"/>
          <w:bCs/>
          <w:i/>
          <w:vertAlign w:val="subscript"/>
          <w:lang w:val="en-GB"/>
        </w:rPr>
        <w:t>c[cluster]</w:t>
      </w:r>
      <w:r>
        <w:rPr>
          <w:rFonts w:ascii="Times New Roman" w:hAnsi="Times New Roman"/>
          <w:bCs/>
          <w:i/>
          <w:lang w:val="en-GB"/>
        </w:rPr>
        <w:t>+β</w:t>
      </w:r>
      <w:r>
        <w:rPr>
          <w:rFonts w:ascii="Times New Roman" w:hAnsi="Times New Roman"/>
          <w:bCs/>
          <w:i/>
          <w:vertAlign w:val="subscript"/>
          <w:lang w:val="en-GB"/>
        </w:rPr>
        <w:t>cluster</w:t>
      </w:r>
      <w:r>
        <w:rPr>
          <w:rFonts w:ascii="Times New Roman" w:hAnsi="Times New Roman"/>
          <w:bCs/>
          <w:i/>
          <w:lang w:val="en-GB"/>
        </w:rPr>
        <w:t>C</w:t>
      </w:r>
    </w:p>
    <w:p>
      <w:pPr>
        <w:pStyle w:val="Normal"/>
        <w:spacing w:lineRule="auto" w:line="480"/>
        <w:rPr>
          <w:lang w:val="en-GB"/>
        </w:rPr>
      </w:pPr>
      <w:r>
        <w:rPr>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The varying intercept </w:t>
      </w:r>
      <w:r>
        <w:rPr>
          <w:rFonts w:ascii="Times New Roman" w:hAnsi="Times New Roman"/>
          <w:bCs/>
          <w:i/>
          <w:lang w:val="en-GB"/>
        </w:rPr>
        <w:t>α</w:t>
      </w:r>
      <w:r>
        <w:rPr>
          <w:rFonts w:ascii="Times New Roman" w:hAnsi="Times New Roman"/>
          <w:bCs/>
          <w:i/>
          <w:vertAlign w:val="subscript"/>
          <w:lang w:val="en-GB"/>
        </w:rPr>
        <w:t>c</w:t>
      </w:r>
      <w:r>
        <w:rPr>
          <w:rFonts w:ascii="Times New Roman" w:hAnsi="Times New Roman"/>
          <w:bCs/>
          <w:vertAlign w:val="subscript"/>
          <w:lang w:val="en-GB"/>
        </w:rPr>
        <w:t>[cluster]</w:t>
      </w:r>
      <w:r>
        <w:rPr>
          <w:rFonts w:ascii="Times New Roman" w:hAnsi="Times New Roman"/>
          <w:lang w:val="en-GB"/>
        </w:rPr>
        <w:t xml:space="preserve"> and slope </w:t>
      </w:r>
      <w:r>
        <w:rPr>
          <w:rFonts w:ascii="Times New Roman" w:hAnsi="Times New Roman"/>
          <w:bCs/>
          <w:i/>
          <w:lang w:val="en-GB"/>
        </w:rPr>
        <w:t>β</w:t>
      </w:r>
      <w:r>
        <w:rPr>
          <w:rFonts w:ascii="Times New Roman" w:hAnsi="Times New Roman"/>
          <w:bCs/>
          <w:vertAlign w:val="subscript"/>
          <w:lang w:val="en-GB"/>
        </w:rPr>
        <w:t>[cluster]</w:t>
      </w:r>
      <w:r>
        <w:rPr>
          <w:rFonts w:ascii="Times New Roman" w:hAnsi="Times New Roman"/>
          <w:lang w:val="en-GB"/>
        </w:rPr>
        <w:t xml:space="preserve"> allow the model to capture cluster-specific behaviours that would otherwise be missed or inadvertently absorbed into other behaviours, thus providing </w:t>
      </w:r>
      <w:r>
        <w:rPr>
          <w:rFonts w:eastAsia="Times New Roman" w:cs="Times New Roman" w:ascii="Times New Roman" w:hAnsi="Times New Roman"/>
          <w:color w:val="000000" w:themeColor="text1"/>
          <w:lang w:val="en-GB"/>
        </w:rPr>
        <w:t>more interpretable</w:t>
      </w:r>
      <w:r>
        <w:rPr>
          <w:rFonts w:ascii="Times New Roman" w:hAnsi="Times New Roman"/>
          <w:lang w:val="en-GB"/>
        </w:rPr>
        <w:t xml:space="preserve"> inferences.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jc w:val="both"/>
        <w:rPr>
          <w:lang w:val="en-GB"/>
        </w:rPr>
      </w:pPr>
      <w:r>
        <w:rPr>
          <w:rFonts w:cs="Times New Roman" w:ascii="Times New Roman" w:hAnsi="Times New Roman"/>
          <w:b/>
          <w:lang w:val="en-GB"/>
        </w:rPr>
        <w:t>3. Simulations</w:t>
      </w:r>
    </w:p>
    <w:p>
      <w:pPr>
        <w:pStyle w:val="Normal"/>
        <w:spacing w:lineRule="auto" w:line="480"/>
        <w:jc w:val="both"/>
        <w:rPr>
          <w:lang w:val="en-GB"/>
        </w:rPr>
      </w:pPr>
      <w:r>
        <w:rPr/>
      </w:r>
    </w:p>
    <w:p>
      <w:pPr>
        <w:pStyle w:val="Normal"/>
        <w:spacing w:lineRule="auto" w:line="480"/>
        <w:jc w:val="both"/>
        <w:rPr>
          <w:b/>
          <w:b/>
          <w:bCs/>
        </w:rPr>
      </w:pPr>
      <w:r>
        <w:rPr>
          <w:rFonts w:cs="Times New Roman" w:ascii="Times New Roman" w:hAnsi="Times New Roman"/>
          <w:b/>
          <w:bCs/>
          <w:lang w:val="en-GB"/>
        </w:rPr>
        <w:t>3.1 Generating the data</w:t>
      </w:r>
    </w:p>
    <w:p>
      <w:pPr>
        <w:pStyle w:val="Normal"/>
        <w:spacing w:lineRule="auto" w:line="480"/>
        <w:jc w:val="both"/>
        <w:rPr>
          <w:lang w:val="en-GB"/>
        </w:rPr>
      </w:pPr>
      <w:r>
        <w:rPr>
          <w:lang w:val="en-GB"/>
        </w:rPr>
      </w:r>
    </w:p>
    <w:p>
      <w:pPr>
        <w:pStyle w:val="Normal"/>
        <w:spacing w:lineRule="auto" w:line="480"/>
        <w:rPr>
          <w:lang w:val="en-GB"/>
        </w:rPr>
      </w:pPr>
      <w:r>
        <w:rPr>
          <w:rFonts w:cs="Times New Roman" w:ascii="Times New Roman" w:hAnsi="Times New Roman"/>
          <w:lang w:val="en-GB"/>
        </w:rPr>
        <w:t xml:space="preserve">We now use simulations to illustrate the procedure introduced in the previous section. We assume 100 sample points, which leads to a total of </w:t>
      </w:r>
      <w:r>
        <w:rPr>
          <w:rFonts w:eastAsia="Times New Roman" w:cs="Times New Roman" w:ascii="Times New Roman" w:hAnsi="Times New Roman"/>
          <w:color w:val="000000" w:themeColor="text1"/>
          <w:lang w:val="en-GB"/>
        </w:rPr>
        <w:t>10 choose 2 or</w:t>
      </w:r>
      <w:r>
        <w:rPr>
          <w:rFonts w:cs="Times New Roman" w:ascii="Times New Roman" w:hAnsi="Times New Roman"/>
          <w:lang w:val="en-GB"/>
        </w:rPr>
        <w:t xml:space="preserve"> 4950 pairwise comparisons that we call </w:t>
      </w:r>
      <w:r>
        <w:rPr>
          <w:rFonts w:cs="Times New Roman" w:ascii="Times New Roman" w:hAnsi="Times New Roman"/>
          <w:i/>
          <w:lang w:val="en-GB"/>
        </w:rPr>
        <w:t>y</w:t>
      </w:r>
      <w:r>
        <w:rPr>
          <w:rFonts w:cs="Times New Roman" w:ascii="Times New Roman" w:hAnsi="Times New Roman"/>
          <w:i/>
          <w:vertAlign w:val="subscript"/>
          <w:lang w:val="en-GB"/>
        </w:rPr>
        <w:t>ij</w:t>
      </w:r>
      <w:r>
        <w:rPr>
          <w:rFonts w:cs="Times New Roman" w:ascii="Times New Roman" w:hAnsi="Times New Roman"/>
          <w:lang w:val="en-GB"/>
        </w:rPr>
        <w:t xml:space="preserve">. The total number of pairs results from knowing that the nature of measurements is such that the pair </w:t>
      </w:r>
      <w:r>
        <w:rPr>
          <w:rFonts w:cs="Times New Roman" w:ascii="Times New Roman" w:hAnsi="Times New Roman"/>
          <w:i/>
          <w:lang w:val="en-GB"/>
        </w:rPr>
        <w:t>y</w:t>
      </w:r>
      <w:r>
        <w:rPr>
          <w:rFonts w:cs="Times New Roman" w:ascii="Times New Roman" w:hAnsi="Times New Roman"/>
          <w:i/>
          <w:vertAlign w:val="subscript"/>
          <w:lang w:val="en-GB"/>
        </w:rPr>
        <w:t>ij</w:t>
      </w:r>
      <w:r>
        <w:rPr>
          <w:rFonts w:cs="Times New Roman" w:ascii="Times New Roman" w:hAnsi="Times New Roman"/>
          <w:lang w:val="en-GB"/>
        </w:rPr>
        <w:t xml:space="preserve"> = </w:t>
      </w:r>
      <w:r>
        <w:rPr>
          <w:rFonts w:cs="Times New Roman" w:ascii="Times New Roman" w:hAnsi="Times New Roman"/>
          <w:i/>
          <w:lang w:val="en-GB"/>
        </w:rPr>
        <w:t>y</w:t>
      </w:r>
      <w:r>
        <w:rPr>
          <w:rFonts w:cs="Times New Roman" w:ascii="Times New Roman" w:hAnsi="Times New Roman"/>
          <w:i/>
          <w:vertAlign w:val="subscript"/>
          <w:lang w:val="en-GB"/>
        </w:rPr>
        <w:t>ji</w:t>
      </w:r>
      <w:r>
        <w:rPr>
          <w:rFonts w:cs="Times New Roman" w:ascii="Times New Roman" w:hAnsi="Times New Roman"/>
          <w:lang w:val="en-GB"/>
        </w:rPr>
        <w:t xml:space="preserve"> and that the cases </w:t>
      </w:r>
      <w:r>
        <w:rPr>
          <w:rFonts w:cs="Times New Roman" w:ascii="Times New Roman" w:hAnsi="Times New Roman"/>
          <w:i/>
          <w:lang w:val="en-GB"/>
        </w:rPr>
        <w:t>i</w:t>
      </w:r>
      <w:r>
        <w:rPr>
          <w:rFonts w:cs="Times New Roman" w:ascii="Times New Roman" w:hAnsi="Times New Roman"/>
          <w:lang w:val="en-GB"/>
        </w:rPr>
        <w:t>=</w:t>
      </w:r>
      <w:r>
        <w:rPr>
          <w:rFonts w:cs="Times New Roman" w:ascii="Times New Roman" w:hAnsi="Times New Roman"/>
          <w:i/>
          <w:lang w:val="en-GB"/>
        </w:rPr>
        <w:t>j</w:t>
      </w:r>
      <w:r>
        <w:rPr>
          <w:rFonts w:cs="Times New Roman" w:ascii="Times New Roman" w:hAnsi="Times New Roman"/>
          <w:lang w:val="en-GB"/>
        </w:rPr>
        <w:t xml:space="preserve"> are excluded. Each sample point, </w:t>
      </w:r>
      <w:r>
        <w:rPr>
          <w:rFonts w:cs="Times New Roman" w:ascii="Times New Roman" w:hAnsi="Times New Roman"/>
          <w:i/>
          <w:lang w:val="en-GB"/>
        </w:rPr>
        <w:t>i</w:t>
      </w:r>
      <w:r>
        <w:rPr>
          <w:rFonts w:cs="Times New Roman" w:ascii="Times New Roman" w:hAnsi="Times New Roman"/>
          <w:lang w:val="en-GB"/>
        </w:rPr>
        <w:t xml:space="preserve">, will have associated a value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w:t>
      </w:r>
      <w:r>
        <w:rPr>
          <w:rFonts w:cs="Times New Roman" w:ascii="Times New Roman" w:hAnsi="Times New Roman"/>
          <w:i/>
          <w:vertAlign w:val="subscript"/>
          <w:lang w:val="en-GB"/>
        </w:rPr>
        <w:t>i</w:t>
      </w:r>
      <w:r>
        <w:rPr>
          <w:rFonts w:cs="Times New Roman" w:ascii="Times New Roman" w:hAnsi="Times New Roman"/>
          <w:vertAlign w:val="subscript"/>
          <w:lang w:val="en-GB"/>
        </w:rPr>
        <w:t>]</w:t>
      </w:r>
      <w:r>
        <w:rPr>
          <w:rFonts w:cs="Times New Roman" w:ascii="Times New Roman" w:hAnsi="Times New Roman"/>
          <w:lang w:val="en-GB"/>
        </w:rPr>
        <w:t xml:space="preserve">. We assume the distributions of the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 xml:space="preserve"> </w:t>
      </w:r>
      <w:r>
        <w:rPr>
          <w:rFonts w:cs="Times New Roman" w:ascii="Times New Roman" w:hAnsi="Times New Roman"/>
          <w:lang w:val="en-GB"/>
        </w:rPr>
        <w:t>to be normal with mean zero and standard deviation</w:t>
      </w:r>
      <w:r>
        <w:rPr>
          <w:rFonts w:cs="Times New Roman" w:ascii="Times New Roman" w:hAnsi="Times New Roman"/>
          <w:i/>
          <w:lang w:val="en-GB"/>
        </w:rPr>
        <w:t xml:space="preserve"> </w:t>
      </w:r>
      <w:r>
        <w:rPr/>
      </w:r>
      <m:oMath xmlns:m="http://schemas.openxmlformats.org/officeDocument/2006/math">
        <m:sSub>
          <m:e>
            <m:r>
              <w:rPr>
                <w:rFonts w:ascii="Cambria Math" w:hAnsi="Cambria Math"/>
              </w:rPr>
              <m:t xml:space="preserve">σ</m:t>
            </m:r>
          </m:e>
          <m:sub>
            <m:sSub>
              <m:e>
                <m:r>
                  <w:rPr>
                    <w:rFonts w:ascii="Cambria Math" w:hAnsi="Cambria Math"/>
                  </w:rPr>
                  <m:t xml:space="preserve">α</m:t>
                </m:r>
              </m:e>
              <m:sub>
                <m:r>
                  <w:rPr>
                    <w:rFonts w:ascii="Cambria Math" w:hAnsi="Cambria Math"/>
                  </w:rPr>
                  <m:t xml:space="preserve">S</m:t>
                </m:r>
              </m:sub>
            </m:sSub>
          </m:sub>
        </m:sSub>
        <m:r>
          <w:rPr>
            <w:rFonts w:ascii="Cambria Math" w:hAnsi="Cambria Math"/>
          </w:rPr>
          <m:t xml:space="preserve">=</m:t>
        </m:r>
        <m:r>
          <w:rPr>
            <w:rFonts w:ascii="Cambria Math" w:hAnsi="Cambria Math"/>
          </w:rPr>
          <m:t xml:space="preserve">2</m:t>
        </m:r>
      </m:oMath>
      <w:r>
        <w:rPr>
          <w:rFonts w:cs="Times New Roman" w:ascii="Times New Roman" w:hAnsi="Times New Roman"/>
          <w:lang w:val="en-GB"/>
        </w:rPr>
        <w:t xml:space="preserve">. In order to ensure that the example provided by the simulations is similar to situations likely to be found in practical applications, we added a linear relationship between </w:t>
      </w:r>
      <w:r>
        <w:rPr>
          <w:rFonts w:cs="Times New Roman" w:ascii="Times New Roman" w:hAnsi="Times New Roman"/>
          <w:i/>
          <w:lang w:val="en-GB"/>
        </w:rPr>
        <w:t>y</w:t>
      </w:r>
      <w:r>
        <w:rPr>
          <w:rFonts w:cs="Times New Roman" w:ascii="Times New Roman" w:hAnsi="Times New Roman"/>
          <w:i/>
          <w:vertAlign w:val="subscript"/>
          <w:lang w:val="en-GB"/>
        </w:rPr>
        <w:t>ij</w:t>
      </w:r>
      <w:r>
        <w:rPr>
          <w:rFonts w:cs="Times New Roman" w:ascii="Times New Roman" w:hAnsi="Times New Roman"/>
          <w:lang w:val="en-GB"/>
        </w:rPr>
        <w:t xml:space="preserve"> and a covariate </w:t>
      </w: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with fixed parameters </w:t>
      </w:r>
      <w:r>
        <w:rPr>
          <w:rFonts w:cs="Times New Roman" w:ascii="Times New Roman" w:hAnsi="Times New Roman"/>
          <w:i/>
          <w:lang w:val="en-GB"/>
        </w:rPr>
        <w:t xml:space="preserve">α </w:t>
      </w:r>
      <w:r>
        <w:rPr>
          <w:rFonts w:cs="Times New Roman" w:ascii="Times New Roman" w:hAnsi="Times New Roman"/>
          <w:lang w:val="en-GB"/>
        </w:rPr>
        <w:t xml:space="preserve">=10 (intercept) and </w:t>
      </w:r>
      <w:r>
        <w:rPr>
          <w:rFonts w:eastAsia="Symbol" w:cs="Symbol" w:ascii="Times New Roman" w:hAnsi="Times New Roman"/>
          <w:i/>
          <w:lang w:val="en-GB"/>
        </w:rPr>
        <w:t>β</w:t>
      </w:r>
      <w:r>
        <w:rPr>
          <w:rFonts w:cs="Times New Roman" w:ascii="Times New Roman" w:hAnsi="Times New Roman"/>
          <w:lang w:val="en-GB"/>
        </w:rPr>
        <w:t xml:space="preserve">=5 (slope). Finally, we assume that the </w:t>
      </w:r>
      <w:r>
        <w:rPr>
          <w:rFonts w:cs="Times New Roman" w:ascii="Times New Roman" w:hAnsi="Times New Roman"/>
          <w:i/>
          <w:lang w:val="en-GB"/>
        </w:rPr>
        <w:t>y</w:t>
      </w:r>
      <w:r>
        <w:rPr>
          <w:rFonts w:cs="Times New Roman" w:ascii="Times New Roman" w:hAnsi="Times New Roman"/>
          <w:i/>
          <w:vertAlign w:val="subscript"/>
          <w:lang w:val="en-GB"/>
        </w:rPr>
        <w:t>ij</w:t>
      </w:r>
      <w:r>
        <w:rPr>
          <w:rFonts w:cs="Times New Roman" w:ascii="Times New Roman" w:hAnsi="Times New Roman"/>
          <w:lang w:val="en-GB"/>
        </w:rPr>
        <w:t xml:space="preserve"> relates to the covariates through a normal distribution with standard deviation </w:t>
      </w:r>
      <w:r>
        <w:rPr>
          <w:rFonts w:cs="Times New Roman" w:ascii="Times New Roman" w:hAnsi="Times New Roman"/>
          <w:i/>
          <w:lang w:val="en-GB"/>
        </w:rPr>
        <w:t>σ</w:t>
      </w:r>
      <w:r>
        <w:rPr>
          <w:rFonts w:cs="Times New Roman" w:ascii="Times New Roman" w:hAnsi="Times New Roman"/>
          <w:lang w:val="en-GB"/>
        </w:rPr>
        <w:t xml:space="preserve"> (equal to 1). In summary, the data were simulated as follows: </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i/>
          <w:lang w:val="en-GB"/>
        </w:rPr>
        <w:t>y</w:t>
      </w:r>
      <w:r>
        <w:rPr>
          <w:rFonts w:cs="Times New Roman" w:ascii="Times New Roman" w:hAnsi="Times New Roman"/>
          <w:i/>
          <w:vertAlign w:val="subscript"/>
          <w:lang w:val="en-GB"/>
        </w:rPr>
        <w:t>ij</w:t>
      </w:r>
      <w:r>
        <w:rPr>
          <w:rFonts w:cs="Times New Roman" w:ascii="Times New Roman" w:hAnsi="Times New Roman"/>
          <w:lang w:val="en-GB"/>
        </w:rPr>
        <w:t xml:space="preserve"> ~ Normal (</w:t>
      </w:r>
      <w:r>
        <w:rPr>
          <w:rFonts w:eastAsia="Symbol" w:cs="Symbol" w:ascii="Times New Roman" w:hAnsi="Times New Roman"/>
          <w:i/>
          <w:lang w:val="en-GB"/>
        </w:rPr>
        <w:t xml:space="preserve"> </w:t>
      </w:r>
      <w:r>
        <w:rPr>
          <w:rFonts w:cs="Times New Roman" w:ascii="Times New Roman" w:hAnsi="Times New Roman"/>
          <w:i/>
          <w:lang w:val="en-GB"/>
        </w:rPr>
        <w:t>α</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i/>
          <w:vertAlign w:val="subscript"/>
          <w:lang w:val="en-GB"/>
        </w:rPr>
        <w:t>s</w:t>
      </w:r>
      <w:r>
        <w:rPr>
          <w:rFonts w:cs="Times New Roman" w:ascii="Times New Roman" w:hAnsi="Times New Roman"/>
          <w:vertAlign w:val="subscript"/>
          <w:lang w:val="en-GB"/>
        </w:rPr>
        <w:t>[i]</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i/>
          <w:vertAlign w:val="subscript"/>
          <w:lang w:val="en-GB"/>
        </w:rPr>
        <w:t>s</w:t>
      </w:r>
      <w:r>
        <w:rPr>
          <w:rFonts w:cs="Times New Roman" w:ascii="Times New Roman" w:hAnsi="Times New Roman"/>
          <w:vertAlign w:val="subscript"/>
          <w:lang w:val="en-GB"/>
        </w:rPr>
        <w:t>[j]</w:t>
      </w:r>
      <w:r>
        <w:rPr>
          <w:rFonts w:cs="Times New Roman" w:ascii="Times New Roman" w:hAnsi="Times New Roman"/>
          <w:lang w:val="en-GB"/>
        </w:rPr>
        <w:t xml:space="preserve"> + </w:t>
      </w:r>
      <w:r>
        <w:rPr>
          <w:rFonts w:eastAsia="Symbol" w:cs="Symbol" w:ascii="Times New Roman" w:hAnsi="Times New Roman"/>
          <w:i/>
          <w:lang w:val="en-GB"/>
        </w:rPr>
        <w:t>β</w:t>
      </w:r>
      <w:r>
        <w:rPr>
          <w:rFonts w:cs="Times New Roman" w:ascii="Times New Roman" w:hAnsi="Times New Roman"/>
          <w:lang w:val="en-GB"/>
        </w:rPr>
        <w:t xml:space="preserve"> </w:t>
      </w: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w:t>
      </w:r>
      <w:r>
        <w:rPr>
          <w:rFonts w:cs="Times New Roman" w:ascii="Times New Roman" w:hAnsi="Times New Roman"/>
          <w:i/>
          <w:lang w:val="en-GB"/>
        </w:rPr>
        <w:t>σ</w:t>
      </w:r>
      <w:r>
        <w:rPr>
          <w:rFonts w:cs="Times New Roman" w:ascii="Times New Roman" w:hAnsi="Times New Roman"/>
          <w:lang w:val="en-GB"/>
        </w:rPr>
        <w:t>);</w:t>
      </w:r>
    </w:p>
    <w:p>
      <w:pPr>
        <w:pStyle w:val="Normal"/>
        <w:spacing w:lineRule="auto" w:line="480"/>
        <w:rPr>
          <w:lang w:val="en-GB"/>
        </w:rPr>
      </w:pPr>
      <w:r>
        <w:rPr>
          <w:rFonts w:cs="Times New Roman" w:ascii="Times New Roman" w:hAnsi="Times New Roman"/>
          <w:i/>
          <w:lang w:val="en-GB"/>
        </w:rPr>
        <w:t xml:space="preserve">α </w:t>
      </w:r>
      <w:r>
        <w:rPr>
          <w:rFonts w:cs="Times New Roman" w:ascii="Times New Roman" w:hAnsi="Times New Roman"/>
          <w:lang w:val="en-GB"/>
        </w:rPr>
        <w:t xml:space="preserve">= 10; </w:t>
      </w:r>
      <w:r>
        <w:rPr>
          <w:rFonts w:eastAsia="Symbol" w:cs="Symbol" w:ascii="Times New Roman" w:hAnsi="Times New Roman"/>
          <w:i/>
          <w:lang w:val="en-GB"/>
        </w:rPr>
        <w:t>β</w:t>
      </w:r>
      <w:r>
        <w:rPr>
          <w:rFonts w:cs="Times New Roman" w:ascii="Times New Roman" w:hAnsi="Times New Roman"/>
          <w:lang w:val="en-GB"/>
        </w:rPr>
        <w:t xml:space="preserve"> = 5; </w:t>
      </w:r>
      <w:r>
        <w:rPr>
          <w:rFonts w:cs="Times New Roman" w:ascii="Times New Roman" w:hAnsi="Times New Roman"/>
          <w:i/>
          <w:lang w:val="en-GB"/>
        </w:rPr>
        <w:t>σ</w:t>
      </w:r>
      <w:r>
        <w:rPr>
          <w:rFonts w:cs="Times New Roman" w:ascii="Times New Roman" w:hAnsi="Times New Roman"/>
          <w:lang w:val="en-GB"/>
        </w:rPr>
        <w:t xml:space="preserve"> = 1;</w:t>
      </w:r>
    </w:p>
    <w:p>
      <w:pPr>
        <w:pStyle w:val="Normal"/>
        <w:spacing w:lineRule="auto" w:line="480"/>
        <w:rPr>
          <w:lang w:val="en-GB"/>
        </w:rPr>
      </w:pP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 Normal (0, </w:t>
      </w:r>
      <w:r>
        <w:rPr>
          <w:rFonts w:cs="Times New Roman" w:ascii="Times New Roman" w:hAnsi="Times New Roman"/>
          <w:i/>
          <w:lang w:val="en-GB"/>
        </w:rPr>
        <w:t>σ</w:t>
      </w:r>
      <w:r>
        <w:rPr>
          <w:rFonts w:cs="Times New Roman" w:ascii="Times New Roman" w:hAnsi="Times New Roman"/>
          <w:i/>
          <w:vertAlign w:val="subscript"/>
          <w:lang w:val="en-GB"/>
        </w:rPr>
        <w:t>αs</w:t>
      </w:r>
      <w:r>
        <w:rPr>
          <w:rFonts w:cs="Times New Roman" w:ascii="Times New Roman" w:hAnsi="Times New Roman"/>
          <w:lang w:val="en-GB"/>
        </w:rPr>
        <w:t>);</w:t>
      </w:r>
    </w:p>
    <w:p>
      <w:pPr>
        <w:pStyle w:val="Normal"/>
        <w:spacing w:lineRule="auto" w:line="480"/>
        <w:rPr>
          <w:lang w:val="en-GB"/>
        </w:rPr>
      </w:pPr>
      <w:r>
        <w:rPr>
          <w:rFonts w:cs="Times New Roman" w:ascii="Times New Roman" w:hAnsi="Times New Roman"/>
          <w:i/>
          <w:lang w:val="en-GB"/>
        </w:rPr>
        <w:t>σ</w:t>
      </w:r>
      <w:r>
        <w:rPr>
          <w:rFonts w:cs="Times New Roman" w:ascii="Times New Roman" w:hAnsi="Times New Roman"/>
          <w:i/>
          <w:vertAlign w:val="subscript"/>
          <w:lang w:val="en-GB"/>
        </w:rPr>
        <w:t>αs</w:t>
      </w:r>
      <w:r>
        <w:rPr>
          <w:rFonts w:eastAsia="" w:cs="Times New Roman" w:ascii="Times New Roman" w:hAnsi="Times New Roman" w:eastAsiaTheme="minorEastAsia"/>
          <w:lang w:val="en-GB"/>
        </w:rPr>
        <w:t>=2;</w:t>
      </w:r>
    </w:p>
    <w:p>
      <w:pPr>
        <w:pStyle w:val="Normal"/>
        <w:spacing w:lineRule="auto" w:line="480"/>
        <w:rPr>
          <w:lang w:val="en-GB"/>
        </w:rPr>
      </w:pP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 4950 values equally spaced between 0 and 10.</w:t>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b/>
          <w:b/>
          <w:bCs/>
        </w:rPr>
      </w:pPr>
      <w:r>
        <w:rPr>
          <w:rFonts w:cs="Times New Roman" w:ascii="Times New Roman" w:hAnsi="Times New Roman"/>
          <w:b/>
          <w:bCs/>
          <w:lang w:val="en-GB"/>
        </w:rPr>
        <w:t>3.2 Three different models</w:t>
      </w:r>
    </w:p>
    <w:p>
      <w:pPr>
        <w:pStyle w:val="Normal"/>
        <w:spacing w:lineRule="auto" w:line="480"/>
        <w:rPr>
          <w:rFonts w:ascii="Times New Roman" w:hAnsi="Times New Roman" w:cs="Times New Roman"/>
          <w:i/>
          <w:i/>
          <w:lang w:val="en-GB"/>
        </w:rPr>
      </w:pPr>
      <w:r>
        <w:rPr>
          <w:rFonts w:cs="Times New Roman" w:ascii="Times New Roman" w:hAnsi="Times New Roman"/>
          <w:i/>
          <w:lang w:val="en-GB"/>
        </w:rPr>
      </w:r>
    </w:p>
    <w:p>
      <w:pPr>
        <w:pStyle w:val="Normal"/>
        <w:spacing w:lineRule="auto" w:line="480"/>
        <w:rPr>
          <w:lang w:val="en-GB"/>
        </w:rPr>
      </w:pPr>
      <w:r>
        <w:rPr>
          <w:rFonts w:cs="Times New Roman" w:ascii="Times New Roman" w:hAnsi="Times New Roman"/>
          <w:lang w:val="en-GB"/>
        </w:rPr>
        <w:t xml:space="preserve">We analyze the simulated data with three different models. The likelihood, </w:t>
      </w:r>
      <w:r>
        <w:rPr>
          <w:rFonts w:cs="Times New Roman" w:ascii="Times New Roman" w:hAnsi="Times New Roman"/>
          <w:i/>
          <w:lang w:val="en-GB"/>
        </w:rPr>
        <w:t>L</w:t>
      </w:r>
      <w:r>
        <w:rPr>
          <w:rFonts w:cs="Times New Roman" w:ascii="Times New Roman" w:hAnsi="Times New Roman"/>
          <w:lang w:val="en-GB"/>
        </w:rPr>
        <w:t xml:space="preserve">, of the first model, that we call </w:t>
      </w:r>
      <w:r>
        <w:rPr>
          <w:rFonts w:cs="Times New Roman" w:ascii="Times New Roman" w:hAnsi="Times New Roman"/>
          <w:i/>
          <w:lang w:val="en-GB"/>
        </w:rPr>
        <w:t>Model_s_</w:t>
      </w:r>
      <w:r>
        <w:rPr>
          <w:rFonts w:cs="Times New Roman" w:ascii="Times New Roman" w:hAnsi="Times New Roman"/>
          <w:lang w:val="en-GB"/>
        </w:rPr>
        <w:t>0 (“</w:t>
      </w:r>
      <w:r>
        <w:rPr>
          <w:rFonts w:cs="Times New Roman" w:ascii="Times New Roman" w:hAnsi="Times New Roman"/>
          <w:i/>
          <w:lang w:val="en-GB"/>
        </w:rPr>
        <w:t>s</w:t>
      </w:r>
      <w:r>
        <w:rPr>
          <w:rFonts w:cs="Times New Roman" w:ascii="Times New Roman" w:hAnsi="Times New Roman"/>
          <w:lang w:val="en-GB"/>
        </w:rPr>
        <w:t xml:space="preserve">” stands for simulation and “0” denotes the absence of intercepts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is</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i/>
          <w:lang w:val="en-GB"/>
        </w:rPr>
        <w:t>L</w:t>
      </w:r>
      <w:r>
        <w:rPr>
          <w:rFonts w:cs="Times New Roman" w:ascii="Times New Roman" w:hAnsi="Times New Roman"/>
          <w:i/>
          <w:vertAlign w:val="subscript"/>
          <w:lang w:val="en-GB"/>
        </w:rPr>
        <w:t>Model_s_</w:t>
      </w:r>
      <w:r>
        <w:rPr>
          <w:rFonts w:cs="Times New Roman" w:ascii="Times New Roman" w:hAnsi="Times New Roman"/>
          <w:vertAlign w:val="subscript"/>
          <w:lang w:val="en-GB"/>
        </w:rPr>
        <w:t>0</w:t>
      </w:r>
      <w:r>
        <w:rPr>
          <w:rFonts w:cs="Times New Roman" w:ascii="Times New Roman" w:hAnsi="Times New Roman"/>
          <w:lang w:val="en-GB"/>
        </w:rPr>
        <w:t xml:space="preserve"> ~ Normal (</w:t>
      </w:r>
      <w:r>
        <w:rPr>
          <w:rFonts w:cs="Times New Roman" w:ascii="Times New Roman" w:hAnsi="Times New Roman"/>
          <w:i/>
          <w:lang w:val="en-GB"/>
        </w:rPr>
        <w:t xml:space="preserve">α </w:t>
      </w:r>
      <w:r>
        <w:rPr>
          <w:rFonts w:cs="Times New Roman" w:ascii="Times New Roman" w:hAnsi="Times New Roman"/>
          <w:lang w:val="en-GB"/>
        </w:rPr>
        <w:t xml:space="preserve">+ </w:t>
      </w:r>
      <w:r>
        <w:rPr>
          <w:rFonts w:eastAsia="Symbol" w:cs="Symbol" w:ascii="Times New Roman" w:hAnsi="Times New Roman"/>
          <w:i/>
          <w:lang w:val="en-GB"/>
        </w:rPr>
        <w:t>β</w:t>
      </w:r>
      <w:r>
        <w:rPr>
          <w:rFonts w:cs="Times New Roman" w:ascii="Times New Roman" w:hAnsi="Times New Roman"/>
          <w:lang w:val="en-GB"/>
        </w:rPr>
        <w:t xml:space="preserve"> </w:t>
      </w: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w:t>
      </w:r>
      <w:r>
        <w:rPr>
          <w:rFonts w:cs="Times New Roman" w:ascii="Times New Roman" w:hAnsi="Times New Roman"/>
          <w:i/>
          <w:lang w:val="en-GB"/>
        </w:rPr>
        <w:t>σ</w:t>
      </w:r>
      <w:r>
        <w:rPr>
          <w:rFonts w:cs="Times New Roman" w:ascii="Times New Roman" w:hAnsi="Times New Roman"/>
          <w:lang w:val="en-GB"/>
        </w:rPr>
        <w:t>).</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The second model, that we call </w:t>
      </w:r>
      <w:r>
        <w:rPr>
          <w:rFonts w:cs="Times New Roman" w:ascii="Times New Roman" w:hAnsi="Times New Roman"/>
          <w:i/>
          <w:lang w:val="en-GB"/>
        </w:rPr>
        <w:t>Model_ s_</w:t>
      </w:r>
      <w:r>
        <w:rPr>
          <w:rFonts w:cs="Times New Roman" w:ascii="Times New Roman" w:hAnsi="Times New Roman"/>
          <w:lang w:val="en-GB"/>
        </w:rPr>
        <w:t xml:space="preserve">12 (“12” denotes that it has two intercepts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 xml:space="preserve">1 </w:t>
      </w:r>
      <w:r>
        <w:rPr>
          <w:rFonts w:cs="Times New Roman" w:ascii="Times New Roman" w:hAnsi="Times New Roman"/>
          <w:lang w:val="en-GB"/>
        </w:rPr>
        <w:t xml:space="preserve">and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2</w:t>
      </w:r>
      <w:r>
        <w:rPr>
          <w:rFonts w:cs="Times New Roman" w:ascii="Times New Roman" w:hAnsi="Times New Roman"/>
          <w:lang w:val="en-GB"/>
        </w:rPr>
        <w:t>) has likelihood</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i/>
          <w:lang w:val="en-GB"/>
        </w:rPr>
        <w:t>L</w:t>
      </w:r>
      <w:r>
        <w:rPr>
          <w:rFonts w:cs="Times New Roman" w:ascii="Times New Roman" w:hAnsi="Times New Roman"/>
          <w:i/>
          <w:vertAlign w:val="subscript"/>
          <w:lang w:val="en-GB"/>
        </w:rPr>
        <w:t>Model_s _</w:t>
      </w:r>
      <w:r>
        <w:rPr>
          <w:rFonts w:cs="Times New Roman" w:ascii="Times New Roman" w:hAnsi="Times New Roman"/>
          <w:vertAlign w:val="subscript"/>
          <w:lang w:val="en-GB"/>
        </w:rPr>
        <w:t>12</w:t>
      </w:r>
      <w:r>
        <w:rPr>
          <w:rFonts w:cs="Times New Roman" w:ascii="Times New Roman" w:hAnsi="Times New Roman"/>
          <w:lang w:val="en-GB"/>
        </w:rPr>
        <w:t xml:space="preserve"> ~ Normal (</w:t>
      </w:r>
      <w:r>
        <w:rPr>
          <w:rFonts w:eastAsia="Symbol" w:cs="Symbol" w:ascii="Times New Roman" w:hAnsi="Times New Roman"/>
          <w:i/>
          <w:lang w:val="en-GB"/>
        </w:rPr>
        <w:t xml:space="preserve"> </w:t>
      </w:r>
      <w:r>
        <w:rPr>
          <w:rFonts w:cs="Times New Roman" w:ascii="Times New Roman" w:hAnsi="Times New Roman"/>
          <w:i/>
          <w:lang w:val="en-GB"/>
        </w:rPr>
        <w:t>α</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vertAlign w:val="subscript"/>
          <w:lang w:val="en-GB"/>
        </w:rPr>
        <w:t>s1[</w:t>
      </w:r>
      <w:r>
        <w:rPr>
          <w:rFonts w:cs="Times New Roman" w:ascii="Times New Roman" w:hAnsi="Times New Roman"/>
          <w:i/>
          <w:vertAlign w:val="subscript"/>
          <w:lang w:val="en-GB"/>
        </w:rPr>
        <w:t>i</w:t>
      </w:r>
      <w:r>
        <w:rPr>
          <w:rFonts w:cs="Times New Roman" w:ascii="Times New Roman" w:hAnsi="Times New Roman"/>
          <w:vertAlign w:val="subscript"/>
          <w:lang w:val="en-GB"/>
        </w:rPr>
        <w:t>]</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vertAlign w:val="subscript"/>
          <w:lang w:val="en-GB"/>
        </w:rPr>
        <w:t>s2[</w:t>
      </w:r>
      <w:r>
        <w:rPr>
          <w:rFonts w:cs="Times New Roman" w:ascii="Times New Roman" w:hAnsi="Times New Roman"/>
          <w:i/>
          <w:vertAlign w:val="subscript"/>
          <w:lang w:val="en-GB"/>
        </w:rPr>
        <w:t>j</w:t>
      </w:r>
      <w:r>
        <w:rPr>
          <w:rFonts w:cs="Times New Roman" w:ascii="Times New Roman" w:hAnsi="Times New Roman"/>
          <w:vertAlign w:val="subscript"/>
          <w:lang w:val="en-GB"/>
        </w:rPr>
        <w:t>]</w:t>
      </w:r>
      <w:r>
        <w:rPr>
          <w:rFonts w:cs="Times New Roman" w:ascii="Times New Roman" w:hAnsi="Times New Roman"/>
          <w:lang w:val="en-GB"/>
        </w:rPr>
        <w:t xml:space="preserve"> + </w:t>
      </w:r>
      <w:r>
        <w:rPr>
          <w:rFonts w:eastAsia="Symbol" w:cs="Symbol" w:ascii="Times New Roman" w:hAnsi="Times New Roman"/>
          <w:i/>
          <w:lang w:val="en-GB"/>
        </w:rPr>
        <w:t>β</w:t>
      </w: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w:t>
      </w:r>
      <w:r>
        <w:rPr>
          <w:rFonts w:cs="Times New Roman" w:ascii="Times New Roman" w:hAnsi="Times New Roman"/>
          <w:i/>
          <w:lang w:val="en-GB"/>
        </w:rPr>
        <w:t>σ</w:t>
      </w:r>
      <w:r>
        <w:rPr>
          <w:rFonts w:cs="Times New Roman" w:ascii="Times New Roman" w:hAnsi="Times New Roman"/>
          <w:lang w:val="en-GB"/>
        </w:rPr>
        <w:t>)</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where there are two different intercepts,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1[</w:t>
      </w:r>
      <w:r>
        <w:rPr>
          <w:rFonts w:cs="Times New Roman" w:ascii="Times New Roman" w:hAnsi="Times New Roman"/>
          <w:i/>
          <w:vertAlign w:val="subscript"/>
          <w:lang w:val="en-GB"/>
        </w:rPr>
        <w:t>i</w:t>
      </w:r>
      <w:r>
        <w:rPr>
          <w:rFonts w:cs="Times New Roman" w:ascii="Times New Roman" w:hAnsi="Times New Roman"/>
          <w:vertAlign w:val="subscript"/>
          <w:lang w:val="en-GB"/>
        </w:rPr>
        <w:t>],</w:t>
      </w:r>
      <w:r>
        <w:rPr>
          <w:rFonts w:cs="Times New Roman" w:ascii="Times New Roman" w:hAnsi="Times New Roman"/>
          <w:lang w:val="en-GB"/>
        </w:rPr>
        <w:t xml:space="preserv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2[</w:t>
      </w:r>
      <w:r>
        <w:rPr>
          <w:rFonts w:cs="Times New Roman" w:ascii="Times New Roman" w:hAnsi="Times New Roman"/>
          <w:i/>
          <w:vertAlign w:val="subscript"/>
          <w:lang w:val="en-GB"/>
        </w:rPr>
        <w:t>j</w:t>
      </w:r>
      <w:r>
        <w:rPr>
          <w:rFonts w:cs="Times New Roman" w:ascii="Times New Roman" w:hAnsi="Times New Roman"/>
          <w:vertAlign w:val="subscript"/>
          <w:lang w:val="en-GB"/>
        </w:rPr>
        <w:t>]</w:t>
      </w:r>
      <w:r>
        <w:rPr>
          <w:rFonts w:cs="Times New Roman" w:ascii="Times New Roman" w:hAnsi="Times New Roman"/>
          <w:lang w:val="en-GB"/>
        </w:rPr>
        <w:t>, one for each of the sample points. This model violates some of the assumptions implicit in the way the data were generated and it is used to illustrate the problems associated with it.</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lang w:val="en-GB"/>
        </w:rPr>
        <w:t xml:space="preserve">Finally, the third model, that we call </w:t>
      </w:r>
      <w:r>
        <w:rPr>
          <w:rFonts w:cs="Times New Roman" w:ascii="Times New Roman" w:hAnsi="Times New Roman"/>
          <w:i/>
          <w:lang w:val="en-GB"/>
        </w:rPr>
        <w:t>Model_ s_</w:t>
      </w:r>
      <w:r>
        <w:rPr>
          <w:rFonts w:cs="Times New Roman" w:ascii="Times New Roman" w:hAnsi="Times New Roman"/>
          <w:lang w:val="en-GB"/>
        </w:rPr>
        <w:t xml:space="preserve">11 (“11” denotes that the intercept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is used twice) has likelihood </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i/>
          <w:lang w:val="en-GB"/>
        </w:rPr>
        <w:t>L</w:t>
      </w:r>
      <w:r>
        <w:rPr>
          <w:rFonts w:cs="Times New Roman" w:ascii="Times New Roman" w:hAnsi="Times New Roman"/>
          <w:i/>
          <w:vertAlign w:val="subscript"/>
          <w:lang w:val="en-GB"/>
        </w:rPr>
        <w:t>Model_s_</w:t>
      </w:r>
      <w:r>
        <w:rPr>
          <w:rFonts w:cs="Times New Roman" w:ascii="Times New Roman" w:hAnsi="Times New Roman"/>
          <w:vertAlign w:val="subscript"/>
          <w:lang w:val="en-GB"/>
        </w:rPr>
        <w:t>11</w:t>
      </w:r>
      <w:r>
        <w:rPr>
          <w:rFonts w:cs="Times New Roman" w:ascii="Times New Roman" w:hAnsi="Times New Roman"/>
          <w:lang w:val="en-GB"/>
        </w:rPr>
        <w:t xml:space="preserve">  ~ Normal (</w:t>
      </w:r>
      <w:r>
        <w:rPr>
          <w:rFonts w:eastAsia="Symbol" w:cs="Symbol" w:ascii="Times New Roman" w:hAnsi="Times New Roman"/>
          <w:i/>
          <w:lang w:val="en-GB"/>
        </w:rPr>
        <w:t xml:space="preserve"> </w:t>
      </w:r>
      <w:r>
        <w:rPr>
          <w:rFonts w:cs="Times New Roman" w:ascii="Times New Roman" w:hAnsi="Times New Roman"/>
          <w:i/>
          <w:lang w:val="en-GB"/>
        </w:rPr>
        <w:t>α</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vertAlign w:val="subscript"/>
          <w:lang w:val="en-GB"/>
        </w:rPr>
        <w:t>s[</w:t>
      </w:r>
      <w:r>
        <w:rPr>
          <w:rFonts w:cs="Times New Roman" w:ascii="Times New Roman" w:hAnsi="Times New Roman"/>
          <w:i/>
          <w:vertAlign w:val="subscript"/>
          <w:lang w:val="en-GB"/>
        </w:rPr>
        <w:t>i</w:t>
      </w:r>
      <w:r>
        <w:rPr>
          <w:rFonts w:cs="Times New Roman" w:ascii="Times New Roman" w:hAnsi="Times New Roman"/>
          <w:vertAlign w:val="subscript"/>
          <w:lang w:val="en-GB"/>
        </w:rPr>
        <w:t>]</w:t>
      </w:r>
      <w:r>
        <w:rPr>
          <w:rFonts w:cs="Times New Roman" w:ascii="Times New Roman" w:hAnsi="Times New Roman"/>
          <w:lang w:val="en-GB"/>
        </w:rPr>
        <w:t xml:space="preserve"> + </w:t>
      </w:r>
      <w:r>
        <w:rPr>
          <w:rFonts w:cs="Times New Roman" w:ascii="Times New Roman" w:hAnsi="Times New Roman"/>
          <w:i/>
          <w:lang w:val="en-GB"/>
        </w:rPr>
        <w:t xml:space="preserve">α </w:t>
      </w:r>
      <w:r>
        <w:rPr>
          <w:rFonts w:cs="Times New Roman" w:ascii="Times New Roman" w:hAnsi="Times New Roman"/>
          <w:vertAlign w:val="subscript"/>
          <w:lang w:val="en-GB"/>
        </w:rPr>
        <w:t>s[</w:t>
      </w:r>
      <w:r>
        <w:rPr>
          <w:rFonts w:cs="Times New Roman" w:ascii="Times New Roman" w:hAnsi="Times New Roman"/>
          <w:i/>
          <w:vertAlign w:val="subscript"/>
          <w:lang w:val="en-GB"/>
        </w:rPr>
        <w:t>j</w:t>
      </w:r>
      <w:r>
        <w:rPr>
          <w:rFonts w:cs="Times New Roman" w:ascii="Times New Roman" w:hAnsi="Times New Roman"/>
          <w:vertAlign w:val="subscript"/>
          <w:lang w:val="en-GB"/>
        </w:rPr>
        <w:t>]</w:t>
      </w:r>
      <w:r>
        <w:rPr>
          <w:rFonts w:cs="Times New Roman" w:ascii="Times New Roman" w:hAnsi="Times New Roman"/>
          <w:lang w:val="en-GB"/>
        </w:rPr>
        <w:t xml:space="preserve"> + </w:t>
      </w:r>
      <w:r>
        <w:rPr>
          <w:rFonts w:eastAsia="Symbol" w:cs="Symbol" w:ascii="Times New Roman" w:hAnsi="Times New Roman"/>
          <w:i/>
          <w:lang w:val="en-GB"/>
        </w:rPr>
        <w:t>β</w:t>
      </w:r>
      <w:r>
        <w:rPr>
          <w:rFonts w:cs="Times New Roman" w:ascii="Times New Roman" w:hAnsi="Times New Roman"/>
          <w:i/>
          <w:lang w:val="en-GB"/>
        </w:rPr>
        <w:t>x</w:t>
      </w:r>
      <w:r>
        <w:rPr>
          <w:rFonts w:cs="Times New Roman" w:ascii="Times New Roman" w:hAnsi="Times New Roman"/>
          <w:i/>
          <w:vertAlign w:val="subscript"/>
          <w:lang w:val="en-GB"/>
        </w:rPr>
        <w:t>ij</w:t>
      </w:r>
      <w:r>
        <w:rPr>
          <w:rFonts w:cs="Times New Roman" w:ascii="Times New Roman" w:hAnsi="Times New Roman"/>
          <w:lang w:val="en-GB"/>
        </w:rPr>
        <w:t xml:space="preserve">, </w:t>
      </w:r>
      <w:r>
        <w:rPr>
          <w:rFonts w:cs="Times New Roman" w:ascii="Times New Roman" w:hAnsi="Times New Roman"/>
          <w:i/>
          <w:lang w:val="en-GB"/>
        </w:rPr>
        <w:t>σ</w:t>
      </w:r>
      <w:r>
        <w:rPr>
          <w:rFonts w:cs="Times New Roman" w:ascii="Times New Roman" w:hAnsi="Times New Roman"/>
          <w:lang w:val="en-GB"/>
        </w:rPr>
        <w:t>).</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Notice that this is the  model that reproduces the way the data were simulated. </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lang w:val="en-GB"/>
        </w:rPr>
        <w:t>We assumed the following priors</w:t>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i/>
          <w:lang w:val="en-GB"/>
        </w:rPr>
        <w:t xml:space="preserve">α </w:t>
      </w:r>
      <w:r>
        <w:rPr>
          <w:rFonts w:cs="Times New Roman" w:ascii="Times New Roman" w:hAnsi="Times New Roman"/>
          <w:lang w:val="en-GB"/>
        </w:rPr>
        <w:t>~ Normal(10,1) (for all models);</w:t>
      </w:r>
    </w:p>
    <w:p>
      <w:pPr>
        <w:pStyle w:val="Normal"/>
        <w:spacing w:lineRule="auto" w:line="480"/>
        <w:rPr>
          <w:lang w:val="en-GB"/>
        </w:rPr>
      </w:pPr>
      <w:r>
        <w:rPr>
          <w:rFonts w:eastAsia="Symbol" w:cs="Symbol" w:ascii="Times New Roman" w:hAnsi="Times New Roman"/>
          <w:i/>
          <w:lang w:val="en-GB"/>
        </w:rPr>
        <w:t xml:space="preserve">β </w:t>
      </w:r>
      <w:r>
        <w:rPr>
          <w:rFonts w:cs="Times New Roman" w:ascii="Times New Roman" w:hAnsi="Times New Roman"/>
          <w:lang w:val="en-GB"/>
        </w:rPr>
        <w:t>~ Normal(5,1) (for all models);</w:t>
      </w:r>
    </w:p>
    <w:p>
      <w:pPr>
        <w:pStyle w:val="Normal"/>
        <w:spacing w:lineRule="auto" w:line="480"/>
        <w:rPr>
          <w:lang w:val="en-GB"/>
        </w:rPr>
      </w:pPr>
      <w:r>
        <w:rPr>
          <w:rFonts w:cs="Times New Roman" w:ascii="Times New Roman" w:hAnsi="Times New Roman"/>
          <w:i/>
          <w:lang w:val="en-GB"/>
        </w:rPr>
        <w:t xml:space="preserve">σ </w:t>
      </w:r>
      <w:r>
        <w:rPr>
          <w:rFonts w:cs="Times New Roman" w:ascii="Times New Roman" w:hAnsi="Times New Roman"/>
          <w:lang w:val="en-GB"/>
        </w:rPr>
        <w:t>~ Exponential(1) (for all models);</w:t>
      </w:r>
    </w:p>
    <w:p>
      <w:pPr>
        <w:pStyle w:val="Normal"/>
        <w:spacing w:lineRule="auto" w:line="480"/>
        <w:rPr>
          <w:lang w:val="en-GB"/>
        </w:rPr>
      </w:pPr>
      <w:r>
        <w:rPr>
          <w:rFonts w:cs="Times New Roman" w:ascii="Times New Roman" w:hAnsi="Times New Roman"/>
          <w:i/>
          <w:lang w:val="en-GB"/>
        </w:rPr>
        <w:t>α</w:t>
      </w:r>
      <w:r>
        <w:rPr>
          <w:rFonts w:cs="Times New Roman" w:ascii="Times New Roman" w:hAnsi="Times New Roman"/>
          <w:vertAlign w:val="subscript"/>
          <w:lang w:val="en-GB"/>
        </w:rPr>
        <w:t>s</w:t>
      </w:r>
      <w:r>
        <w:rPr>
          <w:rFonts w:cs="Times New Roman" w:ascii="Times New Roman" w:hAnsi="Times New Roman"/>
          <w:lang w:val="en-GB"/>
        </w:rPr>
        <w:t xml:space="preserve"> ~ Normal(0,1)  (for </w:t>
      </w:r>
      <w:r>
        <w:rPr>
          <w:rFonts w:cs="Times New Roman" w:ascii="Times New Roman" w:hAnsi="Times New Roman"/>
          <w:i/>
          <w:lang w:val="en-GB"/>
        </w:rPr>
        <w:t>Model_ s</w:t>
      </w:r>
      <w:r>
        <w:rPr>
          <w:rFonts w:cs="Times New Roman" w:ascii="Times New Roman" w:hAnsi="Times New Roman"/>
          <w:lang w:val="en-GB"/>
        </w:rPr>
        <w:t>_11);</w:t>
      </w:r>
    </w:p>
    <w:p>
      <w:pPr>
        <w:pStyle w:val="Normal"/>
        <w:spacing w:lineRule="auto" w:line="480"/>
        <w:rPr>
          <w:lang w:val="en-GB"/>
        </w:rPr>
      </w:pPr>
      <w:r>
        <w:rPr>
          <w:rFonts w:cs="Times New Roman" w:ascii="Times New Roman" w:hAnsi="Times New Roman"/>
          <w:i/>
          <w:lang w:val="en-GB"/>
        </w:rPr>
        <w:t>α</w:t>
      </w:r>
      <w:r>
        <w:rPr>
          <w:rFonts w:cs="Times New Roman" w:ascii="Times New Roman" w:hAnsi="Times New Roman"/>
          <w:vertAlign w:val="subscript"/>
          <w:lang w:val="en-GB"/>
        </w:rPr>
        <w:t xml:space="preserve">s1 </w:t>
      </w:r>
      <w:r>
        <w:rPr>
          <w:rFonts w:cs="Times New Roman" w:ascii="Times New Roman" w:hAnsi="Times New Roman"/>
          <w:lang w:val="en-GB"/>
        </w:rPr>
        <w:t xml:space="preserve">~ Normal(0,1) (for </w:t>
      </w:r>
      <w:r>
        <w:rPr>
          <w:rFonts w:cs="Times New Roman" w:ascii="Times New Roman" w:hAnsi="Times New Roman"/>
          <w:i/>
          <w:lang w:val="en-GB"/>
        </w:rPr>
        <w:t>Model_ s</w:t>
      </w:r>
      <w:r>
        <w:rPr>
          <w:rFonts w:cs="Times New Roman" w:ascii="Times New Roman" w:hAnsi="Times New Roman"/>
          <w:lang w:val="en-GB"/>
        </w:rPr>
        <w:t>_12);</w:t>
      </w:r>
    </w:p>
    <w:p>
      <w:pPr>
        <w:pStyle w:val="Normal"/>
        <w:spacing w:lineRule="auto" w:line="480"/>
        <w:rPr>
          <w:lang w:val="en-GB"/>
        </w:rPr>
      </w:pPr>
      <w:r>
        <w:rPr>
          <w:rFonts w:cs="Times New Roman" w:ascii="Times New Roman" w:hAnsi="Times New Roman"/>
          <w:i/>
          <w:lang w:val="en-GB"/>
        </w:rPr>
        <w:t>α</w:t>
      </w:r>
      <w:r>
        <w:rPr>
          <w:rFonts w:cs="Times New Roman" w:ascii="Times New Roman" w:hAnsi="Times New Roman"/>
          <w:vertAlign w:val="subscript"/>
          <w:lang w:val="en-GB"/>
        </w:rPr>
        <w:t xml:space="preserve">s2 </w:t>
      </w:r>
      <w:r>
        <w:rPr>
          <w:rFonts w:cs="Times New Roman" w:ascii="Times New Roman" w:hAnsi="Times New Roman"/>
          <w:lang w:val="en-GB"/>
        </w:rPr>
        <w:t xml:space="preserve">~ Normal(0,1) (for </w:t>
      </w:r>
      <w:r>
        <w:rPr>
          <w:rFonts w:cs="Times New Roman" w:ascii="Times New Roman" w:hAnsi="Times New Roman"/>
          <w:i/>
          <w:lang w:val="en-GB"/>
        </w:rPr>
        <w:t>Model_ s</w:t>
      </w:r>
      <w:r>
        <w:rPr>
          <w:rFonts w:cs="Times New Roman" w:ascii="Times New Roman" w:hAnsi="Times New Roman"/>
          <w:lang w:val="en-GB"/>
        </w:rPr>
        <w:t>_12).</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ascii="Times New Roman" w:hAnsi="Times New Roman"/>
          <w:lang w:val="en-GB"/>
        </w:rPr>
        <w:t xml:space="preserve">We run the models with four independent Markov chains to sample from, with 1000 warmup iterations and 3000 sampling iterations. </w:t>
      </w:r>
      <w:r>
        <w:rPr>
          <w:rFonts w:ascii="Times New Roman" w:hAnsi="Times New Roman"/>
          <w:color w:val="000000"/>
          <w:lang w:val="en-GB"/>
        </w:rPr>
        <w:t>We performed all</w:t>
      </w:r>
      <w:r>
        <w:rPr>
          <w:rFonts w:ascii="Times New Roman" w:hAnsi="Times New Roman"/>
          <w:lang w:val="en-GB"/>
        </w:rPr>
        <w:t xml:space="preserve"> calculations with Stan via the R package "rstan" version 2.18.3 (Stan Development Team, 2020).  </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b/>
          <w:b/>
          <w:bCs/>
        </w:rPr>
      </w:pPr>
      <w:r>
        <w:rPr>
          <w:rFonts w:cs="Times New Roman" w:ascii="Times New Roman" w:hAnsi="Times New Roman"/>
          <w:b/>
          <w:bCs/>
          <w:lang w:val="en-GB"/>
        </w:rPr>
        <w:t>3.3 Simulation results</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We start by comparing the estimates of the three models and the values used to generate the simulated data (see Table 1). The three models </w:t>
      </w:r>
      <w:r>
        <w:rPr>
          <w:rFonts w:cs="Times New Roman" w:ascii="Times New Roman" w:hAnsi="Times New Roman"/>
          <w:color w:val="000000"/>
          <w:lang w:val="en-GB"/>
        </w:rPr>
        <w:t>provide</w:t>
      </w:r>
      <w:r>
        <w:rPr>
          <w:rFonts w:cs="Times New Roman" w:ascii="Times New Roman" w:hAnsi="Times New Roman"/>
          <w:lang w:val="en-GB"/>
        </w:rPr>
        <w:t xml:space="preserve"> good estimates of the parameters </w:t>
      </w:r>
      <w:r>
        <w:rPr>
          <w:rFonts w:cs="Times New Roman" w:ascii="Times New Roman" w:hAnsi="Times New Roman"/>
          <w:i/>
          <w:lang w:val="en-GB"/>
        </w:rPr>
        <w:t>α</w:t>
      </w:r>
      <w:r>
        <w:rPr>
          <w:rFonts w:eastAsia="Times New Roman" w:cs="Times New Roman" w:ascii="Times New Roman" w:hAnsi="Times New Roman"/>
          <w:lang w:val="en-GB"/>
        </w:rPr>
        <w:t xml:space="preserve"> and </w:t>
      </w:r>
      <w:r>
        <w:rPr>
          <w:rFonts w:eastAsia="Symbol" w:cs="Symbol" w:ascii="Times New Roman" w:hAnsi="Times New Roman"/>
          <w:i/>
          <w:lang w:val="en-GB"/>
        </w:rPr>
        <w:t>β.</w:t>
      </w:r>
      <w:r>
        <w:rPr>
          <w:rFonts w:eastAsia="Times New Roman" w:cs="Times New Roman" w:ascii="Times New Roman" w:hAnsi="Times New Roman"/>
          <w:lang w:val="en-GB"/>
        </w:rPr>
        <w:t xml:space="preserve"> However, the estimates provided by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eastAsia="Times New Roman" w:cs="Times New Roman" w:ascii="Times New Roman" w:hAnsi="Times New Roman"/>
          <w:i/>
          <w:lang w:val="en-GB"/>
        </w:rPr>
        <w:t xml:space="preserve"> s_</w:t>
      </w:r>
      <w:r>
        <w:rPr>
          <w:rFonts w:eastAsia="Times New Roman" w:cs="Times New Roman" w:ascii="Times New Roman" w:hAnsi="Times New Roman"/>
          <w:lang w:val="en-GB"/>
        </w:rPr>
        <w:t xml:space="preserve">0  have smaller standard errors and narrower </w:t>
      </w:r>
      <w:r>
        <w:rPr>
          <w:rFonts w:cs="Times New Roman" w:ascii="Times New Roman" w:hAnsi="Times New Roman"/>
          <w:lang w:val="en-GB"/>
        </w:rPr>
        <w:t>95% credibility intervals compared to those of the other two models</w:t>
      </w:r>
      <w:r>
        <w:rPr>
          <w:rFonts w:eastAsia="Times New Roman" w:cs="Times New Roman" w:ascii="Times New Roman" w:hAnsi="Times New Roman"/>
          <w:lang w:val="en-GB"/>
        </w:rPr>
        <w:t xml:space="preserve">. This is </w:t>
      </w:r>
      <w:r>
        <w:rPr>
          <w:rFonts w:eastAsia="Times New Roman" w:cs="Times New Roman" w:ascii="Times New Roman" w:hAnsi="Times New Roman"/>
          <w:color w:val="000000"/>
          <w:lang w:val="en-GB"/>
        </w:rPr>
        <w:t>unsurprising</w:t>
      </w:r>
      <w:r>
        <w:rPr>
          <w:rFonts w:eastAsia="Times New Roman" w:cs="Times New Roman" w:ascii="Times New Roman" w:hAnsi="Times New Roman"/>
          <w:lang w:val="en-GB"/>
        </w:rPr>
        <w:t xml:space="preserve">, given that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cs="Times New Roman" w:ascii="Times New Roman" w:hAnsi="Times New Roman"/>
          <w:i/>
          <w:lang w:val="en-GB"/>
        </w:rPr>
        <w:t xml:space="preserve"> s_</w:t>
      </w:r>
      <w:r>
        <w:rPr>
          <w:rFonts w:eastAsia="Times New Roman" w:cs="Times New Roman" w:ascii="Times New Roman" w:hAnsi="Times New Roman"/>
          <w:lang w:val="en-GB"/>
        </w:rPr>
        <w:t xml:space="preserve">0 does not take into account the </w:t>
      </w:r>
      <w:r>
        <w:rPr>
          <w:rFonts w:eastAsia="Times New Roman" w:cs="Times New Roman" w:ascii="Times New Roman" w:hAnsi="Times New Roman"/>
          <w:color w:val="000000" w:themeColor="text1"/>
          <w:lang w:val="en-GB"/>
        </w:rPr>
        <w:t>heterogeneity of the paired comparisons</w:t>
      </w:r>
      <w:r>
        <w:rPr>
          <w:rFonts w:cs="Times New Roman" w:ascii="Times New Roman" w:hAnsi="Times New Roman"/>
          <w:lang w:val="en-GB"/>
        </w:rPr>
        <w:t xml:space="preserve">, thus the credibility intervals terms for </w:t>
      </w:r>
      <w:r>
        <w:rPr>
          <w:rFonts w:cs="Times New Roman" w:ascii="Times New Roman" w:hAnsi="Times New Roman"/>
          <w:i/>
          <w:lang w:val="en-GB"/>
        </w:rPr>
        <w:t>α</w:t>
      </w:r>
      <w:r>
        <w:rPr>
          <w:rFonts w:eastAsia="Times New Roman" w:cs="Times New Roman" w:ascii="Times New Roman" w:hAnsi="Times New Roman"/>
          <w:lang w:val="en-GB"/>
        </w:rPr>
        <w:t xml:space="preserve"> and </w:t>
      </w:r>
      <w:r>
        <w:rPr>
          <w:rFonts w:eastAsia="Symbol" w:cs="Symbol" w:ascii="Times New Roman" w:hAnsi="Times New Roman"/>
          <w:i/>
          <w:lang w:val="en-GB"/>
        </w:rPr>
        <w:t>β</w:t>
      </w:r>
      <w:r>
        <w:rPr>
          <w:rFonts w:eastAsia="Times New Roman" w:cs="Times New Roman" w:ascii="Times New Roman" w:hAnsi="Times New Roman"/>
          <w:lang w:val="en-GB"/>
        </w:rPr>
        <w:t xml:space="preserve"> do not correctly account for the uncertainty in the data and are then “optimistic”.</w:t>
      </w:r>
    </w:p>
    <w:p>
      <w:pPr>
        <w:pStyle w:val="Normal"/>
        <w:spacing w:lineRule="auto" w:line="480"/>
        <w:rPr>
          <w:lang w:val="en-GB"/>
        </w:rPr>
      </w:pPr>
      <w:r>
        <w:rPr>
          <w:lang w:val="en-GB"/>
        </w:rPr>
      </w:r>
    </w:p>
    <w:p>
      <w:pPr>
        <w:pStyle w:val="Normal"/>
        <w:spacing w:lineRule="auto" w:line="480"/>
        <w:rPr>
          <w:lang w:val="en-GB"/>
        </w:rPr>
      </w:pPr>
      <w:r>
        <w:rPr>
          <w:rFonts w:eastAsia="Times New Roman" w:cs="Times New Roman" w:ascii="Times New Roman" w:hAnsi="Times New Roman"/>
          <w:lang w:val="en-GB"/>
        </w:rPr>
        <w:t xml:space="preserve">While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cs="Times New Roman" w:ascii="Times New Roman" w:hAnsi="Times New Roman"/>
          <w:i/>
          <w:lang w:val="en-GB"/>
        </w:rPr>
        <w:t xml:space="preserve"> s_</w:t>
      </w:r>
      <w:r>
        <w:rPr>
          <w:rFonts w:cs="Times New Roman" w:ascii="Times New Roman" w:hAnsi="Times New Roman"/>
          <w:lang w:val="en-GB"/>
        </w:rPr>
        <w:t>1</w:t>
      </w:r>
      <w:r>
        <w:rPr>
          <w:rFonts w:eastAsia="Times New Roman" w:cs="Times New Roman" w:ascii="Times New Roman" w:hAnsi="Times New Roman"/>
          <w:lang w:val="en-GB"/>
        </w:rPr>
        <w:t xml:space="preserve">2 and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cs="Times New Roman" w:ascii="Times New Roman" w:hAnsi="Times New Roman"/>
          <w:i/>
          <w:lang w:val="en-GB"/>
        </w:rPr>
        <w:t xml:space="preserve"> s_</w:t>
      </w:r>
      <w:r>
        <w:rPr>
          <w:rFonts w:eastAsia="Times New Roman" w:cs="Times New Roman" w:ascii="Times New Roman" w:hAnsi="Times New Roman"/>
          <w:lang w:val="en-GB"/>
        </w:rPr>
        <w:t xml:space="preserve">11 provide reasonable estimates for </w:t>
      </w:r>
      <w:r>
        <w:rPr>
          <w:rFonts w:cs="Times New Roman" w:ascii="Times New Roman" w:hAnsi="Times New Roman"/>
          <w:i/>
          <w:lang w:val="en-GB"/>
        </w:rPr>
        <w:t>σ</w:t>
      </w:r>
      <w:r>
        <w:rPr>
          <w:rFonts w:eastAsia="Times New Roman" w:cs="Times New Roman" w:ascii="Times New Roman" w:hAnsi="Times New Roman"/>
          <w:lang w:val="en-GB"/>
        </w:rPr>
        <w:t xml:space="preserve">, the estimate for this parameter provided by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cs="Times New Roman" w:ascii="Times New Roman" w:hAnsi="Times New Roman"/>
          <w:i/>
          <w:lang w:val="en-GB"/>
        </w:rPr>
        <w:t xml:space="preserve"> s_</w:t>
      </w:r>
      <w:r>
        <w:rPr>
          <w:rFonts w:eastAsia="Times New Roman" w:cs="Times New Roman" w:ascii="Times New Roman" w:hAnsi="Times New Roman"/>
          <w:lang w:val="en-GB"/>
        </w:rPr>
        <w:t xml:space="preserve">0 completely misses the simulated value. In fact, under </w:t>
      </w:r>
      <w:r>
        <w:rPr>
          <w:rFonts w:eastAsia="Times New Roman" w:cs="Times New Roman" w:ascii="Times New Roman" w:hAnsi="Times New Roman"/>
          <w:i/>
          <w:lang w:val="en-GB"/>
        </w:rPr>
        <w:t>Model_s_</w:t>
      </w:r>
      <w:r>
        <w:rPr>
          <w:rFonts w:eastAsia="Times New Roman" w:cs="Times New Roman" w:ascii="Times New Roman" w:hAnsi="Times New Roman"/>
          <w:lang w:val="en-GB"/>
        </w:rPr>
        <w:t xml:space="preserve">0 the 95% credibility intervals do not include the simulated value (Table 1). Notice, as well, that the standard error of </w:t>
      </w:r>
      <w:r>
        <w:rPr>
          <w:rFonts w:cs="Times New Roman" w:ascii="Times New Roman" w:hAnsi="Times New Roman"/>
          <w:i/>
          <w:lang w:val="en-GB"/>
        </w:rPr>
        <w:t xml:space="preserve">σ </w:t>
      </w:r>
      <w:r>
        <w:rPr>
          <w:rFonts w:eastAsia="Times New Roman" w:cs="Times New Roman" w:ascii="Times New Roman" w:hAnsi="Times New Roman"/>
          <w:lang w:val="en-GB"/>
        </w:rPr>
        <w:t xml:space="preserve">estimated by </w:t>
      </w:r>
      <w:r>
        <w:rPr>
          <w:rFonts w:eastAsia="Times New Roman" w:cs="Times New Roman" w:ascii="Times New Roman" w:hAnsi="Times New Roman"/>
          <w:i/>
          <w:lang w:val="en-GB"/>
        </w:rPr>
        <w:t>Model</w:t>
      </w:r>
      <w:r>
        <w:rPr>
          <w:rFonts w:eastAsia="Times New Roman" w:cs="Times New Roman" w:ascii="Times New Roman" w:hAnsi="Times New Roman"/>
          <w:lang w:val="en-GB"/>
        </w:rPr>
        <w:t>_</w:t>
      </w:r>
      <w:r>
        <w:rPr>
          <w:rFonts w:cs="Times New Roman" w:ascii="Times New Roman" w:hAnsi="Times New Roman"/>
          <w:i/>
          <w:lang w:val="en-GB"/>
        </w:rPr>
        <w:t xml:space="preserve"> s_</w:t>
      </w:r>
      <w:r>
        <w:rPr>
          <w:rFonts w:eastAsia="Times New Roman" w:cs="Times New Roman" w:ascii="Times New Roman" w:hAnsi="Times New Roman"/>
          <w:lang w:val="en-GB"/>
        </w:rPr>
        <w:t xml:space="preserve">0  is larger than those provided by the other two models. </w:t>
      </w:r>
      <w:r>
        <w:rPr>
          <w:rFonts w:cs="Times New Roman" w:ascii="Times New Roman" w:hAnsi="Times New Roman"/>
          <w:lang w:val="en-GB"/>
        </w:rPr>
        <w:t xml:space="preserve">This happens because the lack of the term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[i]</w:t>
      </w:r>
      <w:r>
        <w:rPr>
          <w:rFonts w:cs="Times New Roman" w:ascii="Times New Roman" w:hAnsi="Times New Roman"/>
          <w:lang w:val="en-GB"/>
        </w:rPr>
        <w:t xml:space="preserve"> +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[j]</w:t>
      </w:r>
      <w:r>
        <w:rPr>
          <w:rFonts w:cs="Times New Roman" w:ascii="Times New Roman" w:hAnsi="Times New Roman"/>
          <w:lang w:val="en-GB"/>
        </w:rPr>
        <w:t xml:space="preserve"> does not allow the heterogeneity of the samples to be considered </w:t>
      </w:r>
      <w:r>
        <w:rPr>
          <w:rFonts w:cs="Times New Roman" w:ascii="Times New Roman" w:hAnsi="Times New Roman"/>
          <w:color w:val="000000"/>
          <w:lang w:val="en-GB"/>
        </w:rPr>
        <w:t>on</w:t>
      </w:r>
      <w:r>
        <w:rPr>
          <w:rFonts w:cs="Times New Roman" w:ascii="Times New Roman" w:hAnsi="Times New Roman"/>
          <w:lang w:val="en-GB"/>
        </w:rPr>
        <w:t xml:space="preserve"> its own and, instead, it is reflected in the value of sigma.</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The inability of the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s_</w:t>
      </w:r>
      <w:r>
        <w:rPr>
          <w:rFonts w:cs="Times New Roman" w:ascii="Times New Roman" w:hAnsi="Times New Roman"/>
          <w:lang w:val="en-GB"/>
        </w:rPr>
        <w:t xml:space="preserve">0 to capture the heterogeneity of the samples can also be seen in the residuals (Fig. 1). </w:t>
      </w:r>
      <w:r>
        <w:rPr>
          <w:rFonts w:cs="Times New Roman" w:ascii="Times New Roman" w:hAnsi="Times New Roman"/>
          <w:color w:val="000000"/>
          <w:lang w:val="en-GB"/>
        </w:rPr>
        <w:t xml:space="preserve">Figure 1 a) </w:t>
      </w:r>
      <w:r>
        <w:rPr>
          <w:rFonts w:cs="Times New Roman" w:ascii="Times New Roman" w:hAnsi="Times New Roman"/>
          <w:color w:val="0E101A"/>
          <w:lang w:val="en-GB"/>
        </w:rPr>
        <w:t xml:space="preserve">shows the residuals from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s_</w:t>
      </w:r>
      <w:r>
        <w:rPr>
          <w:rFonts w:cs="Times New Roman" w:ascii="Times New Roman" w:hAnsi="Times New Roman"/>
          <w:color w:val="0E101A"/>
          <w:lang w:val="en-GB"/>
        </w:rPr>
        <w:t xml:space="preserve">0 (black dots) plotted against the sample </w:t>
      </w:r>
      <w:r>
        <w:rPr>
          <w:rFonts w:cs="Times New Roman" w:ascii="Times New Roman" w:hAnsi="Times New Roman"/>
          <w:color w:val="0E101A"/>
          <w:lang w:val="en-GB"/>
        </w:rPr>
        <w:t>indices</w:t>
      </w:r>
      <w:r>
        <w:rPr>
          <w:rFonts w:cs="Times New Roman" w:ascii="Times New Roman" w:hAnsi="Times New Roman"/>
          <w:color w:val="0E101A"/>
          <w:lang w:val="en-GB"/>
        </w:rPr>
        <w:t xml:space="preserve">. The vertical dashed lines delimit groups of residuals involving a point. Thus, the first group on the left shows paired comparisons between sample 1 and the other 99 samples, corresponding to 99 points. The second group contains pairs involving sample 2, but because the pair [sample 1, sample 2] has already been considered, there are only 98 points. The remaining groups were built in the same way until the residuals of all pairs are shown. The final point on the right corresponds to the paired comparison between sample 99 and sample 100. The numbers in red are the value used to simulate the data for the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color w:val="0E101A"/>
          <w:lang w:val="en-GB"/>
        </w:rPr>
        <w:t xml:space="preserve"> corresponding to the point to which the residuals refer to, but to avoid cluttering the figure, we only show the </w:t>
      </w:r>
      <w:r>
        <w:rPr>
          <w:rFonts w:cs="Times New Roman" w:ascii="Times New Roman" w:hAnsi="Times New Roman"/>
          <w:i/>
          <w:color w:val="0E101A"/>
          <w:lang w:val="en-GB"/>
        </w:rPr>
        <w:t>α</w:t>
      </w:r>
      <w:r>
        <w:rPr>
          <w:rFonts w:cs="Times New Roman" w:ascii="Times New Roman" w:hAnsi="Times New Roman"/>
          <w:i/>
          <w:color w:val="0E101A"/>
          <w:vertAlign w:val="subscript"/>
          <w:lang w:val="en-GB"/>
        </w:rPr>
        <w:t>s</w:t>
      </w:r>
      <w:r>
        <w:rPr>
          <w:rStyle w:val="Emphasis"/>
          <w:rFonts w:cs="Times New Roman" w:ascii="Times New Roman" w:hAnsi="Times New Roman"/>
          <w:color w:val="0E101A"/>
          <w:lang w:val="en-GB"/>
        </w:rPr>
        <w:t xml:space="preserve"> </w:t>
      </w:r>
      <w:r>
        <w:rPr>
          <w:rFonts w:cs="Times New Roman" w:ascii="Times New Roman" w:hAnsi="Times New Roman"/>
          <w:color w:val="0E101A"/>
          <w:lang w:val="en-GB"/>
        </w:rPr>
        <w:t xml:space="preserve">for the first 23 sample points. </w:t>
      </w:r>
      <w:r>
        <w:rPr>
          <w:rFonts w:eastAsia="Times New Roman" w:cs="Times New Roman" w:ascii="Times New Roman" w:hAnsi="Times New Roman"/>
          <w:color w:val="000000" w:themeColor="text1"/>
          <w:lang w:val="en-GB"/>
        </w:rPr>
        <w:t xml:space="preserve">Recall that when a model is valid there should not be any systematic structure in the residuals, the latter being a sign that some contribution is not being included. </w:t>
      </w:r>
      <w:r>
        <w:rPr>
          <w:rFonts w:cs="Times New Roman" w:ascii="Times New Roman" w:hAnsi="Times New Roman"/>
          <w:lang w:val="en-GB"/>
        </w:rPr>
        <w:t xml:space="preserve">Notice from Fig. 1 that the structure of the residuals introduced by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can be visually observed and related to the values of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w:t>
      </w:r>
      <w:r>
        <w:rPr>
          <w:rFonts w:cs="Times New Roman" w:ascii="Times New Roman" w:hAnsi="Times New Roman"/>
          <w:i/>
          <w:vertAlign w:val="subscript"/>
          <w:lang w:val="en-GB"/>
        </w:rPr>
        <w:t xml:space="preserve"> </w:t>
      </w:r>
      <w:r>
        <w:rPr>
          <w:rFonts w:cs="Times New Roman" w:ascii="Times New Roman" w:hAnsi="Times New Roman"/>
          <w:lang w:val="en-GB"/>
        </w:rPr>
        <w:t xml:space="preserve">When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is positive the residuals tend to be negative, and vice-versa when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is negative. The residuals obtained with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_12 and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_11 do not exhibit such structure (Fig. 1b) because in these models the heterogeneity of the samples is now absorbed by the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terms in the models.</w:t>
      </w:r>
    </w:p>
    <w:p>
      <w:pPr>
        <w:pStyle w:val="Normal"/>
        <w:spacing w:lineRule="auto" w:line="480"/>
        <w:ind w:firstLine="72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 xml:space="preserve">The results so far do not provide a reason to choose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_11 </w:t>
      </w:r>
      <w:r>
        <w:rPr>
          <w:rFonts w:cs="Times New Roman" w:ascii="Times New Roman" w:hAnsi="Times New Roman"/>
          <w:color w:val="000000"/>
          <w:lang w:val="en-GB"/>
        </w:rPr>
        <w:t xml:space="preserve">over </w:t>
      </w:r>
      <w:r>
        <w:rPr>
          <w:rFonts w:cs="Times New Roman" w:ascii="Times New Roman" w:hAnsi="Times New Roman"/>
          <w:lang w:val="en-GB"/>
        </w:rPr>
        <w:t xml:space="preserve">model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_12. However, the reason becomes evident once we analyze the posterior distribution of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w:t>
      </w:r>
      <w:r>
        <w:rPr>
          <w:rFonts w:eastAsia="Symbol" w:cs="Symbol" w:ascii="Times New Roman" w:hAnsi="Times New Roman"/>
          <w:i/>
          <w:lang w:val="en-GB"/>
        </w:rPr>
        <w:t>a</w:t>
      </w:r>
      <w:r>
        <w:rPr>
          <w:rFonts w:cs="Times New Roman" w:ascii="Times New Roman" w:hAnsi="Times New Roman"/>
          <w:vertAlign w:val="subscript"/>
          <w:lang w:val="en-GB"/>
        </w:rPr>
        <w:t xml:space="preserve">s2 </w:t>
      </w:r>
      <w:r>
        <w:rPr>
          <w:rFonts w:cs="Times New Roman" w:ascii="Times New Roman" w:hAnsi="Times New Roman"/>
          <w:lang w:val="en-GB"/>
        </w:rPr>
        <w:t xml:space="preserve">(Model_s_12) and </w:t>
      </w:r>
      <w:r>
        <w:rPr>
          <w:rFonts w:cs="Times New Roman" w:ascii="Times New Roman" w:hAnsi="Times New Roman"/>
          <w:i/>
          <w:lang w:val="en-GB"/>
        </w:rPr>
        <w:t>α</w:t>
      </w:r>
      <w:r>
        <w:rPr>
          <w:rFonts w:cs="Times New Roman" w:ascii="Times New Roman" w:hAnsi="Times New Roman"/>
          <w:vertAlign w:val="subscript"/>
          <w:lang w:val="en-GB"/>
        </w:rPr>
        <w:t xml:space="preserve">s </w:t>
      </w:r>
      <w:r>
        <w:rPr>
          <w:rFonts w:cs="Times New Roman" w:ascii="Times New Roman" w:hAnsi="Times New Roman"/>
          <w:lang w:val="en-GB"/>
        </w:rPr>
        <w:t xml:space="preserve">(Model_s_11). For each model there is a total of 100 posteriors for each of these parameters, thus it is not viable to show </w:t>
      </w:r>
      <w:r>
        <w:rPr>
          <w:rFonts w:cs="Times New Roman" w:ascii="Times New Roman" w:hAnsi="Times New Roman"/>
          <w:color w:val="000000"/>
          <w:lang w:val="en-GB"/>
        </w:rPr>
        <w:t>them all</w:t>
      </w:r>
      <w:r>
        <w:rPr>
          <w:rFonts w:cs="Times New Roman" w:ascii="Times New Roman" w:hAnsi="Times New Roman"/>
          <w:lang w:val="en-GB"/>
        </w:rPr>
        <w:t xml:space="preserve">. Instead, we calculated the standard deviation </w:t>
      </w:r>
      <w:r>
        <w:rPr>
          <w:rFonts w:cs="Times New Roman" w:ascii="Times New Roman" w:hAnsi="Times New Roman"/>
          <w:color w:val="000000"/>
          <w:lang w:val="en-GB"/>
        </w:rPr>
        <w:t xml:space="preserve">for </w:t>
      </w:r>
      <w:r>
        <w:rPr>
          <w:rFonts w:cs="Times New Roman" w:ascii="Times New Roman" w:hAnsi="Times New Roman"/>
          <w:lang w:val="en-GB"/>
        </w:rPr>
        <w:t xml:space="preserve">each posterior distribution and plotted the corresponding histograms (Fig. 2). Notice that the smaller values of the standard deviations of the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lang w:val="en-GB"/>
        </w:rPr>
        <w:t xml:space="preserve">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_11) compared with those of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1</w:t>
      </w:r>
      <w:r>
        <w:rPr>
          <w:rFonts w:cs="Times New Roman" w:ascii="Times New Roman" w:hAnsi="Times New Roman"/>
          <w:lang w:val="en-GB"/>
        </w:rPr>
        <w:t xml:space="preserve"> and </w:t>
      </w:r>
      <w:r>
        <w:rPr>
          <w:rFonts w:cs="Times New Roman" w:ascii="Times New Roman" w:hAnsi="Times New Roman"/>
          <w:i/>
          <w:lang w:val="en-GB"/>
        </w:rPr>
        <w:t>α</w:t>
      </w:r>
      <w:r>
        <w:rPr>
          <w:rFonts w:cs="Times New Roman" w:ascii="Times New Roman" w:hAnsi="Times New Roman"/>
          <w:i/>
          <w:vertAlign w:val="subscript"/>
          <w:lang w:val="en-GB"/>
        </w:rPr>
        <w:t>s</w:t>
      </w:r>
      <w:r>
        <w:rPr>
          <w:rFonts w:cs="Times New Roman" w:ascii="Times New Roman" w:hAnsi="Times New Roman"/>
          <w:vertAlign w:val="subscript"/>
          <w:lang w:val="en-GB"/>
        </w:rPr>
        <w:t>2</w:t>
      </w:r>
      <w:r>
        <w:rPr>
          <w:rFonts w:cs="Times New Roman" w:ascii="Times New Roman" w:hAnsi="Times New Roman"/>
          <w:lang w:val="en-GB"/>
        </w:rPr>
        <w:t xml:space="preserve"> (</w:t>
      </w:r>
      <w:r>
        <w:rPr>
          <w:rFonts w:cs="Times New Roman" w:ascii="Times New Roman" w:hAnsi="Times New Roman"/>
          <w:i/>
          <w:lang w:val="en-GB"/>
        </w:rPr>
        <w:t>Model</w:t>
      </w:r>
      <w:r>
        <w:rPr>
          <w:rFonts w:cs="Times New Roman" w:ascii="Times New Roman" w:hAnsi="Times New Roman"/>
          <w:lang w:val="en-GB"/>
        </w:rPr>
        <w:t>_</w:t>
      </w:r>
      <w:r>
        <w:rPr>
          <w:rFonts w:cs="Times New Roman" w:ascii="Times New Roman" w:hAnsi="Times New Roman"/>
          <w:i/>
          <w:lang w:val="en-GB"/>
        </w:rPr>
        <w:t xml:space="preserve"> s</w:t>
      </w:r>
      <w:r>
        <w:rPr>
          <w:rFonts w:cs="Times New Roman" w:ascii="Times New Roman" w:hAnsi="Times New Roman"/>
          <w:lang w:val="en-GB"/>
        </w:rPr>
        <w:t xml:space="preserve">_11). This happens because </w:t>
      </w:r>
      <w:r>
        <w:rPr>
          <w:rFonts w:eastAsia="Times New Roman" w:cs="Times New Roman" w:ascii="Times New Roman" w:hAnsi="Times New Roman"/>
          <w:i/>
          <w:color w:val="000000" w:themeColor="text1"/>
          <w:lang w:val="en-GB"/>
        </w:rPr>
        <w:t>Model_s_</w:t>
      </w:r>
      <w:r>
        <w:rPr>
          <w:rFonts w:eastAsia="Times New Roman" w:cs="Times New Roman" w:ascii="Times New Roman" w:hAnsi="Times New Roman"/>
          <w:color w:val="000000" w:themeColor="text1"/>
          <w:lang w:val="en-GB"/>
        </w:rPr>
        <w:t xml:space="preserve">12 assumes that the first and second samples behave differently, which offers unneeded flexibility in the context of paired comparisons where samples contribute the same no matter their order. This also means that the parameter </w:t>
      </w:r>
      <w:r>
        <w:rPr>
          <w:rFonts w:eastAsia="Symbol" w:cs="Symbol" w:ascii="Times New Roman" w:hAnsi="Times New Roman"/>
          <w:i/>
          <w:color w:val="000000" w:themeColor="text1"/>
          <w:lang w:val="en-GB"/>
        </w:rPr>
        <w:t>a</w:t>
      </w:r>
      <w:r>
        <w:rPr>
          <w:rFonts w:cs="Times New Roman" w:ascii="Times New Roman" w:hAnsi="Times New Roman"/>
          <w:i/>
          <w:vertAlign w:val="subscript"/>
          <w:lang w:val="en-GB"/>
        </w:rPr>
        <w:t>s</w:t>
      </w:r>
      <w:r>
        <w:rPr>
          <w:rFonts w:cs="Times New Roman" w:ascii="Times New Roman" w:hAnsi="Times New Roman"/>
          <w:vertAlign w:val="subscript"/>
          <w:lang w:val="en-GB"/>
        </w:rPr>
        <w:t>1</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i/>
          <w:color w:val="000000" w:themeColor="text1"/>
          <w:vertAlign w:val="subscript"/>
          <w:lang w:val="en-GB"/>
        </w:rPr>
        <w:t>n</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color w:val="000000" w:themeColor="text1"/>
          <w:lang w:val="en-GB"/>
        </w:rPr>
        <w:t xml:space="preserve"> is informed by only those observed comparisons where the </w:t>
      </w:r>
      <w:r>
        <w:rPr>
          <w:rFonts w:eastAsia="Times New Roman" w:cs="Times New Roman" w:ascii="Times New Roman" w:hAnsi="Times New Roman"/>
          <w:i/>
          <w:color w:val="000000" w:themeColor="text1"/>
          <w:lang w:val="en-GB"/>
        </w:rPr>
        <w:t>n</w:t>
      </w:r>
      <w:r>
        <w:rPr>
          <w:rFonts w:eastAsia="Times New Roman" w:cs="Times New Roman" w:ascii="Times New Roman" w:hAnsi="Times New Roman"/>
          <w:color w:val="000000" w:themeColor="text1"/>
          <w:lang w:val="en-GB"/>
        </w:rPr>
        <w:t xml:space="preserve">th sample shows up first, while </w:t>
      </w:r>
      <w:r>
        <w:rPr>
          <w:rFonts w:eastAsia="Symbol" w:cs="Symbol" w:ascii="Times New Roman" w:hAnsi="Times New Roman"/>
          <w:i/>
          <w:color w:val="000000" w:themeColor="text1"/>
          <w:lang w:val="en-GB"/>
        </w:rPr>
        <w:t>a</w:t>
      </w:r>
      <w:r>
        <w:rPr>
          <w:rFonts w:cs="Times New Roman" w:ascii="Times New Roman" w:hAnsi="Times New Roman"/>
          <w:i/>
          <w:vertAlign w:val="subscript"/>
          <w:lang w:val="en-GB"/>
        </w:rPr>
        <w:t>s</w:t>
      </w:r>
      <w:r>
        <w:rPr>
          <w:rFonts w:cs="Times New Roman" w:ascii="Times New Roman" w:hAnsi="Times New Roman"/>
          <w:vertAlign w:val="subscript"/>
          <w:lang w:val="en-GB"/>
        </w:rPr>
        <w:t>2</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i/>
          <w:color w:val="000000" w:themeColor="text1"/>
          <w:vertAlign w:val="subscript"/>
          <w:lang w:val="en-GB"/>
        </w:rPr>
        <w:t>n</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color w:val="000000" w:themeColor="text1"/>
          <w:lang w:val="en-GB"/>
        </w:rPr>
        <w:t xml:space="preserve"> is informed by only those observed comparisons where the </w:t>
      </w:r>
      <w:r>
        <w:rPr>
          <w:rFonts w:eastAsia="Times New Roman" w:cs="Times New Roman" w:ascii="Times New Roman" w:hAnsi="Times New Roman"/>
          <w:i/>
          <w:color w:val="000000" w:themeColor="text1"/>
          <w:lang w:val="en-GB"/>
        </w:rPr>
        <w:t>n</w:t>
      </w:r>
      <w:r>
        <w:rPr>
          <w:rFonts w:eastAsia="Times New Roman" w:cs="Times New Roman" w:ascii="Times New Roman" w:hAnsi="Times New Roman"/>
          <w:color w:val="000000" w:themeColor="text1"/>
          <w:lang w:val="en-GB"/>
        </w:rPr>
        <w:t xml:space="preserve">th sample shows up second. By treating these contributions in the same way </w:t>
      </w:r>
      <w:r>
        <w:rPr>
          <w:rFonts w:eastAsia="Times New Roman" w:cs="Times New Roman" w:ascii="Times New Roman" w:hAnsi="Times New Roman"/>
          <w:i/>
          <w:color w:val="000000" w:themeColor="text1"/>
          <w:lang w:val="en-GB"/>
        </w:rPr>
        <w:t>Model_s_</w:t>
      </w:r>
      <w:r>
        <w:rPr>
          <w:rFonts w:eastAsia="Times New Roman" w:cs="Times New Roman" w:ascii="Times New Roman" w:hAnsi="Times New Roman"/>
          <w:color w:val="000000" w:themeColor="text1"/>
          <w:lang w:val="en-GB"/>
        </w:rPr>
        <w:t xml:space="preserve">11 is able to use both of these comparisons to inform </w:t>
      </w:r>
      <w:r>
        <w:rPr>
          <w:rFonts w:eastAsia="Symbol" w:cs="Symbol" w:ascii="Times New Roman" w:hAnsi="Times New Roman"/>
          <w:i/>
          <w:color w:val="000000" w:themeColor="text1"/>
          <w:lang w:val="en-GB"/>
        </w:rPr>
        <w:t>a</w:t>
      </w:r>
      <w:r>
        <w:rPr>
          <w:rFonts w:cs="Times New Roman" w:ascii="Times New Roman" w:hAnsi="Times New Roman"/>
          <w:i/>
          <w:vertAlign w:val="subscript"/>
          <w:lang w:val="en-GB"/>
        </w:rPr>
        <w:t>s</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i/>
          <w:color w:val="000000" w:themeColor="text1"/>
          <w:vertAlign w:val="subscript"/>
          <w:lang w:val="en-GB"/>
        </w:rPr>
        <w:t>n</w:t>
      </w:r>
      <w:r>
        <w:rPr>
          <w:rFonts w:eastAsia="Times New Roman" w:cs="Times New Roman" w:ascii="Times New Roman" w:hAnsi="Times New Roman"/>
          <w:color w:val="000000" w:themeColor="text1"/>
          <w:vertAlign w:val="subscript"/>
          <w:lang w:val="en-GB"/>
        </w:rPr>
        <w:t>]</w:t>
      </w:r>
      <w:r>
        <w:rPr>
          <w:rFonts w:eastAsia="Times New Roman" w:cs="Times New Roman" w:ascii="Times New Roman" w:hAnsi="Times New Roman"/>
          <w:color w:val="000000" w:themeColor="text1"/>
          <w:lang w:val="en-GB"/>
        </w:rPr>
        <w:t xml:space="preserve"> which then allows for much more precise inferences.</w:t>
      </w:r>
    </w:p>
    <w:p>
      <w:pPr>
        <w:pStyle w:val="Normal"/>
        <w:spacing w:lineRule="auto" w:line="480"/>
        <w:rPr>
          <w:lang w:val="en-GB"/>
        </w:rPr>
      </w:pPr>
      <w:r>
        <w:rPr>
          <w:lang w:val="en-GB"/>
        </w:rPr>
      </w:r>
    </w:p>
    <w:p>
      <w:pPr>
        <w:pStyle w:val="Normal"/>
        <w:spacing w:lineRule="auto" w:line="480"/>
        <w:rPr>
          <w:lang w:val="en-GB"/>
        </w:rPr>
      </w:pPr>
      <w:r>
        <w:rPr>
          <w:lang w:val="en-GB"/>
        </w:rPr>
        <w:t>The code reproducing the simulation was run with R (</w:t>
      </w:r>
      <w:r>
        <w:rPr>
          <w:rFonts w:ascii="Times New Roman" w:hAnsi="Times New Roman"/>
          <w:lang w:val="en-GB"/>
        </w:rPr>
        <w:t>R Core Team 2021) and the</w:t>
      </w:r>
      <w:r>
        <w:rPr>
          <w:lang w:val="en-GB"/>
        </w:rPr>
        <w:t xml:space="preserve"> results can be found in Appendix S1.</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b/>
          <w:bCs/>
          <w:lang w:val="en-GB"/>
        </w:rPr>
        <w:t>4. Case study – Analysing changes in community similarity in riparian plant communities</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bCs/>
          <w:lang w:val="en-GB"/>
        </w:rPr>
        <w:t xml:space="preserve">After having illustrated our method with simulated data, we now apply it to a actual data set </w:t>
      </w:r>
      <w:r>
        <w:rPr>
          <w:rFonts w:ascii="Times New Roman" w:hAnsi="Times New Roman"/>
          <w:lang w:val="en-GB"/>
        </w:rPr>
        <w:t xml:space="preserve">consisting of riparian vegetation inventories obtained between 2003 and 2006 (INAG 2008) in 338 sites distributed across continental Portugal, covering 11 river basins (Fig. 3). In each site all plant species were recorded using the same protocol. From an ecological perspective, </w:t>
      </w:r>
    </w:p>
    <w:p>
      <w:pPr>
        <w:pStyle w:val="Normal"/>
        <w:spacing w:lineRule="auto" w:line="480"/>
        <w:rPr>
          <w:lang w:val="en-GB"/>
        </w:rPr>
      </w:pPr>
      <w:r>
        <w:rPr>
          <w:rFonts w:ascii="Times New Roman" w:hAnsi="Times New Roman"/>
          <w:lang w:val="en-GB"/>
        </w:rPr>
        <w:t xml:space="preserve">our main question is how community similarity (number of species in common) changes as a function of network distance and precipitation difference.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b/>
          <w:b/>
          <w:bCs/>
        </w:rPr>
      </w:pPr>
      <w:r>
        <w:rPr>
          <w:rFonts w:ascii="Times New Roman" w:hAnsi="Times New Roman"/>
          <w:b/>
          <w:bCs/>
          <w:lang w:val="en-GB"/>
        </w:rPr>
        <w:t>4.1 The model</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lang w:val="en-GB"/>
        </w:rPr>
        <w:t>To measure community similarity between pairs of sites, we selected the Sorensen similarity index:</w:t>
      </w:r>
    </w:p>
    <w:p>
      <w:pPr>
        <w:pStyle w:val="Normal"/>
        <w:spacing w:lineRule="auto" w:line="480"/>
        <w:rPr>
          <w:lang w:val="en-GB"/>
        </w:rPr>
      </w:pPr>
      <w:r>
        <w:rPr>
          <w:lang w:val="en-GB"/>
        </w:rPr>
      </w:r>
    </w:p>
    <w:p>
      <w:pPr>
        <w:pStyle w:val="Normal"/>
        <w:spacing w:lineRule="auto" w:line="480"/>
        <w:jc w:val="left"/>
        <w:rPr>
          <w:lang w:val="en-GB"/>
        </w:rPr>
      </w:pPr>
      <w:r>
        <w:rPr/>
      </w:r>
      <m:oMathPara xmlns:m="http://schemas.openxmlformats.org/officeDocument/2006/math">
        <m:oMathParaPr>
          <m:jc m:val="left"/>
        </m:oMathParaPr>
        <m:oMath>
          <m:sSub>
            <m:e>
              <m:r>
                <w:rPr>
                  <w:rFonts w:ascii="Cambria Math" w:hAnsi="Cambria Math"/>
                </w:rPr>
                <m:t xml:space="preserve">Sorensen</m:t>
              </m:r>
            </m:e>
            <m:sub>
              <m:r>
                <w:rPr>
                  <w:rFonts w:ascii="Cambria Math" w:hAnsi="Cambria Math"/>
                </w:rPr>
                <m:t xml:space="preserve">Index</m:t>
              </m:r>
            </m:sub>
          </m:sSub>
          <m:r>
            <w:rPr>
              <w:rFonts w:ascii="Cambria Math" w:hAnsi="Cambria Math"/>
            </w:rPr>
            <m:t xml:space="preserve">=</m:t>
          </m:r>
          <m:f>
            <m:num>
              <m:r>
                <w:rPr>
                  <w:rFonts w:ascii="Cambria Math" w:hAnsi="Cambria Math"/>
                </w:rPr>
                <m:t xml:space="preserve">a</m:t>
              </m:r>
            </m:num>
            <m:den>
              <m:f>
                <m:fPr>
                  <m:type m:val="lin"/>
                </m:fPr>
                <m:num>
                  <m:d>
                    <m:dPr>
                      <m:begChr m:val="("/>
                      <m:endChr m:val=")"/>
                    </m:dPr>
                    <m:e>
                      <m:r>
                        <w:rPr>
                          <w:rFonts w:ascii="Cambria Math" w:hAnsi="Cambria Math"/>
                        </w:rPr>
                        <m:t xml:space="preserve">2</m:t>
                      </m:r>
                      <m:r>
                        <w:rPr>
                          <w:rFonts w:ascii="Cambria Math" w:hAnsi="Cambria Math"/>
                        </w:rPr>
                        <m:t xml:space="preserve">a</m:t>
                      </m:r>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c</m:t>
                      </m:r>
                    </m:e>
                  </m:d>
                </m:num>
                <m:den>
                  <m:r>
                    <w:rPr>
                      <w:rFonts w:ascii="Cambria Math" w:hAnsi="Cambria Math"/>
                    </w:rPr>
                    <m:t xml:space="preserve">2</m:t>
                  </m:r>
                </m:den>
              </m:f>
            </m:den>
          </m:f>
        </m:oMath>
      </m:oMathPara>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where </w:t>
      </w:r>
      <w:r>
        <w:rPr>
          <w:rFonts w:ascii="Times New Roman" w:hAnsi="Times New Roman"/>
          <w:i/>
          <w:iCs/>
          <w:lang w:val="en-GB"/>
        </w:rPr>
        <w:t>a</w:t>
      </w:r>
      <w:r>
        <w:rPr>
          <w:rFonts w:ascii="Times New Roman" w:hAnsi="Times New Roman"/>
          <w:lang w:val="en-GB"/>
        </w:rPr>
        <w:t xml:space="preserve"> is the number of shared species, and </w:t>
      </w:r>
      <w:r>
        <w:rPr>
          <w:rFonts w:ascii="Times New Roman" w:hAnsi="Times New Roman"/>
          <w:i/>
          <w:iCs/>
          <w:lang w:val="en-GB"/>
        </w:rPr>
        <w:t>b</w:t>
      </w:r>
      <w:r>
        <w:rPr>
          <w:rFonts w:ascii="Times New Roman" w:hAnsi="Times New Roman"/>
          <w:lang w:val="en-GB"/>
        </w:rPr>
        <w:t xml:space="preserve"> and </w:t>
      </w:r>
      <w:r>
        <w:rPr>
          <w:rFonts w:ascii="Times New Roman" w:hAnsi="Times New Roman"/>
          <w:i/>
          <w:lang w:val="en-GB"/>
        </w:rPr>
        <w:t>c</w:t>
      </w:r>
      <w:r>
        <w:rPr>
          <w:rFonts w:ascii="Times New Roman" w:hAnsi="Times New Roman"/>
          <w:lang w:val="en-GB"/>
        </w:rPr>
        <w:t xml:space="preserve"> are the number of unique species to each site. The Sorensen index is simply the number of species in common between two plots divided by their average number of species. A Sorensen index of 1 indicates that communities have the same composition, while 0 indicates that communities have no species in common. </w:t>
      </w:r>
    </w:p>
    <w:p>
      <w:pPr>
        <w:pStyle w:val="Normal"/>
        <w:spacing w:lineRule="auto" w:line="480"/>
        <w:rPr>
          <w:lang w:val="en-GB"/>
        </w:rPr>
      </w:pPr>
      <w:r>
        <w:rPr>
          <w:rFonts w:ascii="Times New Roman" w:hAnsi="Times New Roman"/>
          <w:lang w:val="en-GB"/>
        </w:rPr>
        <w:t xml:space="preserve">We considered two covariates, the network distance and the precipitation difference. </w:t>
      </w:r>
      <w:r>
        <w:rPr>
          <w:rFonts w:cs="Times New Roman" w:ascii="Times New Roman" w:hAnsi="Times New Roman"/>
          <w:kern w:val="0"/>
          <w:lang w:val="en-GB"/>
        </w:rPr>
        <w:t>The network distance is the distance between two sites along the river network.</w:t>
      </w:r>
      <w:r>
        <w:rPr>
          <w:rFonts w:ascii="Times New Roman" w:hAnsi="Times New Roman"/>
          <w:lang w:val="en-GB"/>
        </w:rPr>
        <w:t xml:space="preserve"> Precipitation difference is the absolute value of the difference in mean annual precipitation between two sites. We used data between 1960 and 1990 from Monteiro-Henriques et al. (2016).</w:t>
      </w:r>
    </w:p>
    <w:p>
      <w:pPr>
        <w:pStyle w:val="Normal"/>
        <w:spacing w:lineRule="auto" w:line="480"/>
        <w:rPr>
          <w:rFonts w:ascii="Times New Roman" w:hAnsi="Times New Roman"/>
          <w:shd w:fill="FFFF00" w:val="clear"/>
          <w:lang w:val="en-GB"/>
        </w:rPr>
      </w:pPr>
      <w:r>
        <w:rPr>
          <w:rFonts w:ascii="Times New Roman" w:hAnsi="Times New Roman"/>
          <w:shd w:fill="FFFF00" w:val="clear"/>
          <w:lang w:val="en-GB"/>
        </w:rPr>
      </w:r>
    </w:p>
    <w:p>
      <w:pPr>
        <w:pStyle w:val="Normal"/>
        <w:spacing w:lineRule="auto" w:line="480"/>
        <w:rPr>
          <w:lang w:val="en-GB"/>
        </w:rPr>
      </w:pPr>
      <w:r>
        <w:rPr>
          <w:rFonts w:ascii="Times New Roman" w:hAnsi="Times New Roman"/>
          <w:lang w:val="en-GB"/>
        </w:rPr>
        <w:t xml:space="preserve">Since Sorensen indices are defined on the interval [0, 1], we chose a Beta distribution because it is also defined in the same interval (Kruschke, 2010). </w:t>
      </w:r>
      <w:r>
        <w:rPr>
          <w:rFonts w:eastAsia="Times New Roman" w:cs="Times New Roman" w:ascii="Times New Roman" w:hAnsi="Times New Roman"/>
          <w:color w:val="000000" w:themeColor="text1"/>
          <w:lang w:val="en-GB"/>
        </w:rPr>
        <w:t xml:space="preserve">We used the Beta distribution parameterised by the mean </w:t>
      </w:r>
      <w:r>
        <w:rPr>
          <w:rFonts w:eastAsia="Times New Roman" w:cs="Times New Roman" w:ascii="Times New Roman" w:hAnsi="Times New Roman"/>
          <w:i/>
          <w:color w:val="000000" w:themeColor="text1"/>
          <w:lang w:val="en-GB"/>
        </w:rPr>
        <w:t>μ</w:t>
      </w:r>
      <w:r>
        <w:rPr>
          <w:rFonts w:eastAsia="Times New Roman" w:cs="Times New Roman" w:ascii="Times New Roman" w:hAnsi="Times New Roman"/>
          <w:color w:val="000000" w:themeColor="text1"/>
          <w:lang w:val="en-GB"/>
        </w:rPr>
        <w:t xml:space="preserve"> and sample size </w:t>
      </w:r>
      <w:r>
        <w:rPr>
          <w:rFonts w:eastAsia="Times New Roman" w:cs="Times New Roman" w:ascii="Times New Roman" w:hAnsi="Times New Roman"/>
          <w:i/>
          <w:color w:val="000000" w:themeColor="text1"/>
          <w:lang w:val="en-GB"/>
        </w:rPr>
        <w:t>κ</w:t>
      </w:r>
      <w:r>
        <w:rPr>
          <w:rFonts w:eastAsia="Times New Roman" w:cs="Times New Roman" w:ascii="Times New Roman" w:hAnsi="Times New Roman"/>
          <w:color w:val="000000" w:themeColor="text1"/>
          <w:lang w:val="en-GB"/>
        </w:rPr>
        <w:t xml:space="preserve"> so that we can isolate heterogeneity into the location of the beta density function</w:t>
      </w:r>
      <w:r>
        <w:rPr>
          <w:rFonts w:ascii="Times New Roman" w:hAnsi="Times New Roman"/>
          <w:lang w:val="en-GB"/>
        </w:rPr>
        <w:t xml:space="preserve">. This parameterisation has the advantage of allowing us to model the mean </w:t>
      </w:r>
      <w:r>
        <w:rPr>
          <w:rFonts w:ascii="Times New Roman" w:hAnsi="Times New Roman"/>
          <w:color w:val="000000"/>
          <w:lang w:val="en-GB"/>
        </w:rPr>
        <w:t>as a function of</w:t>
      </w:r>
      <w:r>
        <w:rPr>
          <w:rFonts w:ascii="Times New Roman" w:hAnsi="Times New Roman"/>
          <w:lang w:val="en-GB"/>
        </w:rPr>
        <w:t xml:space="preserve"> covariates. The parameter </w:t>
      </w:r>
      <w:r>
        <w:rPr>
          <w:rFonts w:ascii="Times New Roman" w:hAnsi="Times New Roman"/>
          <w:bCs/>
          <w:i/>
          <w:lang w:val="en-GB"/>
        </w:rPr>
        <w:t>κ</w:t>
      </w:r>
      <w:r>
        <w:rPr>
          <w:rFonts w:ascii="Times New Roman" w:hAnsi="Times New Roman"/>
          <w:lang w:val="en-GB"/>
        </w:rPr>
        <w:t xml:space="preserve"> relates to the variance, </w:t>
      </w:r>
      <w:r>
        <w:rPr>
          <w:rFonts w:ascii="Times New Roman" w:hAnsi="Times New Roman"/>
          <w:i/>
          <w:lang w:val="en-GB"/>
        </w:rPr>
        <w:t>var</w:t>
      </w:r>
      <w:r>
        <w:rPr>
          <w:rFonts w:ascii="Times New Roman" w:hAnsi="Times New Roman"/>
          <w:lang w:val="en-GB"/>
        </w:rPr>
        <w:t xml:space="preserve">, </w:t>
      </w:r>
      <w:r>
        <w:rPr>
          <w:rFonts w:ascii="Times New Roman" w:hAnsi="Times New Roman"/>
          <w:bCs/>
          <w:lang w:val="en-GB"/>
        </w:rPr>
        <w:t xml:space="preserve">through the following relationship </w:t>
      </w:r>
      <w:r>
        <w:rPr/>
      </w:r>
      <m:oMath xmlns:m="http://schemas.openxmlformats.org/officeDocument/2006/math">
        <m:r>
          <w:rPr>
            <w:rFonts w:ascii="Cambria Math" w:hAnsi="Cambria Math"/>
          </w:rPr>
          <m:t xml:space="preserve">var</m:t>
        </m:r>
        <m:r>
          <w:rPr>
            <w:rFonts w:ascii="Cambria Math" w:hAnsi="Cambria Math"/>
          </w:rPr>
          <m:t xml:space="preserve">=</m:t>
        </m:r>
        <m:f>
          <m:num>
            <m:r>
              <w:rPr>
                <w:rFonts w:ascii="Cambria Math" w:hAnsi="Cambria Math"/>
              </w:rPr>
              <m:t xml:space="preserve">μ</m:t>
            </m:r>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μ</m:t>
                </m:r>
              </m:e>
            </m:d>
          </m:num>
          <m:den>
            <m:d>
              <m:dPr>
                <m:begChr m:val="("/>
                <m:endChr m:val=")"/>
              </m:dPr>
              <m:e>
                <m:r>
                  <w:rPr>
                    <w:rFonts w:ascii="Cambria Math" w:hAnsi="Cambria Math"/>
                  </w:rPr>
                  <m:t xml:space="preserve">κ</m:t>
                </m:r>
                <m:r>
                  <w:rPr>
                    <w:rFonts w:ascii="Cambria Math" w:hAnsi="Cambria Math"/>
                  </w:rPr>
                  <m:t xml:space="preserve">+</m:t>
                </m:r>
                <m:r>
                  <w:rPr>
                    <w:rFonts w:ascii="Cambria Math" w:hAnsi="Cambria Math"/>
                  </w:rPr>
                  <m:t xml:space="preserve">1</m:t>
                </m:r>
              </m:e>
            </m:d>
          </m:den>
        </m:f>
      </m:oMath>
      <w:r>
        <w:rPr>
          <w:rFonts w:ascii="Times New Roman" w:hAnsi="Times New Roman"/>
          <w:bCs/>
          <w:lang w:val="en-GB"/>
        </w:rPr>
        <w:t xml:space="preserve">.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The data were collected </w:t>
      </w:r>
      <w:r>
        <w:rPr>
          <w:rFonts w:ascii="Times New Roman" w:hAnsi="Times New Roman"/>
          <w:color w:val="000000"/>
          <w:lang w:val="en-GB"/>
        </w:rPr>
        <w:t>along</w:t>
      </w:r>
      <w:r>
        <w:rPr>
          <w:rFonts w:ascii="Times New Roman" w:hAnsi="Times New Roman"/>
          <w:lang w:val="en-GB"/>
        </w:rPr>
        <w:t xml:space="preserve"> 11 river basins, therefore, we included the varying slopes, </w:t>
      </w:r>
      <w:r>
        <w:rPr>
          <w:rFonts w:ascii="Times New Roman" w:hAnsi="Times New Roman"/>
          <w:bCs/>
          <w:i/>
          <w:lang w:val="en-GB"/>
        </w:rPr>
        <w:t>β</w:t>
      </w:r>
      <w:r>
        <w:rPr>
          <w:rFonts w:ascii="Times New Roman" w:hAnsi="Times New Roman"/>
          <w:bCs/>
          <w:vertAlign w:val="subscript"/>
          <w:lang w:val="en-GB"/>
        </w:rPr>
        <w:t>1[basin]</w:t>
      </w:r>
      <w:r>
        <w:rPr>
          <w:rFonts w:ascii="Times New Roman" w:hAnsi="Times New Roman"/>
          <w:b/>
          <w:bCs/>
          <w:position w:val="-1"/>
          <w:lang w:val="en-GB"/>
        </w:rPr>
        <w:t xml:space="preserve"> </w:t>
      </w:r>
      <w:r>
        <w:rPr>
          <w:rFonts w:ascii="Times New Roman" w:hAnsi="Times New Roman"/>
          <w:bCs/>
          <w:position w:val="-1"/>
          <w:lang w:val="en-GB"/>
        </w:rPr>
        <w:t xml:space="preserve">and </w:t>
      </w:r>
      <w:r>
        <w:rPr>
          <w:rFonts w:ascii="Times New Roman" w:hAnsi="Times New Roman"/>
          <w:bCs/>
          <w:i/>
          <w:lang w:val="en-GB"/>
        </w:rPr>
        <w:t>β</w:t>
      </w:r>
      <w:r>
        <w:rPr>
          <w:rFonts w:ascii="Times New Roman" w:hAnsi="Times New Roman"/>
          <w:bCs/>
          <w:vertAlign w:val="subscript"/>
          <w:lang w:val="en-GB"/>
        </w:rPr>
        <w:t>2[basin]</w:t>
      </w:r>
      <w:r>
        <w:rPr>
          <w:rFonts w:ascii="Times New Roman" w:hAnsi="Times New Roman"/>
          <w:b/>
          <w:bCs/>
          <w:position w:val="-1"/>
          <w:lang w:val="en-GB"/>
        </w:rPr>
        <w:t xml:space="preserve"> </w:t>
      </w:r>
      <w:r>
        <w:rPr>
          <w:rFonts w:ascii="Times New Roman" w:hAnsi="Times New Roman"/>
          <w:lang w:val="en-GB"/>
        </w:rPr>
        <w:t xml:space="preserve">to allow the relationship between </w:t>
      </w:r>
      <w:r>
        <w:rPr>
          <w:rFonts w:ascii="Times New Roman" w:hAnsi="Times New Roman"/>
          <w:iCs/>
          <w:lang w:val="en-GB"/>
        </w:rPr>
        <w:t>S</w:t>
      </w:r>
      <w:r>
        <w:rPr>
          <w:rFonts w:ascii="Times New Roman" w:hAnsi="Times New Roman"/>
          <w:lang w:val="en-GB"/>
        </w:rPr>
        <w:t xml:space="preserve">orensen index and the covariates “network distance” and “precipitation difference” to change across </w:t>
      </w:r>
      <w:r>
        <w:rPr>
          <w:rFonts w:ascii="Times New Roman" w:hAnsi="Times New Roman"/>
          <w:color w:val="000000"/>
          <w:lang w:val="en-GB"/>
        </w:rPr>
        <w:t>basins</w:t>
      </w:r>
      <w:r>
        <w:rPr>
          <w:rFonts w:ascii="Times New Roman" w:hAnsi="Times New Roman"/>
          <w:lang w:val="en-GB"/>
        </w:rPr>
        <w:t xml:space="preserve">. To incorporate sensitivity to the covariates while ensuring that </w:t>
      </w:r>
      <w:r>
        <w:rPr>
          <w:rFonts w:ascii="Times New Roman" w:hAnsi="Times New Roman"/>
          <w:bCs/>
          <w:i/>
          <w:lang w:val="en-GB"/>
        </w:rPr>
        <w:t>μ</w:t>
      </w:r>
      <w:r>
        <w:rPr>
          <w:rFonts w:ascii="Times New Roman" w:hAnsi="Times New Roman"/>
          <w:lang w:val="en-GB"/>
        </w:rPr>
        <w:t xml:space="preserve"> is bounded between 0 and 1 we used the logit of </w:t>
      </w:r>
      <w:r>
        <w:rPr>
          <w:rFonts w:ascii="Times New Roman" w:hAnsi="Times New Roman"/>
          <w:bCs/>
          <w:i/>
          <w:lang w:val="en-GB"/>
        </w:rPr>
        <w:t>μ</w:t>
      </w:r>
      <w:r>
        <w:rPr>
          <w:rFonts w:ascii="Times New Roman" w:hAnsi="Times New Roman"/>
          <w:lang w:val="en-GB"/>
        </w:rPr>
        <w:t>. The final model is:</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bCs/>
          <w:i/>
          <w:lang w:val="en-GB"/>
        </w:rPr>
        <w:t>Likelihood:</w:t>
      </w:r>
    </w:p>
    <w:p>
      <w:pPr>
        <w:pStyle w:val="Normal"/>
        <w:spacing w:lineRule="auto" w:line="480"/>
        <w:rPr>
          <w:lang w:val="en-GB"/>
        </w:rPr>
      </w:pPr>
      <w:r>
        <w:rPr>
          <w:rFonts w:ascii="Times New Roman" w:hAnsi="Times New Roman"/>
          <w:lang w:val="en-GB"/>
        </w:rPr>
        <w:t>Sorensen index ~ Beta distribution</w:t>
      </w:r>
      <w:r>
        <w:rPr>
          <w:rFonts w:ascii="Times New Roman" w:hAnsi="Times New Roman"/>
          <w:b/>
          <w:bCs/>
          <w:lang w:val="en-GB"/>
        </w:rPr>
        <w:t xml:space="preserve"> </w:t>
      </w:r>
      <w:r>
        <w:rPr>
          <w:rFonts w:ascii="Times New Roman" w:hAnsi="Times New Roman"/>
          <w:bCs/>
          <w:lang w:val="en-GB"/>
        </w:rPr>
        <w:t>(</w:t>
      </w:r>
      <w:r>
        <w:rPr>
          <w:rFonts w:ascii="Times New Roman" w:hAnsi="Times New Roman"/>
          <w:bCs/>
          <w:i/>
          <w:lang w:val="en-GB"/>
        </w:rPr>
        <w:t>μ</w:t>
      </w:r>
      <w:r>
        <w:rPr>
          <w:rFonts w:ascii="Times New Roman" w:hAnsi="Times New Roman"/>
          <w:bCs/>
          <w:lang w:val="en-GB"/>
        </w:rPr>
        <w:t xml:space="preserve">, </w:t>
      </w:r>
      <w:r>
        <w:rPr>
          <w:rFonts w:ascii="Times New Roman" w:hAnsi="Times New Roman"/>
          <w:bCs/>
          <w:i/>
          <w:lang w:val="en-GB"/>
        </w:rPr>
        <w:t>κ</w:t>
      </w:r>
      <w:r>
        <w:rPr>
          <w:rFonts w:ascii="Times New Roman" w:hAnsi="Times New Roman"/>
          <w:bCs/>
          <w:lang w:val="en-GB"/>
        </w:rPr>
        <w:t>)</w:t>
      </w:r>
    </w:p>
    <w:p>
      <w:pPr>
        <w:pStyle w:val="Normal"/>
        <w:spacing w:lineRule="auto" w:line="480"/>
        <w:rPr>
          <w:lang w:val="en-GB"/>
        </w:rPr>
      </w:pPr>
      <w:r>
        <w:rPr>
          <w:rFonts w:ascii="Times New Roman" w:hAnsi="Times New Roman"/>
          <w:bCs/>
          <w:i/>
          <w:lang w:val="en-GB"/>
        </w:rPr>
        <w:t>μ</w:t>
      </w:r>
      <w:r>
        <w:rPr>
          <w:rFonts w:ascii="Times New Roman" w:hAnsi="Times New Roman"/>
          <w:lang w:val="en-GB"/>
        </w:rPr>
        <w:t xml:space="preserve"> </w:t>
      </w:r>
      <w:r>
        <w:rPr>
          <w:rFonts w:ascii="Times New Roman" w:hAnsi="Times New Roman"/>
          <w:b/>
          <w:bCs/>
          <w:lang w:val="en-GB"/>
        </w:rPr>
        <w:t xml:space="preserve">= </w:t>
      </w:r>
      <w:r>
        <w:rPr>
          <w:rFonts w:ascii="Times New Roman" w:hAnsi="Times New Roman"/>
          <w:bCs/>
          <w:lang w:val="en-GB"/>
        </w:rPr>
        <w:t>logistic(</w:t>
      </w:r>
      <w:r>
        <w:rPr>
          <w:rFonts w:ascii="Times New Roman" w:hAnsi="Times New Roman"/>
          <w:bCs/>
          <w:i/>
          <w:lang w:val="en-GB"/>
        </w:rPr>
        <w:t>α</w:t>
      </w:r>
      <w:r>
        <w:rPr>
          <w:rFonts w:ascii="Times New Roman" w:hAnsi="Times New Roman"/>
          <w:bCs/>
          <w:lang w:val="en-GB"/>
        </w:rPr>
        <w:t xml:space="preserve"> +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[sample 1]</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position w:val="-1"/>
          <w:lang w:val="en-GB"/>
        </w:rPr>
        <w:t xml:space="preserve"> </w:t>
      </w:r>
      <w:r>
        <w:rPr>
          <w:rFonts w:ascii="Times New Roman" w:hAnsi="Times New Roman"/>
          <w:bCs/>
          <w:i/>
          <w:iCs/>
          <w:lang w:val="en-GB"/>
        </w:rPr>
        <w:t>α</w:t>
      </w:r>
      <w:r>
        <w:rPr>
          <w:rFonts w:ascii="Times New Roman" w:hAnsi="Times New Roman"/>
          <w:bCs/>
          <w:i/>
          <w:iCs/>
          <w:vertAlign w:val="subscript"/>
          <w:lang w:val="en-GB"/>
        </w:rPr>
        <w:t>s</w:t>
      </w:r>
      <w:r>
        <w:rPr>
          <w:rFonts w:ascii="Times New Roman" w:hAnsi="Times New Roman"/>
          <w:bCs/>
          <w:vertAlign w:val="subscript"/>
          <w:lang w:val="en-GB"/>
        </w:rPr>
        <w:t>[sample 2]</w:t>
      </w:r>
      <w:r>
        <w:rPr>
          <w:rFonts w:ascii="Times New Roman" w:hAnsi="Times New Roman"/>
          <w:bCs/>
          <w:position w:val="-1"/>
          <w:lang w:val="en-GB"/>
        </w:rPr>
        <w:t xml:space="preserve"> </w:t>
      </w:r>
      <w:r>
        <w:rPr>
          <w:rFonts w:ascii="Times New Roman" w:hAnsi="Times New Roman"/>
          <w:bCs/>
          <w:lang w:val="en-GB"/>
        </w:rPr>
        <w:t xml:space="preserve"> </w:t>
      </w:r>
      <w:r>
        <w:rPr>
          <w:rFonts w:ascii="Times New Roman" w:hAnsi="Times New Roman"/>
          <w:bCs/>
          <w:position w:val="-1"/>
          <w:lang w:val="en-GB"/>
        </w:rPr>
        <w:t xml:space="preserve"> </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c</w:t>
      </w:r>
      <w:r>
        <w:rPr>
          <w:rFonts w:ascii="Times New Roman" w:hAnsi="Times New Roman"/>
          <w:bCs/>
          <w:vertAlign w:val="subscript"/>
          <w:lang w:val="en-GB"/>
        </w:rPr>
        <w:t>[basin]</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i/>
          <w:lang w:val="en-GB"/>
        </w:rPr>
        <w:t>β</w:t>
      </w:r>
      <w:r>
        <w:rPr>
          <w:rFonts w:ascii="Times New Roman" w:hAnsi="Times New Roman"/>
          <w:bCs/>
          <w:vertAlign w:val="subscript"/>
          <w:lang w:val="en-GB"/>
        </w:rPr>
        <w:t>1[basin]</w:t>
      </w:r>
      <w:r>
        <w:rPr>
          <w:rFonts w:ascii="Times New Roman" w:hAnsi="Times New Roman"/>
          <w:b/>
          <w:bCs/>
          <w:position w:val="-1"/>
          <w:lang w:val="en-GB"/>
        </w:rPr>
        <w:t xml:space="preserve"> </w:t>
      </w:r>
      <w:r>
        <w:rPr>
          <w:rFonts w:ascii="Times New Roman" w:hAnsi="Times New Roman"/>
          <w:bCs/>
          <w:position w:val="-1"/>
          <w:lang w:val="en-GB"/>
        </w:rPr>
        <w:t>*(</w:t>
      </w:r>
      <w:r>
        <w:rPr>
          <w:rFonts w:ascii="Times New Roman" w:hAnsi="Times New Roman"/>
          <w:lang w:val="en-GB"/>
        </w:rPr>
        <w:t>Network distance)</w:t>
      </w:r>
      <w:r>
        <w:rPr>
          <w:rFonts w:ascii="Times New Roman" w:hAnsi="Times New Roman"/>
          <w:b/>
          <w:bCs/>
          <w:lang w:val="en-GB"/>
        </w:rPr>
        <w:t xml:space="preserve"> +</w:t>
      </w:r>
      <w:r>
        <w:rPr>
          <w:rFonts w:ascii="Times New Roman" w:hAnsi="Times New Roman"/>
          <w:bCs/>
          <w:lang w:val="en-GB"/>
        </w:rPr>
        <w:t xml:space="preserve"> </w:t>
      </w:r>
      <w:r>
        <w:rPr>
          <w:rFonts w:ascii="Times New Roman" w:hAnsi="Times New Roman"/>
          <w:bCs/>
          <w:i/>
          <w:lang w:val="en-GB"/>
        </w:rPr>
        <w:t>β</w:t>
      </w:r>
      <w:r>
        <w:rPr>
          <w:rFonts w:ascii="Times New Roman" w:hAnsi="Times New Roman"/>
          <w:bCs/>
          <w:vertAlign w:val="subscript"/>
          <w:lang w:val="en-GB"/>
        </w:rPr>
        <w:t>2[</w:t>
      </w:r>
      <w:r>
        <w:rPr>
          <w:rFonts w:ascii="Times New Roman" w:hAnsi="Times New Roman"/>
          <w:bCs/>
          <w:i/>
          <w:iCs/>
          <w:vertAlign w:val="subscript"/>
          <w:lang w:val="en-GB"/>
        </w:rPr>
        <w:t>basin</w:t>
      </w:r>
      <w:r>
        <w:rPr>
          <w:rFonts w:ascii="Times New Roman" w:hAnsi="Times New Roman"/>
          <w:bCs/>
          <w:vertAlign w:val="subscript"/>
          <w:lang w:val="en-GB"/>
        </w:rPr>
        <w:t>]</w:t>
      </w:r>
      <w:r>
        <w:rPr>
          <w:rFonts w:ascii="Times New Roman" w:hAnsi="Times New Roman"/>
          <w:b/>
          <w:bCs/>
          <w:vertAlign w:val="subscript"/>
          <w:lang w:val="en-GB"/>
        </w:rPr>
        <w:t xml:space="preserve"> </w:t>
      </w:r>
      <w:r>
        <w:rPr>
          <w:rFonts w:ascii="Times New Roman" w:hAnsi="Times New Roman"/>
          <w:bCs/>
          <w:lang w:val="en-GB"/>
        </w:rPr>
        <w:t>*(</w:t>
      </w:r>
      <w:r>
        <w:rPr>
          <w:rFonts w:ascii="Times New Roman" w:hAnsi="Times New Roman"/>
          <w:lang w:val="en-GB"/>
        </w:rPr>
        <w:t>Precipitation difference)</w:t>
      </w:r>
    </w:p>
    <w:p>
      <w:pPr>
        <w:pStyle w:val="Normal"/>
        <w:spacing w:lineRule="auto" w:line="480"/>
        <w:rPr>
          <w:lang w:val="en-GB"/>
        </w:rPr>
      </w:pPr>
      <w:r>
        <w:rPr>
          <w:lang w:val="en-GB"/>
        </w:rPr>
      </w:r>
    </w:p>
    <w:p>
      <w:pPr>
        <w:pStyle w:val="Normal"/>
        <w:spacing w:lineRule="auto" w:line="480"/>
        <w:rPr>
          <w:i/>
          <w:i/>
          <w:iCs/>
        </w:rPr>
      </w:pPr>
      <w:r>
        <w:rPr>
          <w:rFonts w:ascii="Times New Roman" w:hAnsi="Times New Roman"/>
          <w:bCs/>
          <w:i/>
          <w:iCs/>
          <w:lang w:val="en-GB"/>
        </w:rPr>
        <w:t>Priors:</w:t>
      </w:r>
    </w:p>
    <w:p>
      <w:pPr>
        <w:pStyle w:val="Normal"/>
        <w:spacing w:lineRule="auto" w:line="480"/>
        <w:rPr>
          <w:lang w:val="en-GB"/>
        </w:rPr>
      </w:pPr>
      <w:r>
        <w:rPr>
          <w:rFonts w:ascii="Times New Roman" w:hAnsi="Times New Roman"/>
          <w:bCs/>
          <w:i/>
          <w:lang w:val="en-GB"/>
        </w:rPr>
        <w:t>α</w:t>
      </w:r>
      <w:r>
        <w:rPr>
          <w:rFonts w:ascii="Times New Roman" w:hAnsi="Times New Roman"/>
          <w:lang w:val="en-GB"/>
        </w:rPr>
        <w:t xml:space="preserve"> ~ Normal (0,0.3)</w:t>
      </w:r>
    </w:p>
    <w:p>
      <w:pPr>
        <w:pStyle w:val="Normal"/>
        <w:spacing w:lineRule="auto" w:line="480"/>
        <w:rPr>
          <w:lang w:val="en-GB"/>
        </w:rPr>
      </w:pP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
          <w:bCs/>
          <w:lang w:val="en-GB"/>
        </w:rPr>
        <w:t xml:space="preserve"> </w:t>
      </w:r>
      <w:r>
        <w:rPr>
          <w:rFonts w:ascii="Times New Roman" w:hAnsi="Times New Roman"/>
          <w:position w:val="-1"/>
          <w:lang w:val="en-GB"/>
        </w:rPr>
        <w:t xml:space="preserve">  </w:t>
      </w:r>
      <w:r>
        <w:rPr>
          <w:rFonts w:ascii="Times New Roman" w:hAnsi="Times New Roman"/>
          <w:lang w:val="en-GB"/>
        </w:rPr>
        <w:t>~ Normal (0,</w:t>
      </w:r>
      <w:r>
        <w:rPr>
          <w:rFonts w:ascii="Times New Roman" w:hAnsi="Times New Roman"/>
          <w:i/>
          <w:lang w:val="en-GB"/>
        </w:rPr>
        <w:t>σ</w:t>
      </w:r>
      <w:r>
        <w:rPr>
          <w:rFonts w:ascii="Times New Roman" w:hAnsi="Times New Roman"/>
          <w:i/>
          <w:vertAlign w:val="subscript"/>
          <w:lang w:val="en-GB"/>
        </w:rPr>
        <w:t>s</w:t>
      </w:r>
      <w:r>
        <w:rPr>
          <w:rFonts w:ascii="Times New Roman" w:hAnsi="Times New Roman"/>
          <w:lang w:val="en-GB"/>
        </w:rPr>
        <w:t>)</w:t>
      </w:r>
    </w:p>
    <w:p>
      <w:pPr>
        <w:pStyle w:val="Normal"/>
        <w:spacing w:lineRule="auto" w:line="480"/>
        <w:rPr>
          <w:lang w:val="en-GB"/>
        </w:rPr>
      </w:pPr>
      <w:r>
        <w:rPr>
          <w:rFonts w:ascii="Times New Roman" w:hAnsi="Times New Roman"/>
          <w:bCs/>
          <w:i/>
          <w:lang w:val="en-GB"/>
        </w:rPr>
        <w:t>α</w:t>
      </w:r>
      <w:r>
        <w:rPr>
          <w:rFonts w:ascii="Times New Roman" w:hAnsi="Times New Roman"/>
          <w:bCs/>
          <w:i/>
          <w:vertAlign w:val="subscript"/>
          <w:lang w:val="en-GB"/>
        </w:rPr>
        <w:t>c</w:t>
      </w:r>
      <w:r>
        <w:rPr>
          <w:rFonts w:ascii="Times New Roman" w:hAnsi="Times New Roman"/>
          <w:b/>
          <w:bCs/>
          <w:position w:val="-1"/>
          <w:lang w:val="en-GB"/>
        </w:rPr>
        <w:t xml:space="preserve"> </w:t>
      </w:r>
      <w:r>
        <w:rPr>
          <w:rFonts w:ascii="Times New Roman" w:hAnsi="Times New Roman"/>
          <w:lang w:val="en-GB"/>
        </w:rPr>
        <w:t>~ Normal (0,</w:t>
      </w:r>
      <w:r>
        <w:rPr>
          <w:rFonts w:ascii="Times New Roman" w:hAnsi="Times New Roman"/>
          <w:i/>
          <w:lang w:val="en-GB"/>
        </w:rPr>
        <w:t>σ</w:t>
      </w:r>
      <w:r>
        <w:rPr>
          <w:rFonts w:ascii="Times New Roman" w:hAnsi="Times New Roman"/>
          <w:i/>
          <w:vertAlign w:val="subscript"/>
          <w:lang w:val="en-GB"/>
        </w:rPr>
        <w:t>c</w:t>
      </w:r>
      <w:r>
        <w:rPr>
          <w:rFonts w:ascii="Times New Roman" w:hAnsi="Times New Roman"/>
          <w:lang w:val="en-GB"/>
        </w:rPr>
        <w:t xml:space="preserve">)  </w:t>
      </w:r>
    </w:p>
    <w:p>
      <w:pPr>
        <w:pStyle w:val="Normal"/>
        <w:spacing w:lineRule="auto" w:line="480"/>
        <w:rPr>
          <w:lang w:val="en-GB"/>
        </w:rPr>
      </w:pPr>
      <w:r>
        <w:rPr>
          <w:rFonts w:ascii="Times New Roman" w:hAnsi="Times New Roman"/>
          <w:bCs/>
          <w:i/>
          <w:lang w:val="en-GB"/>
        </w:rPr>
        <w:t>κ</w:t>
      </w:r>
      <w:r>
        <w:rPr>
          <w:rFonts w:ascii="Times New Roman" w:hAnsi="Times New Roman"/>
          <w:lang w:val="en-GB"/>
        </w:rPr>
        <w:t xml:space="preserve"> ~ Normal (0,50)</w:t>
      </w:r>
    </w:p>
    <w:p>
      <w:pPr>
        <w:pStyle w:val="Normal"/>
        <w:spacing w:lineRule="auto" w:line="480"/>
        <w:rPr>
          <w:lang w:val="en-GB"/>
        </w:rPr>
      </w:pPr>
      <w:r>
        <w:rPr>
          <w:rFonts w:ascii="Times New Roman" w:hAnsi="Times New Roman"/>
          <w:bCs/>
          <w:i/>
          <w:lang w:val="en-GB"/>
        </w:rPr>
        <w:t>β</w:t>
      </w:r>
      <w:r>
        <w:rPr>
          <w:rFonts w:ascii="Times New Roman" w:hAnsi="Times New Roman"/>
          <w:bCs/>
          <w:vertAlign w:val="subscript"/>
          <w:lang w:val="en-GB"/>
        </w:rPr>
        <w:t>1</w:t>
      </w:r>
      <w:r>
        <w:rPr>
          <w:rFonts w:ascii="Times New Roman" w:hAnsi="Times New Roman"/>
          <w:vertAlign w:val="subscript"/>
          <w:lang w:val="en-GB"/>
        </w:rPr>
        <w:t>[</w:t>
      </w:r>
      <w:r>
        <w:rPr>
          <w:rFonts w:ascii="Times New Roman" w:hAnsi="Times New Roman"/>
          <w:i/>
          <w:iCs/>
          <w:vertAlign w:val="subscript"/>
          <w:lang w:val="en-GB"/>
        </w:rPr>
        <w:t>basin</w:t>
      </w:r>
      <w:r>
        <w:rPr>
          <w:rFonts w:ascii="Times New Roman" w:hAnsi="Times New Roman"/>
          <w:vertAlign w:val="subscript"/>
          <w:lang w:val="en-GB"/>
        </w:rPr>
        <w:t>]</w:t>
      </w:r>
      <w:r>
        <w:rPr>
          <w:rFonts w:ascii="Times New Roman" w:hAnsi="Times New Roman"/>
          <w:lang w:val="en-GB"/>
        </w:rPr>
        <w:t xml:space="preserve"> ~ Normal (</w:t>
      </w:r>
      <w:r>
        <w:rPr>
          <w:rFonts w:ascii="Times New Roman" w:hAnsi="Times New Roman"/>
          <w:bCs/>
          <w:i/>
          <w:lang w:val="en-GB"/>
        </w:rPr>
        <w:t>μ</w:t>
      </w:r>
      <w:r>
        <w:rPr>
          <w:rFonts w:ascii="Times New Roman" w:hAnsi="Times New Roman"/>
          <w:vertAlign w:val="subscript"/>
          <w:lang w:val="en-GB"/>
        </w:rPr>
        <w:t>distance</w:t>
      </w:r>
      <w:r>
        <w:rPr>
          <w:rFonts w:ascii="Times New Roman" w:hAnsi="Times New Roman"/>
          <w:lang w:val="en-GB"/>
        </w:rPr>
        <w:t xml:space="preserve">, </w:t>
      </w:r>
      <w:r>
        <w:rPr>
          <w:rFonts w:ascii="Times New Roman" w:hAnsi="Times New Roman"/>
          <w:bCs/>
          <w:i/>
          <w:lang w:val="en-GB"/>
        </w:rPr>
        <w:t>σ</w:t>
      </w:r>
      <w:r>
        <w:rPr>
          <w:rFonts w:ascii="Times New Roman" w:hAnsi="Times New Roman"/>
          <w:vertAlign w:val="subscript"/>
          <w:lang w:val="en-GB"/>
        </w:rPr>
        <w:t>distance</w:t>
      </w:r>
      <w:r>
        <w:rPr>
          <w:rFonts w:ascii="Times New Roman" w:hAnsi="Times New Roman"/>
          <w:lang w:val="en-GB"/>
        </w:rPr>
        <w:t>)</w:t>
      </w:r>
    </w:p>
    <w:p>
      <w:pPr>
        <w:pStyle w:val="Normal"/>
        <w:spacing w:lineRule="auto" w:line="480"/>
        <w:rPr>
          <w:lang w:val="en-GB"/>
        </w:rPr>
      </w:pPr>
      <w:r>
        <w:rPr>
          <w:rFonts w:ascii="Times New Roman" w:hAnsi="Times New Roman"/>
          <w:bCs/>
          <w:i/>
          <w:lang w:val="en-GB"/>
        </w:rPr>
        <w:t>β</w:t>
      </w:r>
      <w:r>
        <w:rPr>
          <w:rFonts w:ascii="Times New Roman" w:hAnsi="Times New Roman"/>
          <w:bCs/>
          <w:vertAlign w:val="subscript"/>
          <w:lang w:val="en-GB"/>
        </w:rPr>
        <w:t>2</w:t>
      </w:r>
      <w:r>
        <w:rPr>
          <w:rFonts w:ascii="Times New Roman" w:hAnsi="Times New Roman"/>
          <w:vertAlign w:val="subscript"/>
          <w:lang w:val="en-GB"/>
        </w:rPr>
        <w:t>[</w:t>
      </w:r>
      <w:r>
        <w:rPr>
          <w:rFonts w:ascii="Times New Roman" w:hAnsi="Times New Roman"/>
          <w:i/>
          <w:iCs/>
          <w:vertAlign w:val="subscript"/>
          <w:lang w:val="en-GB"/>
        </w:rPr>
        <w:t>basin</w:t>
      </w:r>
      <w:r>
        <w:rPr>
          <w:rFonts w:ascii="Times New Roman" w:hAnsi="Times New Roman"/>
          <w:vertAlign w:val="subscript"/>
          <w:lang w:val="en-GB"/>
        </w:rPr>
        <w:t>]</w:t>
      </w:r>
      <w:r>
        <w:rPr>
          <w:rFonts w:ascii="Times New Roman" w:hAnsi="Times New Roman"/>
          <w:lang w:val="en-GB"/>
        </w:rPr>
        <w:t xml:space="preserve">  ~ Normal (</w:t>
      </w:r>
      <w:r>
        <w:rPr>
          <w:rFonts w:ascii="Times New Roman" w:hAnsi="Times New Roman"/>
          <w:bCs/>
          <w:i/>
          <w:lang w:val="en-GB"/>
        </w:rPr>
        <w:t>μ</w:t>
      </w:r>
      <w:r>
        <w:rPr>
          <w:rFonts w:ascii="Times New Roman" w:hAnsi="Times New Roman"/>
          <w:vertAlign w:val="subscript"/>
          <w:lang w:val="en-GB"/>
        </w:rPr>
        <w:t>precipitation</w:t>
      </w:r>
      <w:r>
        <w:rPr>
          <w:rFonts w:ascii="Times New Roman" w:hAnsi="Times New Roman"/>
          <w:lang w:val="en-GB"/>
        </w:rPr>
        <w:t xml:space="preserve">, </w:t>
      </w:r>
      <w:r>
        <w:rPr>
          <w:rFonts w:ascii="Times New Roman" w:hAnsi="Times New Roman"/>
          <w:bCs/>
          <w:i/>
          <w:lang w:val="en-GB"/>
        </w:rPr>
        <w:t>σ</w:t>
      </w:r>
      <w:r>
        <w:rPr>
          <w:rFonts w:ascii="Times New Roman" w:hAnsi="Times New Roman"/>
          <w:vertAlign w:val="subscript"/>
          <w:lang w:val="en-GB"/>
        </w:rPr>
        <w:t>precipitation</w:t>
      </w:r>
      <w:r>
        <w:rPr>
          <w:rFonts w:ascii="Times New Roman" w:hAnsi="Times New Roman"/>
          <w:lang w:val="en-GB"/>
        </w:rPr>
        <w:t>)</w:t>
      </w:r>
    </w:p>
    <w:p>
      <w:pPr>
        <w:pStyle w:val="Normal"/>
        <w:spacing w:lineRule="auto" w:line="480"/>
        <w:rPr>
          <w:lang w:val="en-GB"/>
        </w:rPr>
      </w:pPr>
      <w:r>
        <w:rPr>
          <w:lang w:val="en-GB"/>
        </w:rPr>
      </w:r>
    </w:p>
    <w:p>
      <w:pPr>
        <w:pStyle w:val="Normal"/>
        <w:spacing w:lineRule="auto" w:line="480"/>
        <w:rPr>
          <w:i/>
          <w:i/>
          <w:iCs/>
        </w:rPr>
      </w:pPr>
      <w:r>
        <w:rPr>
          <w:rFonts w:ascii="Times New Roman" w:hAnsi="Times New Roman"/>
          <w:bCs/>
          <w:i/>
          <w:iCs/>
          <w:lang w:val="en-GB"/>
        </w:rPr>
        <w:t>Hyper-priors:</w:t>
      </w:r>
    </w:p>
    <w:p>
      <w:pPr>
        <w:pStyle w:val="Normal"/>
        <w:spacing w:lineRule="auto" w:line="480"/>
        <w:rPr>
          <w:lang w:val="en-GB"/>
        </w:rPr>
      </w:pPr>
      <w:r>
        <w:rPr>
          <w:rFonts w:ascii="Times New Roman" w:hAnsi="Times New Roman"/>
          <w:bCs/>
          <w:i/>
          <w:lang w:val="en-GB"/>
        </w:rPr>
        <w:t>σ</w:t>
      </w:r>
      <w:r>
        <w:rPr>
          <w:rFonts w:ascii="Times New Roman" w:hAnsi="Times New Roman"/>
          <w:bCs/>
          <w:i/>
          <w:vertAlign w:val="subscript"/>
          <w:lang w:val="en-GB"/>
        </w:rPr>
        <w:t>s</w:t>
      </w:r>
      <w:r>
        <w:rPr>
          <w:rFonts w:ascii="Times New Roman" w:hAnsi="Times New Roman"/>
          <w:lang w:val="en-GB"/>
        </w:rPr>
        <w:t>~ Exponential(1)</w:t>
      </w:r>
    </w:p>
    <w:p>
      <w:pPr>
        <w:pStyle w:val="Normal"/>
        <w:spacing w:lineRule="auto" w:line="480"/>
        <w:rPr>
          <w:lang w:val="en-GB"/>
        </w:rPr>
      </w:pPr>
      <w:r>
        <w:rPr>
          <w:rFonts w:ascii="Times New Roman" w:hAnsi="Times New Roman"/>
          <w:bCs/>
          <w:i/>
          <w:lang w:val="en-GB"/>
        </w:rPr>
        <w:t>σ</w:t>
      </w:r>
      <w:r>
        <w:rPr>
          <w:rFonts w:ascii="Times New Roman" w:hAnsi="Times New Roman"/>
          <w:bCs/>
          <w:i/>
          <w:vertAlign w:val="subscript"/>
          <w:lang w:val="en-GB"/>
        </w:rPr>
        <w:t>c</w:t>
      </w:r>
      <w:r>
        <w:rPr>
          <w:rFonts w:ascii="Times New Roman" w:hAnsi="Times New Roman"/>
          <w:lang w:val="en-GB"/>
        </w:rPr>
        <w:t>~ Exponential(1)</w:t>
      </w:r>
    </w:p>
    <w:p>
      <w:pPr>
        <w:pStyle w:val="Normal"/>
        <w:spacing w:lineRule="auto" w:line="480"/>
        <w:rPr>
          <w:lang w:val="en-GB"/>
        </w:rPr>
      </w:pPr>
      <w:r>
        <w:rPr>
          <w:rFonts w:ascii="Times New Roman" w:hAnsi="Times New Roman"/>
          <w:bCs/>
          <w:i/>
          <w:lang w:val="en-GB"/>
        </w:rPr>
        <w:t>μ</w:t>
      </w:r>
      <w:r>
        <w:rPr>
          <w:rFonts w:ascii="Times New Roman" w:hAnsi="Times New Roman"/>
          <w:vertAlign w:val="subscript"/>
          <w:lang w:val="en-GB"/>
        </w:rPr>
        <w:t>distance</w:t>
      </w:r>
      <w:r>
        <w:rPr>
          <w:rFonts w:ascii="Times New Roman" w:hAnsi="Times New Roman"/>
          <w:lang w:val="en-GB"/>
        </w:rPr>
        <w:t xml:space="preserve">, </w:t>
      </w:r>
      <w:r>
        <w:rPr>
          <w:rFonts w:ascii="Times New Roman" w:hAnsi="Times New Roman"/>
          <w:bCs/>
          <w:i/>
          <w:lang w:val="en-GB"/>
        </w:rPr>
        <w:t>μ</w:t>
      </w:r>
      <w:r>
        <w:rPr>
          <w:rFonts w:ascii="Times New Roman" w:hAnsi="Times New Roman"/>
          <w:vertAlign w:val="subscript"/>
          <w:lang w:val="en-GB"/>
        </w:rPr>
        <w:t>precipitation</w:t>
      </w:r>
      <w:r>
        <w:rPr>
          <w:rFonts w:ascii="Times New Roman" w:hAnsi="Times New Roman"/>
          <w:lang w:val="en-GB"/>
        </w:rPr>
        <w:t xml:space="preserve"> ~ Normal (0,0.3)</w:t>
      </w:r>
    </w:p>
    <w:p>
      <w:pPr>
        <w:pStyle w:val="Normal"/>
        <w:spacing w:lineRule="auto" w:line="480"/>
        <w:rPr>
          <w:lang w:val="en-GB"/>
        </w:rPr>
      </w:pPr>
      <w:r>
        <w:rPr>
          <w:rFonts w:ascii="Times New Roman" w:hAnsi="Times New Roman"/>
          <w:bCs/>
          <w:i/>
          <w:lang w:val="en-GB"/>
        </w:rPr>
        <w:t>σ</w:t>
      </w:r>
      <w:r>
        <w:rPr>
          <w:rFonts w:ascii="Times New Roman" w:hAnsi="Times New Roman"/>
          <w:vertAlign w:val="subscript"/>
          <w:lang w:val="en-GB"/>
        </w:rPr>
        <w:t>distance</w:t>
      </w:r>
      <w:r>
        <w:rPr>
          <w:rFonts w:ascii="Times New Roman" w:hAnsi="Times New Roman"/>
          <w:lang w:val="en-GB"/>
        </w:rPr>
        <w:t xml:space="preserve">, </w:t>
      </w:r>
      <w:r>
        <w:rPr>
          <w:rFonts w:ascii="Times New Roman" w:hAnsi="Times New Roman"/>
          <w:bCs/>
          <w:i/>
          <w:lang w:val="en-GB"/>
        </w:rPr>
        <w:t>σ</w:t>
      </w:r>
      <w:r>
        <w:rPr>
          <w:rFonts w:ascii="Times New Roman" w:hAnsi="Times New Roman"/>
          <w:vertAlign w:val="subscript"/>
          <w:lang w:val="en-GB"/>
        </w:rPr>
        <w:t>precipitation</w:t>
      </w:r>
      <w:r>
        <w:rPr>
          <w:rFonts w:ascii="Times New Roman" w:hAnsi="Times New Roman"/>
          <w:lang w:val="en-GB"/>
        </w:rPr>
        <w:t xml:space="preserve"> ~ Exponential (1)</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The term </w:t>
      </w:r>
      <w:r>
        <w:rPr>
          <w:rFonts w:ascii="Times New Roman" w:hAnsi="Times New Roman"/>
          <w:bCs/>
          <w:i/>
          <w:lang w:val="en-GB"/>
        </w:rPr>
        <w:t>α</w:t>
      </w:r>
      <w:r>
        <w:rPr>
          <w:rFonts w:ascii="Times New Roman" w:hAnsi="Times New Roman"/>
          <w:lang w:val="en-GB"/>
        </w:rPr>
        <w:t xml:space="preserve"> is the baseline for characterising changes in Sorensen indices. The terms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[sample 1]</w:t>
      </w:r>
      <w:r>
        <w:rPr>
          <w:rFonts w:ascii="Times New Roman" w:hAnsi="Times New Roman"/>
          <w:b/>
          <w:bCs/>
          <w:position w:val="-1"/>
          <w:lang w:val="en-GB"/>
        </w:rPr>
        <w:t xml:space="preserve"> </w:t>
      </w:r>
      <w:r>
        <w:rPr>
          <w:rFonts w:ascii="Times New Roman" w:hAnsi="Times New Roman"/>
          <w:position w:val="-1"/>
          <w:lang w:val="en-GB"/>
        </w:rPr>
        <w:t xml:space="preserve"> </w:t>
      </w:r>
      <w:r>
        <w:rPr>
          <w:rFonts w:ascii="Times New Roman" w:hAnsi="Times New Roman"/>
          <w:lang w:val="en-GB"/>
        </w:rPr>
        <w:t xml:space="preserve">and </w:t>
      </w:r>
      <w:r>
        <w:rPr>
          <w:rFonts w:ascii="Times New Roman" w:hAnsi="Times New Roman"/>
          <w:bCs/>
          <w:i/>
          <w:iCs/>
          <w:lang w:val="en-GB"/>
        </w:rPr>
        <w:t>α</w:t>
      </w:r>
      <w:r>
        <w:rPr>
          <w:rFonts w:ascii="Times New Roman" w:hAnsi="Times New Roman"/>
          <w:bCs/>
          <w:i/>
          <w:iCs/>
          <w:vertAlign w:val="subscript"/>
          <w:lang w:val="en-GB"/>
        </w:rPr>
        <w:t>s</w:t>
      </w:r>
      <w:r>
        <w:rPr>
          <w:rFonts w:ascii="Times New Roman" w:hAnsi="Times New Roman"/>
          <w:bCs/>
          <w:vertAlign w:val="subscript"/>
          <w:lang w:val="en-GB"/>
        </w:rPr>
        <w:t>[sample 2]</w:t>
      </w:r>
      <w:r>
        <w:rPr>
          <w:rFonts w:ascii="Times New Roman" w:hAnsi="Times New Roman"/>
          <w:lang w:val="en-GB"/>
        </w:rPr>
        <w:t xml:space="preserve"> are the additive varying intercepts that account for the dependence between the Sorensen indices. The term </w:t>
      </w:r>
      <w:r>
        <w:rPr>
          <w:rFonts w:ascii="Times New Roman" w:hAnsi="Times New Roman"/>
          <w:bCs/>
          <w:i/>
          <w:lang w:val="en-GB"/>
        </w:rPr>
        <w:t>α</w:t>
      </w:r>
      <w:r>
        <w:rPr>
          <w:rFonts w:ascii="Times New Roman" w:hAnsi="Times New Roman"/>
          <w:bCs/>
          <w:i/>
          <w:vertAlign w:val="subscript"/>
          <w:lang w:val="en-GB"/>
        </w:rPr>
        <w:t>c</w:t>
      </w:r>
      <w:r>
        <w:rPr>
          <w:rFonts w:ascii="Times New Roman" w:hAnsi="Times New Roman"/>
          <w:lang w:val="en-GB"/>
        </w:rPr>
        <w:t xml:space="preserve"> is a varying intercept with 11 levels corresponding to the 11 river basins. The terms </w:t>
      </w:r>
      <w:r>
        <w:rPr>
          <w:rFonts w:ascii="Times New Roman" w:hAnsi="Times New Roman"/>
          <w:bCs/>
          <w:i/>
          <w:lang w:val="en-GB"/>
        </w:rPr>
        <w:t>β</w:t>
      </w:r>
      <w:r>
        <w:rPr>
          <w:rFonts w:ascii="Times New Roman" w:hAnsi="Times New Roman"/>
          <w:bCs/>
          <w:vertAlign w:val="subscript"/>
          <w:lang w:val="en-GB"/>
        </w:rPr>
        <w:t>1</w:t>
      </w:r>
      <w:r>
        <w:rPr>
          <w:rFonts w:ascii="Times New Roman" w:hAnsi="Times New Roman"/>
          <w:vertAlign w:val="subscript"/>
          <w:lang w:val="en-GB"/>
        </w:rPr>
        <w:t>[</w:t>
      </w:r>
      <w:r>
        <w:rPr>
          <w:rFonts w:ascii="Times New Roman" w:hAnsi="Times New Roman"/>
          <w:i/>
          <w:iCs/>
          <w:vertAlign w:val="subscript"/>
          <w:lang w:val="en-GB"/>
        </w:rPr>
        <w:t>basin</w:t>
      </w:r>
      <w:r>
        <w:rPr>
          <w:rFonts w:ascii="Times New Roman" w:hAnsi="Times New Roman"/>
          <w:vertAlign w:val="subscript"/>
          <w:lang w:val="en-GB"/>
        </w:rPr>
        <w:t>]</w:t>
      </w:r>
      <w:r>
        <w:rPr>
          <w:rFonts w:ascii="Times New Roman" w:hAnsi="Times New Roman"/>
          <w:lang w:val="en-GB"/>
        </w:rPr>
        <w:t xml:space="preserve"> and </w:t>
      </w:r>
      <w:r>
        <w:rPr>
          <w:rFonts w:ascii="Times New Roman" w:hAnsi="Times New Roman"/>
          <w:bCs/>
          <w:i/>
          <w:lang w:val="en-GB"/>
        </w:rPr>
        <w:t>β</w:t>
      </w:r>
      <w:r>
        <w:rPr>
          <w:rFonts w:ascii="Times New Roman" w:hAnsi="Times New Roman"/>
          <w:bCs/>
          <w:vertAlign w:val="subscript"/>
          <w:lang w:val="en-GB"/>
        </w:rPr>
        <w:t>2</w:t>
      </w:r>
      <w:r>
        <w:rPr>
          <w:rFonts w:ascii="Times New Roman" w:hAnsi="Times New Roman"/>
          <w:vertAlign w:val="subscript"/>
          <w:lang w:val="en-GB"/>
        </w:rPr>
        <w:t>[</w:t>
      </w:r>
      <w:r>
        <w:rPr>
          <w:rFonts w:ascii="Times New Roman" w:hAnsi="Times New Roman"/>
          <w:i/>
          <w:iCs/>
          <w:vertAlign w:val="subscript"/>
          <w:lang w:val="en-GB"/>
        </w:rPr>
        <w:t>basin</w:t>
      </w:r>
      <w:r>
        <w:rPr>
          <w:rFonts w:ascii="Times New Roman" w:hAnsi="Times New Roman"/>
          <w:vertAlign w:val="subscript"/>
          <w:lang w:val="en-GB"/>
        </w:rPr>
        <w:t>]</w:t>
      </w:r>
      <w:r>
        <w:rPr>
          <w:rFonts w:ascii="Times New Roman" w:hAnsi="Times New Roman"/>
          <w:lang w:val="en-GB"/>
        </w:rPr>
        <w:t xml:space="preserve"> are the varying slopes corresponding to network distance and precipitation differences. These slopes were sampled from a higher-order distribution (i.e., hyper prior) that generates parameters for each river basin. We chose a multilevel approach because the parameter estimates obtained in this fashion are more precise at the river basin level and typically more robust to extreme observations (Betancourt, 2020; McElreath, 2020). We interpret the posterior distribution of </w:t>
      </w:r>
      <w:r>
        <w:rPr>
          <w:rFonts w:ascii="Times New Roman" w:hAnsi="Times New Roman"/>
          <w:bCs/>
          <w:i/>
          <w:lang w:val="en-GB"/>
        </w:rPr>
        <w:t>μ</w:t>
      </w:r>
      <w:r>
        <w:rPr>
          <w:rFonts w:ascii="Times New Roman" w:hAnsi="Times New Roman"/>
          <w:i/>
          <w:vertAlign w:val="subscript"/>
          <w:lang w:val="en-GB"/>
        </w:rPr>
        <w:t>distance</w:t>
      </w:r>
      <w:r>
        <w:rPr>
          <w:rFonts w:ascii="Times New Roman" w:hAnsi="Times New Roman"/>
          <w:i/>
          <w:lang w:val="en-GB"/>
        </w:rPr>
        <w:t xml:space="preserve"> </w:t>
      </w:r>
      <w:r>
        <w:rPr>
          <w:rFonts w:ascii="Times New Roman" w:hAnsi="Times New Roman"/>
          <w:lang w:val="en-GB"/>
        </w:rPr>
        <w:t xml:space="preserve">and </w:t>
      </w:r>
      <w:r>
        <w:rPr>
          <w:rFonts w:ascii="Times New Roman" w:hAnsi="Times New Roman"/>
          <w:bCs/>
          <w:i/>
          <w:lang w:val="en-GB"/>
        </w:rPr>
        <w:t>μ</w:t>
      </w:r>
      <w:r>
        <w:rPr>
          <w:rFonts w:ascii="Times New Roman" w:hAnsi="Times New Roman"/>
          <w:i/>
          <w:vertAlign w:val="subscript"/>
          <w:lang w:val="en-GB"/>
        </w:rPr>
        <w:t>precipitation</w:t>
      </w:r>
      <w:r>
        <w:rPr>
          <w:rFonts w:ascii="Times New Roman" w:hAnsi="Times New Roman"/>
          <w:i/>
          <w:lang w:val="en-GB"/>
        </w:rPr>
        <w:t xml:space="preserve"> </w:t>
      </w:r>
      <w:r>
        <w:rPr>
          <w:rFonts w:ascii="Times New Roman" w:hAnsi="Times New Roman"/>
          <w:lang w:val="en-GB"/>
        </w:rPr>
        <w:t>as the average effect of the covariate on Sorensen indices if we could go into the field to repeat data collection an infinite number of times.</w:t>
      </w:r>
      <w:r>
        <w:rPr>
          <w:rFonts w:ascii="Times New Roman" w:hAnsi="Times New Roman"/>
          <w:bCs/>
          <w:color w:val="333333"/>
          <w:lang w:val="en-GB"/>
        </w:rPr>
        <w:t xml:space="preserve"> Finally, similarly to the “Simulations” section, we compare the results of the above model with a similar one but without the intercepts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[sample 1]</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position w:val="-1"/>
          <w:lang w:val="en-GB"/>
        </w:rPr>
        <w:t xml:space="preserve"> </w:t>
      </w:r>
      <w:r>
        <w:rPr>
          <w:rFonts w:ascii="Times New Roman" w:hAnsi="Times New Roman"/>
          <w:bCs/>
          <w:i/>
          <w:iCs/>
          <w:lang w:val="en-GB"/>
        </w:rPr>
        <w:t>α</w:t>
      </w:r>
      <w:r>
        <w:rPr>
          <w:rFonts w:ascii="Times New Roman" w:hAnsi="Times New Roman"/>
          <w:bCs/>
          <w:i/>
          <w:iCs/>
          <w:vertAlign w:val="subscript"/>
          <w:lang w:val="en-GB"/>
        </w:rPr>
        <w:t>s</w:t>
      </w:r>
      <w:r>
        <w:rPr>
          <w:rFonts w:ascii="Times New Roman" w:hAnsi="Times New Roman"/>
          <w:bCs/>
          <w:vertAlign w:val="subscript"/>
          <w:lang w:val="en-GB"/>
        </w:rPr>
        <w:t>[sample 2]</w:t>
      </w:r>
      <w:r>
        <w:rPr>
          <w:rFonts w:ascii="Times New Roman" w:hAnsi="Times New Roman"/>
          <w:bCs/>
          <w:position w:val="-1"/>
          <w:lang w:val="en-GB"/>
        </w:rPr>
        <w:t xml:space="preserve"> and with a model with different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 xml:space="preserve">, </w:t>
      </w:r>
      <w:r>
        <w:rPr>
          <w:rFonts w:ascii="Times New Roman" w:hAnsi="Times New Roman"/>
          <w:bCs/>
          <w:position w:val="-1"/>
          <w:lang w:val="en-GB"/>
        </w:rPr>
        <w:t xml:space="preserve">that is, a term </w:t>
      </w:r>
      <w:r>
        <w:rPr>
          <w:rFonts w:ascii="Times New Roman" w:hAnsi="Times New Roman"/>
          <w:bCs/>
          <w:i/>
          <w:lang w:val="en-GB"/>
        </w:rPr>
        <w:t>α</w:t>
      </w:r>
      <w:r>
        <w:rPr>
          <w:rFonts w:ascii="Times New Roman" w:hAnsi="Times New Roman"/>
          <w:bCs/>
          <w:i/>
          <w:vertAlign w:val="subscript"/>
          <w:lang w:val="en-GB"/>
        </w:rPr>
        <w:t>s1</w:t>
      </w:r>
      <w:r>
        <w:rPr>
          <w:rFonts w:ascii="Times New Roman" w:hAnsi="Times New Roman"/>
          <w:bCs/>
          <w:vertAlign w:val="subscript"/>
          <w:lang w:val="en-GB"/>
        </w:rPr>
        <w:t>[sample 1]</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position w:val="-1"/>
          <w:lang w:val="en-GB"/>
        </w:rPr>
        <w:t xml:space="preserve"> </w:t>
      </w:r>
      <w:r>
        <w:rPr>
          <w:rFonts w:ascii="Times New Roman" w:hAnsi="Times New Roman"/>
          <w:bCs/>
          <w:i/>
          <w:iCs/>
          <w:lang w:val="en-GB"/>
        </w:rPr>
        <w:t>α</w:t>
      </w:r>
      <w:r>
        <w:rPr>
          <w:rFonts w:ascii="Times New Roman" w:hAnsi="Times New Roman"/>
          <w:bCs/>
          <w:i/>
          <w:iCs/>
          <w:vertAlign w:val="subscript"/>
          <w:lang w:val="en-GB"/>
        </w:rPr>
        <w:t>s</w:t>
      </w:r>
      <w:r>
        <w:rPr>
          <w:rFonts w:ascii="Times New Roman" w:hAnsi="Times New Roman"/>
          <w:bCs/>
          <w:iCs/>
          <w:vertAlign w:val="subscript"/>
          <w:lang w:val="en-GB"/>
        </w:rPr>
        <w:t>2</w:t>
      </w:r>
      <w:r>
        <w:rPr>
          <w:rFonts w:ascii="Times New Roman" w:hAnsi="Times New Roman"/>
          <w:bCs/>
          <w:vertAlign w:val="subscript"/>
          <w:lang w:val="en-GB"/>
        </w:rPr>
        <w:t>[sample 2]</w:t>
      </w:r>
      <w:r>
        <w:rPr>
          <w:rFonts w:ascii="Times New Roman" w:hAnsi="Times New Roman"/>
          <w:bCs/>
          <w:lang w:val="en-GB"/>
        </w:rPr>
        <w:t>. Using a notation similar to that of the simulations section, these three models are called “</w:t>
      </w:r>
      <w:r>
        <w:rPr>
          <w:rFonts w:ascii="Times New Roman" w:hAnsi="Times New Roman"/>
          <w:bCs/>
          <w:i/>
          <w:lang w:val="en-GB"/>
        </w:rPr>
        <w:t>Model_cs_</w:t>
      </w:r>
      <w:r>
        <w:rPr>
          <w:rFonts w:ascii="Times New Roman" w:hAnsi="Times New Roman"/>
          <w:bCs/>
          <w:lang w:val="en-GB"/>
        </w:rPr>
        <w:t>0”, “</w:t>
      </w:r>
      <w:r>
        <w:rPr>
          <w:rFonts w:ascii="Times New Roman" w:hAnsi="Times New Roman"/>
          <w:bCs/>
          <w:i/>
          <w:lang w:val="en-GB"/>
        </w:rPr>
        <w:t>Model_cs_</w:t>
      </w:r>
      <w:r>
        <w:rPr>
          <w:rFonts w:ascii="Times New Roman" w:hAnsi="Times New Roman"/>
          <w:bCs/>
          <w:lang w:val="en-GB"/>
        </w:rPr>
        <w:t>12” and “</w:t>
      </w:r>
      <w:r>
        <w:rPr>
          <w:rFonts w:ascii="Times New Roman" w:hAnsi="Times New Roman"/>
          <w:bCs/>
          <w:i/>
          <w:lang w:val="en-GB"/>
        </w:rPr>
        <w:t>Model_cs_</w:t>
      </w:r>
      <w:r>
        <w:rPr>
          <w:rFonts w:ascii="Times New Roman" w:hAnsi="Times New Roman"/>
          <w:bCs/>
          <w:lang w:val="en-GB"/>
        </w:rPr>
        <w:t>11”, where “</w:t>
      </w:r>
      <w:r>
        <w:rPr>
          <w:rFonts w:ascii="Times New Roman" w:hAnsi="Times New Roman"/>
          <w:bCs/>
          <w:i/>
          <w:lang w:val="en-GB"/>
        </w:rPr>
        <w:t>cs</w:t>
      </w:r>
      <w:r>
        <w:rPr>
          <w:rFonts w:ascii="Times New Roman" w:hAnsi="Times New Roman"/>
          <w:bCs/>
          <w:lang w:val="en-GB"/>
        </w:rPr>
        <w:t xml:space="preserve">” stands for “case study”,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eastAsia="Times New Roman" w:cs="Times New Roman" w:ascii="Times New Roman" w:hAnsi="Times New Roman"/>
          <w:color w:val="000000" w:themeColor="text1"/>
          <w:lang w:val="en-GB"/>
        </w:rPr>
        <w:t>In regression modeling it is common practice to empirically standardize the covariates by subtracting the empirical mean of the observed covariate values and diving the result by the empirical standard deviation. Here we standardize the covariates based on the available domain expertise which improves interpretability and generalizability of the resulting inferences as we now show.</w:t>
      </w:r>
      <w:r>
        <w:rPr>
          <w:rFonts w:ascii="Times New Roman" w:hAnsi="Times New Roman"/>
          <w:lang w:val="en-GB"/>
        </w:rPr>
        <w:t xml:space="preserve"> We transformed network distance values by subtracting 100 km to observed values and by dividing the resulting value by 100. Therefore, a slope of, for instance, -0.10 means that an increase of 1 km in the network distance beyond a baseline of 100 km will decrease Sorensen indices by -0.10. Concerning precipitation difference values, we applied a log(</w:t>
      </w:r>
      <w:r>
        <w:rPr>
          <w:rFonts w:ascii="Times New Roman" w:hAnsi="Times New Roman"/>
          <w:i/>
          <w:lang w:val="en-GB"/>
        </w:rPr>
        <w:t>x</w:t>
      </w:r>
      <w:r>
        <w:rPr>
          <w:rFonts w:ascii="Times New Roman" w:hAnsi="Times New Roman"/>
          <w:lang w:val="en-GB"/>
        </w:rPr>
        <w:t>+1) transformation because we detected a second maximum for larger values (see Appendix 1 – 4.1). Afterwards, we subtracted 5.71 ( log(300+1) = 5.71) and divided the resulting value by 5.71. Therefore, a slope of -0.1 indicates that if the precipitation difference increases by 1 mm beyond 300 mm (log(300 +1) = 5.71), the Sorensen index change by – 0.10.</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lang w:val="en-GB"/>
        </w:rPr>
        <w:t>In a Bayesian analysis, it is crucial to assess the validity of our choice of priors (Betancourt, 2020). In the present case, the choice of priors expresses our beliefs about how community similarity changes across river basins before considering the evidence provided by the observed data. We believe most vegetation samples will share between 30 and 60% of species based on work by Rodríguez-González et al. (2008). Conversely, few samples will share less than 30% or more than 60% of the species. As for the effects of covariates, we used weakly informative priors that allow for both positive and negative effects on community similarity. To check if the prior model reflects our beliefs, we generated and plotted simulated distributions of Sorensen indices from the prior predictive distribution.</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 xml:space="preserve">Concerning the full model, we need to make sure that it captures the data's relevant structure. To that effect, we compared the observed distribution of the Sorensen indices with the posterior distribution of Sorensen indices and checked how well they matched. Then, 1) we plotted the differences between the posterior distribution and the observed Sorensen indices (i.e., error distributions) conditional on covariates, and 2) we plotted the posterior distribution of Sorensen indices against the covariates. We checked for any systematic deviations indicating structure in the data that our model was unable to capture. We assessed the relative importance of the covariates using two criteria, 1) by determining whether 95% of the parameter's posterior distribution was above or below 0 and 2) by assessing the parameter's </w:t>
      </w:r>
      <w:r>
        <w:rPr>
          <w:rFonts w:ascii="Times New Roman" w:hAnsi="Times New Roman"/>
          <w:color w:val="000000"/>
          <w:lang w:val="en-GB"/>
        </w:rPr>
        <w:t>absolute value</w:t>
      </w:r>
      <w:r>
        <w:rPr>
          <w:rFonts w:ascii="Times New Roman" w:hAnsi="Times New Roman"/>
          <w:lang w:val="en-GB"/>
        </w:rPr>
        <w:t>.</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lang w:val="en-GB"/>
        </w:rPr>
        <w:t xml:space="preserve">We run the models with four independent Markov chains to sample from, with 1000 warmup iterations and 2000 sampling iterations. To check if our Markov chains were stationary and enabled reasonable posterior expectation value estimators, we performed qualitative and quantitative diagnostics. In addition, to spot-checking traceplots we also verified that the split potential scale reduction factor, often called "Rhat", was consistent with 1 for all functions of interest and </w:t>
      </w:r>
      <w:r>
        <w:rPr>
          <w:rFonts w:eastAsia="Times New Roman" w:cs="Times New Roman" w:ascii="Times New Roman" w:hAnsi="Times New Roman"/>
          <w:color w:val="000000" w:themeColor="text1"/>
          <w:lang w:val="en-GB"/>
        </w:rPr>
        <w:t xml:space="preserve">verified that none of the Hamiltonian Monte Carlo transitions diverged or </w:t>
      </w:r>
      <w:r>
        <w:rPr>
          <w:rFonts w:eastAsia="Times New Roman" w:cs="Times New Roman" w:ascii="Times New Roman" w:hAnsi="Times New Roman"/>
          <w:color w:val="000000" w:themeColor="text1"/>
          <w:lang w:val="en-GB"/>
        </w:rPr>
        <w:t>exceeded</w:t>
      </w:r>
      <w:r>
        <w:rPr>
          <w:rFonts w:eastAsia="Times New Roman" w:cs="Times New Roman" w:ascii="Times New Roman" w:hAnsi="Times New Roman"/>
          <w:color w:val="000000" w:themeColor="text1"/>
          <w:lang w:val="en-GB"/>
        </w:rPr>
        <w:t xml:space="preserve"> the maximum tree depth</w:t>
      </w:r>
      <w:r>
        <w:rPr>
          <w:rFonts w:ascii="Times New Roman" w:hAnsi="Times New Roman"/>
          <w:lang w:val="en-GB"/>
        </w:rPr>
        <w:t>.</w:t>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b/>
          <w:b/>
          <w:bCs/>
        </w:rPr>
      </w:pPr>
      <w:r>
        <w:rPr>
          <w:rFonts w:ascii="Times New Roman" w:hAnsi="Times New Roman"/>
          <w:b/>
          <w:bCs/>
          <w:lang w:val="en-GB"/>
        </w:rPr>
        <w:t>4.2 Analysis of the case study</w:t>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b/>
          <w:b/>
          <w:bCs/>
        </w:rPr>
      </w:pPr>
      <w:r>
        <w:rPr>
          <w:rFonts w:ascii="Times New Roman" w:hAnsi="Times New Roman"/>
          <w:b/>
          <w:bCs/>
          <w:lang w:val="en-GB"/>
        </w:rPr>
        <w:t>4.2.1 Prior predictive checks</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color w:val="000000"/>
          <w:lang w:val="en-GB"/>
        </w:rPr>
        <w:t>We</w:t>
      </w:r>
      <w:r>
        <w:rPr>
          <w:rFonts w:ascii="Times New Roman" w:hAnsi="Times New Roman"/>
          <w:lang w:val="en-GB"/>
        </w:rPr>
        <w:t xml:space="preserve"> generated </w:t>
      </w:r>
      <w:r>
        <w:rPr>
          <w:rFonts w:ascii="Times New Roman" w:hAnsi="Times New Roman"/>
          <w:color w:val="000000"/>
          <w:lang w:val="en-GB"/>
        </w:rPr>
        <w:t>300</w:t>
      </w:r>
      <w:r>
        <w:rPr>
          <w:rFonts w:ascii="Times New Roman" w:hAnsi="Times New Roman"/>
          <w:lang w:val="en-GB"/>
        </w:rPr>
        <w:t xml:space="preserve"> simulations of Sorensen indices from the prior model for each of the three models. From these, we observed that most of its probability mass is around 0.5, reflecting our prior belief that most vegetation samples share approximately 30 to 60% of the species (Appendix S2 - 5.3). Distributions with a lot of probability mass close to 0 and 1 </w:t>
      </w:r>
      <w:r>
        <w:rPr>
          <w:rFonts w:ascii="Times New Roman" w:hAnsi="Times New Roman"/>
          <w:color w:val="000000"/>
          <w:lang w:val="en-GB"/>
        </w:rPr>
        <w:t>were</w:t>
      </w:r>
      <w:r>
        <w:rPr>
          <w:rFonts w:ascii="Times New Roman" w:hAnsi="Times New Roman"/>
          <w:lang w:val="en-GB"/>
        </w:rPr>
        <w:t xml:space="preserve"> possible but considered unlikely.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b/>
          <w:b/>
          <w:bCs/>
        </w:rPr>
      </w:pPr>
      <w:r>
        <w:rPr>
          <w:rFonts w:ascii="Times New Roman" w:hAnsi="Times New Roman"/>
          <w:b/>
          <w:bCs/>
          <w:lang w:val="en-GB"/>
        </w:rPr>
        <w:t>4.2.2 Model validation</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lang w:val="en-GB"/>
        </w:rPr>
        <w:t>In all three models the chains were stationary and well mixing with Rhat values of ~1. No iterations ended with divergences or saturated the maximum tree depth (Appendix S2 - 5.4.1).</w:t>
      </w:r>
    </w:p>
    <w:p>
      <w:pPr>
        <w:pStyle w:val="Normal"/>
        <w:spacing w:lineRule="auto" w:line="480"/>
        <w:rPr>
          <w:lang w:val="en-GB"/>
        </w:rPr>
      </w:pPr>
      <w:r>
        <w:rPr>
          <w:rFonts w:eastAsia="Times New Roman" w:cs="Times New Roman" w:ascii="Times New Roman" w:hAnsi="Times New Roman"/>
          <w:color w:val="000000" w:themeColor="text1"/>
          <w:lang w:val="en-GB"/>
        </w:rPr>
        <w:t>For the three models the posterior distribution of Sorensen indices closely matched that of the  observed indices except for values below 0.05, which are slightly overestimated, and values above 0.62, which are slightly underestimated (Appendix S2 – 5.4.2). This is expected from the regularization introduced by the hierarchical models (Betancourt 2020)</w:t>
      </w:r>
      <w:r>
        <w:rPr>
          <w:rFonts w:ascii="Times New Roman" w:hAnsi="Times New Roman"/>
          <w:lang w:val="en-GB"/>
        </w:rPr>
        <w:t xml:space="preserve">. The parameters estimated for the three models are similar, except for the </w:t>
      </w:r>
      <w:r>
        <w:rPr>
          <w:rFonts w:ascii="Times New Roman" w:hAnsi="Times New Roman"/>
          <w:bCs/>
          <w:i/>
          <w:lang w:val="en-GB"/>
        </w:rPr>
        <w:t>κ</w:t>
      </w:r>
      <w:r>
        <w:rPr>
          <w:rFonts w:ascii="Times New Roman" w:hAnsi="Times New Roman"/>
          <w:bCs/>
          <w:lang w:val="en-GB"/>
        </w:rPr>
        <w:t xml:space="preserve"> parameter of the Beta distribution that is smaller for model </w:t>
      </w:r>
      <w:r>
        <w:rPr>
          <w:rFonts w:ascii="Times New Roman" w:hAnsi="Times New Roman"/>
          <w:i/>
          <w:lang w:val="en-GB"/>
        </w:rPr>
        <w:t>Model</w:t>
      </w:r>
      <w:r>
        <w:rPr>
          <w:rFonts w:ascii="Times New Roman" w:hAnsi="Times New Roman"/>
          <w:lang w:val="en-GB"/>
        </w:rPr>
        <w:t>_</w:t>
      </w:r>
      <w:r>
        <w:rPr>
          <w:rFonts w:ascii="Times New Roman" w:hAnsi="Times New Roman"/>
          <w:i/>
          <w:lang w:val="en-GB"/>
        </w:rPr>
        <w:t>cs</w:t>
      </w:r>
      <w:r>
        <w:rPr>
          <w:rFonts w:ascii="Times New Roman" w:hAnsi="Times New Roman"/>
          <w:lang w:val="en-GB"/>
        </w:rPr>
        <w:t xml:space="preserve">_0 (Table 2). </w:t>
      </w:r>
      <w:r>
        <w:rPr>
          <w:rFonts w:ascii="Times New Roman" w:hAnsi="Times New Roman"/>
          <w:bCs/>
          <w:lang w:val="en-GB"/>
        </w:rPr>
        <w:t xml:space="preserve">Recalling that the variance is inversely related to </w:t>
      </w:r>
      <w:r>
        <w:rPr>
          <w:rFonts w:ascii="Times New Roman" w:hAnsi="Times New Roman"/>
          <w:bCs/>
          <w:i/>
          <w:lang w:val="en-GB"/>
        </w:rPr>
        <w:t>κ</w:t>
      </w:r>
      <w:r>
        <w:rPr>
          <w:rFonts w:ascii="Times New Roman" w:hAnsi="Times New Roman"/>
          <w:lang w:val="en-GB"/>
        </w:rPr>
        <w:t xml:space="preserve">, the decrease in the </w:t>
      </w:r>
      <w:r>
        <w:rPr>
          <w:rFonts w:ascii="Times New Roman" w:hAnsi="Times New Roman"/>
          <w:bCs/>
          <w:i/>
          <w:lang w:val="en-GB"/>
        </w:rPr>
        <w:t>κ</w:t>
      </w:r>
      <w:r>
        <w:rPr>
          <w:rFonts w:ascii="Times New Roman" w:hAnsi="Times New Roman"/>
          <w:bCs/>
          <w:lang w:val="en-GB"/>
        </w:rPr>
        <w:t xml:space="preserve"> parameter corresponds to an overall increase in the variance of the estimate of the Sorensen indices, Fig. 6.</w:t>
      </w:r>
      <w:r>
        <w:rPr>
          <w:rFonts w:ascii="Times New Roman" w:hAnsi="Times New Roman"/>
          <w:lang w:val="en-GB"/>
        </w:rPr>
        <w:t xml:space="preserve"> This mimics the findings of the simulations (see Fig.1) and, as with the simulations, the reduction in the total variance happens because the introduction of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[sample 1]</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position w:val="-1"/>
          <w:lang w:val="en-GB"/>
        </w:rPr>
        <w:t xml:space="preserve"> </w:t>
      </w:r>
      <w:r>
        <w:rPr>
          <w:rFonts w:ascii="Times New Roman" w:hAnsi="Times New Roman"/>
          <w:bCs/>
          <w:i/>
          <w:iCs/>
          <w:lang w:val="en-GB"/>
        </w:rPr>
        <w:t>α</w:t>
      </w:r>
      <w:r>
        <w:rPr>
          <w:rFonts w:ascii="Times New Roman" w:hAnsi="Times New Roman"/>
          <w:bCs/>
          <w:i/>
          <w:iCs/>
          <w:vertAlign w:val="subscript"/>
          <w:lang w:val="en-GB"/>
        </w:rPr>
        <w:t>s</w:t>
      </w:r>
      <w:r>
        <w:rPr>
          <w:rFonts w:ascii="Times New Roman" w:hAnsi="Times New Roman"/>
          <w:bCs/>
          <w:vertAlign w:val="subscript"/>
          <w:lang w:val="en-GB"/>
        </w:rPr>
        <w:t>[sample 2]</w:t>
      </w:r>
      <w:r>
        <w:rPr>
          <w:rFonts w:ascii="Times New Roman" w:hAnsi="Times New Roman"/>
          <w:lang w:val="en-GB"/>
        </w:rPr>
        <w:t xml:space="preserve"> or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i/>
          <w:iCs/>
          <w:vertAlign w:val="subscript"/>
          <w:lang w:val="en-GB"/>
        </w:rPr>
        <w:t>1</w:t>
      </w:r>
      <w:r>
        <w:rPr>
          <w:rFonts w:ascii="Times New Roman" w:hAnsi="Times New Roman"/>
          <w:bCs/>
          <w:vertAlign w:val="subscript"/>
          <w:lang w:val="en-GB"/>
        </w:rPr>
        <w:t>[sample 1]</w:t>
      </w:r>
      <w:r>
        <w:rPr>
          <w:rFonts w:ascii="Times New Roman" w:hAnsi="Times New Roman"/>
          <w:bCs/>
          <w:position w:val="-1"/>
          <w:lang w:val="en-GB"/>
        </w:rPr>
        <w:t xml:space="preserve"> </w:t>
      </w:r>
      <w:r>
        <w:rPr>
          <w:rFonts w:ascii="Times New Roman" w:hAnsi="Times New Roman"/>
          <w:bCs/>
          <w:lang w:val="en-GB"/>
        </w:rPr>
        <w:t>+</w:t>
      </w:r>
      <w:r>
        <w:rPr>
          <w:rFonts w:ascii="Times New Roman" w:hAnsi="Times New Roman"/>
          <w:bCs/>
          <w:position w:val="-1"/>
          <w:lang w:val="en-GB"/>
        </w:rPr>
        <w:t xml:space="preserve"> </w:t>
      </w:r>
      <w:r>
        <w:rPr>
          <w:rFonts w:cs="Times New Roman" w:ascii="Times New Roman" w:hAnsi="Times New Roman"/>
          <w:bCs/>
          <w:i/>
          <w:iCs/>
          <w:lang w:val="en-GB"/>
        </w:rPr>
        <w:t>α</w:t>
      </w:r>
      <w:r>
        <w:rPr>
          <w:rFonts w:cs="Times New Roman" w:ascii="Times New Roman" w:hAnsi="Times New Roman"/>
          <w:bCs/>
          <w:i/>
          <w:iCs/>
          <w:vertAlign w:val="subscript"/>
          <w:lang w:val="en-GB"/>
        </w:rPr>
        <w:t>s</w:t>
      </w:r>
      <w:r>
        <w:rPr>
          <w:rFonts w:cs="Times New Roman" w:ascii="Times New Roman" w:hAnsi="Times New Roman"/>
          <w:bCs/>
          <w:iCs/>
          <w:vertAlign w:val="subscript"/>
          <w:lang w:val="en-GB"/>
        </w:rPr>
        <w:t>2</w:t>
      </w:r>
      <w:r>
        <w:rPr>
          <w:rFonts w:cs="Times New Roman" w:ascii="Times New Roman" w:hAnsi="Times New Roman"/>
          <w:bCs/>
          <w:vertAlign w:val="subscript"/>
          <w:lang w:val="en-GB"/>
        </w:rPr>
        <w:t>[sample 2]</w:t>
      </w:r>
      <w:r>
        <w:rPr>
          <w:rFonts w:cs="Times New Roman" w:ascii="Times New Roman" w:hAnsi="Times New Roman"/>
          <w:lang w:val="en-GB"/>
        </w:rPr>
        <w:t xml:space="preserve"> incorporates the heterogeneity of the samples. </w:t>
      </w:r>
      <w:r>
        <w:rPr>
          <w:rFonts w:eastAsia="Times New Roman" w:cs="Times New Roman" w:ascii="Times New Roman" w:hAnsi="Times New Roman"/>
          <w:color w:val="000000" w:themeColor="text1"/>
          <w:lang w:val="en-GB"/>
        </w:rPr>
        <w:t>Notice the variance Model_cs_0 is much larger. Again, this happens because Model_cs_0 cannot accommodate any systematic heterogeneity, thus the variance is forced to be much larger to accommodate the heterogeneity observed in the data.</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lang w:val="en-GB"/>
        </w:rPr>
        <w:t xml:space="preserve">Finally, we show the histograms of the standard deviation of the posteriors of the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1</w:t>
      </w:r>
      <w:r>
        <w:rPr>
          <w:rFonts w:ascii="Times New Roman" w:hAnsi="Times New Roman"/>
          <w:bCs/>
          <w:position w:val="-1"/>
          <w:lang w:val="en-GB"/>
        </w:rPr>
        <w:t xml:space="preserve"> </w:t>
      </w:r>
      <w:r>
        <w:rPr>
          <w:rFonts w:ascii="Times New Roman" w:hAnsi="Times New Roman"/>
          <w:bCs/>
          <w:lang w:val="en-GB"/>
        </w:rPr>
        <w:t>and</w:t>
      </w:r>
      <w:r>
        <w:rPr>
          <w:rFonts w:ascii="Times New Roman" w:hAnsi="Times New Roman"/>
          <w:bCs/>
          <w:position w:val="-1"/>
          <w:lang w:val="en-GB"/>
        </w:rPr>
        <w:t xml:space="preserve"> </w:t>
      </w:r>
      <w:r>
        <w:rPr>
          <w:rFonts w:ascii="Times New Roman" w:hAnsi="Times New Roman"/>
          <w:bCs/>
          <w:i/>
          <w:lang w:val="en-GB"/>
        </w:rPr>
        <w:t>α</w:t>
      </w:r>
      <w:r>
        <w:rPr>
          <w:rFonts w:ascii="Times New Roman" w:hAnsi="Times New Roman"/>
          <w:bCs/>
          <w:i/>
          <w:vertAlign w:val="subscript"/>
          <w:lang w:val="en-GB"/>
        </w:rPr>
        <w:t>s</w:t>
      </w:r>
      <w:r>
        <w:rPr>
          <w:rFonts w:ascii="Times New Roman" w:hAnsi="Times New Roman"/>
          <w:bCs/>
          <w:vertAlign w:val="subscript"/>
          <w:lang w:val="en-GB"/>
        </w:rPr>
        <w:t>2</w:t>
      </w:r>
      <w:r>
        <w:rPr>
          <w:rFonts w:ascii="Times New Roman" w:hAnsi="Times New Roman"/>
          <w:bCs/>
          <w:position w:val="-1"/>
          <w:lang w:val="en-GB"/>
        </w:rPr>
        <w:t xml:space="preserve"> (Fig. 7)</w:t>
      </w:r>
      <w:r>
        <w:rPr>
          <w:rFonts w:ascii="Times New Roman" w:hAnsi="Times New Roman"/>
          <w:bCs/>
          <w:lang w:val="en-GB"/>
        </w:rPr>
        <w:t xml:space="preserve">. </w:t>
      </w:r>
      <w:r>
        <w:rPr>
          <w:rFonts w:cs="Times New Roman" w:ascii="Times New Roman" w:hAnsi="Times New Roman"/>
          <w:lang w:val="en-GB"/>
        </w:rPr>
        <w:t xml:space="preserve">Notice that, as in the simulation, we observe smaller standard deviations of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w:t>
      </w:r>
      <w:r>
        <w:rPr>
          <w:rFonts w:cs="Times New Roman" w:ascii="Times New Roman" w:hAnsi="Times New Roman"/>
          <w:color w:val="000000"/>
          <w:lang w:val="en-GB"/>
        </w:rPr>
        <w:t xml:space="preserve">in </w:t>
      </w:r>
      <w:r>
        <w:rPr>
          <w:rFonts w:cs="Times New Roman" w:ascii="Times New Roman" w:hAnsi="Times New Roman"/>
          <w:lang w:val="en-GB"/>
        </w:rPr>
        <w:t>m</w:t>
      </w:r>
      <w:r>
        <w:rPr>
          <w:rFonts w:ascii="Times New Roman" w:hAnsi="Times New Roman"/>
          <w:i/>
          <w:lang w:val="en-GB"/>
        </w:rPr>
        <w:t>odel_cs_</w:t>
      </w:r>
      <w:r>
        <w:rPr>
          <w:rFonts w:ascii="Times New Roman" w:hAnsi="Times New Roman"/>
          <w:lang w:val="en-GB"/>
        </w:rPr>
        <w:t xml:space="preserve">11 when </w:t>
      </w:r>
      <w:r>
        <w:rPr>
          <w:rFonts w:cs="Times New Roman" w:ascii="Times New Roman" w:hAnsi="Times New Roman"/>
          <w:lang w:val="en-GB"/>
        </w:rPr>
        <w:t xml:space="preserve">compared with those of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in </w:t>
      </w:r>
      <w:r>
        <w:rPr>
          <w:rFonts w:ascii="Times New Roman" w:hAnsi="Times New Roman"/>
          <w:i/>
          <w:lang w:val="en-GB"/>
        </w:rPr>
        <w:t>Model_cs_</w:t>
      </w:r>
      <w:r>
        <w:rPr>
          <w:rFonts w:ascii="Times New Roman" w:hAnsi="Times New Roman"/>
          <w:lang w:val="en-GB"/>
        </w:rPr>
        <w:t>12</w:t>
      </w:r>
      <w:r>
        <w:rPr>
          <w:rFonts w:cs="Times New Roman" w:ascii="Times New Roman" w:hAnsi="Times New Roman"/>
          <w:lang w:val="en-GB"/>
        </w:rPr>
        <w:t>.</w:t>
      </w:r>
    </w:p>
    <w:p>
      <w:pPr>
        <w:pStyle w:val="Normal"/>
        <w:spacing w:lineRule="auto" w:line="480"/>
        <w:rPr>
          <w:lang w:val="en-GB"/>
        </w:rPr>
      </w:pPr>
      <w:r>
        <w:rPr>
          <w:rFonts w:ascii="Times New Roman" w:hAnsi="Times New Roman"/>
          <w:bCs/>
          <w:color w:val="111111"/>
          <w:lang w:val="en-GB"/>
        </w:rPr>
        <w:t>In Appendix 1, we provide a step-by-step guide with both R and Stan codes for reproducing the results.</w:t>
      </w:r>
    </w:p>
    <w:p>
      <w:pPr>
        <w:pStyle w:val="Normal"/>
        <w:spacing w:lineRule="auto" w:line="480"/>
        <w:rPr>
          <w:rFonts w:ascii="Times New Roman" w:hAnsi="Times New Roman"/>
          <w:bCs/>
          <w:color w:val="111111"/>
          <w:lang w:val="en-GB"/>
        </w:rPr>
      </w:pPr>
      <w:r>
        <w:rPr>
          <w:rFonts w:ascii="Times New Roman" w:hAnsi="Times New Roman"/>
          <w:bCs/>
          <w:color w:val="111111"/>
          <w:lang w:val="en-GB"/>
        </w:rPr>
      </w:r>
    </w:p>
    <w:p>
      <w:pPr>
        <w:pStyle w:val="Normal"/>
        <w:spacing w:lineRule="auto" w:line="480"/>
        <w:rPr>
          <w:b/>
          <w:b/>
          <w:bCs/>
        </w:rPr>
      </w:pPr>
      <w:r>
        <w:rPr>
          <w:rFonts w:ascii="Times New Roman" w:hAnsi="Times New Roman"/>
          <w:b/>
          <w:bCs/>
          <w:color w:val="111111"/>
          <w:lang w:val="en-GB"/>
        </w:rPr>
        <w:t>4.2.3 Model results</w:t>
      </w:r>
    </w:p>
    <w:p>
      <w:pPr>
        <w:pStyle w:val="Normal"/>
        <w:spacing w:lineRule="auto" w:line="480"/>
        <w:rPr>
          <w:b/>
          <w:b/>
          <w:bCs/>
        </w:rPr>
      </w:pPr>
      <w:r>
        <w:rPr>
          <w:b/>
          <w:bCs/>
        </w:rPr>
      </w:r>
    </w:p>
    <w:p>
      <w:pPr>
        <w:pStyle w:val="Normal"/>
        <w:spacing w:lineRule="auto" w:line="480"/>
        <w:rPr>
          <w:rFonts w:ascii="Times New Roman" w:hAnsi="Times New Roman"/>
          <w:shd w:fill="FFFF00" w:val="clear"/>
        </w:rPr>
      </w:pPr>
      <w:r>
        <w:rPr>
          <w:rFonts w:ascii="Times New Roman" w:hAnsi="Times New Roman"/>
        </w:rPr>
        <w:t xml:space="preserve">Network distance was negatively associated with Sorensen indices, with mean slope estimates ranging between -0.16 for the Douro and -0.76 for the Vouga basin. In the case of Mira and Minho basins, a small part of the 95% credibility intervals crosses zero, which implies a small probability of the slope being zero or slightly positive (Fig. 4a). The mean estimate for </w:t>
      </w:r>
      <w:r>
        <w:rPr>
          <w:rFonts w:ascii="Times New Roman" w:hAnsi="Times New Roman"/>
          <w:bCs/>
          <w:i/>
        </w:rPr>
        <w:t>μ</w:t>
      </w:r>
      <w:r>
        <w:rPr>
          <w:rFonts w:ascii="Times New Roman" w:hAnsi="Times New Roman"/>
          <w:vertAlign w:val="subscript"/>
        </w:rPr>
        <w:t>distance</w:t>
      </w:r>
      <w:r>
        <w:rPr>
          <w:rFonts w:ascii="Times New Roman" w:hAnsi="Times New Roman"/>
        </w:rPr>
        <w:t xml:space="preserve"> is -0.33 with a 95% credibility interval [-0.50, -0.15], which means that on average, network distance has a negative effect on Sorensen indices, as expected. </w:t>
      </w:r>
    </w:p>
    <w:p>
      <w:pPr>
        <w:pStyle w:val="Normal"/>
        <w:spacing w:lineRule="auto" w:line="480"/>
        <w:rPr>
          <w:rFonts w:ascii="Times New Roman" w:hAnsi="Times New Roman"/>
        </w:rPr>
      </w:pPr>
      <w:r>
        <w:rPr>
          <w:rFonts w:ascii="Times New Roman" w:hAnsi="Times New Roman"/>
        </w:rPr>
      </w:r>
    </w:p>
    <w:p>
      <w:pPr>
        <w:pStyle w:val="Normal"/>
        <w:spacing w:lineRule="auto" w:line="480"/>
        <w:rPr>
          <w:rFonts w:ascii="Times New Roman" w:hAnsi="Times New Roman"/>
          <w:bCs/>
          <w:color w:val="111111"/>
          <w:lang w:val="en-GB"/>
        </w:rPr>
      </w:pPr>
      <w:r>
        <w:rPr>
          <w:rFonts w:ascii="Times New Roman" w:hAnsi="Times New Roman"/>
          <w:bCs/>
          <w:color w:val="111111"/>
          <w:lang w:val="en-GB"/>
        </w:rPr>
        <w:t>Higher differences in precipitation are associated with lower levels of community similarity. The mean estimates for precipitation difference slopes were mostly negative, with mean values between -0.58 and -0.12 (Fig. 4b). However, in six out of the eleven basins, credibility intervals crossed zero, indicating the effect could also be positive with varying degrees of probability. For instance, over 30% of Mira's basin parameter distribution is on the right side of zero.</w:t>
      </w:r>
    </w:p>
    <w:p>
      <w:pPr>
        <w:pStyle w:val="Normal"/>
        <w:spacing w:lineRule="auto" w:line="480"/>
        <w:rPr>
          <w:rFonts w:ascii="Times New Roman" w:hAnsi="Times New Roman"/>
          <w:bCs/>
          <w:color w:val="111111"/>
          <w:lang w:val="en-GB"/>
        </w:rPr>
      </w:pPr>
      <w:r>
        <w:rPr>
          <w:rFonts w:ascii="Times New Roman" w:hAnsi="Times New Roman"/>
          <w:bCs/>
          <w:color w:val="111111"/>
          <w:lang w:val="en-GB"/>
        </w:rPr>
      </w:r>
    </w:p>
    <w:p>
      <w:pPr>
        <w:pStyle w:val="Normal"/>
        <w:spacing w:lineRule="auto" w:line="480"/>
        <w:rPr>
          <w:lang w:val="en-GB"/>
        </w:rPr>
      </w:pPr>
      <w:r>
        <w:rPr>
          <w:rFonts w:ascii="Times New Roman" w:hAnsi="Times New Roman"/>
          <w:b/>
          <w:bCs/>
          <w:color w:val="333333"/>
          <w:lang w:val="en-GB"/>
        </w:rPr>
        <w:t>5. Discussion</w:t>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lang w:val="en-GB"/>
        </w:rPr>
      </w:pPr>
      <w:r>
        <w:rPr>
          <w:rStyle w:val="Tipodeletrapredefinidodopargrafo1"/>
          <w:rFonts w:cs="Times New Roman" w:ascii="Times New Roman" w:hAnsi="Times New Roman"/>
          <w:lang w:val="en-GB"/>
        </w:rPr>
        <w:t>We introduced a Bayesian approach for analysing paired comparisons data. We illustrated its use with simulations and exemplified its application to an ecological setting. We analysed changes in community similarity using the Sorensen index. Our approach is based on the inclusion of two varying intercepts, one for each community, that capture the heterogeneity of the corresponding community. This approach is common in Bradley-Terry models, a family of models used for modelling adversarial paired comparisons, such as the outcome of football matches (Cattelan et al., 2013). Bradley-Terry models are not commonly used in ecology but are popular in sports science, psychology, economics (Agresti, 2012) and machine learning (Menke &amp; Martinez, 2008).</w:t>
      </w:r>
    </w:p>
    <w:p>
      <w:pPr>
        <w:pStyle w:val="Normal"/>
        <w:spacing w:lineRule="auto" w:line="480"/>
        <w:rPr>
          <w:lang w:val="en-GB"/>
        </w:rPr>
      </w:pPr>
      <w:r>
        <w:rPr>
          <w:lang w:val="en-GB"/>
        </w:rPr>
      </w:r>
    </w:p>
    <w:p>
      <w:pPr>
        <w:pStyle w:val="Normal"/>
        <w:spacing w:lineRule="auto" w:line="480"/>
        <w:rPr>
          <w:lang w:val="en-GB"/>
        </w:rPr>
      </w:pPr>
      <w:r>
        <w:rPr>
          <w:rStyle w:val="Tipodeletrapredefinidodopargrafo1"/>
          <w:rFonts w:cs="Times New Roman" w:ascii="Times New Roman" w:hAnsi="Times New Roman"/>
          <w:lang w:val="en-GB"/>
        </w:rPr>
        <w:t>An essential feature of our approach is that it provides a clear path for performing model validation. Bayesian models are generative, meaning that we can obtain predicted data from the posterior distribution and compare it with the observed data. This procedure allows us to determine if the model captures the data's relevant structure and improve it if necessary. Therefore, our approach provides users with a way of checking if the model is consistent with the observed data and provides several tools for checking the validity of the inferences. Finally, our approach leverages the power and flexibility of Stan's probabilistic programming language, allowing us to quickly write and modify models without relying on multiple software packages.</w:t>
      </w:r>
    </w:p>
    <w:p>
      <w:pPr>
        <w:pStyle w:val="Normal"/>
        <w:spacing w:lineRule="auto" w:line="480"/>
        <w:rPr>
          <w:lang w:val="en-GB"/>
        </w:rPr>
      </w:pPr>
      <w:r>
        <w:rPr>
          <w:lang w:val="en-GB"/>
        </w:rPr>
      </w:r>
    </w:p>
    <w:p>
      <w:pPr>
        <w:pStyle w:val="Normal"/>
        <w:spacing w:lineRule="auto" w:line="480"/>
        <w:rPr>
          <w:lang w:val="en-GB"/>
        </w:rPr>
      </w:pPr>
      <w:r>
        <w:rPr>
          <w:rStyle w:val="Tipodeletrapredefinidodopargrafo1"/>
          <w:rFonts w:cs="Times New Roman" w:ascii="Times New Roman" w:hAnsi="Times New Roman"/>
          <w:lang w:val="en-GB"/>
        </w:rPr>
        <w:t>Our method provides a robust alternative to Mantel tests. The Mantel test is based on the null hypothesis significance testing framework. Each test converts the observed data into a single statistic used to determine whether or not the samples being compared are different enough to warrant attention. The significance threshold for this determination is buried deep within the method, so too are the assumptions that characterise the method's performance. Indeed, the empirical false discovery and true discover rates of Mantel tests in applied settings are notoriously fragile (e.g., Guillot &amp; Rousset 2013, Legendre et al. 2015). Here we avoid hypothesis testing entirely and instead focus on collecting information into inferences about the observed ecologies. This approach requires first modelling the measurement process that results in these paired comparisons and then quantifying which model configurations are consistent with the observed data. In particular, we want to capture the uncertainty in our inferences, that is, quantifying all of the model configurations consistent with the data and not just a select few. Although building a model instead of relying on an automated method requires more work, that work results in assumptions that are far more appropriate to each particular analysis and much more transparent.</w:t>
      </w:r>
    </w:p>
    <w:p>
      <w:pPr>
        <w:pStyle w:val="Normal"/>
        <w:spacing w:lineRule="auto" w:line="480"/>
        <w:rPr>
          <w:lang w:val="en-GB"/>
        </w:rPr>
      </w:pPr>
      <w:r>
        <w:rPr>
          <w:lang w:val="en-GB"/>
        </w:rPr>
      </w:r>
    </w:p>
    <w:p>
      <w:pPr>
        <w:pStyle w:val="Normal"/>
        <w:spacing w:lineRule="auto" w:line="480"/>
        <w:rPr>
          <w:lang w:val="en-GB"/>
        </w:rPr>
      </w:pPr>
      <w:r>
        <w:rPr>
          <w:rStyle w:val="Tipodeletrapredefinidodopargrafo1"/>
          <w:rFonts w:cs="Times New Roman" w:ascii="Times New Roman" w:hAnsi="Times New Roman"/>
          <w:lang w:val="en-GB"/>
        </w:rPr>
        <w:t>In conclusion, our approach provides a solid framework for analysing paired comparisons data that can interest scientists who routinely work with this type of data, such as community ecologists, or researchers in any other field.</w:t>
      </w:r>
    </w:p>
    <w:p>
      <w:pPr>
        <w:pStyle w:val="NormalWeb"/>
        <w:suppressAutoHyphens w:val="true"/>
        <w:spacing w:lineRule="auto" w:line="480" w:before="0" w:after="0"/>
        <w:rPr>
          <w:b/>
          <w:b/>
        </w:rPr>
      </w:pPr>
      <w:r>
        <w:rPr>
          <w:b/>
        </w:rPr>
      </w:r>
    </w:p>
    <w:p>
      <w:pPr>
        <w:pStyle w:val="NormalWeb"/>
        <w:suppressAutoHyphens w:val="true"/>
        <w:spacing w:lineRule="auto" w:line="480" w:before="0" w:after="0"/>
        <w:rPr/>
      </w:pPr>
      <w:r>
        <w:rPr>
          <w:b/>
        </w:rPr>
        <w:t>6. Acknowledgments</w:t>
      </w:r>
    </w:p>
    <w:p>
      <w:pPr>
        <w:pStyle w:val="NormalWeb"/>
        <w:suppressAutoHyphens w:val="true"/>
        <w:spacing w:lineRule="auto" w:line="480" w:before="0" w:after="0"/>
        <w:rPr/>
      </w:pPr>
      <w:r>
        <w:rPr>
          <w:b/>
        </w:rPr>
        <w:t xml:space="preserve"> </w:t>
      </w:r>
    </w:p>
    <w:p>
      <w:pPr>
        <w:pStyle w:val="Normal"/>
        <w:spacing w:lineRule="auto" w:line="480"/>
        <w:rPr/>
      </w:pPr>
      <w:r>
        <w:rPr>
          <w:rStyle w:val="Tipodeletrapredefinidodopargrafo1"/>
          <w:rFonts w:cs="Times New Roman" w:ascii="Times New Roman" w:hAnsi="Times New Roman"/>
          <w:lang w:val="en-GB"/>
        </w:rPr>
        <w:t xml:space="preserve">FD, LBA and PMRG were financed by the </w:t>
      </w:r>
      <w:r>
        <w:rPr>
          <w:rStyle w:val="Tipodeletrapredefinidodopargrafo1"/>
          <w:rFonts w:eastAsia="Calibri" w:cs="Times New Roman" w:ascii="Times New Roman" w:hAnsi="Times New Roman"/>
          <w:lang w:val="en-GB"/>
        </w:rPr>
        <w:t xml:space="preserve">Fundação para a Ciência e a Tecnologia (FCT). FD through project </w:t>
      </w:r>
      <w:r>
        <w:rPr>
          <w:rStyle w:val="Tipodeletrapredefinidodopargrafo1"/>
          <w:rFonts w:cs="Times New Roman" w:ascii="Times New Roman" w:hAnsi="Times New Roman"/>
          <w:kern w:val="0"/>
          <w:lang w:val="en-GB" w:bidi="ar-SA"/>
        </w:rPr>
        <w:t>POCI-01-0145-FEDER-028729,</w:t>
      </w:r>
      <w:r>
        <w:rPr>
          <w:rStyle w:val="Tipodeletrapredefinidodopargrafo1"/>
          <w:rFonts w:eastAsia="Calibri" w:cs="Times New Roman" w:ascii="Times New Roman" w:hAnsi="Times New Roman"/>
          <w:lang w:val="en-GB"/>
        </w:rPr>
        <w:t xml:space="preserve"> LBA under the Norma Transitória – </w:t>
      </w:r>
      <w:r>
        <w:rPr>
          <w:rStyle w:val="Tipodeletrapredefinidodopargrafo1"/>
          <w:rFonts w:eastAsia="Calibri" w:cs="Times New Roman" w:ascii="Times New Roman" w:hAnsi="Times New Roman"/>
          <w:color w:val="000000" w:themeColor="text1"/>
          <w:lang w:val="en-GB"/>
        </w:rPr>
        <w:t xml:space="preserve">DL57/2016/CP1440/CT0022, and PMRG through </w:t>
      </w:r>
      <w:r>
        <w:rPr>
          <w:rFonts w:eastAsia="Times New Roman" w:cs="Times New Roman" w:ascii="Times New Roman" w:hAnsi="Times New Roman"/>
          <w:iCs/>
          <w:color w:val="000000" w:themeColor="text1"/>
          <w:kern w:val="0"/>
          <w:lang w:val="en-GB" w:eastAsia="en-US" w:bidi="ar-SA"/>
        </w:rPr>
        <w:t>the Portuguese Foundation for Science and Technology through the CEEC Individual Programme (2020.03356.CEECIND).</w:t>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eastAsia="Calibri" w:cs="Times New Roman"/>
          <w:lang w:val="en-GB"/>
        </w:rPr>
      </w:pPr>
      <w:r>
        <w:rPr>
          <w:rFonts w:eastAsia="Calibri" w:cs="Times New Roman" w:ascii="Times New Roman" w:hAnsi="Times New Roman"/>
          <w:lang w:val="en-GB"/>
        </w:rPr>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pPr>
      <w:r>
        <w:rPr>
          <w:rStyle w:val="Tipodeletrapredefinidodopargrafo1"/>
          <w:rFonts w:eastAsia="Calibri" w:cs="Times New Roman" w:ascii="Times New Roman" w:hAnsi="Times New Roman"/>
          <w:b/>
          <w:bCs/>
          <w:lang w:val="en-GB"/>
        </w:rPr>
        <w:t>7. Author’s contributions</w:t>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eastAsia="Calibri" w:cs="Times New Roman"/>
          <w:b/>
          <w:b/>
          <w:bCs/>
          <w:lang w:val="en-GB"/>
        </w:rPr>
      </w:pPr>
      <w:r>
        <w:rPr>
          <w:rFonts w:eastAsia="Calibri" w:cs="Times New Roman" w:ascii="Times New Roman" w:hAnsi="Times New Roman"/>
          <w:b/>
          <w:bCs/>
          <w:lang w:val="en-GB"/>
        </w:rPr>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pPr>
      <w:r>
        <w:rPr>
          <w:rStyle w:val="Tipodeletrapredefinidodopargrafo1"/>
          <w:rFonts w:eastAsia="Calibri" w:cs="Times New Roman" w:ascii="Times New Roman" w:hAnsi="Times New Roman"/>
          <w:lang w:val="en-GB"/>
        </w:rPr>
        <w:t>FD, MB, PRG and LBA conceived the paper and designed methodology. PRG collected the data used in the case study. FD,MB and LBA analysed the data. FD led the writing of the manuscript. All authors contributed critically to the drafts and gave final approval for publication.</w:t>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eastAsia="Calibri" w:cs="Times New Roman"/>
          <w:b/>
          <w:b/>
          <w:bCs/>
          <w:lang w:val="en-GB"/>
        </w:rPr>
      </w:pPr>
      <w:r>
        <w:rPr>
          <w:rFonts w:eastAsia="Calibri" w:cs="Times New Roman" w:ascii="Times New Roman" w:hAnsi="Times New Roman"/>
          <w:b/>
          <w:bCs/>
          <w:lang w:val="en-GB"/>
        </w:rPr>
      </w:r>
    </w:p>
    <w:p>
      <w:pPr>
        <w:pStyle w:val="Normal"/>
        <w:tabs>
          <w:tab w:val="clear" w:pos="709"/>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eastAsia="Calibri" w:cs="Times New Roman"/>
          <w:lang w:val="en-GB"/>
        </w:rPr>
      </w:pPr>
      <w:r>
        <w:rPr>
          <w:rFonts w:eastAsia="Calibri" w:cs="Times New Roman" w:ascii="Times New Roman" w:hAnsi="Times New Roman"/>
          <w:lang w:val="en-GB"/>
        </w:rPr>
      </w:r>
    </w:p>
    <w:p>
      <w:pPr>
        <w:pStyle w:val="Normal"/>
        <w:spacing w:lineRule="auto" w:line="480"/>
        <w:rPr>
          <w:lang w:val="en-GB"/>
        </w:rPr>
      </w:pPr>
      <w:r>
        <w:rPr>
          <w:rFonts w:ascii="Times New Roman" w:hAnsi="Times New Roman"/>
          <w:b/>
          <w:bCs/>
          <w:lang w:val="en-GB"/>
        </w:rPr>
        <w:t>8. Data availability</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lang w:val="en-GB"/>
        </w:rPr>
        <w:t>The data and code for reproducing the analysis are available at: https://osf.io/u8e2d/</w:t>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rFonts w:ascii="Times New Roman" w:hAnsi="Times New Roman"/>
          <w:b/>
          <w:b/>
          <w:bCs/>
          <w:lang w:val="en-GB"/>
        </w:rPr>
      </w:pPr>
      <w:r>
        <w:rPr>
          <w:rFonts w:ascii="Times New Roman" w:hAnsi="Times New Roman"/>
          <w:b/>
          <w:bCs/>
          <w:lang w:val="en-GB"/>
        </w:rPr>
      </w:r>
    </w:p>
    <w:p>
      <w:pPr>
        <w:pStyle w:val="Normal"/>
        <w:spacing w:lineRule="auto" w:line="480"/>
        <w:rPr>
          <w:lang w:val="en-GB"/>
        </w:rPr>
      </w:pPr>
      <w:r>
        <w:rPr>
          <w:rFonts w:ascii="Times New Roman" w:hAnsi="Times New Roman"/>
          <w:b/>
          <w:bCs/>
          <w:lang w:val="en-GB"/>
        </w:rPr>
        <w:t>9. References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Agresti, A. (2012). Categorical Data Analysis (3rd edition). Wiley.</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Bradley, R. A., &amp; Terry, M. E. (1952). Rank Analysis of Incomplete Block Designs: I. The Method of Paired Comparisons. Biometrika, 39(3/4), 324–345. </w:t>
      </w:r>
      <w:hyperlink r:id="rId2" w:tgtFrame="_top">
        <w:r>
          <w:rPr>
            <w:rStyle w:val="InternetLink"/>
            <w:rFonts w:ascii="Times New Roman" w:hAnsi="Times New Roman"/>
            <w:lang w:val="en-GB"/>
          </w:rPr>
          <w:t>https://doi.org/10.2307/2334029</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Cattelan, M., Varin, C., &amp; Firth, D. (2013). Dynamic Bradley—Terry modelling of sports tournaments. Journal of the Royal Statistical Society. Series C (Applied Statistics), 62(1), 135–150.</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Guillot, G., &amp; Rousset, F. (2013). Dismantling the Mantel tests. Methods in Ecology and Evolution, 4(4), 336–344. </w:t>
      </w:r>
      <w:hyperlink r:id="rId3" w:tgtFrame="_top">
        <w:r>
          <w:rPr>
            <w:rStyle w:val="InternetLink"/>
            <w:rFonts w:ascii="Times New Roman" w:hAnsi="Times New Roman"/>
            <w:lang w:val="en-GB"/>
          </w:rPr>
          <w:t>https://doi.org/10.1111/2041-210x.12018</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Kruschke, J. K. (2010). Doing Bayesian Data Analysis: A Tutorial with R and BUGS (1st edition). Academic Press.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Legendre, P. (2000). Comparison of permutation methods for the partial correlation and partial mantel tests. Journal of Statistical Computation and Simulation, 67(1), 37–73. </w:t>
      </w:r>
      <w:hyperlink r:id="rId4" w:tgtFrame="_top">
        <w:r>
          <w:rPr>
            <w:rStyle w:val="InternetLink"/>
            <w:rFonts w:ascii="Times New Roman" w:hAnsi="Times New Roman"/>
            <w:lang w:val="en-GB"/>
          </w:rPr>
          <w:t>https://doi.org/10.1080/00949650008812035</w:t>
        </w:r>
      </w:hyperlink>
    </w:p>
    <w:p>
      <w:pPr>
        <w:pStyle w:val="Normal"/>
        <w:spacing w:lineRule="auto" w:line="480"/>
        <w:rPr>
          <w:lang w:val="en-GB"/>
        </w:rPr>
      </w:pPr>
      <w:r>
        <w:rPr>
          <w:lang w:val="en-GB"/>
        </w:rPr>
      </w:r>
    </w:p>
    <w:p>
      <w:pPr>
        <w:pStyle w:val="Normal"/>
        <w:spacing w:lineRule="auto" w:line="480"/>
        <w:rPr/>
      </w:pPr>
      <w:r>
        <w:rPr>
          <w:rFonts w:ascii="Times New Roman" w:hAnsi="Times New Roman"/>
          <w:lang w:val="en-GB"/>
        </w:rPr>
        <w:t xml:space="preserve">Legendre, P., Borcard, D., &amp; Peres-Neto, P. R. (2005). Analysing Beta Diversity: Partitioning the Spatial Variation of Community Composition Data. Ecological Monographs, 75(4), 435–450. </w:t>
      </w:r>
      <w:r>
        <w:rPr>
          <w:rStyle w:val="InternetLink"/>
          <w:rFonts w:ascii="Times New Roman" w:hAnsi="Times New Roman"/>
          <w:lang w:val="en-GB"/>
        </w:rPr>
        <w:t>https://doi.org/10.1890/05-0549</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Style w:val="InternetLink"/>
          <w:rFonts w:ascii="Times New Roman" w:hAnsi="Times New Roman"/>
          <w:color w:val="000000"/>
          <w:u w:val="none"/>
          <w:lang w:val="en-GB"/>
        </w:rPr>
        <w:t>Legendre, P., Fortin, M.-J., &amp; Borcard, D. (2015). Should the Mantel test be used in spatial</w:t>
      </w:r>
    </w:p>
    <w:p>
      <w:pPr>
        <w:pStyle w:val="Normal"/>
        <w:spacing w:lineRule="auto" w:line="480"/>
        <w:rPr/>
      </w:pPr>
      <w:r>
        <w:rPr>
          <w:rStyle w:val="InternetLink"/>
          <w:rFonts w:cs="Times New Roman" w:ascii="Times New Roman" w:hAnsi="Times New Roman"/>
          <w:color w:val="000000"/>
          <w:u w:val="none"/>
          <w:lang w:val="en-GB"/>
        </w:rPr>
        <w:t>analysis? Methods in Ecology and Evolution, 6(11), 1239–1247. https://doi.org/10.1111/2041-210X.12425</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eastAsia="Times New Roman" w:cs="Times New Roman" w:ascii="Times New Roman" w:hAnsi="Times New Roman"/>
          <w:color w:val="222222"/>
          <w:kern w:val="0"/>
          <w:shd w:fill="FFFFFF" w:val="clear"/>
          <w:lang w:val="en-GB" w:eastAsia="en-US" w:bidi="ar-SA"/>
        </w:rPr>
        <w:t>Magurran, A. E. (1988). </w:t>
      </w:r>
      <w:r>
        <w:rPr>
          <w:rFonts w:eastAsia="Times New Roman" w:cs="Times New Roman" w:ascii="Times New Roman" w:hAnsi="Times New Roman"/>
          <w:i/>
          <w:iCs/>
          <w:color w:val="222222"/>
          <w:kern w:val="0"/>
          <w:lang w:val="en-GB" w:eastAsia="en-US" w:bidi="ar-SA"/>
        </w:rPr>
        <w:t>Ecological diversity and its measurement</w:t>
      </w:r>
      <w:r>
        <w:rPr>
          <w:rFonts w:eastAsia="Times New Roman" w:cs="Times New Roman" w:ascii="Times New Roman" w:hAnsi="Times New Roman"/>
          <w:color w:val="222222"/>
          <w:kern w:val="0"/>
          <w:shd w:fill="FFFFFF" w:val="clear"/>
          <w:lang w:val="en-GB" w:eastAsia="en-US" w:bidi="ar-SA"/>
        </w:rPr>
        <w:t>. Princeton University Press.</w:t>
      </w:r>
    </w:p>
    <w:p>
      <w:pPr>
        <w:pStyle w:val="Normal"/>
        <w:spacing w:lineRule="auto" w:line="480"/>
        <w:rPr>
          <w:rFonts w:ascii="Times New Roman" w:hAnsi="Times New Roman" w:cs="Times New Roman"/>
          <w:lang w:val="en-GB"/>
        </w:rPr>
      </w:pPr>
      <w:r>
        <w:rPr>
          <w:rFonts w:cs="Times New Roman" w:ascii="Times New Roman" w:hAnsi="Times New Roman"/>
          <w:lang w:val="en-GB"/>
        </w:rPr>
      </w:r>
    </w:p>
    <w:p>
      <w:pPr>
        <w:pStyle w:val="Normal"/>
        <w:spacing w:lineRule="auto" w:line="480"/>
        <w:rPr>
          <w:lang w:val="en-GB"/>
        </w:rPr>
      </w:pPr>
      <w:r>
        <w:rPr>
          <w:rFonts w:cs="Times New Roman" w:ascii="Times New Roman" w:hAnsi="Times New Roman"/>
          <w:lang w:val="en-GB"/>
        </w:rPr>
        <w:t>Mantel, N. (1967). The Detection of Disease Clustering and a Generalised Regression Approach.</w:t>
      </w:r>
      <w:r>
        <w:rPr>
          <w:rFonts w:ascii="Times New Roman" w:hAnsi="Times New Roman"/>
          <w:lang w:val="en-GB"/>
        </w:rPr>
        <w:t xml:space="preserve"> Cancer Research, 27(2 Part 1), 209–220.</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McElreath, R. (2020). Statistical Rethinking: A Bayesian Course with Examples in R and Stan (2 edition). Chapman and Hall/CRC.</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Menke, J. E., &amp; Martinez, T. R. (2008). A Bradley–Terry artificial neural network model for individual ratings in group competitions. Neural Computing and Applications, 17(2), 175–186. </w:t>
      </w:r>
      <w:hyperlink r:id="rId5" w:tgtFrame="_top">
        <w:r>
          <w:rPr>
            <w:rStyle w:val="InternetLink"/>
            <w:rFonts w:ascii="Times New Roman" w:hAnsi="Times New Roman"/>
            <w:lang w:val="en-GB"/>
          </w:rPr>
          <w:t>https://doi.org/10.1007/s00521-006-0080-8</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R Core Team. (2021). R: A Language and Environment for Statistical Computing (4.0.4)</w:t>
      </w:r>
    </w:p>
    <w:p>
      <w:pPr>
        <w:pStyle w:val="Normal"/>
        <w:spacing w:lineRule="auto" w:line="480"/>
        <w:rPr/>
      </w:pPr>
      <w:r>
        <w:rPr>
          <w:rFonts w:ascii="Times New Roman" w:hAnsi="Times New Roman"/>
          <w:lang w:val="en-GB"/>
        </w:rPr>
        <w:t xml:space="preserve">[Computer software]. R Foundation for Statistical Computing. </w:t>
      </w:r>
      <w:hyperlink r:id="rId6" w:tgtFrame="_top">
        <w:r>
          <w:rPr>
            <w:rStyle w:val="InternetLink"/>
            <w:rFonts w:ascii="Times New Roman" w:hAnsi="Times New Roman"/>
            <w:lang w:val="en-GB"/>
          </w:rPr>
          <w:t>https://www.R-project.org/</w:t>
        </w:r>
      </w:hyperlink>
    </w:p>
    <w:p>
      <w:pPr>
        <w:pStyle w:val="Normal"/>
        <w:spacing w:lineRule="auto" w:line="480"/>
        <w:rPr/>
      </w:pPr>
      <w:r>
        <w:rPr>
          <w:rFonts w:ascii="Times New Roman" w:hAnsi="Times New Roman"/>
          <w:lang w:val="en-GB"/>
        </w:rPr>
        <w:t xml:space="preserve">Rodríguez-González, P. M., Ferreira, M. T., Albuquerque, A., Santo, D. E., &amp; Rego, P. R. (2008). Spatial variation of wetland woods in the latitudinal transition to arid regions: A multiscale approach. Journal of Biogeography, 35(8), 1498–1511. </w:t>
      </w:r>
      <w:hyperlink r:id="rId7" w:tgtFrame="_top">
        <w:r>
          <w:rPr>
            <w:rStyle w:val="InternetLink"/>
            <w:rFonts w:ascii="Times New Roman" w:hAnsi="Times New Roman"/>
            <w:lang w:val="en-GB"/>
          </w:rPr>
          <w:t>https://doi.org/10.1111/j.1365-2699.2008.01900.x</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Smouse, P. E., Long, J. C., &amp; Sokal, R. R. (1986). Multiple Regression and Correlation Extensions of the Mantel Test of Matrix Correspondence. Systematic Zoology, 35(4), 627–632. </w:t>
      </w:r>
      <w:hyperlink r:id="rId8" w:tgtFrame="_top">
        <w:r>
          <w:rPr>
            <w:rStyle w:val="InternetLink"/>
            <w:rFonts w:ascii="Times New Roman" w:hAnsi="Times New Roman"/>
            <w:lang w:val="en-GB"/>
          </w:rPr>
          <w:t>https://doi.org/10.2307/2413122</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pPr>
      <w:r>
        <w:rPr>
          <w:rFonts w:ascii="Times New Roman" w:hAnsi="Times New Roman"/>
          <w:lang w:val="en-GB"/>
        </w:rPr>
        <w:t xml:space="preserve">Stan Development Team. (2020). RStan: The R interface to Stan. </w:t>
      </w:r>
      <w:hyperlink r:id="rId9" w:tgtFrame="_top">
        <w:r>
          <w:rPr>
            <w:rStyle w:val="InternetLink"/>
            <w:rFonts w:ascii="Times New Roman" w:hAnsi="Times New Roman"/>
            <w:lang w:val="en-GB"/>
          </w:rPr>
          <w:t>http://mc-stan.org/</w:t>
        </w:r>
      </w:hyperlink>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ascii="Times New Roman" w:hAnsi="Times New Roman"/>
          <w:lang w:val="en-GB"/>
        </w:rPr>
        <w:t>Wilson, K. A., Cabeza, M., &amp; Klein, C. J. (2009). Fundamental Concepts of Spatial Conservation Prioritization. In A. Moilanen, K. A. Wilson, &amp; H. P. Possingham (Eds.), Spatial Conservation Prioritization: Quantitative Methods &amp; Computational Tools (pp. 16–27). Oxford University Press, USA.</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Style w:val="StrongEmphasis"/>
          <w:rFonts w:cs="Times New Roman" w:ascii="Times New Roman" w:hAnsi="Times New Roman"/>
          <w:b w:val="false"/>
          <w:bCs w:val="false"/>
          <w:color w:val="0E101A"/>
          <w:lang w:val="en-GB"/>
        </w:rPr>
        <w:t xml:space="preserve">Figure 1 -  </w:t>
      </w:r>
      <w:r>
        <w:rPr>
          <w:rFonts w:cs="Times New Roman" w:ascii="Times New Roman" w:hAnsi="Times New Roman"/>
          <w:color w:val="0E101A"/>
          <w:lang w:val="en-GB"/>
        </w:rPr>
        <w:t xml:space="preserve">a) This panel shows the residuals from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s_</w:t>
      </w:r>
      <w:r>
        <w:rPr>
          <w:rFonts w:cs="Times New Roman" w:ascii="Times New Roman" w:hAnsi="Times New Roman"/>
          <w:color w:val="0E101A"/>
          <w:lang w:val="en-GB"/>
        </w:rPr>
        <w:t>0 (black dots) plotted against sample codes. The vertical dashed lines delimit groups of residuals in groups of 98 points. The first group on the left shows paired comparisons between sample 1 and the other 99 samples, corresponding to 99 points. The second group contains pairs involving sample 2, but because the pair (sample 1, sample 2) has already been considered, there are only 98 points. The remaining groups were built in the same until the residuals of all pairs are shown. The final point on the right corresponds to the paired comparison between sample 99 and sample 100. The number in red is the value used to simulate the data, but to avoid cluttering the figure, we only show the α</w:t>
      </w:r>
      <w:r>
        <w:rPr>
          <w:rFonts w:cs="Times New Roman" w:ascii="Times New Roman" w:hAnsi="Times New Roman"/>
          <w:color w:val="0E101A"/>
          <w:vertAlign w:val="subscript"/>
          <w:lang w:val="en-GB"/>
        </w:rPr>
        <w:t>s</w:t>
      </w:r>
      <w:r>
        <w:rPr>
          <w:rStyle w:val="Emphasis"/>
          <w:rFonts w:cs="Times New Roman" w:ascii="Times New Roman" w:hAnsi="Times New Roman"/>
          <w:color w:val="0E101A"/>
          <w:lang w:val="en-GB"/>
        </w:rPr>
        <w:t xml:space="preserve"> </w:t>
      </w:r>
      <w:r>
        <w:rPr>
          <w:rFonts w:cs="Times New Roman" w:ascii="Times New Roman" w:hAnsi="Times New Roman"/>
          <w:color w:val="0E101A"/>
          <w:lang w:val="en-GB"/>
        </w:rPr>
        <w:t xml:space="preserve">for the first 23 sample points. b) This panel shows the residuals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s_</w:t>
      </w:r>
      <w:r>
        <w:rPr>
          <w:rFonts w:cs="Times New Roman" w:ascii="Times New Roman" w:hAnsi="Times New Roman"/>
          <w:color w:val="0E101A"/>
          <w:lang w:val="en-GB"/>
        </w:rPr>
        <w:t xml:space="preserve">0 (black dots) along with those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_12 (green dots) and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_11 (red dots). Note that there is no apparent structure in the residuals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_12 and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_11.</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cs="Times New Roman" w:ascii="Times New Roman" w:hAnsi="Times New Roman"/>
          <w:color w:val="0E101A"/>
          <w:lang w:val="en-GB"/>
        </w:rPr>
        <w:t xml:space="preserve">Figure 2 - The histograms of the standard deviation of the posteriors for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w:t>
      </w:r>
      <w:r>
        <w:rPr>
          <w:rFonts w:cs="Times New Roman" w:ascii="Times New Roman" w:hAnsi="Times New Roman"/>
          <w:color w:val="0E101A"/>
          <w:lang w:val="en-GB"/>
        </w:rPr>
        <w:t xml:space="preserve"> (Model_s_11) and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s1</w:t>
      </w:r>
      <w:r>
        <w:rPr>
          <w:rFonts w:cs="Times New Roman" w:ascii="Times New Roman" w:hAnsi="Times New Roman"/>
          <w:color w:val="0E101A"/>
          <w:lang w:val="en-GB"/>
        </w:rPr>
        <w:t xml:space="preserve">, and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s2</w:t>
      </w:r>
      <w:r>
        <w:rPr>
          <w:rFonts w:cs="Times New Roman" w:ascii="Times New Roman" w:hAnsi="Times New Roman"/>
          <w:color w:val="0E101A"/>
          <w:lang w:val="en-GB"/>
        </w:rPr>
        <w:t xml:space="preserve"> (</w:t>
      </w:r>
      <w:r>
        <w:rPr>
          <w:rFonts w:cs="Times New Roman" w:ascii="Times New Roman" w:hAnsi="Times New Roman"/>
          <w:color w:val="000000"/>
          <w:lang w:val="en-GB"/>
        </w:rPr>
        <w:t>Model_s_12</w:t>
      </w:r>
      <w:r>
        <w:rPr>
          <w:rFonts w:cs="Times New Roman" w:ascii="Times New Roman" w:hAnsi="Times New Roman"/>
          <w:color w:val="0E101A"/>
          <w:lang w:val="en-GB"/>
        </w:rPr>
        <w:t xml:space="preserve">). Notice that the smaller values of the standard deviations of the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w:t>
      </w:r>
      <w:r>
        <w:rPr>
          <w:rFonts w:cs="Times New Roman" w:ascii="Times New Roman" w:hAnsi="Times New Roman"/>
          <w:color w:val="0E101A"/>
          <w:lang w:val="en-GB"/>
        </w:rPr>
        <w:t xml:space="preserve"> (Model_s_11) compared with those of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s1</w:t>
      </w:r>
      <w:r>
        <w:rPr>
          <w:rFonts w:cs="Times New Roman" w:ascii="Times New Roman" w:hAnsi="Times New Roman"/>
          <w:color w:val="0E101A"/>
          <w:lang w:val="en-GB"/>
        </w:rPr>
        <w:t xml:space="preserve">, and </w:t>
      </w:r>
      <w:r>
        <w:rPr>
          <w:rFonts w:eastAsia="Symbol" w:cs="Symbol" w:ascii="Times New Roman" w:hAnsi="Times New Roman"/>
          <w:i/>
          <w:color w:val="0E101A"/>
          <w:lang w:val="en-GB"/>
        </w:rPr>
        <w:t>a</w:t>
      </w:r>
      <w:r>
        <w:rPr>
          <w:rFonts w:cs="Times New Roman" w:ascii="Times New Roman" w:hAnsi="Times New Roman"/>
          <w:color w:val="0E101A"/>
          <w:vertAlign w:val="subscript"/>
          <w:lang w:val="en-GB"/>
        </w:rPr>
        <w:t>s2</w:t>
      </w:r>
      <w:r>
        <w:rPr>
          <w:rFonts w:cs="Times New Roman" w:ascii="Times New Roman" w:hAnsi="Times New Roman"/>
          <w:color w:val="0E101A"/>
          <w:lang w:val="en-GB"/>
        </w:rPr>
        <w:t xml:space="preserve"> (</w:t>
      </w:r>
      <w:r>
        <w:rPr>
          <w:rFonts w:cs="Times New Roman" w:ascii="Times New Roman" w:hAnsi="Times New Roman"/>
          <w:color w:val="000000"/>
          <w:lang w:val="en-GB"/>
        </w:rPr>
        <w:t>Model_s_12</w:t>
      </w:r>
      <w:r>
        <w:rPr>
          <w:rFonts w:cs="Times New Roman" w:ascii="Times New Roman" w:hAnsi="Times New Roman"/>
          <w:color w:val="0E101A"/>
          <w:lang w:val="en-GB"/>
        </w:rPr>
        <w:t>). The red curve was obtained with the function “density” from the R software that computes kernel density estimates. The full vertical lines correspond to the mean and the dashed lines 95% credibility intervals.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cs="Times New Roman" w:ascii="Times New Roman" w:hAnsi="Times New Roman"/>
          <w:color w:val="0E101A"/>
          <w:lang w:val="en-GB"/>
        </w:rPr>
        <w:t>Figure 3 –Continental Portugal and the location of the vegetation plots in the eleven river basins studied (red dots).</w:t>
      </w:r>
    </w:p>
    <w:p>
      <w:pPr>
        <w:pStyle w:val="Normal"/>
        <w:spacing w:lineRule="auto" w:line="480"/>
        <w:rPr>
          <w:lang w:val="en-GB"/>
        </w:rPr>
      </w:pPr>
      <w:r>
        <w:rPr>
          <w:lang w:val="en-GB"/>
        </w:rPr>
      </w:r>
    </w:p>
    <w:p>
      <w:pPr>
        <w:pStyle w:val="Normal"/>
        <w:spacing w:lineRule="auto" w:line="480"/>
        <w:rPr>
          <w:rFonts w:ascii="Times New Roman" w:hAnsi="Times New Roman"/>
          <w:lang w:val="en-GB"/>
        </w:rPr>
      </w:pPr>
      <w:r>
        <w:rPr>
          <w:rFonts w:cs="Times New Roman" w:ascii="Times New Roman" w:hAnsi="Times New Roman"/>
          <w:color w:val="0E101A"/>
          <w:lang w:val="en-GB"/>
        </w:rPr>
        <w:t xml:space="preserve">Figure 4 - Variances as a function of </w:t>
      </w:r>
      <w:r>
        <w:rPr>
          <w:rFonts w:ascii="Times New Roman" w:hAnsi="Times New Roman"/>
          <w:color w:val="0E101A"/>
          <w:lang w:val="en-GB"/>
        </w:rPr>
        <w:t>μ</w:t>
      </w:r>
      <w:r>
        <w:rPr>
          <w:rFonts w:cs="Times New Roman" w:ascii="Times New Roman" w:hAnsi="Times New Roman"/>
          <w:color w:val="0E101A"/>
          <w:lang w:val="en-GB"/>
        </w:rPr>
        <w:t xml:space="preserve"> for the tree different models. Notice the variances associated with </w:t>
      </w:r>
      <w:r>
        <w:rPr>
          <w:rFonts w:cs="Times New Roman" w:ascii="Times New Roman" w:hAnsi="Times New Roman"/>
          <w:i/>
          <w:color w:val="0E101A"/>
          <w:lang w:val="en-GB"/>
        </w:rPr>
        <w:t>Model_cs_</w:t>
      </w:r>
      <w:r>
        <w:rPr>
          <w:rFonts w:cs="Times New Roman" w:ascii="Times New Roman" w:hAnsi="Times New Roman"/>
          <w:color w:val="0E101A"/>
          <w:lang w:val="en-GB"/>
        </w:rPr>
        <w:t xml:space="preserve">11 (black open circles) and </w:t>
      </w:r>
      <w:r>
        <w:rPr>
          <w:rFonts w:cs="Times New Roman" w:ascii="Times New Roman" w:hAnsi="Times New Roman"/>
          <w:i/>
          <w:color w:val="0E101A"/>
          <w:lang w:val="en-GB"/>
        </w:rPr>
        <w:t>Model_cs_</w:t>
      </w:r>
      <w:r>
        <w:rPr>
          <w:rFonts w:cs="Times New Roman" w:ascii="Times New Roman" w:hAnsi="Times New Roman"/>
          <w:color w:val="0E101A"/>
          <w:lang w:val="en-GB"/>
        </w:rPr>
        <w:t xml:space="preserve">11 (gray dots) are indistinguishable, but that the variance of the </w:t>
      </w:r>
      <w:r>
        <w:rPr>
          <w:rFonts w:cs="Times New Roman" w:ascii="Times New Roman" w:hAnsi="Times New Roman"/>
          <w:i/>
          <w:color w:val="0E101A"/>
          <w:lang w:val="en-GB"/>
        </w:rPr>
        <w:t>Model_cs_</w:t>
      </w:r>
      <w:r>
        <w:rPr>
          <w:rFonts w:cs="Times New Roman" w:ascii="Times New Roman" w:hAnsi="Times New Roman"/>
          <w:color w:val="0E101A"/>
          <w:lang w:val="en-GB"/>
        </w:rPr>
        <w:t xml:space="preserve">0 model (red dots) is much larger.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ind w:left="57" w:hanging="0"/>
        <w:rPr>
          <w:lang w:val="en-GB"/>
        </w:rPr>
      </w:pPr>
      <w:r>
        <w:rPr>
          <w:rFonts w:ascii="Times New Roman" w:hAnsi="Times New Roman"/>
        </w:rPr>
        <w:t>F</w:t>
      </w:r>
      <w:r>
        <w:rPr>
          <w:rFonts w:ascii="Times New Roman" w:hAnsi="Times New Roman"/>
          <w:lang w:val="en-GB"/>
        </w:rPr>
        <w:t xml:space="preserve">igure 5 - </w:t>
      </w:r>
      <w:r>
        <w:rPr>
          <w:rFonts w:cs="Times New Roman" w:ascii="Times New Roman" w:hAnsi="Times New Roman"/>
          <w:lang w:val="en-GB"/>
        </w:rPr>
        <w:t xml:space="preserve">The histograms of the standard deviation of the posteriors for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12</w:t>
      </w:r>
      <w:r>
        <w:rPr>
          <w:rFonts w:cs="Times New Roman" w:ascii="Times New Roman" w:hAnsi="Times New Roman"/>
          <w:lang w:val="en-GB"/>
        </w:rPr>
        <w:t xml:space="preserve">). Notice that the smaller values of the standard deviations of the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11</w:t>
      </w:r>
      <w:r>
        <w:rPr>
          <w:rFonts w:cs="Times New Roman" w:ascii="Times New Roman" w:hAnsi="Times New Roman"/>
          <w:lang w:val="en-GB"/>
        </w:rPr>
        <w:t xml:space="preserve">) compared with those of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12</w:t>
      </w:r>
      <w:r>
        <w:rPr>
          <w:rFonts w:cs="Times New Roman" w:ascii="Times New Roman" w:hAnsi="Times New Roman"/>
          <w:lang w:val="en-GB"/>
        </w:rPr>
        <w:t>). The red curve was obtained with the function “density” from the R software that computes kernel density estimates. The full vertical lines correspond to the mean and the dashed lines 95% intervals.</w:t>
      </w:r>
    </w:p>
    <w:p>
      <w:pPr>
        <w:pStyle w:val="Normal"/>
        <w:spacing w:lineRule="auto" w:line="480"/>
        <w:rPr>
          <w:lang w:val="en-GB"/>
        </w:rPr>
      </w:pPr>
      <w:r>
        <w:rPr>
          <w:lang w:val="en-GB"/>
        </w:rPr>
      </w:r>
    </w:p>
    <w:p>
      <w:pPr>
        <w:pStyle w:val="Normal"/>
        <w:spacing w:lineRule="auto" w:line="480"/>
        <w:rPr>
          <w:lang w:val="en-GB"/>
        </w:rPr>
      </w:pPr>
      <w:r>
        <w:rPr>
          <w:rFonts w:ascii="Times New Roman" w:hAnsi="Times New Roman"/>
          <w:color w:val="333333"/>
          <w:lang w:val="en-GB"/>
        </w:rPr>
        <w:t>F</w:t>
      </w:r>
      <w:r>
        <w:rPr>
          <w:rFonts w:ascii="Times New Roman" w:hAnsi="Times New Roman"/>
          <w:color w:val="111111"/>
          <w:lang w:val="en-GB"/>
        </w:rPr>
        <w:t xml:space="preserve">igure 6 </w:t>
      </w:r>
      <w:r>
        <w:rPr>
          <w:rFonts w:ascii="Times New Roman" w:hAnsi="Times New Roman"/>
          <w:bCs/>
          <w:color w:val="111111"/>
          <w:lang w:val="en-GB"/>
        </w:rPr>
        <w:t xml:space="preserve">– Posterior estimates of slope parameters for the covariates network distance (left) and precipitation difference (right) for each river basin. The parameter </w:t>
      </w:r>
      <w:r>
        <w:rPr>
          <w:rFonts w:ascii="Times New Roman" w:hAnsi="Times New Roman"/>
          <w:bCs/>
          <w:i/>
          <w:color w:val="111111"/>
          <w:lang w:val="en-GB"/>
        </w:rPr>
        <w:t>μ</w:t>
      </w:r>
      <w:r>
        <w:rPr>
          <w:rFonts w:ascii="Times New Roman" w:hAnsi="Times New Roman"/>
          <w:bCs/>
          <w:color w:val="111111"/>
          <w:lang w:val="en-GB"/>
        </w:rPr>
        <w:t xml:space="preserve"> is the mean of the normal distribution where slopes are sampled from. Dark blue lines represent 95% credibility intervals. The thin light blue line represents the complete distribution of the parameters. The dot represents the marginal posterior mean.</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drawing>
          <wp:inline distT="0" distB="0" distL="0" distR="0">
            <wp:extent cx="4904740" cy="73577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4904740" cy="7357745"/>
                    </a:xfrm>
                    <a:prstGeom prst="rect">
                      <a:avLst/>
                    </a:prstGeom>
                  </pic:spPr>
                </pic:pic>
              </a:graphicData>
            </a:graphic>
          </wp:inline>
        </w:drawing>
      </w:r>
    </w:p>
    <w:p>
      <w:pPr>
        <w:pStyle w:val="Normal"/>
        <w:spacing w:lineRule="auto" w:line="480"/>
        <w:rPr>
          <w:rFonts w:ascii="Times New Roman" w:hAnsi="Times New Roman"/>
          <w:lang w:val="en-GB"/>
        </w:rPr>
      </w:pPr>
      <w:r>
        <w:rPr>
          <w:rStyle w:val="StrongEmphasis"/>
          <w:rFonts w:cs="Times New Roman" w:ascii="Times New Roman" w:hAnsi="Times New Roman"/>
          <w:b w:val="false"/>
          <w:bCs w:val="false"/>
          <w:color w:val="0E101A"/>
          <w:lang w:val="en-GB"/>
        </w:rPr>
        <w:t xml:space="preserve">Figure 1 -  </w:t>
      </w:r>
      <w:r>
        <w:rPr>
          <w:rFonts w:cs="Times New Roman" w:ascii="Times New Roman" w:hAnsi="Times New Roman"/>
          <w:color w:val="0E101A"/>
          <w:lang w:val="en-GB"/>
        </w:rPr>
        <w:t xml:space="preserve">a) This panel shows the residuals from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s_</w:t>
      </w:r>
      <w:r>
        <w:rPr>
          <w:rFonts w:cs="Times New Roman" w:ascii="Times New Roman" w:hAnsi="Times New Roman"/>
          <w:color w:val="0E101A"/>
          <w:lang w:val="en-GB"/>
        </w:rPr>
        <w:t>0 (black dots) plotted against sample codes. The vertical dashed lines delimit groups of residuals in groups of 98 points. The first group on the left shows paired comparisons between sample 1 and the other 99 samples, corresponding to 99 points. The second group contains pairs involving sample 2, but because the pair (sample 1, sample 2) has already been considered, there are only 98 points. The remaining groups were built in the same until the residuals of all pairs are shown. The final point on the right corresponds to the paired comparison between sample 99 and sample 100. The number in red is the value used to simulate the data, but to avoid cluttering the figure, we only show the α</w:t>
      </w:r>
      <w:r>
        <w:rPr>
          <w:rFonts w:cs="Times New Roman" w:ascii="Times New Roman" w:hAnsi="Times New Roman"/>
          <w:color w:val="0E101A"/>
          <w:vertAlign w:val="subscript"/>
          <w:lang w:val="en-GB"/>
        </w:rPr>
        <w:t>s</w:t>
      </w:r>
      <w:r>
        <w:rPr>
          <w:rStyle w:val="Emphasis"/>
          <w:rFonts w:cs="Times New Roman" w:ascii="Times New Roman" w:hAnsi="Times New Roman"/>
          <w:color w:val="0E101A"/>
          <w:lang w:val="en-GB"/>
        </w:rPr>
        <w:t xml:space="preserve"> </w:t>
      </w:r>
      <w:r>
        <w:rPr>
          <w:rFonts w:cs="Times New Roman" w:ascii="Times New Roman" w:hAnsi="Times New Roman"/>
          <w:color w:val="0E101A"/>
          <w:lang w:val="en-GB"/>
        </w:rPr>
        <w:t xml:space="preserve">for the first 23 sample points. b) This panel shows the residuals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s_</w:t>
      </w:r>
      <w:r>
        <w:rPr>
          <w:rFonts w:cs="Times New Roman" w:ascii="Times New Roman" w:hAnsi="Times New Roman"/>
          <w:color w:val="0E101A"/>
          <w:lang w:val="en-GB"/>
        </w:rPr>
        <w:t xml:space="preserve">0 (black dots) along with those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_12 (green dots) and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_11 (red dots). Note that there is no apparent structure in the residuals of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 xml:space="preserve">_12 and </w:t>
      </w:r>
      <w:r>
        <w:rPr>
          <w:rStyle w:val="Emphasis"/>
          <w:rFonts w:cs="Times New Roman" w:ascii="Times New Roman" w:hAnsi="Times New Roman"/>
          <w:color w:val="0E101A"/>
          <w:lang w:val="en-GB"/>
        </w:rPr>
        <w:t>Model</w:t>
      </w:r>
      <w:r>
        <w:rPr>
          <w:rFonts w:cs="Times New Roman" w:ascii="Times New Roman" w:hAnsi="Times New Roman"/>
          <w:color w:val="0E101A"/>
          <w:lang w:val="en-GB"/>
        </w:rPr>
        <w:t>_</w:t>
      </w:r>
      <w:r>
        <w:rPr>
          <w:rStyle w:val="Emphasis"/>
          <w:rFonts w:cs="Times New Roman" w:ascii="Times New Roman" w:hAnsi="Times New Roman"/>
          <w:color w:val="0E101A"/>
          <w:lang w:val="en-GB"/>
        </w:rPr>
        <w:t>s</w:t>
      </w:r>
      <w:r>
        <w:rPr>
          <w:rFonts w:cs="Times New Roman" w:ascii="Times New Roman" w:hAnsi="Times New Roman"/>
          <w:color w:val="0E101A"/>
          <w:lang w:val="en-GB"/>
        </w:rPr>
        <w:t>_11.</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rPr>
          <w:rFonts w:cs="Times New Roman" w:ascii="Times New Roman" w:hAnsi="Times New Roman"/>
          <w:lang w:val="en-GB"/>
        </w:rPr>
        <w:t xml:space="preserve"> </w:t>
      </w:r>
      <w:r>
        <w:rPr/>
        <w:drawing>
          <wp:inline distT="0" distB="0" distL="0" distR="0">
            <wp:extent cx="3105150" cy="6850380"/>
            <wp:effectExtent l="0" t="0" r="0" b="0"/>
            <wp:docPr id="2"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descr=""/>
                    <pic:cNvPicPr>
                      <a:picLocks noChangeAspect="1" noChangeArrowheads="1"/>
                    </pic:cNvPicPr>
                  </pic:nvPicPr>
                  <pic:blipFill>
                    <a:blip r:embed="rId11"/>
                    <a:stretch>
                      <a:fillRect/>
                    </a:stretch>
                  </pic:blipFill>
                  <pic:spPr bwMode="auto">
                    <a:xfrm>
                      <a:off x="0" y="0"/>
                      <a:ext cx="3105150" cy="6850380"/>
                    </a:xfrm>
                    <a:prstGeom prst="rect">
                      <a:avLst/>
                    </a:prstGeom>
                  </pic:spPr>
                </pic:pic>
              </a:graphicData>
            </a:graphic>
          </wp:inline>
        </w:drawing>
      </w:r>
    </w:p>
    <w:p>
      <w:pPr>
        <w:pStyle w:val="Normal"/>
        <w:spacing w:lineRule="auto" w:line="480"/>
        <w:rPr>
          <w:lang w:val="en-GB"/>
        </w:rPr>
      </w:pPr>
      <w:r>
        <w:rPr>
          <w:rFonts w:cs="Times New Roman" w:ascii="Times New Roman" w:hAnsi="Times New Roman"/>
          <w:lang w:val="en-GB"/>
        </w:rPr>
        <w:t xml:space="preserve">Figure 2 - The histograms of the standard deviation of the posteriors for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(Model_s_11) and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cs="Times New Roman" w:ascii="Times New Roman" w:hAnsi="Times New Roman"/>
          <w:color w:val="000000"/>
          <w:lang w:val="en-GB"/>
        </w:rPr>
        <w:t>Model_s_12</w:t>
      </w:r>
      <w:r>
        <w:rPr>
          <w:rFonts w:cs="Times New Roman" w:ascii="Times New Roman" w:hAnsi="Times New Roman"/>
          <w:lang w:val="en-GB"/>
        </w:rPr>
        <w:t xml:space="preserve">). Notice that the smaller values of the standard deviations of the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(Model_s_11) compared with those of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cs="Times New Roman" w:ascii="Times New Roman" w:hAnsi="Times New Roman"/>
          <w:color w:val="000000"/>
          <w:lang w:val="en-GB"/>
        </w:rPr>
        <w:t>Model_s_12</w:t>
      </w:r>
      <w:r>
        <w:rPr>
          <w:rFonts w:cs="Times New Roman" w:ascii="Times New Roman" w:hAnsi="Times New Roman"/>
          <w:lang w:val="en-GB"/>
        </w:rPr>
        <w:t>). The red curve was obtained with the function “density” from the R software that computes kernel density estimates. The full vertical lines correspond to the mean and the dashed lines 95% credibility intervals.</w:t>
      </w:r>
    </w:p>
    <w:p>
      <w:pPr>
        <w:pStyle w:val="Normal"/>
        <w:spacing w:lineRule="auto" w:line="480"/>
        <w:rPr>
          <w:lang w:val="en-GB"/>
        </w:rPr>
      </w:pPr>
      <w:r>
        <w:rPr>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lang w:val="en-GB"/>
        </w:rPr>
      </w:pPr>
      <w:r>
        <w:drawing>
          <wp:anchor behindDoc="0" distT="6350" distB="6350" distL="6350" distR="6350" simplePos="0" locked="0" layoutInCell="0" allowOverlap="1" relativeHeight="7">
            <wp:simplePos x="0" y="0"/>
            <wp:positionH relativeFrom="column">
              <wp:align>center</wp:align>
            </wp:positionH>
            <wp:positionV relativeFrom="paragraph">
              <wp:posOffset>635</wp:posOffset>
            </wp:positionV>
            <wp:extent cx="6120130" cy="4327525"/>
            <wp:effectExtent l="0" t="0" r="0" b="0"/>
            <wp:wrapSquare wrapText="bothSides"/>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2"/>
                    <a:stretch>
                      <a:fillRect/>
                    </a:stretch>
                  </pic:blipFill>
                  <pic:spPr bwMode="auto">
                    <a:xfrm>
                      <a:off x="0" y="0"/>
                      <a:ext cx="6120130" cy="4327525"/>
                    </a:xfrm>
                    <a:prstGeom prst="rect">
                      <a:avLst/>
                    </a:prstGeom>
                  </pic:spPr>
                </pic:pic>
              </a:graphicData>
            </a:graphic>
          </wp:anchor>
        </w:drawing>
      </w:r>
      <w:r>
        <w:rPr>
          <w:rFonts w:ascii="Times New Roman" w:hAnsi="Times New Roman"/>
          <w:lang w:val="en-GB"/>
        </w:rPr>
        <w:t>Figure 3 –Continental Portugal and the location of the vegetation plots in the eleven river basins studied (red dots).</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drawing>
          <wp:inline distT="0" distB="0" distL="0" distR="0">
            <wp:extent cx="4255135" cy="585089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13"/>
                    <a:stretch>
                      <a:fillRect/>
                    </a:stretch>
                  </pic:blipFill>
                  <pic:spPr bwMode="auto">
                    <a:xfrm>
                      <a:off x="0" y="0"/>
                      <a:ext cx="4255135" cy="5850890"/>
                    </a:xfrm>
                    <a:prstGeom prst="rect">
                      <a:avLst/>
                    </a:prstGeom>
                  </pic:spPr>
                </pic:pic>
              </a:graphicData>
            </a:graphic>
          </wp:inline>
        </w:drawing>
      </w:r>
    </w:p>
    <w:p>
      <w:pPr>
        <w:pStyle w:val="Normal"/>
        <w:spacing w:lineRule="auto" w:line="480"/>
        <w:rPr>
          <w:rFonts w:ascii="Times New Roman" w:hAnsi="Times New Roman"/>
          <w:lang w:val="en-GB"/>
        </w:rPr>
      </w:pPr>
      <w:r>
        <w:rPr>
          <w:rFonts w:ascii="Times New Roman" w:hAnsi="Times New Roman"/>
          <w:lang w:val="en-GB"/>
        </w:rPr>
        <w:t xml:space="preserve">Figure 4 - Variances as a function of μ for the tree different models. Notice the variances associated with </w:t>
      </w:r>
      <w:r>
        <w:rPr>
          <w:rFonts w:ascii="Times New Roman" w:hAnsi="Times New Roman"/>
          <w:i/>
          <w:lang w:val="en-GB"/>
        </w:rPr>
        <w:t>Model_cs_</w:t>
      </w:r>
      <w:r>
        <w:rPr>
          <w:rFonts w:ascii="Times New Roman" w:hAnsi="Times New Roman"/>
          <w:lang w:val="en-GB"/>
        </w:rPr>
        <w:t xml:space="preserve">11 (black open circles) and </w:t>
      </w:r>
      <w:r>
        <w:rPr>
          <w:rFonts w:ascii="Times New Roman" w:hAnsi="Times New Roman"/>
          <w:i/>
          <w:lang w:val="en-GB"/>
        </w:rPr>
        <w:t>Model_cs_</w:t>
      </w:r>
      <w:r>
        <w:rPr>
          <w:rFonts w:ascii="Times New Roman" w:hAnsi="Times New Roman"/>
          <w:lang w:val="en-GB"/>
        </w:rPr>
        <w:t xml:space="preserve">11 (gray dots) are indistinguishable, but that the variance of the </w:t>
      </w:r>
      <w:r>
        <w:rPr>
          <w:rFonts w:ascii="Times New Roman" w:hAnsi="Times New Roman"/>
          <w:i/>
          <w:lang w:val="en-GB"/>
        </w:rPr>
        <w:t>Model_cs_</w:t>
      </w:r>
      <w:r>
        <w:rPr>
          <w:rFonts w:ascii="Times New Roman" w:hAnsi="Times New Roman"/>
          <w:lang w:val="en-GB"/>
        </w:rPr>
        <w:t xml:space="preserve">0 model (red dots) is much larger. </w:t>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ind w:left="57" w:hanging="397"/>
        <w:jc w:val="center"/>
        <w:rPr>
          <w:lang w:val="en-GB"/>
        </w:rPr>
      </w:pPr>
      <w:r>
        <w:rPr/>
        <w:drawing>
          <wp:inline distT="0" distB="0" distL="0" distR="0">
            <wp:extent cx="2888615" cy="5775960"/>
            <wp:effectExtent l="0" t="0" r="0" b="0"/>
            <wp:docPr id="5"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
                    <pic:cNvPicPr>
                      <a:picLocks noChangeAspect="1" noChangeArrowheads="1"/>
                    </pic:cNvPicPr>
                  </pic:nvPicPr>
                  <pic:blipFill>
                    <a:blip r:embed="rId14"/>
                    <a:stretch>
                      <a:fillRect/>
                    </a:stretch>
                  </pic:blipFill>
                  <pic:spPr bwMode="auto">
                    <a:xfrm>
                      <a:off x="0" y="0"/>
                      <a:ext cx="2888615" cy="5775960"/>
                    </a:xfrm>
                    <a:prstGeom prst="rect">
                      <a:avLst/>
                    </a:prstGeom>
                  </pic:spPr>
                </pic:pic>
              </a:graphicData>
            </a:graphic>
          </wp:inline>
        </w:drawing>
      </w:r>
    </w:p>
    <w:p>
      <w:pPr>
        <w:pStyle w:val="Normal"/>
        <w:spacing w:lineRule="auto" w:line="480"/>
        <w:ind w:left="57" w:hanging="0"/>
        <w:rPr>
          <w:lang w:val="en-GB"/>
        </w:rPr>
      </w:pPr>
      <w:r>
        <w:rPr>
          <w:rFonts w:ascii="Times New Roman" w:hAnsi="Times New Roman"/>
        </w:rPr>
        <w:t>F</w:t>
      </w:r>
      <w:r>
        <w:rPr>
          <w:rFonts w:ascii="Times New Roman" w:hAnsi="Times New Roman"/>
          <w:lang w:val="en-GB"/>
        </w:rPr>
        <w:t xml:space="preserve">igure 5 - </w:t>
      </w:r>
      <w:r>
        <w:rPr>
          <w:rFonts w:cs="Times New Roman" w:ascii="Times New Roman" w:hAnsi="Times New Roman"/>
          <w:lang w:val="en-GB"/>
        </w:rPr>
        <w:t xml:space="preserve">The histograms of the standard deviation of the posteriors for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12</w:t>
      </w:r>
      <w:r>
        <w:rPr>
          <w:rFonts w:cs="Times New Roman" w:ascii="Times New Roman" w:hAnsi="Times New Roman"/>
          <w:lang w:val="en-GB"/>
        </w:rPr>
        <w:t xml:space="preserve">). Notice that the smaller values of the standard deviations of the </w:t>
      </w:r>
      <w:r>
        <w:rPr>
          <w:rFonts w:eastAsia="Symbol" w:cs="Symbol" w:ascii="Times New Roman" w:hAnsi="Times New Roman"/>
          <w:i/>
          <w:lang w:val="en-GB"/>
        </w:rPr>
        <w:t>a</w:t>
      </w:r>
      <w:r>
        <w:rPr>
          <w:rFonts w:cs="Times New Roman" w:ascii="Times New Roman" w:hAnsi="Times New Roman"/>
          <w:vertAlign w:val="subscript"/>
          <w:lang w:val="en-GB"/>
        </w:rPr>
        <w:t>s</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11</w:t>
      </w:r>
      <w:r>
        <w:rPr>
          <w:rFonts w:cs="Times New Roman" w:ascii="Times New Roman" w:hAnsi="Times New Roman"/>
          <w:lang w:val="en-GB"/>
        </w:rPr>
        <w:t xml:space="preserve">) compared with those of </w:t>
      </w:r>
      <w:r>
        <w:rPr>
          <w:rFonts w:eastAsia="Symbol" w:cs="Symbol" w:ascii="Times New Roman" w:hAnsi="Times New Roman"/>
          <w:i/>
          <w:lang w:val="en-GB"/>
        </w:rPr>
        <w:t>a</w:t>
      </w:r>
      <w:r>
        <w:rPr>
          <w:rFonts w:cs="Times New Roman" w:ascii="Times New Roman" w:hAnsi="Times New Roman"/>
          <w:vertAlign w:val="subscript"/>
          <w:lang w:val="en-GB"/>
        </w:rPr>
        <w:t>s1</w:t>
      </w:r>
      <w:r>
        <w:rPr>
          <w:rFonts w:cs="Times New Roman" w:ascii="Times New Roman" w:hAnsi="Times New Roman"/>
          <w:lang w:val="en-GB"/>
        </w:rPr>
        <w:t xml:space="preserve">, and </w:t>
      </w:r>
      <w:r>
        <w:rPr>
          <w:rFonts w:eastAsia="Symbol" w:cs="Symbol" w:ascii="Times New Roman" w:hAnsi="Times New Roman"/>
          <w:i/>
          <w:lang w:val="en-GB"/>
        </w:rPr>
        <w:t>a</w:t>
      </w:r>
      <w:r>
        <w:rPr>
          <w:rFonts w:cs="Times New Roman" w:ascii="Times New Roman" w:hAnsi="Times New Roman"/>
          <w:vertAlign w:val="subscript"/>
          <w:lang w:val="en-GB"/>
        </w:rPr>
        <w:t>s2</w:t>
      </w:r>
      <w:r>
        <w:rPr>
          <w:rFonts w:cs="Times New Roman" w:ascii="Times New Roman" w:hAnsi="Times New Roman"/>
          <w:lang w:val="en-GB"/>
        </w:rPr>
        <w:t xml:space="preserve"> (</w:t>
      </w:r>
      <w:r>
        <w:rPr>
          <w:rFonts w:ascii="Times New Roman" w:hAnsi="Times New Roman"/>
          <w:i/>
          <w:lang w:val="en-GB"/>
        </w:rPr>
        <w:t>Model_cs_</w:t>
      </w:r>
      <w:r>
        <w:rPr>
          <w:rFonts w:ascii="Times New Roman" w:hAnsi="Times New Roman"/>
          <w:lang w:val="en-GB"/>
        </w:rPr>
        <w:t>12</w:t>
      </w:r>
      <w:r>
        <w:rPr>
          <w:rFonts w:cs="Times New Roman" w:ascii="Times New Roman" w:hAnsi="Times New Roman"/>
          <w:lang w:val="en-GB"/>
        </w:rPr>
        <w:t>). The red curve was obtained with the function “density” from the R software that computes kernel density estimates. The full vertical lines correspond to the mean and the dashed lines 95% intervals.</w:t>
      </w:r>
    </w:p>
    <w:p>
      <w:pPr>
        <w:pStyle w:val="Normal"/>
        <w:spacing w:lineRule="auto" w:line="480"/>
        <w:rPr>
          <w:lang w:val="en-GB"/>
        </w:rPr>
      </w:pPr>
      <w:r>
        <w:rPr>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r>
    </w:p>
    <w:p>
      <w:pPr>
        <w:pStyle w:val="Normal"/>
        <w:spacing w:lineRule="auto" w:line="480"/>
        <w:rPr>
          <w:rFonts w:ascii="Times New Roman" w:hAnsi="Times New Roman"/>
          <w:lang w:val="en-GB"/>
        </w:rPr>
      </w:pPr>
      <w:r>
        <w:rPr>
          <w:rFonts w:ascii="Times New Roman" w:hAnsi="Times New Roman"/>
          <w:lang w:val="en-GB"/>
        </w:rPr>
        <w:drawing>
          <wp:anchor behindDoc="0" distT="6350" distB="6350" distL="6350" distR="6350" simplePos="0" locked="0" layoutInCell="0" allowOverlap="1" relativeHeight="6">
            <wp:simplePos x="0" y="0"/>
            <wp:positionH relativeFrom="column">
              <wp:posOffset>148590</wp:posOffset>
            </wp:positionH>
            <wp:positionV relativeFrom="paragraph">
              <wp:posOffset>68580</wp:posOffset>
            </wp:positionV>
            <wp:extent cx="5101590" cy="3141345"/>
            <wp:effectExtent l="0" t="0" r="0" b="0"/>
            <wp:wrapSquare wrapText="bothSides"/>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15"/>
                    <a:stretch>
                      <a:fillRect/>
                    </a:stretch>
                  </pic:blipFill>
                  <pic:spPr bwMode="auto">
                    <a:xfrm>
                      <a:off x="0" y="0"/>
                      <a:ext cx="5101590" cy="3141345"/>
                    </a:xfrm>
                    <a:prstGeom prst="rect">
                      <a:avLst/>
                    </a:prstGeom>
                  </pic:spPr>
                </pic:pic>
              </a:graphicData>
            </a:graphic>
          </wp:anchor>
        </w:drawing>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rFonts w:ascii="Times New Roman" w:hAnsi="Times New Roman"/>
          <w:b/>
          <w:b/>
          <w:bCs/>
          <w:color w:val="333333"/>
          <w:lang w:val="en-GB"/>
        </w:rPr>
      </w:pPr>
      <w:r>
        <w:rPr>
          <w:rFonts w:ascii="Times New Roman" w:hAnsi="Times New Roman"/>
          <w:b/>
          <w:bCs/>
          <w:color w:val="333333"/>
          <w:lang w:val="en-GB"/>
        </w:rPr>
      </w:r>
    </w:p>
    <w:p>
      <w:pPr>
        <w:pStyle w:val="Normal"/>
        <w:spacing w:lineRule="auto" w:line="480"/>
        <w:rPr>
          <w:lang w:val="en-GB"/>
        </w:rPr>
      </w:pPr>
      <w:r>
        <w:rPr>
          <w:rFonts w:ascii="Times New Roman" w:hAnsi="Times New Roman"/>
          <w:color w:val="333333"/>
          <w:lang w:val="en-GB"/>
        </w:rPr>
        <w:t>F</w:t>
      </w:r>
      <w:r>
        <w:rPr>
          <w:rFonts w:ascii="Times New Roman" w:hAnsi="Times New Roman"/>
          <w:color w:val="111111"/>
          <w:lang w:val="en-GB"/>
        </w:rPr>
        <w:t xml:space="preserve">igure 6 </w:t>
      </w:r>
      <w:r>
        <w:rPr>
          <w:rFonts w:ascii="Times New Roman" w:hAnsi="Times New Roman"/>
          <w:bCs/>
          <w:color w:val="111111"/>
          <w:lang w:val="en-GB"/>
        </w:rPr>
        <w:t xml:space="preserve">– Posterior estimates of slope parameters for the covariates network distance (left) and precipitation difference (right) for each river basin. The parameter </w:t>
      </w:r>
      <w:r>
        <w:rPr>
          <w:rFonts w:ascii="Times New Roman" w:hAnsi="Times New Roman"/>
          <w:bCs/>
          <w:i/>
          <w:color w:val="111111"/>
          <w:lang w:val="en-GB"/>
        </w:rPr>
        <w:t>μ</w:t>
      </w:r>
      <w:r>
        <w:rPr>
          <w:rFonts w:ascii="Times New Roman" w:hAnsi="Times New Roman"/>
          <w:bCs/>
          <w:color w:val="111111"/>
          <w:lang w:val="en-GB"/>
        </w:rPr>
        <w:t xml:space="preserve"> is the mean of the normal distribution where slopes are sampled from. Dark blue lines represent 95% credibility intervals. The thin light blue line represents the complete distribution of the parameters. The dot represents the marginal posterior mean.</w:t>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lang w:val="en-GB"/>
        </w:rPr>
        <w:t>Table 1 -  Comparison of the parameter values for the three models using simulated data.</w:t>
      </w:r>
    </w:p>
    <w:p>
      <w:pPr>
        <w:pStyle w:val="TextBody"/>
        <w:spacing w:lineRule="auto" w:line="480"/>
        <w:rPr>
          <w:lang w:val="en-GB"/>
        </w:rPr>
      </w:pPr>
      <w:r>
        <w:rPr>
          <w:lang w:val="en-GB"/>
        </w:rPr>
      </w:r>
    </w:p>
    <w:tbl>
      <w:tblPr>
        <w:tblW w:w="8925" w:type="dxa"/>
        <w:jc w:val="left"/>
        <w:tblInd w:w="0" w:type="dxa"/>
        <w:tblLayout w:type="fixed"/>
        <w:tblCellMar>
          <w:top w:w="28" w:type="dxa"/>
          <w:left w:w="0" w:type="dxa"/>
          <w:bottom w:w="28" w:type="dxa"/>
          <w:right w:w="0" w:type="dxa"/>
        </w:tblCellMar>
        <w:tblLook w:val="04a0" w:noHBand="0" w:noVBand="1" w:firstColumn="1" w:lastRow="0" w:lastColumn="0" w:firstRow="1"/>
      </w:tblPr>
      <w:tblGrid>
        <w:gridCol w:w="1560"/>
        <w:gridCol w:w="1694"/>
        <w:gridCol w:w="1140"/>
        <w:gridCol w:w="1697"/>
        <w:gridCol w:w="1408"/>
        <w:gridCol w:w="1425"/>
      </w:tblGrid>
      <w:tr>
        <w:trPr/>
        <w:tc>
          <w:tcPr>
            <w:tcW w:w="1560" w:type="dxa"/>
            <w:vMerge w:val="restart"/>
            <w:tcBorders>
              <w:top w:val="single" w:sz="4" w:space="0" w:color="000000"/>
              <w:bottom w:val="single" w:sz="4" w:space="0" w:color="000000"/>
            </w:tcBorders>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Model</w:t>
            </w:r>
          </w:p>
        </w:tc>
        <w:tc>
          <w:tcPr>
            <w:tcW w:w="1694" w:type="dxa"/>
            <w:vMerge w:val="restart"/>
            <w:tcBorders>
              <w:top w:val="single" w:sz="4" w:space="0" w:color="000000"/>
              <w:bottom w:val="single" w:sz="4" w:space="0" w:color="000000"/>
            </w:tcBorders>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Parameter</w:t>
            </w:r>
          </w:p>
          <w:p>
            <w:pPr>
              <w:pStyle w:val="TableContents"/>
              <w:widowControl w:val="false"/>
              <w:spacing w:lineRule="auto" w:line="480"/>
              <w:jc w:val="center"/>
              <w:rPr>
                <w:rFonts w:ascii="Times New Roman" w:hAnsi="Times New Roman"/>
                <w:color w:val="000000"/>
                <w:sz w:val="20"/>
              </w:rPr>
            </w:pPr>
            <w:r>
              <w:rPr>
                <w:rFonts w:ascii="Times New Roman" w:hAnsi="Times New Roman"/>
                <w:color w:val="000000"/>
                <w:sz w:val="20"/>
              </w:rPr>
              <w:t>(simulated value)</w:t>
            </w:r>
          </w:p>
        </w:tc>
        <w:tc>
          <w:tcPr>
            <w:tcW w:w="1140" w:type="dxa"/>
            <w:vMerge w:val="restart"/>
            <w:tcBorders>
              <w:top w:val="single" w:sz="4" w:space="0" w:color="000000"/>
              <w:bottom w:val="single" w:sz="4" w:space="0" w:color="000000"/>
            </w:tcBorders>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Mean</w:t>
            </w:r>
          </w:p>
        </w:tc>
        <w:tc>
          <w:tcPr>
            <w:tcW w:w="1697" w:type="dxa"/>
            <w:vMerge w:val="restart"/>
            <w:tcBorders>
              <w:top w:val="single" w:sz="4" w:space="0" w:color="000000"/>
              <w:bottom w:val="single" w:sz="4" w:space="0" w:color="000000"/>
            </w:tcBorders>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Standard error</w:t>
            </w:r>
          </w:p>
        </w:tc>
        <w:tc>
          <w:tcPr>
            <w:tcW w:w="2833" w:type="dxa"/>
            <w:gridSpan w:val="2"/>
            <w:tcBorders>
              <w:top w:val="single" w:sz="4" w:space="0" w:color="000000"/>
              <w:bottom w:val="single" w:sz="4" w:space="0" w:color="000000"/>
            </w:tcBorders>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Credibility intervals</w:t>
            </w:r>
          </w:p>
        </w:tc>
      </w:tr>
      <w:tr>
        <w:trPr/>
        <w:tc>
          <w:tcPr>
            <w:tcW w:w="1560" w:type="dxa"/>
            <w:vMerge w:val="continue"/>
            <w:tcBorders>
              <w:top w:val="single" w:sz="4" w:space="0" w:color="000000"/>
              <w:bottom w:val="single" w:sz="4" w:space="0" w:color="000000"/>
            </w:tcBorders>
            <w:vAlign w:val="center"/>
          </w:tcPr>
          <w:p>
            <w:pPr>
              <w:pStyle w:val="TableContents"/>
              <w:widowControl w:val="false"/>
              <w:rPr>
                <w:sz w:val="4"/>
                <w:szCs w:val="4"/>
              </w:rPr>
            </w:pPr>
            <w:r>
              <w:rPr>
                <w:sz w:val="4"/>
                <w:szCs w:val="4"/>
              </w:rPr>
            </w:r>
          </w:p>
        </w:tc>
        <w:tc>
          <w:tcPr>
            <w:tcW w:w="1694" w:type="dxa"/>
            <w:vMerge w:val="continue"/>
            <w:tcBorders>
              <w:top w:val="single" w:sz="4" w:space="0" w:color="000000"/>
              <w:bottom w:val="single" w:sz="4" w:space="0" w:color="000000"/>
            </w:tcBorders>
            <w:vAlign w:val="center"/>
          </w:tcPr>
          <w:p>
            <w:pPr>
              <w:pStyle w:val="TableContents"/>
              <w:widowControl w:val="false"/>
              <w:rPr>
                <w:sz w:val="4"/>
                <w:szCs w:val="4"/>
              </w:rPr>
            </w:pPr>
            <w:r>
              <w:rPr>
                <w:sz w:val="4"/>
                <w:szCs w:val="4"/>
              </w:rPr>
            </w:r>
          </w:p>
        </w:tc>
        <w:tc>
          <w:tcPr>
            <w:tcW w:w="1140" w:type="dxa"/>
            <w:vMerge w:val="continue"/>
            <w:tcBorders>
              <w:top w:val="single" w:sz="4" w:space="0" w:color="000000"/>
              <w:bottom w:val="single" w:sz="4" w:space="0" w:color="000000"/>
            </w:tcBorders>
            <w:vAlign w:val="center"/>
          </w:tcPr>
          <w:p>
            <w:pPr>
              <w:pStyle w:val="TableContents"/>
              <w:widowControl w:val="false"/>
              <w:rPr>
                <w:sz w:val="4"/>
                <w:szCs w:val="4"/>
              </w:rPr>
            </w:pPr>
            <w:r>
              <w:rPr>
                <w:sz w:val="4"/>
                <w:szCs w:val="4"/>
              </w:rPr>
            </w:r>
          </w:p>
        </w:tc>
        <w:tc>
          <w:tcPr>
            <w:tcW w:w="1697" w:type="dxa"/>
            <w:vMerge w:val="continue"/>
            <w:tcBorders>
              <w:top w:val="single" w:sz="4" w:space="0" w:color="000000"/>
              <w:bottom w:val="single" w:sz="4" w:space="0" w:color="000000"/>
            </w:tcBorders>
            <w:vAlign w:val="center"/>
          </w:tcPr>
          <w:p>
            <w:pPr>
              <w:pStyle w:val="TableContents"/>
              <w:widowControl w:val="false"/>
              <w:rPr>
                <w:sz w:val="4"/>
                <w:szCs w:val="4"/>
              </w:rPr>
            </w:pPr>
            <w:r>
              <w:rPr>
                <w:sz w:val="4"/>
                <w:szCs w:val="4"/>
              </w:rPr>
            </w:r>
          </w:p>
        </w:tc>
        <w:tc>
          <w:tcPr>
            <w:tcW w:w="1408"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2.50%</w:t>
            </w:r>
          </w:p>
        </w:tc>
        <w:tc>
          <w:tcPr>
            <w:tcW w:w="1425"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97.50%</w:t>
            </w:r>
          </w:p>
        </w:tc>
      </w:tr>
      <w:tr>
        <w:trPr/>
        <w:tc>
          <w:tcPr>
            <w:tcW w:w="1560" w:type="dxa"/>
            <w:vMerge w:val="restart"/>
            <w:tcBorders/>
            <w:tcMar>
              <w:top w:w="0" w:type="dxa"/>
              <w:bottom w:w="0" w:type="dxa"/>
            </w:tcMar>
            <w:vAlign w:val="center"/>
          </w:tcPr>
          <w:p>
            <w:pPr>
              <w:pStyle w:val="TableContents"/>
              <w:widowControl w:val="false"/>
              <w:spacing w:lineRule="auto" w:line="480"/>
              <w:jc w:val="center"/>
              <w:rPr/>
            </w:pPr>
            <w:r>
              <w:rPr>
                <w:rFonts w:ascii="Times New Roman" w:hAnsi="Times New Roman"/>
                <w:i/>
                <w:color w:val="000000"/>
              </w:rPr>
              <w:t>Model_</w:t>
            </w:r>
            <w:r>
              <w:rPr>
                <w:color w:val="000000"/>
              </w:rPr>
              <w:t xml:space="preserve"> </w:t>
            </w:r>
            <w:r>
              <w:rPr>
                <w:rFonts w:ascii="Times New Roman" w:hAnsi="Times New Roman"/>
                <w:i/>
                <w:color w:val="000000"/>
              </w:rPr>
              <w:t>s_</w:t>
            </w:r>
            <w:r>
              <w:rPr>
                <w:rFonts w:ascii="Times New Roman" w:hAnsi="Times New Roman"/>
                <w:color w:val="000000"/>
              </w:rPr>
              <w:t>0</w:t>
            </w:r>
          </w:p>
        </w:tc>
        <w:tc>
          <w:tcPr>
            <w:tcW w:w="1694" w:type="dxa"/>
            <w:tcBorders/>
            <w:tcMar>
              <w:top w:w="0" w:type="dxa"/>
              <w:bottom w:w="0" w:type="dxa"/>
            </w:tcMar>
            <w:vAlign w:val="center"/>
          </w:tcPr>
          <w:p>
            <w:pPr>
              <w:pStyle w:val="TableContents"/>
              <w:widowControl w:val="false"/>
              <w:spacing w:lineRule="auto" w:line="480"/>
              <w:jc w:val="center"/>
              <w:rPr/>
            </w:pPr>
            <w:r>
              <w:rPr>
                <w:rFonts w:ascii="Times New Roman" w:hAnsi="Times New Roman"/>
                <w:color w:val="000000"/>
              </w:rPr>
              <w:t>α(10)</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9.95</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0.08</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9.79</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10.11</w:t>
            </w:r>
          </w:p>
        </w:tc>
      </w:tr>
      <w:tr>
        <w:trPr/>
        <w:tc>
          <w:tcPr>
            <w:tcW w:w="1560" w:type="dxa"/>
            <w:vMerge w:val="continue"/>
            <w:tcBorders/>
            <w:tcMar>
              <w:top w:w="0" w:type="dxa"/>
              <w:bottom w:w="0" w:type="dxa"/>
            </w:tcMar>
            <w:vAlign w:val="center"/>
          </w:tcPr>
          <w:p>
            <w:pPr>
              <w:pStyle w:val="TableContents"/>
              <w:widowControl w:val="false"/>
              <w:rPr>
                <w:sz w:val="4"/>
                <w:szCs w:val="4"/>
              </w:rPr>
            </w:pPr>
            <w:r>
              <w:rPr>
                <w:sz w:val="4"/>
                <w:szCs w:val="4"/>
              </w:rPr>
            </w:r>
          </w:p>
        </w:tc>
        <w:tc>
          <w:tcPr>
            <w:tcW w:w="1694" w:type="dxa"/>
            <w:tcBorders/>
            <w:tcMar>
              <w:top w:w="0" w:type="dxa"/>
              <w:bottom w:w="0" w:type="dxa"/>
            </w:tcMar>
            <w:vAlign w:val="center"/>
          </w:tcPr>
          <w:p>
            <w:pPr>
              <w:pStyle w:val="TableContents"/>
              <w:widowControl w:val="false"/>
              <w:spacing w:lineRule="auto" w:line="480"/>
              <w:jc w:val="center"/>
              <w:rPr/>
            </w:pPr>
            <w:r>
              <w:rPr>
                <w:rFonts w:ascii="rsfs10" w:hAnsi="rsfs10"/>
                <w:i/>
                <w:color w:val="000000"/>
              </w:rPr>
              <w:t xml:space="preserve">β </w:t>
            </w:r>
            <w:r>
              <w:rPr>
                <w:rFonts w:ascii="Times New Roman" w:hAnsi="Times New Roman"/>
                <w:color w:val="000000"/>
              </w:rPr>
              <w:t>(5)</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4.97</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0.01</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4.94</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5</w:t>
            </w:r>
          </w:p>
        </w:tc>
      </w:tr>
      <w:tr>
        <w:trPr/>
        <w:tc>
          <w:tcPr>
            <w:tcW w:w="1560" w:type="dxa"/>
            <w:vMerge w:val="continue"/>
            <w:tcBorders/>
            <w:tcMar>
              <w:top w:w="0" w:type="dxa"/>
              <w:bottom w:w="0" w:type="dxa"/>
            </w:tcMar>
            <w:vAlign w:val="center"/>
          </w:tcPr>
          <w:p>
            <w:pPr>
              <w:pStyle w:val="TableContents"/>
              <w:widowControl w:val="false"/>
              <w:rPr>
                <w:sz w:val="4"/>
                <w:szCs w:val="4"/>
              </w:rPr>
            </w:pPr>
            <w:r>
              <w:rPr>
                <w:sz w:val="4"/>
                <w:szCs w:val="4"/>
              </w:rPr>
            </w:r>
          </w:p>
        </w:tc>
        <w:tc>
          <w:tcPr>
            <w:tcW w:w="1694" w:type="dxa"/>
            <w:tcBorders/>
            <w:tcMar>
              <w:top w:w="0" w:type="dxa"/>
              <w:bottom w:w="0" w:type="dxa"/>
            </w:tcMar>
            <w:vAlign w:val="center"/>
          </w:tcPr>
          <w:p>
            <w:pPr>
              <w:pStyle w:val="TableContents"/>
              <w:widowControl w:val="false"/>
              <w:spacing w:lineRule="auto" w:line="480"/>
              <w:jc w:val="center"/>
              <w:rPr/>
            </w:pPr>
            <w:r>
              <w:rPr>
                <w:rFonts w:ascii="Times New Roman" w:hAnsi="Times New Roman"/>
                <w:i/>
                <w:color w:val="000000"/>
              </w:rPr>
              <w:t xml:space="preserve">σ </w:t>
            </w:r>
            <w:r>
              <w:rPr>
                <w:rFonts w:ascii="Times New Roman" w:hAnsi="Times New Roman"/>
                <w:color w:val="000000"/>
              </w:rPr>
              <w:t>(1)</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2.79</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0.03</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2.73</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2.84</w:t>
            </w:r>
          </w:p>
        </w:tc>
      </w:tr>
      <w:tr>
        <w:trPr/>
        <w:tc>
          <w:tcPr>
            <w:tcW w:w="1560" w:type="dxa"/>
            <w:vMerge w:val="restart"/>
            <w:tcBorders/>
            <w:tcMar>
              <w:top w:w="0" w:type="dxa"/>
              <w:bottom w:w="0" w:type="dxa"/>
            </w:tcMar>
            <w:vAlign w:val="center"/>
          </w:tcPr>
          <w:p>
            <w:pPr>
              <w:pStyle w:val="TableContents"/>
              <w:widowControl w:val="false"/>
              <w:spacing w:lineRule="auto" w:line="480"/>
              <w:jc w:val="center"/>
              <w:rPr/>
            </w:pPr>
            <w:r>
              <w:rPr>
                <w:rFonts w:ascii="Times New Roman" w:hAnsi="Times New Roman"/>
                <w:i/>
                <w:color w:val="000000"/>
              </w:rPr>
              <w:t>Model_</w:t>
            </w:r>
            <w:r>
              <w:rPr>
                <w:color w:val="000000"/>
              </w:rPr>
              <w:t xml:space="preserve"> </w:t>
            </w:r>
            <w:r>
              <w:rPr>
                <w:rFonts w:ascii="Times New Roman" w:hAnsi="Times New Roman"/>
                <w:i/>
                <w:color w:val="000000"/>
              </w:rPr>
              <w:t>s_</w:t>
            </w:r>
            <w:r>
              <w:rPr>
                <w:rFonts w:ascii="Times New Roman" w:hAnsi="Times New Roman"/>
                <w:color w:val="000000"/>
              </w:rPr>
              <w:t>12</w:t>
            </w:r>
          </w:p>
        </w:tc>
        <w:tc>
          <w:tcPr>
            <w:tcW w:w="1694" w:type="dxa"/>
            <w:tcBorders/>
            <w:tcMar>
              <w:top w:w="0" w:type="dxa"/>
              <w:bottom w:w="0" w:type="dxa"/>
            </w:tcMar>
            <w:vAlign w:val="center"/>
          </w:tcPr>
          <w:p>
            <w:pPr>
              <w:pStyle w:val="TableContents"/>
              <w:widowControl w:val="false"/>
              <w:spacing w:lineRule="auto" w:line="480"/>
              <w:jc w:val="center"/>
              <w:rPr/>
            </w:pPr>
            <w:r>
              <w:rPr>
                <w:rFonts w:ascii="Times New Roman" w:hAnsi="Times New Roman"/>
                <w:color w:val="000000"/>
              </w:rPr>
              <w:t>α(10)</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9.91</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0.25</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9.42</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10.4</w:t>
            </w:r>
          </w:p>
        </w:tc>
      </w:tr>
      <w:tr>
        <w:trPr/>
        <w:tc>
          <w:tcPr>
            <w:tcW w:w="1560" w:type="dxa"/>
            <w:vMerge w:val="continue"/>
            <w:tcBorders/>
            <w:tcMar>
              <w:top w:w="0" w:type="dxa"/>
              <w:bottom w:w="0" w:type="dxa"/>
            </w:tcMar>
            <w:vAlign w:val="center"/>
          </w:tcPr>
          <w:p>
            <w:pPr>
              <w:pStyle w:val="TableContents"/>
              <w:widowControl w:val="false"/>
              <w:rPr>
                <w:sz w:val="4"/>
                <w:szCs w:val="4"/>
              </w:rPr>
            </w:pPr>
            <w:r>
              <w:rPr>
                <w:sz w:val="4"/>
                <w:szCs w:val="4"/>
              </w:rPr>
            </w:r>
          </w:p>
        </w:tc>
        <w:tc>
          <w:tcPr>
            <w:tcW w:w="1694" w:type="dxa"/>
            <w:tcBorders/>
            <w:tcMar>
              <w:top w:w="0" w:type="dxa"/>
              <w:bottom w:w="0" w:type="dxa"/>
            </w:tcMar>
            <w:vAlign w:val="center"/>
          </w:tcPr>
          <w:p>
            <w:pPr>
              <w:pStyle w:val="TableContents"/>
              <w:widowControl w:val="false"/>
              <w:spacing w:lineRule="auto" w:line="480"/>
              <w:jc w:val="center"/>
              <w:rPr/>
            </w:pPr>
            <w:r>
              <w:rPr>
                <w:rFonts w:ascii="rsfs10" w:hAnsi="rsfs10"/>
                <w:i/>
                <w:color w:val="000000"/>
              </w:rPr>
              <w:t xml:space="preserve">β </w:t>
            </w:r>
            <w:r>
              <w:rPr>
                <w:rFonts w:ascii="Times New Roman" w:hAnsi="Times New Roman"/>
                <w:color w:val="000000"/>
              </w:rPr>
              <w:t>(5)</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4.98</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0.03</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4.91</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5.04</w:t>
            </w:r>
          </w:p>
        </w:tc>
      </w:tr>
      <w:tr>
        <w:trPr/>
        <w:tc>
          <w:tcPr>
            <w:tcW w:w="1560" w:type="dxa"/>
            <w:vMerge w:val="continue"/>
            <w:tcBorders/>
            <w:tcMar>
              <w:top w:w="0" w:type="dxa"/>
              <w:bottom w:w="0" w:type="dxa"/>
            </w:tcMar>
            <w:vAlign w:val="center"/>
          </w:tcPr>
          <w:p>
            <w:pPr>
              <w:pStyle w:val="TableContents"/>
              <w:widowControl w:val="false"/>
              <w:rPr>
                <w:sz w:val="4"/>
                <w:szCs w:val="4"/>
              </w:rPr>
            </w:pPr>
            <w:r>
              <w:rPr>
                <w:sz w:val="4"/>
                <w:szCs w:val="4"/>
              </w:rPr>
            </w:r>
          </w:p>
        </w:tc>
        <w:tc>
          <w:tcPr>
            <w:tcW w:w="1694" w:type="dxa"/>
            <w:tcBorders/>
            <w:tcMar>
              <w:top w:w="0" w:type="dxa"/>
              <w:bottom w:w="0" w:type="dxa"/>
            </w:tcMar>
            <w:vAlign w:val="center"/>
          </w:tcPr>
          <w:p>
            <w:pPr>
              <w:pStyle w:val="TableContents"/>
              <w:widowControl w:val="false"/>
              <w:spacing w:lineRule="auto" w:line="480"/>
              <w:jc w:val="center"/>
              <w:rPr/>
            </w:pPr>
            <w:r>
              <w:rPr>
                <w:rFonts w:ascii="Times New Roman" w:hAnsi="Times New Roman"/>
                <w:i/>
                <w:color w:val="000000"/>
              </w:rPr>
              <w:t xml:space="preserve">σ </w:t>
            </w:r>
            <w:r>
              <w:rPr>
                <w:rFonts w:ascii="Times New Roman" w:hAnsi="Times New Roman"/>
                <w:color w:val="000000"/>
              </w:rPr>
              <w:t>(1)</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0.01</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0.98</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1.02</w:t>
            </w:r>
          </w:p>
        </w:tc>
      </w:tr>
      <w:tr>
        <w:trPr/>
        <w:tc>
          <w:tcPr>
            <w:tcW w:w="1560" w:type="dxa"/>
            <w:vMerge w:val="restart"/>
            <w:tcBorders>
              <w:bottom w:val="single" w:sz="4" w:space="0" w:color="000000"/>
            </w:tcBorders>
            <w:tcMar>
              <w:top w:w="0" w:type="dxa"/>
            </w:tcMar>
            <w:vAlign w:val="center"/>
          </w:tcPr>
          <w:p>
            <w:pPr>
              <w:pStyle w:val="TableContents"/>
              <w:widowControl w:val="false"/>
              <w:spacing w:lineRule="auto" w:line="480"/>
              <w:jc w:val="center"/>
              <w:rPr/>
            </w:pPr>
            <w:r>
              <w:rPr>
                <w:rFonts w:ascii="Times New Roman" w:hAnsi="Times New Roman"/>
                <w:i/>
                <w:color w:val="000000"/>
              </w:rPr>
              <w:t>Model_</w:t>
            </w:r>
            <w:r>
              <w:rPr>
                <w:color w:val="000000"/>
              </w:rPr>
              <w:t xml:space="preserve"> </w:t>
            </w:r>
            <w:r>
              <w:rPr>
                <w:rFonts w:ascii="Times New Roman" w:hAnsi="Times New Roman"/>
                <w:i/>
                <w:color w:val="000000"/>
              </w:rPr>
              <w:t>s_</w:t>
            </w:r>
            <w:r>
              <w:rPr>
                <w:rFonts w:ascii="Times New Roman" w:hAnsi="Times New Roman"/>
                <w:color w:val="000000"/>
              </w:rPr>
              <w:t>11</w:t>
            </w:r>
          </w:p>
        </w:tc>
        <w:tc>
          <w:tcPr>
            <w:tcW w:w="1694" w:type="dxa"/>
            <w:tcBorders/>
            <w:tcMar>
              <w:top w:w="0" w:type="dxa"/>
              <w:bottom w:w="0" w:type="dxa"/>
            </w:tcMar>
            <w:vAlign w:val="center"/>
          </w:tcPr>
          <w:p>
            <w:pPr>
              <w:pStyle w:val="TableContents"/>
              <w:widowControl w:val="false"/>
              <w:spacing w:lineRule="auto" w:line="480"/>
              <w:jc w:val="center"/>
              <w:rPr/>
            </w:pPr>
            <w:r>
              <w:rPr>
                <w:rFonts w:ascii="Times New Roman" w:hAnsi="Times New Roman"/>
                <w:color w:val="000000"/>
              </w:rPr>
              <w:t>α(10)</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9.78</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0.21</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9.37</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10.19</w:t>
            </w:r>
          </w:p>
        </w:tc>
      </w:tr>
      <w:tr>
        <w:trPr/>
        <w:tc>
          <w:tcPr>
            <w:tcW w:w="1560" w:type="dxa"/>
            <w:vMerge w:val="continue"/>
            <w:tcBorders>
              <w:bottom w:val="single" w:sz="4" w:space="0" w:color="000000"/>
            </w:tcBorders>
            <w:tcMar>
              <w:top w:w="0" w:type="dxa"/>
            </w:tcMar>
            <w:vAlign w:val="center"/>
          </w:tcPr>
          <w:p>
            <w:pPr>
              <w:pStyle w:val="TableContents"/>
              <w:widowControl w:val="false"/>
              <w:rPr>
                <w:sz w:val="4"/>
                <w:szCs w:val="4"/>
              </w:rPr>
            </w:pPr>
            <w:r>
              <w:rPr>
                <w:sz w:val="4"/>
                <w:szCs w:val="4"/>
              </w:rPr>
            </w:r>
          </w:p>
        </w:tc>
        <w:tc>
          <w:tcPr>
            <w:tcW w:w="1694" w:type="dxa"/>
            <w:tcBorders/>
            <w:tcMar>
              <w:top w:w="0" w:type="dxa"/>
              <w:bottom w:w="0" w:type="dxa"/>
            </w:tcMar>
            <w:vAlign w:val="center"/>
          </w:tcPr>
          <w:p>
            <w:pPr>
              <w:pStyle w:val="TableContents"/>
              <w:widowControl w:val="false"/>
              <w:spacing w:lineRule="auto" w:line="480"/>
              <w:jc w:val="center"/>
              <w:rPr/>
            </w:pPr>
            <w:r>
              <w:rPr>
                <w:rFonts w:ascii="rsfs10" w:hAnsi="rsfs10"/>
                <w:i/>
                <w:color w:val="000000"/>
              </w:rPr>
              <w:t xml:space="preserve">β </w:t>
            </w:r>
            <w:r>
              <w:rPr>
                <w:rFonts w:ascii="Times New Roman" w:hAnsi="Times New Roman"/>
                <w:color w:val="000000"/>
              </w:rPr>
              <w:t>(5)</w:t>
            </w:r>
          </w:p>
        </w:tc>
        <w:tc>
          <w:tcPr>
            <w:tcW w:w="1140"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5</w:t>
            </w:r>
          </w:p>
        </w:tc>
        <w:tc>
          <w:tcPr>
            <w:tcW w:w="1697"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0.01</w:t>
            </w:r>
          </w:p>
        </w:tc>
        <w:tc>
          <w:tcPr>
            <w:tcW w:w="1408"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4.98</w:t>
            </w:r>
          </w:p>
        </w:tc>
        <w:tc>
          <w:tcPr>
            <w:tcW w:w="1425" w:type="dxa"/>
            <w:tcBorders/>
            <w:tcMar>
              <w:top w:w="0" w:type="dxa"/>
              <w:bottom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5.03</w:t>
            </w:r>
          </w:p>
        </w:tc>
      </w:tr>
      <w:tr>
        <w:trPr/>
        <w:tc>
          <w:tcPr>
            <w:tcW w:w="1560" w:type="dxa"/>
            <w:vMerge w:val="continue"/>
            <w:tcBorders>
              <w:bottom w:val="single" w:sz="4" w:space="0" w:color="000000"/>
            </w:tcBorders>
            <w:tcMar>
              <w:top w:w="0" w:type="dxa"/>
            </w:tcMar>
            <w:vAlign w:val="center"/>
          </w:tcPr>
          <w:p>
            <w:pPr>
              <w:pStyle w:val="TableContents"/>
              <w:widowControl w:val="false"/>
              <w:rPr>
                <w:sz w:val="4"/>
                <w:szCs w:val="4"/>
              </w:rPr>
            </w:pPr>
            <w:r>
              <w:rPr>
                <w:sz w:val="4"/>
                <w:szCs w:val="4"/>
              </w:rPr>
            </w:r>
          </w:p>
        </w:tc>
        <w:tc>
          <w:tcPr>
            <w:tcW w:w="1694" w:type="dxa"/>
            <w:tcBorders>
              <w:bottom w:val="single" w:sz="4" w:space="0" w:color="000000"/>
            </w:tcBorders>
            <w:tcMar>
              <w:top w:w="0" w:type="dxa"/>
            </w:tcMar>
            <w:vAlign w:val="center"/>
          </w:tcPr>
          <w:p>
            <w:pPr>
              <w:pStyle w:val="TableContents"/>
              <w:widowControl w:val="false"/>
              <w:spacing w:lineRule="auto" w:line="480"/>
              <w:jc w:val="center"/>
              <w:rPr/>
            </w:pPr>
            <w:r>
              <w:rPr>
                <w:rFonts w:ascii="Times New Roman" w:hAnsi="Times New Roman"/>
                <w:i/>
                <w:color w:val="000000"/>
              </w:rPr>
              <w:t>σ</w:t>
            </w:r>
            <w:r>
              <w:rPr>
                <w:rFonts w:ascii="Times New Roman" w:hAnsi="Times New Roman"/>
                <w:color w:val="000000"/>
              </w:rPr>
              <w:t>(1)</w:t>
            </w:r>
          </w:p>
        </w:tc>
        <w:tc>
          <w:tcPr>
            <w:tcW w:w="1140"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w:t>
            </w:r>
          </w:p>
        </w:tc>
        <w:tc>
          <w:tcPr>
            <w:tcW w:w="1697"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0.01</w:t>
            </w:r>
          </w:p>
        </w:tc>
        <w:tc>
          <w:tcPr>
            <w:tcW w:w="1408"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0.98</w:t>
            </w:r>
          </w:p>
        </w:tc>
        <w:tc>
          <w:tcPr>
            <w:tcW w:w="1425" w:type="dxa"/>
            <w:tcBorders>
              <w:bottom w:val="single" w:sz="4" w:space="0" w:color="000000"/>
            </w:tcBorders>
            <w:tcMar>
              <w:top w:w="0" w:type="dxa"/>
            </w:tcMar>
            <w:vAlign w:val="center"/>
          </w:tcPr>
          <w:p>
            <w:pPr>
              <w:pStyle w:val="TableContents"/>
              <w:widowControl w:val="false"/>
              <w:spacing w:lineRule="auto" w:line="480"/>
              <w:jc w:val="center"/>
              <w:rPr>
                <w:rFonts w:ascii="Times New Roman" w:hAnsi="Times New Roman"/>
                <w:color w:val="000000"/>
              </w:rPr>
            </w:pPr>
            <w:r>
              <w:rPr>
                <w:rFonts w:ascii="Times New Roman" w:hAnsi="Times New Roman"/>
                <w:color w:val="000000"/>
              </w:rPr>
              <w:t>1.02</w:t>
            </w:r>
          </w:p>
        </w:tc>
      </w:tr>
    </w:tbl>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lang w:val="en-GB"/>
        </w:rPr>
      </w:r>
    </w:p>
    <w:p>
      <w:pPr>
        <w:pStyle w:val="Normal"/>
        <w:spacing w:lineRule="auto" w:line="480"/>
        <w:rPr>
          <w:lang w:val="en-GB"/>
        </w:rPr>
      </w:pPr>
      <w:r>
        <w:rPr>
          <w:rFonts w:cs="Times New Roman" w:ascii="Times New Roman" w:hAnsi="Times New Roman"/>
          <w:lang w:val="en-GB"/>
        </w:rPr>
        <w:t xml:space="preserve">Table 2 - Estimates for some parameters of the models </w:t>
      </w:r>
      <w:r>
        <w:rPr>
          <w:rFonts w:cs="Times New Roman" w:ascii="Times New Roman" w:hAnsi="Times New Roman"/>
          <w:i/>
          <w:lang w:val="en-GB"/>
        </w:rPr>
        <w:t>Model_cs_</w:t>
      </w:r>
      <w:r>
        <w:rPr>
          <w:rFonts w:cs="Times New Roman" w:ascii="Times New Roman" w:hAnsi="Times New Roman"/>
          <w:lang w:val="en-GB"/>
        </w:rPr>
        <w:t xml:space="preserve">0, </w:t>
      </w:r>
      <w:r>
        <w:rPr>
          <w:rFonts w:cs="Times New Roman" w:ascii="Times New Roman" w:hAnsi="Times New Roman"/>
          <w:i/>
          <w:lang w:val="en-GB"/>
        </w:rPr>
        <w:t>Model_cs_</w:t>
      </w:r>
      <w:r>
        <w:rPr>
          <w:rFonts w:cs="Times New Roman" w:ascii="Times New Roman" w:hAnsi="Times New Roman"/>
          <w:lang w:val="en-GB"/>
        </w:rPr>
        <w:t xml:space="preserve">12 and </w:t>
      </w:r>
      <w:r>
        <w:rPr>
          <w:rFonts w:cs="Times New Roman" w:ascii="Times New Roman" w:hAnsi="Times New Roman"/>
          <w:i/>
          <w:lang w:val="en-GB"/>
        </w:rPr>
        <w:t>Model_cs_</w:t>
      </w:r>
      <w:r>
        <w:rPr>
          <w:rFonts w:cs="Times New Roman" w:ascii="Times New Roman" w:hAnsi="Times New Roman"/>
          <w:lang w:val="en-GB"/>
        </w:rPr>
        <w:t xml:space="preserve">11. </w:t>
      </w:r>
    </w:p>
    <w:tbl>
      <w:tblPr>
        <w:tblW w:w="8700" w:type="dxa"/>
        <w:jc w:val="left"/>
        <w:tblInd w:w="108" w:type="dxa"/>
        <w:tblLayout w:type="fixed"/>
        <w:tblCellMar>
          <w:top w:w="55" w:type="dxa"/>
          <w:left w:w="108" w:type="dxa"/>
          <w:bottom w:w="55" w:type="dxa"/>
          <w:right w:w="108" w:type="dxa"/>
        </w:tblCellMar>
        <w:tblLook w:val="04a0" w:noHBand="0" w:noVBand="1" w:firstColumn="1" w:lastRow="0" w:lastColumn="0" w:firstRow="1"/>
      </w:tblPr>
      <w:tblGrid>
        <w:gridCol w:w="1948"/>
        <w:gridCol w:w="1532"/>
        <w:gridCol w:w="1305"/>
        <w:gridCol w:w="1305"/>
        <w:gridCol w:w="1305"/>
        <w:gridCol w:w="1304"/>
      </w:tblGrid>
      <w:tr>
        <w:trPr/>
        <w:tc>
          <w:tcPr>
            <w:tcW w:w="1948" w:type="dxa"/>
            <w:tcBorders>
              <w:top w:val="single" w:sz="4" w:space="0" w:color="000000"/>
              <w:bottom w:val="single" w:sz="4" w:space="0" w:color="000000"/>
            </w:tcBorders>
            <w:vAlign w:val="center"/>
          </w:tcPr>
          <w:p>
            <w:pPr>
              <w:pStyle w:val="TableContents"/>
              <w:widowControl w:val="false"/>
              <w:spacing w:lineRule="auto" w:line="480"/>
              <w:rPr>
                <w:rFonts w:ascii="Times New Roman" w:hAnsi="Times New Roman"/>
                <w:color w:val="000000"/>
              </w:rPr>
            </w:pPr>
            <w:r>
              <w:rPr>
                <w:rFonts w:ascii="Times New Roman" w:hAnsi="Times New Roman"/>
                <w:color w:val="000000"/>
              </w:rPr>
              <w:t>Parameter</w:t>
            </w:r>
          </w:p>
        </w:tc>
        <w:tc>
          <w:tcPr>
            <w:tcW w:w="1532" w:type="dxa"/>
            <w:tcBorders>
              <w:top w:val="single" w:sz="4" w:space="0" w:color="000000"/>
              <w:bottom w:val="single" w:sz="4" w:space="0" w:color="000000"/>
            </w:tcBorders>
            <w:vAlign w:val="center"/>
          </w:tcPr>
          <w:p>
            <w:pPr>
              <w:pStyle w:val="TableContents"/>
              <w:widowControl w:val="false"/>
              <w:spacing w:lineRule="auto" w:line="480"/>
              <w:rPr>
                <w:rFonts w:ascii="Times New Roman" w:hAnsi="Times New Roman"/>
                <w:color w:val="000000"/>
              </w:rPr>
            </w:pPr>
            <w:r>
              <w:rPr>
                <w:rFonts w:ascii="Times New Roman" w:hAnsi="Times New Roman"/>
                <w:color w:val="000000"/>
              </w:rPr>
              <w:t>Model</w:t>
            </w:r>
          </w:p>
        </w:tc>
        <w:tc>
          <w:tcPr>
            <w:tcW w:w="1305" w:type="dxa"/>
            <w:tcBorders>
              <w:top w:val="single" w:sz="4" w:space="0" w:color="000000"/>
              <w:bottom w:val="single" w:sz="4" w:space="0" w:color="000000"/>
            </w:tcBorders>
            <w:vAlign w:val="center"/>
          </w:tcPr>
          <w:p>
            <w:pPr>
              <w:pStyle w:val="TableContents"/>
              <w:widowControl w:val="false"/>
              <w:spacing w:lineRule="auto" w:line="480"/>
              <w:rPr>
                <w:rFonts w:ascii="Times New Roman" w:hAnsi="Times New Roman"/>
                <w:color w:val="000000"/>
              </w:rPr>
            </w:pPr>
            <w:r>
              <w:rPr>
                <w:rFonts w:ascii="Times New Roman" w:hAnsi="Times New Roman"/>
                <w:color w:val="000000"/>
              </w:rPr>
              <w:t>mean</w:t>
            </w:r>
          </w:p>
        </w:tc>
        <w:tc>
          <w:tcPr>
            <w:tcW w:w="1305" w:type="dxa"/>
            <w:tcBorders>
              <w:top w:val="single" w:sz="4" w:space="0" w:color="000000"/>
              <w:bottom w:val="single" w:sz="4" w:space="0" w:color="000000"/>
            </w:tcBorders>
            <w:vAlign w:val="center"/>
          </w:tcPr>
          <w:p>
            <w:pPr>
              <w:pStyle w:val="TableContents"/>
              <w:widowControl w:val="false"/>
              <w:spacing w:lineRule="auto" w:line="480"/>
              <w:rPr>
                <w:rFonts w:ascii="Times New Roman" w:hAnsi="Times New Roman"/>
                <w:color w:val="000000"/>
              </w:rPr>
            </w:pPr>
            <w:r>
              <w:rPr>
                <w:rFonts w:ascii="Times New Roman" w:hAnsi="Times New Roman"/>
                <w:color w:val="000000"/>
              </w:rPr>
              <w:t>sd</w:t>
            </w:r>
          </w:p>
        </w:tc>
        <w:tc>
          <w:tcPr>
            <w:tcW w:w="1305" w:type="dxa"/>
            <w:tcBorders>
              <w:top w:val="single" w:sz="4" w:space="0" w:color="000000"/>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2.50%</w:t>
            </w:r>
          </w:p>
        </w:tc>
        <w:tc>
          <w:tcPr>
            <w:tcW w:w="1304" w:type="dxa"/>
            <w:tcBorders>
              <w:top w:val="single" w:sz="4" w:space="0" w:color="000000"/>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97.50%</w:t>
            </w:r>
          </w:p>
        </w:tc>
      </w:tr>
      <w:tr>
        <w:trPr/>
        <w:tc>
          <w:tcPr>
            <w:tcW w:w="1948" w:type="dxa"/>
            <w:vMerge w:val="restart"/>
            <w:tcBorders/>
            <w:vAlign w:val="center"/>
          </w:tcPr>
          <w:p>
            <w:pPr>
              <w:pStyle w:val="TableContents"/>
              <w:widowControl w:val="false"/>
              <w:spacing w:lineRule="auto" w:line="480"/>
              <w:rPr>
                <w:rFonts w:ascii="Symbol" w:hAnsi="Symbol"/>
                <w:i/>
                <w:i/>
                <w:color w:val="000000"/>
              </w:rPr>
            </w:pPr>
            <w:r>
              <w:rPr>
                <w:rFonts w:ascii="Times New Roman" w:hAnsi="Times New Roman"/>
                <w:i/>
                <w:color w:val="000000"/>
              </w:rPr>
              <w:t>a</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-0.86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0.09</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-1.03</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-0.68</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-0.87</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-1.05</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-0.65</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-0.88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0.09</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-1.03</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-0.68</w:t>
            </w:r>
          </w:p>
        </w:tc>
      </w:tr>
      <w:tr>
        <w:trPr/>
        <w:tc>
          <w:tcPr>
            <w:tcW w:w="1948" w:type="dxa"/>
            <w:vMerge w:val="restart"/>
            <w:tcBorders/>
            <w:vAlign w:val="center"/>
          </w:tcPr>
          <w:p>
            <w:pPr>
              <w:pStyle w:val="TableContents"/>
              <w:widowControl w:val="false"/>
              <w:spacing w:lineRule="auto" w:line="480"/>
              <w:rPr>
                <w:rFonts w:ascii="Times New Roman" w:hAnsi="Times New Roman"/>
              </w:rPr>
            </w:pPr>
            <w:r>
              <w:rPr>
                <w:rFonts w:ascii="Times New Roman" w:hAnsi="Times New Roman"/>
              </w:rPr>
              <w:t>σ</w:t>
            </w:r>
            <w:r>
              <w:rPr>
                <w:rFonts w:ascii="Times New Roman" w:hAnsi="Times New Roman"/>
                <w:i/>
                <w:color w:val="000000"/>
                <w:vertAlign w:val="subscript"/>
              </w:rPr>
              <w:t>a</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0.46</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0.53</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0.24</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0.09</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0.11</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0.46</w:t>
            </w:r>
          </w:p>
        </w:tc>
      </w:tr>
      <w:tr>
        <w:trPr/>
        <w:tc>
          <w:tcPr>
            <w:tcW w:w="1948" w:type="dxa"/>
            <w:vMerge w:val="restart"/>
            <w:tcBorders/>
            <w:vAlign w:val="center"/>
          </w:tcPr>
          <w:p>
            <w:pPr>
              <w:pStyle w:val="TableContents"/>
              <w:widowControl w:val="false"/>
              <w:spacing w:lineRule="auto" w:line="480"/>
              <w:rPr>
                <w:rFonts w:ascii="Times New Roman" w:hAnsi="Times New Roman"/>
              </w:rPr>
            </w:pPr>
            <w:r>
              <w:rPr>
                <w:rFonts w:ascii="Times New Roman" w:hAnsi="Times New Roman"/>
                <w:i/>
                <w:color w:val="000000"/>
              </w:rPr>
              <w:t>μ</w:t>
            </w:r>
            <w:r>
              <w:rPr>
                <w:rFonts w:ascii="Times New Roman" w:hAnsi="Times New Roman"/>
                <w:color w:val="000000"/>
                <w:vertAlign w:val="subscript"/>
              </w:rPr>
              <w:t>distance</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-0.34</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-0.51</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-0.18</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0.09</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-0.6</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-0.23</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-0.61</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-0.22</w:t>
            </w:r>
          </w:p>
        </w:tc>
      </w:tr>
      <w:tr>
        <w:trPr/>
        <w:tc>
          <w:tcPr>
            <w:tcW w:w="1948" w:type="dxa"/>
            <w:vMerge w:val="restart"/>
            <w:tcBorders/>
            <w:vAlign w:val="center"/>
          </w:tcPr>
          <w:p>
            <w:pPr>
              <w:pStyle w:val="TableContents"/>
              <w:widowControl w:val="false"/>
              <w:spacing w:lineRule="auto" w:line="480"/>
              <w:rPr>
                <w:rFonts w:ascii="Times New Roman" w:hAnsi="Times New Roman"/>
              </w:rPr>
            </w:pPr>
            <w:r>
              <w:rPr>
                <w:rFonts w:ascii="Times New Roman" w:hAnsi="Times New Roman"/>
                <w:i/>
                <w:color w:val="000000"/>
              </w:rPr>
              <w:t>σ</w:t>
            </w:r>
            <w:r>
              <w:rPr>
                <w:rFonts w:ascii="Times New Roman" w:hAnsi="Times New Roman"/>
                <w:color w:val="000000"/>
                <w:vertAlign w:val="subscript"/>
              </w:rPr>
              <w:t>distance</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0.11</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0.41</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0.45</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0.46</w:t>
            </w:r>
          </w:p>
        </w:tc>
      </w:tr>
      <w:tr>
        <w:trPr/>
        <w:tc>
          <w:tcPr>
            <w:tcW w:w="1948" w:type="dxa"/>
            <w:vMerge w:val="restart"/>
            <w:tcBorders/>
            <w:vAlign w:val="center"/>
          </w:tcPr>
          <w:p>
            <w:pPr>
              <w:pStyle w:val="TableContents"/>
              <w:widowControl w:val="false"/>
              <w:spacing w:lineRule="auto" w:line="480"/>
              <w:rPr>
                <w:rFonts w:ascii="Times New Roman" w:hAnsi="Times New Roman"/>
              </w:rPr>
            </w:pPr>
            <w:r>
              <w:rPr>
                <w:rFonts w:ascii="Times New Roman" w:hAnsi="Times New Roman"/>
                <w:i/>
                <w:color w:val="000000"/>
              </w:rPr>
              <w:t>μ</w:t>
            </w:r>
            <w:r>
              <w:rPr>
                <w:rFonts w:ascii="Times New Roman" w:hAnsi="Times New Roman"/>
                <w:color w:val="000000"/>
                <w:vertAlign w:val="subscript"/>
              </w:rPr>
              <w:t>precipitation</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0.16</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-0.77</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-0.13</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0.15</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-0.7</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-0.09</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0.17</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-0.73</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-0.04</w:t>
            </w:r>
          </w:p>
        </w:tc>
      </w:tr>
      <w:tr>
        <w:trPr/>
        <w:tc>
          <w:tcPr>
            <w:tcW w:w="1948" w:type="dxa"/>
            <w:vMerge w:val="restart"/>
            <w:tcBorders/>
            <w:vAlign w:val="center"/>
          </w:tcPr>
          <w:p>
            <w:pPr>
              <w:pStyle w:val="TableContents"/>
              <w:widowControl w:val="false"/>
              <w:spacing w:lineRule="auto" w:line="480"/>
              <w:rPr>
                <w:rFonts w:ascii="Times New Roman" w:hAnsi="Times New Roman"/>
              </w:rPr>
            </w:pPr>
            <w:r>
              <w:rPr>
                <w:rFonts w:ascii="Times New Roman" w:hAnsi="Times New Roman"/>
                <w:i/>
                <w:color w:val="000000"/>
              </w:rPr>
              <w:t>σ</w:t>
            </w:r>
            <w:r>
              <w:rPr>
                <w:rFonts w:ascii="Times New Roman" w:hAnsi="Times New Roman"/>
                <w:color w:val="000000"/>
                <w:vertAlign w:val="subscript"/>
              </w:rPr>
              <w:t>precipitation</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0.5</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0.29</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0.84</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0.45</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0.14</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0.24</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0.77</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0.52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0.15</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0.29</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0.86</w:t>
            </w:r>
          </w:p>
        </w:tc>
      </w:tr>
      <w:tr>
        <w:trPr/>
        <w:tc>
          <w:tcPr>
            <w:tcW w:w="1948" w:type="dxa"/>
            <w:vMerge w:val="restart"/>
            <w:tcBorders>
              <w:bottom w:val="single" w:sz="4" w:space="0" w:color="000000"/>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κ</w:t>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Model_cs_0</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20.65</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0.48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19.73</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21.58</w:t>
            </w:r>
          </w:p>
        </w:tc>
      </w:tr>
      <w:tr>
        <w:trPr/>
        <w:tc>
          <w:tcPr>
            <w:tcW w:w="1948" w:type="dxa"/>
            <w:vMerge w:val="continue"/>
            <w:tcBorders/>
            <w:vAlign w:val="center"/>
          </w:tcPr>
          <w:p>
            <w:pPr>
              <w:pStyle w:val="TableContents"/>
              <w:widowControl w:val="false"/>
              <w:spacing w:lineRule="auto" w:line="480"/>
              <w:rPr>
                <w:sz w:val="4"/>
                <w:szCs w:val="4"/>
              </w:rPr>
            </w:pPr>
            <w:r>
              <w:rPr>
                <w:sz w:val="4"/>
                <w:szCs w:val="4"/>
              </w:rPr>
            </w:r>
          </w:p>
        </w:tc>
        <w:tc>
          <w:tcPr>
            <w:tcW w:w="1532" w:type="dxa"/>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Model_cs_12</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42.33</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1.08</w:t>
            </w:r>
          </w:p>
        </w:tc>
        <w:tc>
          <w:tcPr>
            <w:tcW w:w="1305"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40.22</w:t>
            </w:r>
          </w:p>
        </w:tc>
        <w:tc>
          <w:tcPr>
            <w:tcW w:w="1304" w:type="dxa"/>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44.48</w:t>
            </w:r>
          </w:p>
        </w:tc>
      </w:tr>
      <w:tr>
        <w:trPr/>
        <w:tc>
          <w:tcPr>
            <w:tcW w:w="1948" w:type="dxa"/>
            <w:vMerge w:val="continue"/>
            <w:tcBorders>
              <w:bottom w:val="single" w:sz="4" w:space="0" w:color="000000"/>
            </w:tcBorders>
            <w:vAlign w:val="center"/>
          </w:tcPr>
          <w:p>
            <w:pPr>
              <w:pStyle w:val="TableContents"/>
              <w:widowControl w:val="false"/>
              <w:spacing w:lineRule="auto" w:line="480"/>
              <w:rPr>
                <w:sz w:val="4"/>
                <w:szCs w:val="4"/>
              </w:rPr>
            </w:pPr>
            <w:r>
              <w:rPr>
                <w:sz w:val="4"/>
                <w:szCs w:val="4"/>
              </w:rPr>
            </w:r>
          </w:p>
        </w:tc>
        <w:tc>
          <w:tcPr>
            <w:tcW w:w="1532" w:type="dxa"/>
            <w:tcBorders>
              <w:bottom w:val="single" w:sz="4" w:space="0" w:color="000000"/>
            </w:tcBorders>
            <w:vAlign w:val="center"/>
          </w:tcPr>
          <w:p>
            <w:pPr>
              <w:pStyle w:val="TableContents"/>
              <w:widowControl w:val="false"/>
              <w:spacing w:lineRule="auto" w:line="480"/>
              <w:rPr>
                <w:rFonts w:ascii="Times New Roman" w:hAnsi="Times New Roman"/>
                <w:i/>
                <w:i/>
                <w:color w:val="000000"/>
              </w:rPr>
            </w:pPr>
            <w:r>
              <w:rPr>
                <w:rFonts w:ascii="Times New Roman" w:hAnsi="Times New Roman"/>
                <w:i/>
                <w:color w:val="000000"/>
              </w:rPr>
              <w:t>Model_cs_11</w:t>
            </w:r>
          </w:p>
        </w:tc>
        <w:tc>
          <w:tcPr>
            <w:tcW w:w="1305" w:type="dxa"/>
            <w:tcBorders>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42.6</w:t>
            </w:r>
          </w:p>
        </w:tc>
        <w:tc>
          <w:tcPr>
            <w:tcW w:w="1305" w:type="dxa"/>
            <w:tcBorders>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1.04</w:t>
            </w:r>
          </w:p>
        </w:tc>
        <w:tc>
          <w:tcPr>
            <w:tcW w:w="1305" w:type="dxa"/>
            <w:tcBorders>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40.61</w:t>
            </w:r>
          </w:p>
        </w:tc>
        <w:tc>
          <w:tcPr>
            <w:tcW w:w="1304" w:type="dxa"/>
            <w:tcBorders>
              <w:bottom w:val="single" w:sz="4" w:space="0" w:color="000000"/>
            </w:tcBorders>
            <w:vAlign w:val="center"/>
          </w:tcPr>
          <w:p>
            <w:pPr>
              <w:pStyle w:val="TableContents"/>
              <w:widowControl w:val="false"/>
              <w:spacing w:lineRule="auto" w:line="480"/>
              <w:jc w:val="right"/>
              <w:rPr>
                <w:rFonts w:ascii="Times New Roman" w:hAnsi="Times New Roman"/>
                <w:color w:val="000000"/>
              </w:rPr>
            </w:pPr>
            <w:r>
              <w:rPr>
                <w:rFonts w:ascii="Times New Roman" w:hAnsi="Times New Roman"/>
                <w:color w:val="000000"/>
              </w:rPr>
              <w:t>44.7</w:t>
            </w:r>
          </w:p>
        </w:tc>
      </w:tr>
    </w:tbl>
    <w:p>
      <w:pPr>
        <w:pStyle w:val="Normal"/>
        <w:spacing w:lineRule="auto" w:line="480"/>
        <w:rPr>
          <w:lang w:val="en-GB"/>
        </w:rPr>
      </w:pPr>
      <w:r>
        <w:rPr>
          <w:lang w:val="en-GB"/>
        </w:rPr>
      </w:r>
    </w:p>
    <w:p>
      <w:pPr>
        <w:pStyle w:val="Normal"/>
        <w:spacing w:lineRule="auto" w:line="480"/>
        <w:rPr>
          <w:lang w:val="en-GB"/>
        </w:rPr>
      </w:pPr>
      <w:r>
        <w:rPr/>
      </w:r>
    </w:p>
    <w:sectPr>
      <w:type w:val="nextPage"/>
      <w:pgSz w:w="11906" w:h="16838"/>
      <w:pgMar w:left="1440" w:right="1440" w:header="0" w:top="1440" w:footer="0" w:bottom="1440"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 w:name="rsfs10">
    <w:charset w:val="01"/>
    <w:family w:val="roman"/>
    <w:pitch w:val="variable"/>
  </w:font>
  <w:font w:name="Symbol">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DefaultParagraphFont" w:default="1">
    <w:name w:val="Default Paragraph Font"/>
    <w:uiPriority w:val="1"/>
    <w:semiHidden/>
    <w:unhideWhenUsed/>
    <w:qFormat/>
    <w:rPr/>
  </w:style>
  <w:style w:type="character" w:styleId="Tipodeletrapredefinidodopargrafo1" w:customStyle="1">
    <w:name w:val="Tipo de letra predefinido do parágrafo1"/>
    <w:qFormat/>
    <w:rPr/>
  </w:style>
  <w:style w:type="character" w:styleId="StrongEmphasis" w:customStyle="1">
    <w:name w:val="Strong Emphasis"/>
    <w:qFormat/>
    <w:rPr>
      <w:b/>
      <w:bCs/>
    </w:rPr>
  </w:style>
  <w:style w:type="character" w:styleId="Emphasis">
    <w:name w:val="Emphasis"/>
    <w:basedOn w:val="DefaultParagraphFont"/>
    <w:qFormat/>
    <w:rPr>
      <w:i/>
      <w:iCs/>
    </w:rPr>
  </w:style>
  <w:style w:type="character" w:styleId="InternetLink">
    <w:name w:val="Hyperlink"/>
    <w:rPr>
      <w:color w:val="000080"/>
      <w:u w:val="single"/>
    </w:rPr>
  </w:style>
  <w:style w:type="character" w:styleId="Annotationreference">
    <w:name w:val="annotation reference"/>
    <w:basedOn w:val="DefaultParagraphFont"/>
    <w:uiPriority w:val="99"/>
    <w:semiHidden/>
    <w:unhideWhenUsed/>
    <w:qFormat/>
    <w:rsid w:val="002f40b4"/>
    <w:rPr>
      <w:sz w:val="16"/>
      <w:szCs w:val="16"/>
    </w:rPr>
  </w:style>
  <w:style w:type="character" w:styleId="CommentTextChar" w:customStyle="1">
    <w:name w:val="Comment Text Char"/>
    <w:basedOn w:val="DefaultParagraphFont"/>
    <w:link w:val="CommentText"/>
    <w:uiPriority w:val="99"/>
    <w:semiHidden/>
    <w:qFormat/>
    <w:rsid w:val="002f40b4"/>
    <w:rPr>
      <w:rFonts w:cs="Mangal"/>
      <w:sz w:val="20"/>
      <w:szCs w:val="18"/>
    </w:rPr>
  </w:style>
  <w:style w:type="character" w:styleId="CommentSubjectChar" w:customStyle="1">
    <w:name w:val="Comment Subject Char"/>
    <w:basedOn w:val="CommentTextChar"/>
    <w:link w:val="CommentSubject"/>
    <w:uiPriority w:val="99"/>
    <w:semiHidden/>
    <w:qFormat/>
    <w:rsid w:val="002f40b4"/>
    <w:rPr>
      <w:rFonts w:cs="Mangal"/>
      <w:b/>
      <w:bCs/>
      <w:sz w:val="20"/>
      <w:szCs w:val="18"/>
    </w:rPr>
  </w:style>
  <w:style w:type="character" w:styleId="BalloonTextChar" w:customStyle="1">
    <w:name w:val="Balloon Text Char"/>
    <w:basedOn w:val="DefaultParagraphFont"/>
    <w:link w:val="BalloonText"/>
    <w:uiPriority w:val="99"/>
    <w:semiHidden/>
    <w:qFormat/>
    <w:rsid w:val="002f40b4"/>
    <w:rPr>
      <w:rFonts w:ascii="Times New Roman" w:hAnsi="Times New Roman" w:cs="Mangal"/>
      <w:sz w:val="18"/>
      <w:szCs w:val="16"/>
    </w:rPr>
  </w:style>
  <w:style w:type="character" w:styleId="LineNumbering">
    <w:name w:val="Line Numbering"/>
    <w:rPr/>
  </w:style>
  <w:style w:type="paragraph" w:styleId="Heading" w:customStyle="1">
    <w:name w:val="Heading"/>
    <w:basedOn w:val="Normal"/>
    <w:next w:val="TextBody"/>
    <w:qFormat/>
    <w:pPr>
      <w:keepNext w:val="true"/>
      <w:spacing w:before="240" w:after="120"/>
    </w:pPr>
    <w:rPr>
      <w:rFonts w:ascii="Liberation Sans" w:hAnsi="Liberation Sans" w:eastAsia="Noto Sans CJK SC"/>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TableContents" w:customStyle="1">
    <w:name w:val="Table Contents"/>
    <w:basedOn w:val="Normal"/>
    <w:qFormat/>
    <w:pPr>
      <w:widowControl w:val="false"/>
      <w:suppressLineNumbers/>
    </w:pPr>
    <w:rPr/>
  </w:style>
  <w:style w:type="paragraph" w:styleId="NormalWeb">
    <w:name w:val="Normal (Web)"/>
    <w:basedOn w:val="Normal"/>
    <w:qFormat/>
    <w:pPr>
      <w:suppressAutoHyphens w:val="false"/>
      <w:spacing w:before="280" w:after="280"/>
    </w:pPr>
    <w:rPr>
      <w:rFonts w:ascii="Times New Roman" w:hAnsi="Times New Roman" w:eastAsia="Times New Roman" w:cs="Times New Roman"/>
      <w:kern w:val="0"/>
      <w:lang w:val="en-GB" w:eastAsia="en-US" w:bidi="ar-SA"/>
    </w:rPr>
  </w:style>
  <w:style w:type="paragraph" w:styleId="TableHeading" w:customStyle="1">
    <w:name w:val="Table Heading"/>
    <w:basedOn w:val="TableContents"/>
    <w:qFormat/>
    <w:pPr>
      <w:jc w:val="center"/>
    </w:pPr>
    <w:rPr>
      <w:b/>
      <w:bCs/>
    </w:rPr>
  </w:style>
  <w:style w:type="paragraph" w:styleId="Annotationtext">
    <w:name w:val="annotation text"/>
    <w:basedOn w:val="Normal"/>
    <w:link w:val="CommentTextChar"/>
    <w:uiPriority w:val="99"/>
    <w:semiHidden/>
    <w:unhideWhenUsed/>
    <w:qFormat/>
    <w:rsid w:val="002f40b4"/>
    <w:pPr/>
    <w:rPr>
      <w:rFonts w:cs="Mangal"/>
      <w:sz w:val="20"/>
      <w:szCs w:val="18"/>
    </w:rPr>
  </w:style>
  <w:style w:type="paragraph" w:styleId="Annotationsubject">
    <w:name w:val="annotation subject"/>
    <w:basedOn w:val="Annotationtext"/>
    <w:next w:val="Annotationtext"/>
    <w:link w:val="CommentSubjectChar"/>
    <w:uiPriority w:val="99"/>
    <w:semiHidden/>
    <w:unhideWhenUsed/>
    <w:qFormat/>
    <w:rsid w:val="002f40b4"/>
    <w:pPr/>
    <w:rPr>
      <w:b/>
      <w:bCs/>
    </w:rPr>
  </w:style>
  <w:style w:type="paragraph" w:styleId="BalloonText">
    <w:name w:val="Balloon Text"/>
    <w:basedOn w:val="Normal"/>
    <w:link w:val="BalloonTextChar"/>
    <w:uiPriority w:val="99"/>
    <w:semiHidden/>
    <w:unhideWhenUsed/>
    <w:qFormat/>
    <w:rsid w:val="002f40b4"/>
    <w:pPr/>
    <w:rPr>
      <w:rFonts w:ascii="Times New Roman" w:hAnsi="Times New Roman" w:cs="Mangal"/>
      <w:sz w:val="18"/>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2307/2334029" TargetMode="External"/><Relationship Id="rId3" Type="http://schemas.openxmlformats.org/officeDocument/2006/relationships/hyperlink" Target="https://doi.org/10.1111/2041-210x.12018" TargetMode="External"/><Relationship Id="rId4" Type="http://schemas.openxmlformats.org/officeDocument/2006/relationships/hyperlink" Target="https://doi.org/10.1080/00949650008812035" TargetMode="External"/><Relationship Id="rId5" Type="http://schemas.openxmlformats.org/officeDocument/2006/relationships/hyperlink" Target="https://doi.org/10.1007/s00521-006-0080-8" TargetMode="External"/><Relationship Id="rId6" Type="http://schemas.openxmlformats.org/officeDocument/2006/relationships/hyperlink" Target="https://www.R-project.org/" TargetMode="External"/><Relationship Id="rId7" Type="http://schemas.openxmlformats.org/officeDocument/2006/relationships/hyperlink" Target="https://doi.org/10.1111/j.1365-2699.2008.01900.x" TargetMode="External"/><Relationship Id="rId8" Type="http://schemas.openxmlformats.org/officeDocument/2006/relationships/hyperlink" Target="https://doi.org/10.2307/2413122" TargetMode="External"/><Relationship Id="rId9" Type="http://schemas.openxmlformats.org/officeDocument/2006/relationships/hyperlink" Target="http://mc-stan.org/" TargetMode="External"/><Relationship Id="rId10" Type="http://schemas.openxmlformats.org/officeDocument/2006/relationships/image" Target="media/image1.wmf"/><Relationship Id="rId11" Type="http://schemas.openxmlformats.org/officeDocument/2006/relationships/image" Target="media/image2.wmf"/><Relationship Id="rId12" Type="http://schemas.openxmlformats.org/officeDocument/2006/relationships/image" Target="media/image3.png"/><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jpeg"/><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122AA-19B4-B440-A592-82AA8655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Application>LibreOffice/7.1.6.2$Linux_X86_64 LibreOffice_project/10$Build-2</Application>
  <AppVersion>15.0000</AppVersion>
  <Pages>37</Pages>
  <Words>6735</Words>
  <Characters>36222</Characters>
  <CharactersWithSpaces>42728</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2021-09-09T14:22:00Z</dcterms:created>
  <dc:creator>Luís Borda de Água</dc:creator>
  <dc:description/>
  <dc:language>en-US</dc:language>
  <cp:lastModifiedBy/>
  <dcterms:modified xsi:type="dcterms:W3CDTF">2021-09-09T17:40:18Z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