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742644" w14:textId="65270F3B" w:rsidR="003F320C" w:rsidRDefault="003F320C" w:rsidP="00470327">
      <w:pPr>
        <w:spacing w:line="360" w:lineRule="auto"/>
        <w:jc w:val="center"/>
        <w:rPr>
          <w:rFonts w:asciiTheme="minorHAnsi" w:hAnsiTheme="minorHAnsi"/>
          <w:b/>
          <w:sz w:val="32"/>
          <w:szCs w:val="32"/>
        </w:rPr>
      </w:pPr>
    </w:p>
    <w:p w14:paraId="6C7DB8A9" w14:textId="3BD47560" w:rsidR="003F320C" w:rsidRDefault="003F320C" w:rsidP="00470327">
      <w:pPr>
        <w:spacing w:line="360" w:lineRule="auto"/>
        <w:jc w:val="center"/>
        <w:rPr>
          <w:rFonts w:asciiTheme="minorHAnsi" w:hAnsiTheme="minorHAnsi"/>
          <w:b/>
          <w:sz w:val="32"/>
          <w:szCs w:val="32"/>
        </w:rPr>
      </w:pPr>
    </w:p>
    <w:p w14:paraId="60A7B279" w14:textId="1C76BA8E" w:rsidR="005C73C2" w:rsidRDefault="005C73C2" w:rsidP="00470327">
      <w:pPr>
        <w:spacing w:line="360" w:lineRule="auto"/>
        <w:jc w:val="center"/>
        <w:rPr>
          <w:rFonts w:asciiTheme="minorHAnsi" w:hAnsiTheme="minorHAnsi"/>
          <w:b/>
          <w:sz w:val="32"/>
          <w:szCs w:val="32"/>
        </w:rPr>
      </w:pPr>
    </w:p>
    <w:p w14:paraId="11DF90F6" w14:textId="48C8E9C2" w:rsidR="005C73C2" w:rsidRDefault="005C73C2" w:rsidP="00470327">
      <w:pPr>
        <w:spacing w:line="360" w:lineRule="auto"/>
        <w:jc w:val="center"/>
        <w:rPr>
          <w:rFonts w:asciiTheme="minorHAnsi" w:hAnsiTheme="minorHAnsi"/>
          <w:b/>
          <w:sz w:val="32"/>
          <w:szCs w:val="32"/>
        </w:rPr>
      </w:pPr>
    </w:p>
    <w:p w14:paraId="5EBCA0C0" w14:textId="77777777" w:rsidR="005C73C2" w:rsidRDefault="005C73C2" w:rsidP="00470327">
      <w:pPr>
        <w:spacing w:line="360" w:lineRule="auto"/>
        <w:jc w:val="center"/>
        <w:rPr>
          <w:rFonts w:asciiTheme="minorHAnsi" w:hAnsiTheme="minorHAnsi"/>
          <w:b/>
          <w:sz w:val="32"/>
          <w:szCs w:val="32"/>
        </w:rPr>
      </w:pPr>
    </w:p>
    <w:p w14:paraId="5F5CCBBE" w14:textId="1E203319" w:rsidR="00A324BB" w:rsidRDefault="00470327" w:rsidP="00470327">
      <w:pPr>
        <w:spacing w:line="360" w:lineRule="auto"/>
        <w:jc w:val="center"/>
        <w:rPr>
          <w:rFonts w:asciiTheme="minorHAnsi" w:hAnsiTheme="minorHAnsi"/>
          <w:b/>
          <w:sz w:val="32"/>
          <w:szCs w:val="32"/>
        </w:rPr>
      </w:pPr>
      <w:r>
        <w:rPr>
          <w:rFonts w:asciiTheme="minorHAnsi" w:hAnsiTheme="minorHAnsi"/>
          <w:b/>
          <w:sz w:val="32"/>
          <w:szCs w:val="32"/>
        </w:rPr>
        <w:t xml:space="preserve">Examining the Associations Between Neighborhood Socioeconomic Status and the Potential Distribution of </w:t>
      </w:r>
      <w:r w:rsidR="00F90B2E">
        <w:rPr>
          <w:rFonts w:asciiTheme="minorHAnsi" w:hAnsiTheme="minorHAnsi"/>
          <w:b/>
          <w:sz w:val="32"/>
          <w:szCs w:val="32"/>
        </w:rPr>
        <w:t xml:space="preserve">Four </w:t>
      </w:r>
      <w:r>
        <w:rPr>
          <w:rFonts w:asciiTheme="minorHAnsi" w:hAnsiTheme="minorHAnsi"/>
          <w:b/>
          <w:sz w:val="32"/>
          <w:szCs w:val="32"/>
        </w:rPr>
        <w:t>Urban Ecosystem Services in Rochester, NY</w:t>
      </w:r>
    </w:p>
    <w:p w14:paraId="60CF1AA0" w14:textId="043D460B" w:rsidR="00470327" w:rsidRDefault="00470327" w:rsidP="00470327">
      <w:pPr>
        <w:spacing w:line="360" w:lineRule="auto"/>
        <w:jc w:val="center"/>
        <w:rPr>
          <w:rFonts w:asciiTheme="minorHAnsi" w:hAnsiTheme="minorHAnsi"/>
          <w:b/>
          <w:sz w:val="32"/>
          <w:szCs w:val="32"/>
        </w:rPr>
      </w:pPr>
    </w:p>
    <w:p w14:paraId="1A1C487B" w14:textId="49125767" w:rsidR="00B7746A" w:rsidRPr="009842C5" w:rsidRDefault="00B7746A" w:rsidP="00B7746A">
      <w:pPr>
        <w:spacing w:line="276" w:lineRule="auto"/>
        <w:jc w:val="center"/>
        <w:rPr>
          <w:rFonts w:asciiTheme="minorHAnsi" w:hAnsiTheme="minorHAnsi"/>
          <w:bCs/>
          <w:vertAlign w:val="superscript"/>
        </w:rPr>
      </w:pPr>
      <w:r>
        <w:rPr>
          <w:rFonts w:asciiTheme="minorHAnsi" w:hAnsiTheme="minorHAnsi"/>
          <w:bCs/>
        </w:rPr>
        <w:t>Joshua Greene</w:t>
      </w:r>
      <w:r>
        <w:rPr>
          <w:rFonts w:asciiTheme="minorHAnsi" w:hAnsiTheme="minorHAnsi"/>
          <w:bCs/>
          <w:vertAlign w:val="superscript"/>
        </w:rPr>
        <w:t>1</w:t>
      </w:r>
      <w:r w:rsidR="00EF264F">
        <w:rPr>
          <w:rFonts w:asciiTheme="minorHAnsi" w:hAnsiTheme="minorHAnsi"/>
          <w:bCs/>
          <w:vertAlign w:val="superscript"/>
        </w:rPr>
        <w:t>*</w:t>
      </w:r>
      <w:r>
        <w:rPr>
          <w:rFonts w:asciiTheme="minorHAnsi" w:hAnsiTheme="minorHAnsi"/>
          <w:bCs/>
        </w:rPr>
        <w:t xml:space="preserve">, Karl </w:t>
      </w:r>
      <w:r w:rsidR="00EF264F">
        <w:rPr>
          <w:rFonts w:asciiTheme="minorHAnsi" w:hAnsiTheme="minorHAnsi"/>
          <w:bCs/>
        </w:rPr>
        <w:t>Korfmacher</w:t>
      </w:r>
      <w:r w:rsidR="00EF264F">
        <w:rPr>
          <w:rFonts w:asciiTheme="minorHAnsi" w:hAnsiTheme="minorHAnsi"/>
          <w:bCs/>
          <w:vertAlign w:val="superscript"/>
        </w:rPr>
        <w:t>1</w:t>
      </w:r>
      <w:r w:rsidR="009842C5">
        <w:rPr>
          <w:rFonts w:asciiTheme="minorHAnsi" w:hAnsiTheme="minorHAnsi"/>
          <w:bCs/>
        </w:rPr>
        <w:t xml:space="preserve">, Kaitlin Stack </w:t>
      </w:r>
      <w:r w:rsidR="00EF264F">
        <w:rPr>
          <w:rFonts w:asciiTheme="minorHAnsi" w:hAnsiTheme="minorHAnsi"/>
          <w:bCs/>
        </w:rPr>
        <w:t>Whitney</w:t>
      </w:r>
      <w:r w:rsidR="00EF264F">
        <w:rPr>
          <w:rFonts w:asciiTheme="minorHAnsi" w:hAnsiTheme="minorHAnsi"/>
          <w:bCs/>
          <w:vertAlign w:val="superscript"/>
        </w:rPr>
        <w:t>1</w:t>
      </w:r>
      <w:r w:rsidR="009842C5">
        <w:rPr>
          <w:rFonts w:asciiTheme="minorHAnsi" w:hAnsiTheme="minorHAnsi"/>
          <w:bCs/>
          <w:vertAlign w:val="superscript"/>
        </w:rPr>
        <w:t>,</w:t>
      </w:r>
      <w:r w:rsidR="00EF264F">
        <w:rPr>
          <w:rFonts w:asciiTheme="minorHAnsi" w:hAnsiTheme="minorHAnsi"/>
          <w:bCs/>
          <w:vertAlign w:val="superscript"/>
        </w:rPr>
        <w:t xml:space="preserve">2 </w:t>
      </w:r>
    </w:p>
    <w:p w14:paraId="32262664" w14:textId="373CA7CF" w:rsidR="00B7746A" w:rsidRDefault="00B7746A" w:rsidP="00B7746A">
      <w:pPr>
        <w:spacing w:line="276" w:lineRule="auto"/>
        <w:jc w:val="center"/>
        <w:rPr>
          <w:rFonts w:asciiTheme="minorHAnsi" w:hAnsiTheme="minorHAnsi"/>
          <w:bCs/>
        </w:rPr>
      </w:pPr>
    </w:p>
    <w:p w14:paraId="2CFE88D7" w14:textId="77777777" w:rsidR="005C73C2" w:rsidRDefault="005C73C2" w:rsidP="00B7746A">
      <w:pPr>
        <w:spacing w:line="276" w:lineRule="auto"/>
        <w:jc w:val="center"/>
        <w:rPr>
          <w:rFonts w:asciiTheme="minorHAnsi" w:hAnsiTheme="minorHAnsi"/>
          <w:bCs/>
        </w:rPr>
      </w:pPr>
    </w:p>
    <w:p w14:paraId="216320BD" w14:textId="39AB94DD" w:rsidR="00B7746A" w:rsidRPr="008A6B74" w:rsidRDefault="00B7746A" w:rsidP="00B7746A">
      <w:pPr>
        <w:spacing w:line="276" w:lineRule="auto"/>
        <w:rPr>
          <w:rFonts w:asciiTheme="minorHAnsi" w:hAnsiTheme="minorHAnsi"/>
          <w:bCs/>
        </w:rPr>
      </w:pPr>
      <w:r w:rsidRPr="008A6B74">
        <w:rPr>
          <w:rFonts w:asciiTheme="minorHAnsi" w:hAnsiTheme="minorHAnsi"/>
          <w:bCs/>
          <w:vertAlign w:val="superscript"/>
        </w:rPr>
        <w:t>1</w:t>
      </w:r>
      <w:r w:rsidR="008A6B74" w:rsidRPr="008A6B74">
        <w:rPr>
          <w:rFonts w:asciiTheme="minorHAnsi" w:hAnsiTheme="minorHAnsi"/>
          <w:bCs/>
        </w:rPr>
        <w:t>Thomas</w:t>
      </w:r>
      <w:r w:rsidR="008A6B74">
        <w:rPr>
          <w:rFonts w:asciiTheme="minorHAnsi" w:hAnsiTheme="minorHAnsi"/>
          <w:bCs/>
        </w:rPr>
        <w:t xml:space="preserve"> H. Gosnell School of Life Sciences, College of Science, Rochester Institute of Technology, Rochester, NY, 14623 </w:t>
      </w:r>
    </w:p>
    <w:p w14:paraId="6C9B33D5" w14:textId="56A0DC90" w:rsidR="00B7746A" w:rsidRPr="00BA54AF" w:rsidRDefault="00EF264F" w:rsidP="00B7746A">
      <w:pPr>
        <w:spacing w:line="276" w:lineRule="auto"/>
        <w:rPr>
          <w:rFonts w:asciiTheme="minorHAnsi" w:hAnsiTheme="minorHAnsi"/>
          <w:bCs/>
        </w:rPr>
      </w:pPr>
      <w:r>
        <w:rPr>
          <w:rFonts w:asciiTheme="minorHAnsi" w:hAnsiTheme="minorHAnsi"/>
          <w:bCs/>
          <w:vertAlign w:val="superscript"/>
        </w:rPr>
        <w:t>2</w:t>
      </w:r>
      <w:r w:rsidR="00BA54AF">
        <w:rPr>
          <w:rFonts w:asciiTheme="minorHAnsi" w:hAnsiTheme="minorHAnsi"/>
          <w:bCs/>
        </w:rPr>
        <w:t>Science, Technology &amp; Society Department, College of Liberal Arts</w:t>
      </w:r>
      <w:r w:rsidR="008A6B74">
        <w:rPr>
          <w:rFonts w:asciiTheme="minorHAnsi" w:hAnsiTheme="minorHAnsi"/>
          <w:bCs/>
        </w:rPr>
        <w:t>, Rochester Institute of Technology, Rochester, NY, 14623</w:t>
      </w:r>
    </w:p>
    <w:p w14:paraId="29C3CBC2" w14:textId="4AA3641C" w:rsidR="00B7746A" w:rsidRDefault="00B7746A" w:rsidP="00B7746A">
      <w:pPr>
        <w:spacing w:line="276" w:lineRule="auto"/>
        <w:rPr>
          <w:rFonts w:asciiTheme="minorHAnsi" w:hAnsiTheme="minorHAnsi"/>
          <w:bCs/>
        </w:rPr>
      </w:pPr>
    </w:p>
    <w:p w14:paraId="7079F620" w14:textId="66D2A25C" w:rsidR="00EF264F" w:rsidRPr="008A6B74" w:rsidRDefault="00EF264F" w:rsidP="00EF264F">
      <w:pPr>
        <w:spacing w:line="276" w:lineRule="auto"/>
        <w:rPr>
          <w:rFonts w:asciiTheme="minorHAnsi" w:hAnsiTheme="minorHAnsi"/>
          <w:bCs/>
        </w:rPr>
      </w:pPr>
      <w:r>
        <w:rPr>
          <w:rFonts w:asciiTheme="minorHAnsi" w:hAnsiTheme="minorHAnsi"/>
          <w:bCs/>
        </w:rPr>
        <w:t>*</w:t>
      </w:r>
      <w:r w:rsidR="00A6059E">
        <w:rPr>
          <w:rFonts w:asciiTheme="minorHAnsi" w:hAnsiTheme="minorHAnsi"/>
          <w:bCs/>
        </w:rPr>
        <w:t>Corresponding</w:t>
      </w:r>
      <w:r>
        <w:rPr>
          <w:rFonts w:asciiTheme="minorHAnsi" w:hAnsiTheme="minorHAnsi"/>
          <w:bCs/>
        </w:rPr>
        <w:t xml:space="preserve"> author = </w:t>
      </w:r>
      <w:hyperlink r:id="rId9" w:history="1">
        <w:r w:rsidRPr="004551D2">
          <w:rPr>
            <w:rStyle w:val="Hyperlink"/>
            <w:rFonts w:asciiTheme="minorHAnsi" w:hAnsiTheme="minorHAnsi"/>
            <w:bCs/>
          </w:rPr>
          <w:t>Greenej662@gmail.com</w:t>
        </w:r>
      </w:hyperlink>
      <w:r>
        <w:rPr>
          <w:rFonts w:asciiTheme="minorHAnsi" w:hAnsiTheme="minorHAnsi"/>
          <w:bCs/>
        </w:rPr>
        <w:t xml:space="preserve"> </w:t>
      </w:r>
    </w:p>
    <w:p w14:paraId="794468D9" w14:textId="44186BA3" w:rsidR="00EF264F" w:rsidRDefault="00EF264F" w:rsidP="00B7746A">
      <w:pPr>
        <w:spacing w:line="276" w:lineRule="auto"/>
        <w:rPr>
          <w:rFonts w:asciiTheme="minorHAnsi" w:hAnsiTheme="minorHAnsi"/>
          <w:bCs/>
        </w:rPr>
      </w:pPr>
    </w:p>
    <w:p w14:paraId="7BECF703" w14:textId="77777777" w:rsidR="00B7746A" w:rsidRDefault="00B7746A" w:rsidP="00B7746A">
      <w:pPr>
        <w:spacing w:line="276" w:lineRule="auto"/>
        <w:rPr>
          <w:rFonts w:asciiTheme="minorHAnsi" w:hAnsiTheme="minorHAnsi"/>
          <w:bCs/>
        </w:rPr>
      </w:pPr>
    </w:p>
    <w:p w14:paraId="18294984" w14:textId="2D95A90A" w:rsidR="00283D51" w:rsidRPr="009842C5" w:rsidRDefault="00B7746A" w:rsidP="009842C5">
      <w:pPr>
        <w:spacing w:line="276" w:lineRule="auto"/>
        <w:rPr>
          <w:rFonts w:asciiTheme="minorHAnsi" w:hAnsiTheme="minorHAnsi"/>
          <w:bCs/>
        </w:rPr>
        <w:sectPr w:rsidR="00283D51" w:rsidRPr="009842C5" w:rsidSect="00283D51">
          <w:footerReference w:type="even" r:id="rId10"/>
          <w:footerReference w:type="default" r:id="rId11"/>
          <w:pgSz w:w="12240" w:h="15840"/>
          <w:pgMar w:top="1440" w:right="1440" w:bottom="1440" w:left="1440" w:header="720" w:footer="720" w:gutter="0"/>
          <w:pgNumType w:fmt="upperRoman" w:start="1"/>
          <w:cols w:space="720"/>
          <w:titlePg/>
          <w:docGrid w:linePitch="326"/>
        </w:sectPr>
      </w:pPr>
      <w:r>
        <w:rPr>
          <w:rFonts w:asciiTheme="minorHAnsi" w:hAnsiTheme="minorHAnsi"/>
          <w:bCs/>
        </w:rPr>
        <w:t>Keywords: Urban Ecosystem Services</w:t>
      </w:r>
      <w:r w:rsidR="00EF264F">
        <w:rPr>
          <w:rFonts w:asciiTheme="minorHAnsi" w:hAnsiTheme="minorHAnsi"/>
          <w:bCs/>
        </w:rPr>
        <w:t xml:space="preserve">; </w:t>
      </w:r>
      <w:r w:rsidR="00A6059E">
        <w:rPr>
          <w:rFonts w:asciiTheme="minorHAnsi" w:hAnsiTheme="minorHAnsi"/>
          <w:bCs/>
        </w:rPr>
        <w:t>U</w:t>
      </w:r>
      <w:r w:rsidR="00EF264F">
        <w:rPr>
          <w:rFonts w:asciiTheme="minorHAnsi" w:hAnsiTheme="minorHAnsi"/>
          <w:bCs/>
        </w:rPr>
        <w:t xml:space="preserve">rban green spaces; </w:t>
      </w:r>
      <w:r>
        <w:rPr>
          <w:rFonts w:asciiTheme="minorHAnsi" w:hAnsiTheme="minorHAnsi"/>
          <w:bCs/>
        </w:rPr>
        <w:t>Environmental Justice</w:t>
      </w:r>
      <w:r w:rsidR="00EF264F">
        <w:rPr>
          <w:rFonts w:asciiTheme="minorHAnsi" w:hAnsiTheme="minorHAnsi"/>
          <w:bCs/>
        </w:rPr>
        <w:t xml:space="preserve">; </w:t>
      </w:r>
      <w:r>
        <w:rPr>
          <w:rFonts w:asciiTheme="minorHAnsi" w:hAnsiTheme="minorHAnsi"/>
          <w:bCs/>
        </w:rPr>
        <w:t>Socioeconomic Status</w:t>
      </w:r>
      <w:r w:rsidR="00EF264F">
        <w:rPr>
          <w:rFonts w:asciiTheme="minorHAnsi" w:hAnsiTheme="minorHAnsi"/>
          <w:bCs/>
        </w:rPr>
        <w:t xml:space="preserve">; </w:t>
      </w:r>
      <w:r>
        <w:rPr>
          <w:rFonts w:asciiTheme="minorHAnsi" w:hAnsiTheme="minorHAnsi"/>
          <w:bCs/>
        </w:rPr>
        <w:t xml:space="preserve">Urban Planning </w:t>
      </w:r>
      <w:r w:rsidR="00920987">
        <w:rPr>
          <w:rFonts w:asciiTheme="minorHAnsi" w:hAnsiTheme="minorHAnsi"/>
          <w:bCs/>
        </w:rPr>
        <w:br w:type="page"/>
      </w:r>
    </w:p>
    <w:p w14:paraId="7BFAC741" w14:textId="16676EE7" w:rsidR="00470327" w:rsidRPr="009842C5" w:rsidRDefault="00470327" w:rsidP="009842C5">
      <w:pPr>
        <w:rPr>
          <w:bCs/>
        </w:rPr>
      </w:pPr>
      <w:r w:rsidRPr="00470327">
        <w:rPr>
          <w:rFonts w:asciiTheme="minorHAnsi" w:hAnsiTheme="minorHAnsi"/>
          <w:b/>
          <w:i/>
          <w:iCs/>
        </w:rPr>
        <w:lastRenderedPageBreak/>
        <w:t>Abstract</w:t>
      </w:r>
    </w:p>
    <w:p w14:paraId="169318B7" w14:textId="2427EC30" w:rsidR="00093A29" w:rsidRDefault="00093A29" w:rsidP="00470327">
      <w:pPr>
        <w:rPr>
          <w:rFonts w:asciiTheme="minorHAnsi" w:hAnsiTheme="minorHAnsi"/>
          <w:b/>
          <w:i/>
          <w:iCs/>
        </w:rPr>
      </w:pPr>
    </w:p>
    <w:p w14:paraId="45A12CC2" w14:textId="38073536" w:rsidR="008910BE" w:rsidRDefault="00093A29" w:rsidP="00234FAE">
      <w:pPr>
        <w:spacing w:line="360" w:lineRule="auto"/>
        <w:ind w:firstLine="720"/>
        <w:rPr>
          <w:rFonts w:asciiTheme="minorHAnsi" w:hAnsiTheme="minorHAnsi"/>
        </w:rPr>
      </w:pPr>
      <w:r w:rsidRPr="00093A29">
        <w:rPr>
          <w:rFonts w:asciiTheme="minorHAnsi" w:hAnsiTheme="minorHAnsi"/>
        </w:rPr>
        <w:t xml:space="preserve">As populations and the total area of impervious surfaces continue to grow in </w:t>
      </w:r>
      <w:r w:rsidR="00413610">
        <w:rPr>
          <w:rFonts w:asciiTheme="minorHAnsi" w:hAnsiTheme="minorHAnsi"/>
        </w:rPr>
        <w:t>developed areas</w:t>
      </w:r>
      <w:r w:rsidRPr="00093A29">
        <w:rPr>
          <w:rFonts w:asciiTheme="minorHAnsi" w:hAnsiTheme="minorHAnsi"/>
        </w:rPr>
        <w:t xml:space="preserve">, planners and policy makers </w:t>
      </w:r>
      <w:r w:rsidR="00543D75">
        <w:rPr>
          <w:rFonts w:asciiTheme="minorHAnsi" w:hAnsiTheme="minorHAnsi"/>
        </w:rPr>
        <w:t xml:space="preserve">must </w:t>
      </w:r>
      <w:r w:rsidRPr="00093A29">
        <w:rPr>
          <w:rFonts w:asciiTheme="minorHAnsi" w:hAnsiTheme="minorHAnsi"/>
        </w:rPr>
        <w:t>consider how local ecological resources can be utilized to meet the needs and develop climate resilient and sustainable cities. Urban green spaces (UGS) have been identified as critical resources in improving the climate resiliency of cities and the quality of life for residents through the urban ecosystem services (UES) that they provide. However, certain communities within cities do not have uniform access to these UGS, a</w:t>
      </w:r>
      <w:r w:rsidR="00543D75">
        <w:rPr>
          <w:rFonts w:asciiTheme="minorHAnsi" w:hAnsiTheme="minorHAnsi"/>
        </w:rPr>
        <w:t xml:space="preserve">nd </w:t>
      </w:r>
      <w:r w:rsidRPr="00093A29">
        <w:rPr>
          <w:rFonts w:asciiTheme="minorHAnsi" w:hAnsiTheme="minorHAnsi"/>
        </w:rPr>
        <w:t>this may be due to historical legacies (</w:t>
      </w:r>
      <w:proofErr w:type="gramStart"/>
      <w:r w:rsidRPr="00093A29">
        <w:rPr>
          <w:rFonts w:asciiTheme="minorHAnsi" w:hAnsiTheme="minorHAnsi"/>
        </w:rPr>
        <w:t>i.e.</w:t>
      </w:r>
      <w:proofErr w:type="gramEnd"/>
      <w:r w:rsidRPr="00093A29">
        <w:rPr>
          <w:rFonts w:asciiTheme="minorHAnsi" w:hAnsiTheme="minorHAnsi"/>
        </w:rPr>
        <w:t xml:space="preserve"> redlining) and/or contemporary practices (i.e. urban planning). Therefore,</w:t>
      </w:r>
      <w:r w:rsidR="00234FAE">
        <w:rPr>
          <w:rFonts w:asciiTheme="minorHAnsi" w:hAnsiTheme="minorHAnsi"/>
        </w:rPr>
        <w:t xml:space="preserve"> </w:t>
      </w:r>
      <w:r w:rsidR="00640450">
        <w:rPr>
          <w:rFonts w:asciiTheme="minorHAnsi" w:hAnsiTheme="minorHAnsi"/>
        </w:rPr>
        <w:t xml:space="preserve">we </w:t>
      </w:r>
      <w:r w:rsidR="00234FAE">
        <w:rPr>
          <w:rFonts w:asciiTheme="minorHAnsi" w:hAnsiTheme="minorHAnsi"/>
        </w:rPr>
        <w:t>sought to determine if the supply of UES throughout the city of Rochester, NY is inequitably distributed.</w:t>
      </w:r>
      <w:r w:rsidRPr="00093A29">
        <w:rPr>
          <w:rFonts w:asciiTheme="minorHAnsi" w:hAnsiTheme="minorHAnsi"/>
        </w:rPr>
        <w:t xml:space="preserve"> </w:t>
      </w:r>
      <w:r w:rsidR="00640450">
        <w:rPr>
          <w:rFonts w:asciiTheme="minorHAnsi" w:hAnsiTheme="minorHAnsi"/>
        </w:rPr>
        <w:t xml:space="preserve">We </w:t>
      </w:r>
      <w:r w:rsidR="00234FAE">
        <w:rPr>
          <w:rFonts w:asciiTheme="minorHAnsi" w:hAnsiTheme="minorHAnsi"/>
        </w:rPr>
        <w:t xml:space="preserve">assessed </w:t>
      </w:r>
      <w:r w:rsidR="00640450">
        <w:rPr>
          <w:rFonts w:asciiTheme="minorHAnsi" w:hAnsiTheme="minorHAnsi"/>
        </w:rPr>
        <w:t>UES</w:t>
      </w:r>
      <w:r w:rsidR="00234FAE">
        <w:rPr>
          <w:rFonts w:asciiTheme="minorHAnsi" w:hAnsiTheme="minorHAnsi"/>
        </w:rPr>
        <w:t xml:space="preserve"> u</w:t>
      </w:r>
      <w:r w:rsidRPr="00093A29">
        <w:rPr>
          <w:rFonts w:asciiTheme="minorHAnsi" w:hAnsiTheme="minorHAnsi"/>
        </w:rPr>
        <w:t>sing geospatial analysis and literature-based coefficients</w:t>
      </w:r>
      <w:r w:rsidR="00E877B0">
        <w:rPr>
          <w:rFonts w:asciiTheme="minorHAnsi" w:hAnsiTheme="minorHAnsi"/>
        </w:rPr>
        <w:t xml:space="preserve"> to measure ecosystem services</w:t>
      </w:r>
      <w:r w:rsidRPr="00093A29">
        <w:rPr>
          <w:rFonts w:asciiTheme="minorHAnsi" w:hAnsiTheme="minorHAnsi"/>
        </w:rPr>
        <w:t xml:space="preserve">. </w:t>
      </w:r>
      <w:r w:rsidR="00640450">
        <w:rPr>
          <w:rFonts w:asciiTheme="minorHAnsi" w:hAnsiTheme="minorHAnsi"/>
        </w:rPr>
        <w:t>We also</w:t>
      </w:r>
      <w:r w:rsidR="00640450" w:rsidRPr="00093A29">
        <w:rPr>
          <w:rFonts w:asciiTheme="minorHAnsi" w:hAnsiTheme="minorHAnsi"/>
        </w:rPr>
        <w:t xml:space="preserve"> </w:t>
      </w:r>
      <w:r w:rsidRPr="00093A29">
        <w:rPr>
          <w:rFonts w:asciiTheme="minorHAnsi" w:hAnsiTheme="minorHAnsi"/>
        </w:rPr>
        <w:t>assessed the distribution of socioeconomic status (SES), including contemporary demographic information</w:t>
      </w:r>
      <w:r w:rsidR="00DA33A6">
        <w:rPr>
          <w:rFonts w:asciiTheme="minorHAnsi" w:hAnsiTheme="minorHAnsi"/>
        </w:rPr>
        <w:t xml:space="preserve"> (population density, household median income, homeownership percentages, race percentages, and median property value) </w:t>
      </w:r>
      <w:r w:rsidRPr="00093A29">
        <w:rPr>
          <w:rFonts w:asciiTheme="minorHAnsi" w:hAnsiTheme="minorHAnsi"/>
        </w:rPr>
        <w:t>and historic</w:t>
      </w:r>
      <w:r w:rsidR="00A21CC8">
        <w:rPr>
          <w:rFonts w:asciiTheme="minorHAnsi" w:hAnsiTheme="minorHAnsi"/>
        </w:rPr>
        <w:t xml:space="preserve"> </w:t>
      </w:r>
      <w:r w:rsidR="00413610">
        <w:rPr>
          <w:rFonts w:asciiTheme="minorHAnsi" w:hAnsiTheme="minorHAnsi"/>
        </w:rPr>
        <w:t>neighborhood assessment</w:t>
      </w:r>
      <w:r w:rsidRPr="00093A29">
        <w:rPr>
          <w:rFonts w:asciiTheme="minorHAnsi" w:hAnsiTheme="minorHAnsi"/>
        </w:rPr>
        <w:t xml:space="preserve"> </w:t>
      </w:r>
      <w:r w:rsidR="00A77AAC">
        <w:rPr>
          <w:rFonts w:asciiTheme="minorHAnsi" w:hAnsiTheme="minorHAnsi"/>
        </w:rPr>
        <w:t>grades</w:t>
      </w:r>
      <w:r w:rsidRPr="00093A29">
        <w:rPr>
          <w:rFonts w:asciiTheme="minorHAnsi" w:hAnsiTheme="minorHAnsi"/>
        </w:rPr>
        <w:t xml:space="preserve"> </w:t>
      </w:r>
      <w:r w:rsidR="00413610">
        <w:rPr>
          <w:rFonts w:asciiTheme="minorHAnsi" w:hAnsiTheme="minorHAnsi"/>
        </w:rPr>
        <w:t>assigned by the HomeOwners Loan Corporation (HOLC),</w:t>
      </w:r>
      <w:r w:rsidR="00A21CC8">
        <w:rPr>
          <w:rFonts w:asciiTheme="minorHAnsi" w:hAnsiTheme="minorHAnsi"/>
        </w:rPr>
        <w:t xml:space="preserve"> </w:t>
      </w:r>
      <w:r w:rsidRPr="00093A29">
        <w:rPr>
          <w:rFonts w:asciiTheme="minorHAnsi" w:hAnsiTheme="minorHAnsi"/>
        </w:rPr>
        <w:t xml:space="preserve">throughout the city. By looking at these two sets of data together, </w:t>
      </w:r>
      <w:r w:rsidR="00640450">
        <w:rPr>
          <w:rFonts w:asciiTheme="minorHAnsi" w:hAnsiTheme="minorHAnsi"/>
        </w:rPr>
        <w:t xml:space="preserve">we </w:t>
      </w:r>
      <w:r w:rsidRPr="00093A29">
        <w:rPr>
          <w:rFonts w:asciiTheme="minorHAnsi" w:hAnsiTheme="minorHAnsi"/>
        </w:rPr>
        <w:t>consider</w:t>
      </w:r>
      <w:r w:rsidR="00FC4CE2">
        <w:rPr>
          <w:rFonts w:asciiTheme="minorHAnsi" w:hAnsiTheme="minorHAnsi"/>
        </w:rPr>
        <w:t>ed</w:t>
      </w:r>
      <w:r w:rsidRPr="00093A29">
        <w:rPr>
          <w:rFonts w:asciiTheme="minorHAnsi" w:hAnsiTheme="minorHAnsi"/>
        </w:rPr>
        <w:t xml:space="preserve"> the social-ecological conditions and spatial patterns throughout the city</w:t>
      </w:r>
      <w:r w:rsidR="00234FAE">
        <w:rPr>
          <w:rFonts w:asciiTheme="minorHAnsi" w:hAnsiTheme="minorHAnsi"/>
        </w:rPr>
        <w:t xml:space="preserve"> to determine if </w:t>
      </w:r>
      <w:r w:rsidR="00A8745B">
        <w:rPr>
          <w:rFonts w:asciiTheme="minorHAnsi" w:hAnsiTheme="minorHAnsi"/>
        </w:rPr>
        <w:t>the supply of UES</w:t>
      </w:r>
      <w:r w:rsidR="00234FAE">
        <w:rPr>
          <w:rFonts w:asciiTheme="minorHAnsi" w:hAnsiTheme="minorHAnsi"/>
        </w:rPr>
        <w:t xml:space="preserve"> is correlated with SES distribution</w:t>
      </w:r>
      <w:r w:rsidRPr="00093A29">
        <w:rPr>
          <w:rFonts w:asciiTheme="minorHAnsi" w:hAnsiTheme="minorHAnsi"/>
        </w:rPr>
        <w:t xml:space="preserve">. </w:t>
      </w:r>
      <w:r w:rsidR="00640450">
        <w:rPr>
          <w:rFonts w:asciiTheme="minorHAnsi" w:hAnsiTheme="minorHAnsi"/>
        </w:rPr>
        <w:t>We</w:t>
      </w:r>
      <w:r w:rsidR="00640450" w:rsidRPr="00093A29">
        <w:rPr>
          <w:rFonts w:asciiTheme="minorHAnsi" w:hAnsiTheme="minorHAnsi"/>
        </w:rPr>
        <w:t xml:space="preserve"> </w:t>
      </w:r>
      <w:r w:rsidRPr="00093A29">
        <w:rPr>
          <w:rFonts w:asciiTheme="minorHAnsi" w:hAnsiTheme="minorHAnsi"/>
        </w:rPr>
        <w:t xml:space="preserve">found that there </w:t>
      </w:r>
      <w:r w:rsidR="00234FAE">
        <w:rPr>
          <w:rFonts w:asciiTheme="minorHAnsi" w:hAnsiTheme="minorHAnsi"/>
        </w:rPr>
        <w:t>are</w:t>
      </w:r>
      <w:r w:rsidRPr="00093A29">
        <w:rPr>
          <w:rFonts w:asciiTheme="minorHAnsi" w:hAnsiTheme="minorHAnsi"/>
        </w:rPr>
        <w:t xml:space="preserve"> statistically significant </w:t>
      </w:r>
      <w:r w:rsidR="00234FAE">
        <w:rPr>
          <w:rFonts w:asciiTheme="minorHAnsi" w:hAnsiTheme="minorHAnsi"/>
        </w:rPr>
        <w:t xml:space="preserve">positive </w:t>
      </w:r>
      <w:r w:rsidRPr="00093A29">
        <w:rPr>
          <w:rFonts w:asciiTheme="minorHAnsi" w:hAnsiTheme="minorHAnsi"/>
        </w:rPr>
        <w:t>correlation</w:t>
      </w:r>
      <w:r w:rsidR="00234FAE">
        <w:rPr>
          <w:rFonts w:asciiTheme="minorHAnsi" w:hAnsiTheme="minorHAnsi"/>
        </w:rPr>
        <w:t>s</w:t>
      </w:r>
      <w:r w:rsidRPr="00093A29">
        <w:rPr>
          <w:rFonts w:asciiTheme="minorHAnsi" w:hAnsiTheme="minorHAnsi"/>
        </w:rPr>
        <w:t xml:space="preserve"> between the production of UES </w:t>
      </w:r>
      <w:r w:rsidR="005E146B">
        <w:rPr>
          <w:rFonts w:asciiTheme="minorHAnsi" w:hAnsiTheme="minorHAnsi"/>
        </w:rPr>
        <w:t xml:space="preserve">in block groups </w:t>
      </w:r>
      <w:r w:rsidR="00FB0AF3">
        <w:rPr>
          <w:rFonts w:asciiTheme="minorHAnsi" w:hAnsiTheme="minorHAnsi"/>
        </w:rPr>
        <w:t xml:space="preserve">and </w:t>
      </w:r>
      <w:r w:rsidR="00DA33A6">
        <w:rPr>
          <w:rFonts w:asciiTheme="minorHAnsi" w:hAnsiTheme="minorHAnsi"/>
        </w:rPr>
        <w:t xml:space="preserve">the </w:t>
      </w:r>
      <w:r w:rsidR="00FB0AF3">
        <w:rPr>
          <w:rFonts w:asciiTheme="minorHAnsi" w:hAnsiTheme="minorHAnsi"/>
        </w:rPr>
        <w:t>SES indicator</w:t>
      </w:r>
      <w:r w:rsidR="00DA33A6">
        <w:rPr>
          <w:rFonts w:asciiTheme="minorHAnsi" w:hAnsiTheme="minorHAnsi"/>
        </w:rPr>
        <w:t xml:space="preserve"> homeownership percentages, and negative correlations with the percentage of the population that is </w:t>
      </w:r>
      <w:r w:rsidR="00F92305">
        <w:rPr>
          <w:rFonts w:asciiTheme="minorHAnsi" w:hAnsiTheme="minorHAnsi"/>
        </w:rPr>
        <w:t>B</w:t>
      </w:r>
      <w:r w:rsidR="00DA33A6">
        <w:rPr>
          <w:rFonts w:asciiTheme="minorHAnsi" w:hAnsiTheme="minorHAnsi"/>
        </w:rPr>
        <w:t>lack</w:t>
      </w:r>
      <w:r w:rsidR="00F92305">
        <w:rPr>
          <w:rFonts w:asciiTheme="minorHAnsi" w:hAnsiTheme="minorHAnsi"/>
        </w:rPr>
        <w:t xml:space="preserve"> and </w:t>
      </w:r>
      <w:r w:rsidR="00A77AAC">
        <w:rPr>
          <w:rFonts w:asciiTheme="minorHAnsi" w:hAnsiTheme="minorHAnsi"/>
        </w:rPr>
        <w:t xml:space="preserve">lower </w:t>
      </w:r>
      <w:r w:rsidR="00F92305">
        <w:rPr>
          <w:rFonts w:asciiTheme="minorHAnsi" w:hAnsiTheme="minorHAnsi"/>
        </w:rPr>
        <w:t>HOLC grades.</w:t>
      </w:r>
      <w:r w:rsidRPr="00093A29">
        <w:rPr>
          <w:rFonts w:asciiTheme="minorHAnsi" w:hAnsiTheme="minorHAnsi"/>
        </w:rPr>
        <w:t xml:space="preserve"> Furthermore, clusters of block groups with significantly high level</w:t>
      </w:r>
      <w:r w:rsidR="00DA33A6">
        <w:rPr>
          <w:rFonts w:asciiTheme="minorHAnsi" w:hAnsiTheme="minorHAnsi"/>
        </w:rPr>
        <w:t>s</w:t>
      </w:r>
      <w:r w:rsidRPr="00093A29">
        <w:rPr>
          <w:rFonts w:asciiTheme="minorHAnsi" w:hAnsiTheme="minorHAnsi"/>
        </w:rPr>
        <w:t xml:space="preserve"> of social need for urban greening projects and a low production of UES were found primarily in the city’s downtown area and the neighborhoods directly </w:t>
      </w:r>
      <w:r>
        <w:rPr>
          <w:rFonts w:asciiTheme="minorHAnsi" w:hAnsiTheme="minorHAnsi"/>
        </w:rPr>
        <w:t>surrounding</w:t>
      </w:r>
      <w:r w:rsidRPr="00093A29">
        <w:rPr>
          <w:rFonts w:asciiTheme="minorHAnsi" w:hAnsiTheme="minorHAnsi"/>
        </w:rPr>
        <w:t xml:space="preserve"> it. </w:t>
      </w:r>
      <w:r w:rsidR="00B7746A">
        <w:rPr>
          <w:rFonts w:asciiTheme="minorHAnsi" w:hAnsiTheme="minorHAnsi"/>
        </w:rPr>
        <w:t>T</w:t>
      </w:r>
      <w:r w:rsidRPr="00093A29">
        <w:rPr>
          <w:rFonts w:asciiTheme="minorHAnsi" w:hAnsiTheme="minorHAnsi"/>
        </w:rPr>
        <w:t>his information provide</w:t>
      </w:r>
      <w:r w:rsidR="00234FAE">
        <w:rPr>
          <w:rFonts w:asciiTheme="minorHAnsi" w:hAnsiTheme="minorHAnsi"/>
        </w:rPr>
        <w:t>s</w:t>
      </w:r>
      <w:r w:rsidRPr="00093A29">
        <w:rPr>
          <w:rFonts w:asciiTheme="minorHAnsi" w:hAnsiTheme="minorHAnsi"/>
        </w:rPr>
        <w:t xml:space="preserve"> a useful framework for city planners and policy makers to </w:t>
      </w:r>
      <w:r w:rsidR="00FC4CE2">
        <w:rPr>
          <w:rFonts w:asciiTheme="minorHAnsi" w:hAnsiTheme="minorHAnsi"/>
        </w:rPr>
        <w:t xml:space="preserve">identify </w:t>
      </w:r>
      <w:r w:rsidRPr="00093A29">
        <w:rPr>
          <w:rFonts w:asciiTheme="minorHAnsi" w:hAnsiTheme="minorHAnsi"/>
        </w:rPr>
        <w:t xml:space="preserve">where UGS development needs to be prioritized as well </w:t>
      </w:r>
      <w:r w:rsidR="00234FAE">
        <w:rPr>
          <w:rFonts w:asciiTheme="minorHAnsi" w:hAnsiTheme="minorHAnsi"/>
        </w:rPr>
        <w:t>how the supply of UES in th</w:t>
      </w:r>
      <w:r w:rsidR="00A8745B">
        <w:rPr>
          <w:rFonts w:asciiTheme="minorHAnsi" w:hAnsiTheme="minorHAnsi"/>
        </w:rPr>
        <w:t xml:space="preserve">e </w:t>
      </w:r>
      <w:r w:rsidR="00234FAE">
        <w:rPr>
          <w:rFonts w:asciiTheme="minorHAnsi" w:hAnsiTheme="minorHAnsi"/>
        </w:rPr>
        <w:t xml:space="preserve">city is inequitably </w:t>
      </w:r>
      <w:r w:rsidR="00A8745B">
        <w:rPr>
          <w:rFonts w:asciiTheme="minorHAnsi" w:hAnsiTheme="minorHAnsi"/>
        </w:rPr>
        <w:t>distribute</w:t>
      </w:r>
      <w:r w:rsidR="00CD34F5">
        <w:rPr>
          <w:rFonts w:asciiTheme="minorHAnsi" w:hAnsiTheme="minorHAnsi"/>
        </w:rPr>
        <w:t>d.</w:t>
      </w:r>
    </w:p>
    <w:p w14:paraId="2FDED78A" w14:textId="77777777" w:rsidR="00CD34F5" w:rsidRDefault="00CD34F5" w:rsidP="00234FAE">
      <w:pPr>
        <w:spacing w:line="360" w:lineRule="auto"/>
        <w:ind w:firstLine="720"/>
        <w:rPr>
          <w:rFonts w:asciiTheme="minorHAnsi" w:hAnsiTheme="minorHAnsi"/>
        </w:rPr>
      </w:pPr>
    </w:p>
    <w:p w14:paraId="707B85E6" w14:textId="77777777" w:rsidR="00CD34F5" w:rsidRDefault="00CD34F5" w:rsidP="00234FAE">
      <w:pPr>
        <w:spacing w:line="360" w:lineRule="auto"/>
        <w:ind w:firstLine="720"/>
        <w:rPr>
          <w:rFonts w:asciiTheme="minorHAnsi" w:hAnsiTheme="minorHAnsi"/>
        </w:rPr>
      </w:pPr>
    </w:p>
    <w:p w14:paraId="426FC11F" w14:textId="77777777" w:rsidR="00CD34F5" w:rsidRDefault="00CD34F5" w:rsidP="00234FAE">
      <w:pPr>
        <w:spacing w:line="360" w:lineRule="auto"/>
        <w:ind w:firstLine="720"/>
        <w:rPr>
          <w:rFonts w:asciiTheme="minorHAnsi" w:hAnsiTheme="minorHAnsi"/>
        </w:rPr>
      </w:pPr>
    </w:p>
    <w:p w14:paraId="31791A87" w14:textId="77777777" w:rsidR="00CD34F5" w:rsidRDefault="00CD34F5" w:rsidP="00234FAE">
      <w:pPr>
        <w:spacing w:line="360" w:lineRule="auto"/>
        <w:ind w:firstLine="720"/>
        <w:rPr>
          <w:rFonts w:asciiTheme="minorHAnsi" w:hAnsiTheme="minorHAnsi"/>
        </w:rPr>
      </w:pPr>
    </w:p>
    <w:p w14:paraId="4AFC335D" w14:textId="0DFB7115" w:rsidR="00CD34F5" w:rsidRDefault="00CD34F5" w:rsidP="00CD34F5">
      <w:pPr>
        <w:spacing w:line="360" w:lineRule="auto"/>
        <w:rPr>
          <w:rFonts w:asciiTheme="minorHAnsi" w:hAnsiTheme="minorHAnsi"/>
        </w:rPr>
        <w:sectPr w:rsidR="00CD34F5" w:rsidSect="009842C5">
          <w:pgSz w:w="12240" w:h="15840"/>
          <w:pgMar w:top="1440" w:right="1440" w:bottom="1440" w:left="1440" w:header="720" w:footer="720" w:gutter="0"/>
          <w:pgNumType w:start="1"/>
          <w:cols w:space="720"/>
          <w:docGrid w:linePitch="326"/>
        </w:sectPr>
      </w:pPr>
    </w:p>
    <w:p w14:paraId="77476FAA" w14:textId="72629507" w:rsidR="008910BE" w:rsidRPr="008910BE" w:rsidRDefault="008910BE" w:rsidP="008910BE">
      <w:pPr>
        <w:tabs>
          <w:tab w:val="left" w:pos="670"/>
        </w:tabs>
        <w:rPr>
          <w:rFonts w:asciiTheme="minorHAnsi" w:hAnsiTheme="minorHAnsi"/>
        </w:rPr>
        <w:sectPr w:rsidR="008910BE" w:rsidRPr="008910BE" w:rsidSect="008910BE">
          <w:type w:val="continuous"/>
          <w:pgSz w:w="12240" w:h="15840"/>
          <w:pgMar w:top="1440" w:right="1440" w:bottom="1440" w:left="1440" w:header="720" w:footer="720" w:gutter="0"/>
          <w:lnNumType w:countBy="1" w:restart="continuous"/>
          <w:pgNumType w:start="1"/>
          <w:cols w:space="720"/>
          <w:docGrid w:linePitch="299"/>
        </w:sectPr>
      </w:pPr>
    </w:p>
    <w:p w14:paraId="58CB6245" w14:textId="007DE8EB" w:rsidR="00CD34F5" w:rsidRPr="00CD34F5" w:rsidRDefault="00CD34F5" w:rsidP="00CD34F5">
      <w:pPr>
        <w:rPr>
          <w:rFonts w:asciiTheme="minorHAnsi" w:hAnsiTheme="minorHAnsi"/>
        </w:rPr>
        <w:sectPr w:rsidR="00CD34F5" w:rsidRPr="00CD34F5" w:rsidSect="009842C5">
          <w:headerReference w:type="default" r:id="rId12"/>
          <w:pgSz w:w="12240" w:h="15840"/>
          <w:pgMar w:top="1440" w:right="1440" w:bottom="1440" w:left="1440" w:header="720" w:footer="720" w:gutter="0"/>
          <w:lnNumType w:countBy="1" w:restart="continuous"/>
          <w:cols w:space="720"/>
          <w:docGrid w:linePitch="299"/>
        </w:sectPr>
      </w:pPr>
    </w:p>
    <w:p w14:paraId="26455DDA" w14:textId="7EE76ABE" w:rsidR="004060CE" w:rsidRPr="005A3178" w:rsidRDefault="00450292" w:rsidP="005A3178">
      <w:pPr>
        <w:pStyle w:val="ListParagraph"/>
        <w:numPr>
          <w:ilvl w:val="0"/>
          <w:numId w:val="36"/>
        </w:numPr>
        <w:spacing w:line="360" w:lineRule="auto"/>
        <w:rPr>
          <w:b/>
          <w:i/>
          <w:iCs/>
        </w:rPr>
      </w:pPr>
      <w:r w:rsidRPr="005A3178">
        <w:rPr>
          <w:b/>
          <w:i/>
          <w:iCs/>
        </w:rPr>
        <w:t>Introduction</w:t>
      </w:r>
    </w:p>
    <w:p w14:paraId="35865E96" w14:textId="77777777" w:rsidR="005A3178" w:rsidRPr="005A3178" w:rsidRDefault="005A3178" w:rsidP="005A3178">
      <w:pPr>
        <w:pStyle w:val="ListParagraph"/>
        <w:spacing w:line="360" w:lineRule="auto"/>
        <w:ind w:left="380"/>
        <w:rPr>
          <w:b/>
          <w:i/>
          <w:iCs/>
        </w:rPr>
      </w:pPr>
    </w:p>
    <w:p w14:paraId="631DFEF1" w14:textId="77777777" w:rsidR="006E1560" w:rsidRDefault="00DC5A3F" w:rsidP="006E1560">
      <w:pPr>
        <w:spacing w:line="360" w:lineRule="auto"/>
        <w:ind w:firstLine="720"/>
        <w:rPr>
          <w:rFonts w:asciiTheme="minorHAnsi" w:hAnsiTheme="minorHAnsi"/>
        </w:rPr>
      </w:pPr>
      <w:r w:rsidRPr="004060CE">
        <w:rPr>
          <w:rFonts w:asciiTheme="minorHAnsi" w:hAnsiTheme="minorHAnsi"/>
          <w:bCs/>
        </w:rPr>
        <w:t>Urbanization is increasing globally</w:t>
      </w:r>
      <w:r w:rsidR="00F90B2E">
        <w:rPr>
          <w:rFonts w:asciiTheme="minorHAnsi" w:hAnsiTheme="minorHAnsi"/>
          <w:bCs/>
        </w:rPr>
        <w:t>.</w:t>
      </w:r>
      <w:r w:rsidRPr="004060CE">
        <w:rPr>
          <w:rFonts w:asciiTheme="minorHAnsi" w:hAnsiTheme="minorHAnsi"/>
          <w:bCs/>
        </w:rPr>
        <w:t xml:space="preserve"> </w:t>
      </w:r>
      <w:r w:rsidR="00F90B2E">
        <w:rPr>
          <w:rFonts w:asciiTheme="minorHAnsi" w:hAnsiTheme="minorHAnsi"/>
          <w:bCs/>
        </w:rPr>
        <w:t>A</w:t>
      </w:r>
      <w:r w:rsidRPr="004060CE">
        <w:rPr>
          <w:rFonts w:asciiTheme="minorHAnsi" w:hAnsiTheme="minorHAnsi"/>
          <w:bCs/>
        </w:rPr>
        <w:t>s of 2018</w:t>
      </w:r>
      <w:r w:rsidR="00992747" w:rsidRPr="004060CE">
        <w:rPr>
          <w:rFonts w:asciiTheme="minorHAnsi" w:hAnsiTheme="minorHAnsi"/>
          <w:bCs/>
        </w:rPr>
        <w:t>,</w:t>
      </w:r>
      <w:r w:rsidRPr="004060CE">
        <w:rPr>
          <w:rFonts w:asciiTheme="minorHAnsi" w:hAnsiTheme="minorHAnsi"/>
          <w:bCs/>
        </w:rPr>
        <w:t xml:space="preserve"> 55.3% of the world’s population lives in cities, and that percentage is expected to increase to over 68% by the</w:t>
      </w:r>
      <w:r w:rsidR="004511F8" w:rsidRPr="004060CE">
        <w:rPr>
          <w:rFonts w:asciiTheme="minorHAnsi" w:hAnsiTheme="minorHAnsi"/>
          <w:bCs/>
        </w:rPr>
        <w:t xml:space="preserve"> year</w:t>
      </w:r>
      <w:r w:rsidRPr="004060CE">
        <w:rPr>
          <w:rFonts w:asciiTheme="minorHAnsi" w:hAnsiTheme="minorHAnsi"/>
          <w:bCs/>
        </w:rPr>
        <w:t xml:space="preserve"> 2050 (United Nations, 2019). </w:t>
      </w:r>
      <w:r w:rsidR="00A6059E" w:rsidRPr="004060CE">
        <w:rPr>
          <w:rFonts w:asciiTheme="minorHAnsi" w:eastAsiaTheme="minorHAnsi" w:hAnsiTheme="minorHAnsi" w:cstheme="minorBidi"/>
          <w:bCs/>
        </w:rPr>
        <w:t>To</w:t>
      </w:r>
      <w:r w:rsidR="004511F8" w:rsidRPr="004060CE">
        <w:rPr>
          <w:rFonts w:asciiTheme="minorHAnsi" w:eastAsiaTheme="minorHAnsi" w:hAnsiTheme="minorHAnsi" w:cstheme="minorBidi"/>
          <w:bCs/>
        </w:rPr>
        <w:t xml:space="preserve"> support the growing urban population and </w:t>
      </w:r>
      <w:r w:rsidR="00A43254" w:rsidRPr="004060CE">
        <w:rPr>
          <w:rFonts w:asciiTheme="minorHAnsi" w:eastAsiaTheme="minorHAnsi" w:hAnsiTheme="minorHAnsi" w:cstheme="minorBidi"/>
          <w:bCs/>
        </w:rPr>
        <w:t xml:space="preserve">to </w:t>
      </w:r>
      <w:r w:rsidR="004511F8" w:rsidRPr="004060CE">
        <w:rPr>
          <w:rFonts w:asciiTheme="minorHAnsi" w:eastAsiaTheme="minorHAnsi" w:hAnsiTheme="minorHAnsi" w:cstheme="minorBidi"/>
          <w:bCs/>
        </w:rPr>
        <w:t xml:space="preserve">mitigate the effects of our amassing built-environment, city planners have begun implementing the </w:t>
      </w:r>
      <w:r w:rsidR="00E06D3E" w:rsidRPr="004060CE">
        <w:rPr>
          <w:rFonts w:asciiTheme="minorHAnsi" w:eastAsiaTheme="minorHAnsi" w:hAnsiTheme="minorHAnsi" w:cstheme="minorBidi"/>
          <w:bCs/>
        </w:rPr>
        <w:t>development</w:t>
      </w:r>
      <w:r w:rsidR="004511F8" w:rsidRPr="004060CE">
        <w:rPr>
          <w:rFonts w:asciiTheme="minorHAnsi" w:eastAsiaTheme="minorHAnsi" w:hAnsiTheme="minorHAnsi" w:cstheme="minorBidi"/>
          <w:bCs/>
        </w:rPr>
        <w:t xml:space="preserve"> of urban green spaces (UGS) to improve the sustainability of cities and the quality of life for residents through ecosystem services (</w:t>
      </w:r>
      <w:r w:rsidR="004511F8" w:rsidRPr="004060CE">
        <w:rPr>
          <w:rFonts w:asciiTheme="minorHAnsi" w:hAnsiTheme="minorHAnsi"/>
        </w:rPr>
        <w:t>Gómez-Baggethun and Barton, 2013; McPhearson et al., 2015; Jennings et al., 201</w:t>
      </w:r>
      <w:r w:rsidR="00224C02">
        <w:rPr>
          <w:rFonts w:asciiTheme="minorHAnsi" w:hAnsiTheme="minorHAnsi"/>
        </w:rPr>
        <w:t>6</w:t>
      </w:r>
      <w:r w:rsidR="004511F8" w:rsidRPr="004060CE">
        <w:rPr>
          <w:rFonts w:asciiTheme="minorHAnsi" w:hAnsiTheme="minorHAnsi"/>
        </w:rPr>
        <w:t>).</w:t>
      </w:r>
    </w:p>
    <w:p w14:paraId="5BDE3B5D" w14:textId="50302C3D" w:rsidR="004060CE" w:rsidRPr="004060CE" w:rsidRDefault="00A43254" w:rsidP="006E1560">
      <w:pPr>
        <w:spacing w:line="360" w:lineRule="auto"/>
        <w:ind w:firstLine="720"/>
        <w:rPr>
          <w:rFonts w:asciiTheme="minorHAnsi" w:hAnsiTheme="minorHAnsi"/>
        </w:rPr>
      </w:pPr>
      <w:r w:rsidRPr="004060CE">
        <w:rPr>
          <w:rFonts w:asciiTheme="minorHAnsi" w:hAnsiTheme="minorHAnsi"/>
        </w:rPr>
        <w:t xml:space="preserve">Ecosystem services are categorized as the monetary and health benefits </w:t>
      </w:r>
      <w:r w:rsidR="00992747" w:rsidRPr="004060CE">
        <w:rPr>
          <w:rFonts w:asciiTheme="minorHAnsi" w:hAnsiTheme="minorHAnsi"/>
        </w:rPr>
        <w:t xml:space="preserve">that </w:t>
      </w:r>
      <w:r w:rsidRPr="004060CE">
        <w:rPr>
          <w:rFonts w:asciiTheme="minorHAnsi" w:hAnsiTheme="minorHAnsi"/>
        </w:rPr>
        <w:t>humans freely gain from the environment</w:t>
      </w:r>
      <w:r w:rsidR="002B5CD8">
        <w:rPr>
          <w:rFonts w:asciiTheme="minorHAnsi" w:hAnsiTheme="minorHAnsi"/>
        </w:rPr>
        <w:t>; some examples include climate and water regulation, air pollution reduction, habitat provision, and cultural services</w:t>
      </w:r>
      <w:r w:rsidRPr="004060CE">
        <w:rPr>
          <w:rFonts w:asciiTheme="minorHAnsi" w:hAnsiTheme="minorHAnsi"/>
        </w:rPr>
        <w:t xml:space="preserve"> (Elmqvist et al., 201</w:t>
      </w:r>
      <w:r w:rsidR="00F40926">
        <w:rPr>
          <w:rFonts w:asciiTheme="minorHAnsi" w:hAnsiTheme="minorHAnsi"/>
        </w:rPr>
        <w:t>5</w:t>
      </w:r>
      <w:r w:rsidRPr="004060CE">
        <w:rPr>
          <w:rFonts w:asciiTheme="minorHAnsi" w:hAnsiTheme="minorHAnsi"/>
        </w:rPr>
        <w:t xml:space="preserve">). </w:t>
      </w:r>
      <w:r w:rsidR="00E06D3E" w:rsidRPr="004060CE">
        <w:rPr>
          <w:rFonts w:asciiTheme="minorHAnsi" w:hAnsiTheme="minorHAnsi"/>
        </w:rPr>
        <w:t xml:space="preserve">In cities, </w:t>
      </w:r>
      <w:r w:rsidR="00992747" w:rsidRPr="004060CE">
        <w:rPr>
          <w:rFonts w:asciiTheme="minorHAnsi" w:hAnsiTheme="minorHAnsi"/>
        </w:rPr>
        <w:t>u</w:t>
      </w:r>
      <w:r w:rsidRPr="004060CE">
        <w:rPr>
          <w:rFonts w:asciiTheme="minorHAnsi" w:hAnsiTheme="minorHAnsi"/>
        </w:rPr>
        <w:t xml:space="preserve">rban ecosystem services (UES) are primarily provided by UGS such as street trees, urban forests, and parks. </w:t>
      </w:r>
      <w:r w:rsidR="000C6B51" w:rsidRPr="004060CE">
        <w:rPr>
          <w:rFonts w:asciiTheme="minorHAnsi" w:hAnsiTheme="minorHAnsi"/>
        </w:rPr>
        <w:t xml:space="preserve">Given the increase in global urbanization and </w:t>
      </w:r>
      <w:r w:rsidR="004060CE" w:rsidRPr="004060CE">
        <w:rPr>
          <w:rFonts w:asciiTheme="minorHAnsi" w:hAnsiTheme="minorHAnsi"/>
        </w:rPr>
        <w:t xml:space="preserve">the </w:t>
      </w:r>
      <w:r w:rsidR="00992747" w:rsidRPr="004060CE">
        <w:rPr>
          <w:rFonts w:asciiTheme="minorHAnsi" w:hAnsiTheme="minorHAnsi"/>
        </w:rPr>
        <w:t xml:space="preserve">anticipated impact of </w:t>
      </w:r>
      <w:r w:rsidR="000C6B51" w:rsidRPr="004060CE">
        <w:rPr>
          <w:rFonts w:asciiTheme="minorHAnsi" w:hAnsiTheme="minorHAnsi"/>
        </w:rPr>
        <w:t xml:space="preserve">climate change </w:t>
      </w:r>
      <w:r w:rsidR="004060CE" w:rsidRPr="004060CE">
        <w:rPr>
          <w:rFonts w:asciiTheme="minorHAnsi" w:hAnsiTheme="minorHAnsi"/>
        </w:rPr>
        <w:t>on socioeconomically vulnerable populations</w:t>
      </w:r>
      <w:r w:rsidR="00992747" w:rsidRPr="004060CE">
        <w:rPr>
          <w:rFonts w:asciiTheme="minorHAnsi" w:hAnsiTheme="minorHAnsi"/>
        </w:rPr>
        <w:t xml:space="preserve"> </w:t>
      </w:r>
      <w:r w:rsidR="000C6B51" w:rsidRPr="004060CE">
        <w:rPr>
          <w:rFonts w:asciiTheme="minorHAnsi" w:hAnsiTheme="minorHAnsi"/>
        </w:rPr>
        <w:t xml:space="preserve">(IPCC, 2014; </w:t>
      </w:r>
      <w:r w:rsidR="00DE103C" w:rsidRPr="004060CE">
        <w:rPr>
          <w:rFonts w:asciiTheme="minorHAnsi" w:hAnsiTheme="minorHAnsi"/>
        </w:rPr>
        <w:t xml:space="preserve">Lynn et al., 2011), </w:t>
      </w:r>
      <w:r w:rsidR="006D53A8" w:rsidRPr="004060CE">
        <w:rPr>
          <w:rFonts w:asciiTheme="minorHAnsi" w:hAnsiTheme="minorHAnsi"/>
        </w:rPr>
        <w:t xml:space="preserve">an important link for increasing urban sustainability and climate change resiliency is the social-ecological relationship between humans </w:t>
      </w:r>
      <w:r w:rsidR="000C4ED8">
        <w:rPr>
          <w:rFonts w:asciiTheme="minorHAnsi" w:hAnsiTheme="minorHAnsi"/>
        </w:rPr>
        <w:t xml:space="preserve">and </w:t>
      </w:r>
      <w:r w:rsidR="006D53A8" w:rsidRPr="004060CE">
        <w:rPr>
          <w:rFonts w:asciiTheme="minorHAnsi" w:hAnsiTheme="minorHAnsi"/>
        </w:rPr>
        <w:t>the</w:t>
      </w:r>
      <w:r w:rsidR="000C4ED8">
        <w:rPr>
          <w:rFonts w:asciiTheme="minorHAnsi" w:hAnsiTheme="minorHAnsi"/>
        </w:rPr>
        <w:t xml:space="preserve"> UES provided by the</w:t>
      </w:r>
      <w:r w:rsidR="006D53A8" w:rsidRPr="004060CE">
        <w:rPr>
          <w:rFonts w:asciiTheme="minorHAnsi" w:hAnsiTheme="minorHAnsi"/>
        </w:rPr>
        <w:t xml:space="preserve"> urban ecosystems</w:t>
      </w:r>
      <w:r w:rsidR="009001D7">
        <w:rPr>
          <w:rFonts w:asciiTheme="minorHAnsi" w:hAnsiTheme="minorHAnsi"/>
        </w:rPr>
        <w:t xml:space="preserve"> </w:t>
      </w:r>
      <w:r w:rsidR="006D53A8" w:rsidRPr="004060CE">
        <w:rPr>
          <w:rFonts w:asciiTheme="minorHAnsi" w:hAnsiTheme="minorHAnsi"/>
        </w:rPr>
        <w:t>t</w:t>
      </w:r>
      <w:r w:rsidR="000C4ED8">
        <w:rPr>
          <w:rFonts w:asciiTheme="minorHAnsi" w:hAnsiTheme="minorHAnsi"/>
        </w:rPr>
        <w:t>hat t</w:t>
      </w:r>
      <w:r w:rsidR="006D53A8" w:rsidRPr="004060CE">
        <w:rPr>
          <w:rFonts w:asciiTheme="minorHAnsi" w:hAnsiTheme="minorHAnsi"/>
        </w:rPr>
        <w:t xml:space="preserve">he majority of people </w:t>
      </w:r>
      <w:r w:rsidR="004060CE" w:rsidRPr="004060CE">
        <w:rPr>
          <w:rFonts w:asciiTheme="minorHAnsi" w:hAnsiTheme="minorHAnsi"/>
        </w:rPr>
        <w:t xml:space="preserve">now live in </w:t>
      </w:r>
      <w:r w:rsidR="006D53A8" w:rsidRPr="004060CE">
        <w:rPr>
          <w:rFonts w:asciiTheme="minorHAnsi" w:hAnsiTheme="minorHAnsi"/>
        </w:rPr>
        <w:t>(Folke</w:t>
      </w:r>
      <w:r w:rsidR="00660BD2" w:rsidRPr="004060CE">
        <w:rPr>
          <w:rFonts w:asciiTheme="minorHAnsi" w:hAnsiTheme="minorHAnsi"/>
        </w:rPr>
        <w:t xml:space="preserve">, 2006; Pickett and Grove, 2009). </w:t>
      </w:r>
      <w:r w:rsidR="009F0457" w:rsidRPr="004060CE">
        <w:rPr>
          <w:rFonts w:asciiTheme="minorHAnsi" w:hAnsiTheme="minorHAnsi"/>
        </w:rPr>
        <w:t xml:space="preserve">       </w:t>
      </w:r>
    </w:p>
    <w:p w14:paraId="6B75A26F" w14:textId="4F7E4885" w:rsidR="00BF78D1" w:rsidRPr="00FC4CE2" w:rsidRDefault="004060CE" w:rsidP="0038185F">
      <w:pPr>
        <w:pStyle w:val="NoSpacing"/>
        <w:spacing w:line="360" w:lineRule="auto"/>
        <w:rPr>
          <w:rFonts w:asciiTheme="minorHAnsi" w:hAnsiTheme="minorHAnsi"/>
          <w:sz w:val="24"/>
          <w:szCs w:val="24"/>
        </w:rPr>
      </w:pPr>
      <w:r>
        <w:tab/>
      </w:r>
      <w:r w:rsidR="00A8745B">
        <w:rPr>
          <w:rFonts w:asciiTheme="minorHAnsi" w:hAnsiTheme="minorHAnsi"/>
          <w:sz w:val="24"/>
          <w:szCs w:val="24"/>
        </w:rPr>
        <w:t>When analyzing the social-ecological relationship, a useful way to do so is through the ecosystem services approach. T</w:t>
      </w:r>
      <w:r w:rsidR="006C5D87" w:rsidRPr="006C5D87">
        <w:rPr>
          <w:rFonts w:asciiTheme="minorHAnsi" w:hAnsiTheme="minorHAnsi"/>
          <w:sz w:val="24"/>
          <w:szCs w:val="24"/>
        </w:rPr>
        <w:t xml:space="preserve">he ecosystem services approach provides a useful framework for assessing current provisions, </w:t>
      </w:r>
      <w:r w:rsidR="00D9703A">
        <w:rPr>
          <w:rFonts w:asciiTheme="minorHAnsi" w:hAnsiTheme="minorHAnsi"/>
          <w:sz w:val="24"/>
          <w:szCs w:val="24"/>
        </w:rPr>
        <w:t xml:space="preserve">identifying shortfalls, </w:t>
      </w:r>
      <w:r w:rsidR="009001D7">
        <w:rPr>
          <w:rFonts w:asciiTheme="minorHAnsi" w:hAnsiTheme="minorHAnsi"/>
          <w:sz w:val="24"/>
          <w:szCs w:val="24"/>
        </w:rPr>
        <w:t xml:space="preserve">and </w:t>
      </w:r>
      <w:r w:rsidR="00D9703A">
        <w:rPr>
          <w:rFonts w:asciiTheme="minorHAnsi" w:hAnsiTheme="minorHAnsi"/>
          <w:sz w:val="24"/>
          <w:szCs w:val="24"/>
        </w:rPr>
        <w:t>setting goals</w:t>
      </w:r>
      <w:r w:rsidR="009001D7">
        <w:rPr>
          <w:rFonts w:asciiTheme="minorHAnsi" w:hAnsiTheme="minorHAnsi"/>
          <w:sz w:val="24"/>
          <w:szCs w:val="24"/>
        </w:rPr>
        <w:t xml:space="preserve"> (Daily et al., 2009).</w:t>
      </w:r>
      <w:r w:rsidR="00D9703A">
        <w:rPr>
          <w:rFonts w:asciiTheme="minorHAnsi" w:hAnsiTheme="minorHAnsi"/>
          <w:sz w:val="24"/>
          <w:szCs w:val="24"/>
        </w:rPr>
        <w:t xml:space="preserve"> </w:t>
      </w:r>
      <w:r w:rsidR="009001D7">
        <w:rPr>
          <w:rFonts w:asciiTheme="minorHAnsi" w:hAnsiTheme="minorHAnsi"/>
          <w:sz w:val="24"/>
          <w:szCs w:val="24"/>
        </w:rPr>
        <w:t>Furthermore,</w:t>
      </w:r>
      <w:r w:rsidR="00D9703A">
        <w:rPr>
          <w:rFonts w:asciiTheme="minorHAnsi" w:hAnsiTheme="minorHAnsi"/>
          <w:sz w:val="24"/>
          <w:szCs w:val="24"/>
        </w:rPr>
        <w:t xml:space="preserve"> integrating services into plans and policies</w:t>
      </w:r>
      <w:r w:rsidR="00FC4CE2">
        <w:rPr>
          <w:rFonts w:asciiTheme="minorHAnsi" w:hAnsiTheme="minorHAnsi"/>
          <w:sz w:val="24"/>
          <w:szCs w:val="24"/>
        </w:rPr>
        <w:t xml:space="preserve"> </w:t>
      </w:r>
      <w:r w:rsidR="00D9703A">
        <w:rPr>
          <w:rFonts w:asciiTheme="minorHAnsi" w:hAnsiTheme="minorHAnsi"/>
          <w:sz w:val="24"/>
          <w:szCs w:val="24"/>
        </w:rPr>
        <w:t xml:space="preserve">will facilitate long-term management </w:t>
      </w:r>
      <w:r w:rsidR="009001D7">
        <w:rPr>
          <w:rFonts w:asciiTheme="minorHAnsi" w:hAnsiTheme="minorHAnsi"/>
          <w:sz w:val="24"/>
          <w:szCs w:val="24"/>
        </w:rPr>
        <w:t xml:space="preserve">of the UGS that provide these services </w:t>
      </w:r>
      <w:r w:rsidR="00D9703A">
        <w:rPr>
          <w:rFonts w:asciiTheme="minorHAnsi" w:hAnsiTheme="minorHAnsi"/>
          <w:sz w:val="24"/>
          <w:szCs w:val="24"/>
        </w:rPr>
        <w:t xml:space="preserve">and </w:t>
      </w:r>
      <w:r w:rsidR="009001D7">
        <w:rPr>
          <w:rFonts w:asciiTheme="minorHAnsi" w:hAnsiTheme="minorHAnsi"/>
          <w:sz w:val="24"/>
          <w:szCs w:val="24"/>
        </w:rPr>
        <w:t xml:space="preserve">assist in the </w:t>
      </w:r>
      <w:r w:rsidR="004D226F">
        <w:rPr>
          <w:rFonts w:asciiTheme="minorHAnsi" w:hAnsiTheme="minorHAnsi"/>
          <w:sz w:val="24"/>
          <w:szCs w:val="24"/>
        </w:rPr>
        <w:t>prioritiz</w:t>
      </w:r>
      <w:r w:rsidR="009001D7">
        <w:rPr>
          <w:rFonts w:asciiTheme="minorHAnsi" w:hAnsiTheme="minorHAnsi"/>
          <w:sz w:val="24"/>
          <w:szCs w:val="24"/>
        </w:rPr>
        <w:t>ation</w:t>
      </w:r>
      <w:r w:rsidR="00D9703A">
        <w:rPr>
          <w:rFonts w:asciiTheme="minorHAnsi" w:hAnsiTheme="minorHAnsi"/>
          <w:sz w:val="24"/>
          <w:szCs w:val="24"/>
        </w:rPr>
        <w:t xml:space="preserve"> </w:t>
      </w:r>
      <w:r w:rsidR="009001D7">
        <w:rPr>
          <w:rFonts w:asciiTheme="minorHAnsi" w:hAnsiTheme="minorHAnsi"/>
          <w:sz w:val="24"/>
          <w:szCs w:val="24"/>
        </w:rPr>
        <w:t xml:space="preserve">of UGS </w:t>
      </w:r>
      <w:r w:rsidR="00D9703A">
        <w:rPr>
          <w:rFonts w:asciiTheme="minorHAnsi" w:hAnsiTheme="minorHAnsi"/>
          <w:sz w:val="24"/>
          <w:szCs w:val="24"/>
        </w:rPr>
        <w:t>developments that will enhance ecological functions for all urban communities (Daily</w:t>
      </w:r>
      <w:r w:rsidR="004B24E2">
        <w:rPr>
          <w:rFonts w:asciiTheme="minorHAnsi" w:hAnsiTheme="minorHAnsi"/>
          <w:sz w:val="24"/>
          <w:szCs w:val="24"/>
        </w:rPr>
        <w:t xml:space="preserve"> et al.</w:t>
      </w:r>
      <w:r w:rsidR="00D9703A">
        <w:rPr>
          <w:rFonts w:asciiTheme="minorHAnsi" w:hAnsiTheme="minorHAnsi"/>
          <w:sz w:val="24"/>
          <w:szCs w:val="24"/>
        </w:rPr>
        <w:t xml:space="preserve">, 2009; Haase et al., 2014). </w:t>
      </w:r>
      <w:r w:rsidR="00C02FAD">
        <w:rPr>
          <w:rFonts w:asciiTheme="minorHAnsi" w:hAnsiTheme="minorHAnsi"/>
          <w:sz w:val="24"/>
          <w:szCs w:val="24"/>
        </w:rPr>
        <w:t xml:space="preserve">In particular, spatial analysis tools have been used to </w:t>
      </w:r>
      <w:r w:rsidR="008346FA">
        <w:rPr>
          <w:rFonts w:asciiTheme="minorHAnsi" w:hAnsiTheme="minorHAnsi"/>
          <w:sz w:val="24"/>
          <w:szCs w:val="24"/>
        </w:rPr>
        <w:t xml:space="preserve">quantify and </w:t>
      </w:r>
      <w:r w:rsidR="00C02FAD">
        <w:rPr>
          <w:rFonts w:asciiTheme="minorHAnsi" w:hAnsiTheme="minorHAnsi"/>
          <w:sz w:val="24"/>
          <w:szCs w:val="24"/>
        </w:rPr>
        <w:t xml:space="preserve">map how UES supply can vary across fragmented environments such as cities (Haas and Ban, 2018). </w:t>
      </w:r>
      <w:r w:rsidR="003166EE">
        <w:rPr>
          <w:rFonts w:asciiTheme="minorHAnsi" w:hAnsiTheme="minorHAnsi"/>
          <w:sz w:val="24"/>
          <w:szCs w:val="24"/>
        </w:rPr>
        <w:t>Previous studies</w:t>
      </w:r>
      <w:r w:rsidR="008346FA">
        <w:rPr>
          <w:rFonts w:asciiTheme="minorHAnsi" w:hAnsiTheme="minorHAnsi"/>
          <w:sz w:val="24"/>
          <w:szCs w:val="24"/>
        </w:rPr>
        <w:t xml:space="preserve"> have demonstrated that there </w:t>
      </w:r>
      <w:r w:rsidR="00CC364B">
        <w:rPr>
          <w:rFonts w:asciiTheme="minorHAnsi" w:hAnsiTheme="minorHAnsi"/>
          <w:sz w:val="24"/>
          <w:szCs w:val="24"/>
        </w:rPr>
        <w:t>is an</w:t>
      </w:r>
      <w:r w:rsidR="008346FA">
        <w:rPr>
          <w:rFonts w:asciiTheme="minorHAnsi" w:hAnsiTheme="minorHAnsi"/>
          <w:sz w:val="24"/>
          <w:szCs w:val="24"/>
        </w:rPr>
        <w:t xml:space="preserve"> </w:t>
      </w:r>
      <w:r w:rsidR="009D3F03">
        <w:rPr>
          <w:rFonts w:asciiTheme="minorHAnsi" w:hAnsiTheme="minorHAnsi"/>
          <w:sz w:val="24"/>
          <w:szCs w:val="24"/>
        </w:rPr>
        <w:t>i</w:t>
      </w:r>
      <w:r w:rsidR="008346FA">
        <w:rPr>
          <w:rFonts w:asciiTheme="minorHAnsi" w:hAnsiTheme="minorHAnsi"/>
          <w:sz w:val="24"/>
          <w:szCs w:val="24"/>
        </w:rPr>
        <w:t xml:space="preserve">nequitable distribution </w:t>
      </w:r>
      <w:r w:rsidR="00CC364B">
        <w:rPr>
          <w:rFonts w:asciiTheme="minorHAnsi" w:hAnsiTheme="minorHAnsi"/>
          <w:sz w:val="24"/>
          <w:szCs w:val="24"/>
        </w:rPr>
        <w:t>of</w:t>
      </w:r>
      <w:r w:rsidR="008346FA">
        <w:rPr>
          <w:rFonts w:asciiTheme="minorHAnsi" w:hAnsiTheme="minorHAnsi"/>
          <w:sz w:val="24"/>
          <w:szCs w:val="24"/>
        </w:rPr>
        <w:t xml:space="preserve"> UGS in cities based on various socioeconomic status </w:t>
      </w:r>
      <w:r w:rsidR="0081733E">
        <w:rPr>
          <w:rFonts w:asciiTheme="minorHAnsi" w:hAnsiTheme="minorHAnsi"/>
          <w:sz w:val="24"/>
          <w:szCs w:val="24"/>
        </w:rPr>
        <w:t xml:space="preserve">(SES) </w:t>
      </w:r>
      <w:r w:rsidR="008346FA">
        <w:rPr>
          <w:rFonts w:asciiTheme="minorHAnsi" w:hAnsiTheme="minorHAnsi"/>
          <w:sz w:val="24"/>
          <w:szCs w:val="24"/>
        </w:rPr>
        <w:t xml:space="preserve">indicators (Lockwood and Berland, 2019; </w:t>
      </w:r>
      <w:r w:rsidR="00CC364B">
        <w:rPr>
          <w:rFonts w:asciiTheme="minorHAnsi" w:hAnsiTheme="minorHAnsi"/>
          <w:sz w:val="24"/>
          <w:szCs w:val="24"/>
        </w:rPr>
        <w:t xml:space="preserve">Pham et al, 2012; Rigolon et al., 2018). However, there has </w:t>
      </w:r>
      <w:r w:rsidR="00CC364B">
        <w:rPr>
          <w:rFonts w:asciiTheme="minorHAnsi" w:hAnsiTheme="minorHAnsi"/>
          <w:sz w:val="24"/>
          <w:szCs w:val="24"/>
        </w:rPr>
        <w:lastRenderedPageBreak/>
        <w:t xml:space="preserve">been little research that has similarly examined if the same inequities are true for UES distribution. </w:t>
      </w:r>
      <w:r w:rsidR="00FC4CE2">
        <w:rPr>
          <w:rFonts w:asciiTheme="minorHAnsi" w:hAnsiTheme="minorHAnsi"/>
          <w:sz w:val="24"/>
          <w:szCs w:val="24"/>
        </w:rPr>
        <w:t>I</w:t>
      </w:r>
      <w:r w:rsidR="00CC364B">
        <w:rPr>
          <w:rFonts w:asciiTheme="minorHAnsi" w:hAnsiTheme="minorHAnsi"/>
          <w:sz w:val="24"/>
          <w:szCs w:val="24"/>
        </w:rPr>
        <w:t xml:space="preserve">nvestigating the associations between neighborhood </w:t>
      </w:r>
      <w:r w:rsidR="0081733E">
        <w:rPr>
          <w:rFonts w:asciiTheme="minorHAnsi" w:hAnsiTheme="minorHAnsi"/>
          <w:sz w:val="24"/>
          <w:szCs w:val="24"/>
        </w:rPr>
        <w:t>SES</w:t>
      </w:r>
      <w:r w:rsidR="00CC364B">
        <w:rPr>
          <w:rFonts w:asciiTheme="minorHAnsi" w:hAnsiTheme="minorHAnsi"/>
          <w:sz w:val="24"/>
          <w:szCs w:val="24"/>
        </w:rPr>
        <w:t xml:space="preserve"> and the distribution of UES supply</w:t>
      </w:r>
      <w:r w:rsidR="00FC4CE2">
        <w:rPr>
          <w:rFonts w:asciiTheme="minorHAnsi" w:hAnsiTheme="minorHAnsi"/>
          <w:sz w:val="24"/>
          <w:szCs w:val="24"/>
        </w:rPr>
        <w:t xml:space="preserve"> provides </w:t>
      </w:r>
      <w:r w:rsidR="00CC364B">
        <w:rPr>
          <w:rFonts w:asciiTheme="minorHAnsi" w:hAnsiTheme="minorHAnsi"/>
          <w:sz w:val="24"/>
          <w:szCs w:val="24"/>
        </w:rPr>
        <w:t xml:space="preserve">a useful framework to identify areas with the greatest need </w:t>
      </w:r>
      <w:r w:rsidR="00FD6DAC">
        <w:rPr>
          <w:rFonts w:asciiTheme="minorHAnsi" w:hAnsiTheme="minorHAnsi"/>
          <w:sz w:val="24"/>
          <w:szCs w:val="24"/>
        </w:rPr>
        <w:t xml:space="preserve">for UGS development and </w:t>
      </w:r>
      <w:r w:rsidR="004D226F">
        <w:rPr>
          <w:rFonts w:asciiTheme="minorHAnsi" w:hAnsiTheme="minorHAnsi"/>
          <w:sz w:val="24"/>
          <w:szCs w:val="24"/>
        </w:rPr>
        <w:t>to prioritize t</w:t>
      </w:r>
      <w:r w:rsidR="00FD6DAC">
        <w:rPr>
          <w:rFonts w:asciiTheme="minorHAnsi" w:hAnsiTheme="minorHAnsi"/>
          <w:sz w:val="24"/>
          <w:szCs w:val="24"/>
        </w:rPr>
        <w:t>ype</w:t>
      </w:r>
      <w:r w:rsidR="00FC4CE2">
        <w:rPr>
          <w:rFonts w:asciiTheme="minorHAnsi" w:hAnsiTheme="minorHAnsi"/>
          <w:sz w:val="24"/>
          <w:szCs w:val="24"/>
        </w:rPr>
        <w:t xml:space="preserve">s </w:t>
      </w:r>
      <w:r w:rsidR="004D226F">
        <w:rPr>
          <w:rFonts w:asciiTheme="minorHAnsi" w:hAnsiTheme="minorHAnsi"/>
          <w:sz w:val="24"/>
          <w:szCs w:val="24"/>
        </w:rPr>
        <w:t>of UGS</w:t>
      </w:r>
      <w:r w:rsidR="00FD6DAC">
        <w:rPr>
          <w:rFonts w:asciiTheme="minorHAnsi" w:hAnsiTheme="minorHAnsi"/>
          <w:sz w:val="24"/>
          <w:szCs w:val="24"/>
        </w:rPr>
        <w:t xml:space="preserve">, based on </w:t>
      </w:r>
      <w:r w:rsidR="00FC4CE2">
        <w:rPr>
          <w:rFonts w:asciiTheme="minorHAnsi" w:hAnsiTheme="minorHAnsi"/>
          <w:sz w:val="24"/>
          <w:szCs w:val="24"/>
        </w:rPr>
        <w:t xml:space="preserve">an </w:t>
      </w:r>
      <w:r w:rsidR="00FD6DAC">
        <w:rPr>
          <w:rFonts w:asciiTheme="minorHAnsi" w:hAnsiTheme="minorHAnsi"/>
          <w:sz w:val="24"/>
          <w:szCs w:val="24"/>
        </w:rPr>
        <w:t>area</w:t>
      </w:r>
      <w:r w:rsidR="00FC4CE2">
        <w:rPr>
          <w:rFonts w:asciiTheme="minorHAnsi" w:hAnsiTheme="minorHAnsi"/>
          <w:sz w:val="24"/>
          <w:szCs w:val="24"/>
        </w:rPr>
        <w:t>’s</w:t>
      </w:r>
      <w:r w:rsidR="00FD6DAC">
        <w:rPr>
          <w:rFonts w:asciiTheme="minorHAnsi" w:hAnsiTheme="minorHAnsi"/>
          <w:sz w:val="24"/>
          <w:szCs w:val="24"/>
        </w:rPr>
        <w:t xml:space="preserve"> lack of a given UES. </w:t>
      </w:r>
    </w:p>
    <w:p w14:paraId="2F82BF16" w14:textId="77777777" w:rsidR="009D42F4" w:rsidRPr="009D42F4" w:rsidRDefault="009D42F4" w:rsidP="0038185F">
      <w:pPr>
        <w:pStyle w:val="NoSpacing"/>
        <w:spacing w:line="360" w:lineRule="auto"/>
        <w:rPr>
          <w:rFonts w:asciiTheme="minorHAnsi" w:hAnsiTheme="minorHAnsi"/>
          <w:sz w:val="24"/>
          <w:szCs w:val="24"/>
        </w:rPr>
      </w:pPr>
    </w:p>
    <w:p w14:paraId="5FDFA2FD" w14:textId="3810F946" w:rsidR="008A7E7E" w:rsidRPr="0038185F" w:rsidRDefault="00BF78D1" w:rsidP="000975C5">
      <w:pPr>
        <w:pStyle w:val="ListParagraph"/>
        <w:numPr>
          <w:ilvl w:val="1"/>
          <w:numId w:val="3"/>
        </w:numPr>
        <w:spacing w:line="360" w:lineRule="auto"/>
        <w:rPr>
          <w:bCs/>
          <w:i/>
          <w:iCs/>
        </w:rPr>
      </w:pPr>
      <w:r w:rsidRPr="001808AB">
        <w:rPr>
          <w:bCs/>
          <w:i/>
          <w:iCs/>
        </w:rPr>
        <w:t xml:space="preserve">The Urban Social-Ecological </w:t>
      </w:r>
      <w:r w:rsidR="00553EFA" w:rsidRPr="001808AB">
        <w:rPr>
          <w:bCs/>
          <w:i/>
          <w:iCs/>
        </w:rPr>
        <w:t xml:space="preserve">Environment </w:t>
      </w:r>
    </w:p>
    <w:p w14:paraId="6EA09851" w14:textId="10CA5B24" w:rsidR="00D66974" w:rsidRDefault="006A216B" w:rsidP="001270E4">
      <w:pPr>
        <w:spacing w:line="360" w:lineRule="auto"/>
        <w:ind w:firstLine="360"/>
        <w:rPr>
          <w:rFonts w:asciiTheme="minorHAnsi" w:hAnsiTheme="minorHAnsi"/>
          <w:bCs/>
        </w:rPr>
      </w:pPr>
      <w:r>
        <w:rPr>
          <w:rFonts w:asciiTheme="minorHAnsi" w:hAnsiTheme="minorHAnsi"/>
          <w:bCs/>
        </w:rPr>
        <w:t>Urbanization has been rapidly spreading throughout the US and the world</w:t>
      </w:r>
      <w:r w:rsidR="0019081E">
        <w:rPr>
          <w:rFonts w:asciiTheme="minorHAnsi" w:hAnsiTheme="minorHAnsi"/>
          <w:bCs/>
        </w:rPr>
        <w:t>,</w:t>
      </w:r>
      <w:r w:rsidR="007416A7">
        <w:rPr>
          <w:rFonts w:asciiTheme="minorHAnsi" w:hAnsiTheme="minorHAnsi"/>
          <w:bCs/>
        </w:rPr>
        <w:t xml:space="preserve"> which has caused humans to change how </w:t>
      </w:r>
      <w:r w:rsidR="00B80498">
        <w:rPr>
          <w:rFonts w:asciiTheme="minorHAnsi" w:hAnsiTheme="minorHAnsi"/>
          <w:bCs/>
        </w:rPr>
        <w:t xml:space="preserve">they </w:t>
      </w:r>
      <w:r w:rsidR="007416A7">
        <w:rPr>
          <w:rFonts w:asciiTheme="minorHAnsi" w:hAnsiTheme="minorHAnsi"/>
          <w:bCs/>
        </w:rPr>
        <w:t>interact with the environment</w:t>
      </w:r>
      <w:r>
        <w:rPr>
          <w:rFonts w:asciiTheme="minorHAnsi" w:hAnsiTheme="minorHAnsi"/>
          <w:bCs/>
        </w:rPr>
        <w:t xml:space="preserve">. However, how urbanization has affected people and their access to the environment can vary greatly. To elaborate, </w:t>
      </w:r>
      <w:r w:rsidR="008A7E7E" w:rsidRPr="008A7E7E">
        <w:rPr>
          <w:rFonts w:asciiTheme="minorHAnsi" w:hAnsiTheme="minorHAnsi"/>
          <w:bCs/>
        </w:rPr>
        <w:t>ecosystems historically considered to be the primary pro</w:t>
      </w:r>
      <w:r w:rsidR="00305BB2">
        <w:rPr>
          <w:rFonts w:asciiTheme="minorHAnsi" w:hAnsiTheme="minorHAnsi"/>
          <w:bCs/>
        </w:rPr>
        <w:t>ducers</w:t>
      </w:r>
      <w:r w:rsidR="008A7E7E" w:rsidRPr="008A7E7E">
        <w:rPr>
          <w:rFonts w:asciiTheme="minorHAnsi" w:hAnsiTheme="minorHAnsi"/>
          <w:bCs/>
        </w:rPr>
        <w:t xml:space="preserve"> of ecosystem services</w:t>
      </w:r>
      <w:r w:rsidR="00305BB2">
        <w:rPr>
          <w:rFonts w:asciiTheme="minorHAnsi" w:hAnsiTheme="minorHAnsi"/>
          <w:bCs/>
        </w:rPr>
        <w:t>,</w:t>
      </w:r>
      <w:r w:rsidR="008A7E7E" w:rsidRPr="008A7E7E">
        <w:rPr>
          <w:rFonts w:asciiTheme="minorHAnsi" w:hAnsiTheme="minorHAnsi"/>
          <w:bCs/>
        </w:rPr>
        <w:t xml:space="preserve"> such as forests </w:t>
      </w:r>
      <w:r w:rsidR="00D66974">
        <w:rPr>
          <w:rFonts w:asciiTheme="minorHAnsi" w:hAnsiTheme="minorHAnsi"/>
          <w:bCs/>
        </w:rPr>
        <w:t>and</w:t>
      </w:r>
      <w:r w:rsidR="008A7E7E" w:rsidRPr="008A7E7E">
        <w:rPr>
          <w:rFonts w:asciiTheme="minorHAnsi" w:hAnsiTheme="minorHAnsi"/>
          <w:bCs/>
        </w:rPr>
        <w:t xml:space="preserve"> rural agricultural land</w:t>
      </w:r>
      <w:r w:rsidR="004D226F">
        <w:rPr>
          <w:rFonts w:asciiTheme="minorHAnsi" w:hAnsiTheme="minorHAnsi"/>
          <w:bCs/>
        </w:rPr>
        <w:t>,</w:t>
      </w:r>
      <w:r w:rsidR="008A7E7E" w:rsidRPr="008A7E7E">
        <w:rPr>
          <w:rFonts w:asciiTheme="minorHAnsi" w:hAnsiTheme="minorHAnsi"/>
          <w:bCs/>
        </w:rPr>
        <w:t xml:space="preserve"> have drastically decreased</w:t>
      </w:r>
      <w:r w:rsidR="008A7E7E">
        <w:rPr>
          <w:rFonts w:asciiTheme="minorHAnsi" w:hAnsiTheme="minorHAnsi"/>
          <w:bCs/>
        </w:rPr>
        <w:t xml:space="preserve"> in size</w:t>
      </w:r>
      <w:r w:rsidR="00305BB2">
        <w:rPr>
          <w:rFonts w:asciiTheme="minorHAnsi" w:hAnsiTheme="minorHAnsi"/>
          <w:bCs/>
        </w:rPr>
        <w:t xml:space="preserve"> and </w:t>
      </w:r>
      <w:r w:rsidR="00A916D6">
        <w:rPr>
          <w:rFonts w:asciiTheme="minorHAnsi" w:hAnsiTheme="minorHAnsi"/>
          <w:bCs/>
        </w:rPr>
        <w:t xml:space="preserve">their </w:t>
      </w:r>
      <w:r w:rsidR="00305BB2">
        <w:rPr>
          <w:rFonts w:asciiTheme="minorHAnsi" w:hAnsiTheme="minorHAnsi"/>
          <w:bCs/>
        </w:rPr>
        <w:t>provision</w:t>
      </w:r>
      <w:r w:rsidR="004D226F">
        <w:rPr>
          <w:rFonts w:asciiTheme="minorHAnsi" w:hAnsiTheme="minorHAnsi"/>
          <w:bCs/>
        </w:rPr>
        <w:t xml:space="preserve"> of services</w:t>
      </w:r>
      <w:r w:rsidR="001270E4">
        <w:rPr>
          <w:rFonts w:asciiTheme="minorHAnsi" w:hAnsiTheme="minorHAnsi"/>
          <w:bCs/>
        </w:rPr>
        <w:t xml:space="preserve">. It is projected that between 1950 and 2000, agricultural land in the United States decreased by 11%, while between 1973 and 2000 </w:t>
      </w:r>
      <w:r w:rsidR="00D545B2">
        <w:rPr>
          <w:rFonts w:asciiTheme="minorHAnsi" w:hAnsiTheme="minorHAnsi"/>
          <w:bCs/>
        </w:rPr>
        <w:t>forest cover in the United States decrease by</w:t>
      </w:r>
      <w:r w:rsidR="001270E4">
        <w:rPr>
          <w:rFonts w:asciiTheme="minorHAnsi" w:hAnsiTheme="minorHAnsi"/>
          <w:bCs/>
        </w:rPr>
        <w:t xml:space="preserve"> 4.2% (Brown et al., 2005; </w:t>
      </w:r>
      <w:r w:rsidR="001270E4" w:rsidRPr="00D545B2">
        <w:rPr>
          <w:rFonts w:asciiTheme="minorHAnsi" w:hAnsiTheme="minorHAnsi"/>
          <w:bCs/>
        </w:rPr>
        <w:t>Sleeter et al., 2013</w:t>
      </w:r>
      <w:r w:rsidR="001270E4">
        <w:rPr>
          <w:rFonts w:asciiTheme="minorHAnsi" w:hAnsiTheme="minorHAnsi"/>
          <w:bCs/>
        </w:rPr>
        <w:t xml:space="preserve">). Conversely, developed land throughout the United States increased by 33% between 1973-2000 and is expected to increase by over 70% in every region by 2025 (Alig et al., 2004; Sleeter et al., 2013). </w:t>
      </w:r>
      <w:r w:rsidR="00305BB2">
        <w:rPr>
          <w:rFonts w:asciiTheme="minorHAnsi" w:hAnsiTheme="minorHAnsi"/>
          <w:bCs/>
        </w:rPr>
        <w:t>These shifting trends have led to the increased examination of cities</w:t>
      </w:r>
      <w:r w:rsidR="008E4274">
        <w:rPr>
          <w:rFonts w:asciiTheme="minorHAnsi" w:hAnsiTheme="minorHAnsi"/>
          <w:bCs/>
        </w:rPr>
        <w:t xml:space="preserve">, suburbs, and exurbs </w:t>
      </w:r>
      <w:r w:rsidR="00305BB2">
        <w:rPr>
          <w:rFonts w:asciiTheme="minorHAnsi" w:hAnsiTheme="minorHAnsi"/>
          <w:bCs/>
        </w:rPr>
        <w:t>as contributors to ecosystem service provision and global sustainability (</w:t>
      </w:r>
      <w:r w:rsidR="00581913">
        <w:rPr>
          <w:rFonts w:asciiTheme="minorHAnsi" w:hAnsiTheme="minorHAnsi"/>
          <w:bCs/>
        </w:rPr>
        <w:t xml:space="preserve">Gaston et al., 2013; </w:t>
      </w:r>
      <w:r w:rsidR="00305BB2">
        <w:rPr>
          <w:rFonts w:asciiTheme="minorHAnsi" w:hAnsiTheme="minorHAnsi"/>
          <w:bCs/>
        </w:rPr>
        <w:t xml:space="preserve">Haase et al., 2014). </w:t>
      </w:r>
      <w:r w:rsidR="00706D47">
        <w:rPr>
          <w:rFonts w:asciiTheme="minorHAnsi" w:hAnsiTheme="minorHAnsi"/>
          <w:bCs/>
        </w:rPr>
        <w:t xml:space="preserve">However, urban areas have extremely heterogenous ecosystems that are fragmented by physical, biological, and social </w:t>
      </w:r>
      <w:r w:rsidR="002D6FFD">
        <w:rPr>
          <w:rFonts w:asciiTheme="minorHAnsi" w:hAnsiTheme="minorHAnsi"/>
          <w:bCs/>
        </w:rPr>
        <w:t xml:space="preserve">barriers </w:t>
      </w:r>
      <w:r w:rsidR="00706D47">
        <w:rPr>
          <w:rFonts w:asciiTheme="minorHAnsi" w:hAnsiTheme="minorHAnsi"/>
          <w:bCs/>
        </w:rPr>
        <w:t>(Cadenasso et al., 2007; Pickett et al., 201</w:t>
      </w:r>
      <w:r w:rsidR="003F15CD">
        <w:rPr>
          <w:rFonts w:asciiTheme="minorHAnsi" w:hAnsiTheme="minorHAnsi"/>
          <w:bCs/>
        </w:rPr>
        <w:t>7</w:t>
      </w:r>
      <w:r w:rsidR="00706D47">
        <w:rPr>
          <w:rFonts w:asciiTheme="minorHAnsi" w:hAnsiTheme="minorHAnsi"/>
          <w:bCs/>
        </w:rPr>
        <w:t xml:space="preserve">). </w:t>
      </w:r>
      <w:r w:rsidR="00581913">
        <w:rPr>
          <w:rFonts w:asciiTheme="minorHAnsi" w:hAnsiTheme="minorHAnsi"/>
          <w:bCs/>
        </w:rPr>
        <w:t xml:space="preserve">While </w:t>
      </w:r>
      <w:r w:rsidR="00AB0C77">
        <w:rPr>
          <w:rFonts w:asciiTheme="minorHAnsi" w:hAnsiTheme="minorHAnsi"/>
          <w:bCs/>
        </w:rPr>
        <w:t>studies have been able to demonstrate the ability to quantify the supply of UES within these heterogenous ecosystems (Derkzen et al., 2015; Haas and Ban, 2017; Kremer et al., 201</w:t>
      </w:r>
      <w:r w:rsidR="00C27F34">
        <w:rPr>
          <w:rFonts w:asciiTheme="minorHAnsi" w:hAnsiTheme="minorHAnsi"/>
          <w:bCs/>
        </w:rPr>
        <w:t>6</w:t>
      </w:r>
      <w:r w:rsidR="00A26474">
        <w:rPr>
          <w:rFonts w:asciiTheme="minorHAnsi" w:hAnsiTheme="minorHAnsi"/>
          <w:bCs/>
        </w:rPr>
        <w:t>; McPhearson et al., 2013</w:t>
      </w:r>
      <w:r w:rsidR="00AB0C77">
        <w:rPr>
          <w:rFonts w:asciiTheme="minorHAnsi" w:hAnsiTheme="minorHAnsi"/>
          <w:bCs/>
        </w:rPr>
        <w:t xml:space="preserve">), </w:t>
      </w:r>
      <w:r w:rsidR="002D6FFD">
        <w:rPr>
          <w:rFonts w:asciiTheme="minorHAnsi" w:hAnsiTheme="minorHAnsi"/>
          <w:bCs/>
        </w:rPr>
        <w:t xml:space="preserve">few have examined how </w:t>
      </w:r>
      <w:r w:rsidR="00C43D92">
        <w:rPr>
          <w:rFonts w:asciiTheme="minorHAnsi" w:hAnsiTheme="minorHAnsi"/>
          <w:bCs/>
        </w:rPr>
        <w:t>this heterogeneity</w:t>
      </w:r>
      <w:r w:rsidR="002D6FFD">
        <w:rPr>
          <w:rFonts w:asciiTheme="minorHAnsi" w:hAnsiTheme="minorHAnsi"/>
          <w:bCs/>
        </w:rPr>
        <w:t xml:space="preserve"> </w:t>
      </w:r>
      <w:r w:rsidR="00293B05">
        <w:rPr>
          <w:rFonts w:asciiTheme="minorHAnsi" w:hAnsiTheme="minorHAnsi"/>
          <w:bCs/>
        </w:rPr>
        <w:t>a</w:t>
      </w:r>
      <w:r w:rsidR="002D6FFD">
        <w:rPr>
          <w:rFonts w:asciiTheme="minorHAnsi" w:hAnsiTheme="minorHAnsi"/>
          <w:bCs/>
        </w:rPr>
        <w:t>ffect</w:t>
      </w:r>
      <w:r w:rsidR="00C43D92">
        <w:rPr>
          <w:rFonts w:asciiTheme="minorHAnsi" w:hAnsiTheme="minorHAnsi"/>
          <w:bCs/>
        </w:rPr>
        <w:t>s</w:t>
      </w:r>
      <w:r w:rsidR="002D6FFD">
        <w:rPr>
          <w:rFonts w:asciiTheme="minorHAnsi" w:hAnsiTheme="minorHAnsi"/>
          <w:bCs/>
        </w:rPr>
        <w:t xml:space="preserve"> certain communities’ abilit</w:t>
      </w:r>
      <w:r w:rsidR="00A916D6">
        <w:rPr>
          <w:rFonts w:asciiTheme="minorHAnsi" w:hAnsiTheme="minorHAnsi"/>
          <w:bCs/>
        </w:rPr>
        <w:t>y</w:t>
      </w:r>
      <w:r w:rsidR="002D6FFD">
        <w:rPr>
          <w:rFonts w:asciiTheme="minorHAnsi" w:hAnsiTheme="minorHAnsi"/>
          <w:bCs/>
        </w:rPr>
        <w:t xml:space="preserve"> to access </w:t>
      </w:r>
      <w:r w:rsidR="00C43D92">
        <w:rPr>
          <w:rFonts w:asciiTheme="minorHAnsi" w:hAnsiTheme="minorHAnsi"/>
          <w:bCs/>
        </w:rPr>
        <w:t xml:space="preserve">the </w:t>
      </w:r>
      <w:r w:rsidR="00D66974">
        <w:rPr>
          <w:rFonts w:asciiTheme="minorHAnsi" w:hAnsiTheme="minorHAnsi"/>
          <w:bCs/>
        </w:rPr>
        <w:t>UES</w:t>
      </w:r>
      <w:r w:rsidR="00C43D92">
        <w:rPr>
          <w:rFonts w:asciiTheme="minorHAnsi" w:hAnsiTheme="minorHAnsi"/>
          <w:bCs/>
        </w:rPr>
        <w:t xml:space="preserve"> provide</w:t>
      </w:r>
      <w:r w:rsidR="00A26474">
        <w:rPr>
          <w:rFonts w:asciiTheme="minorHAnsi" w:hAnsiTheme="minorHAnsi"/>
          <w:bCs/>
        </w:rPr>
        <w:t>d</w:t>
      </w:r>
      <w:r w:rsidR="00C43D92">
        <w:rPr>
          <w:rFonts w:asciiTheme="minorHAnsi" w:hAnsiTheme="minorHAnsi"/>
          <w:bCs/>
        </w:rPr>
        <w:t xml:space="preserve"> by urban ecosystems</w:t>
      </w:r>
      <w:r w:rsidR="002D6FFD">
        <w:rPr>
          <w:rFonts w:asciiTheme="minorHAnsi" w:hAnsiTheme="minorHAnsi"/>
          <w:bCs/>
        </w:rPr>
        <w:t xml:space="preserve">. </w:t>
      </w:r>
    </w:p>
    <w:p w14:paraId="14724092" w14:textId="7E25457B" w:rsidR="00D66974" w:rsidRPr="00D66974" w:rsidRDefault="0002639B" w:rsidP="0038185F">
      <w:pPr>
        <w:spacing w:line="360" w:lineRule="auto"/>
        <w:ind w:firstLine="360"/>
        <w:rPr>
          <w:rFonts w:asciiTheme="minorHAnsi" w:hAnsiTheme="minorHAnsi"/>
          <w:bCs/>
        </w:rPr>
      </w:pPr>
      <w:r>
        <w:rPr>
          <w:rFonts w:asciiTheme="minorHAnsi" w:hAnsiTheme="minorHAnsi"/>
          <w:bCs/>
        </w:rPr>
        <w:t xml:space="preserve">One way to examine how social heterogeneity affects access to UES by certain communities is by mapping the supply of UES along with the distribution of </w:t>
      </w:r>
      <w:r w:rsidR="00311C13">
        <w:rPr>
          <w:rFonts w:asciiTheme="minorHAnsi" w:hAnsiTheme="minorHAnsi"/>
          <w:bCs/>
        </w:rPr>
        <w:t>SES</w:t>
      </w:r>
      <w:r>
        <w:rPr>
          <w:rFonts w:asciiTheme="minorHAnsi" w:hAnsiTheme="minorHAnsi"/>
          <w:bCs/>
        </w:rPr>
        <w:t xml:space="preserve">. </w:t>
      </w:r>
      <w:r w:rsidR="00293B05">
        <w:rPr>
          <w:rFonts w:asciiTheme="minorHAnsi" w:hAnsiTheme="minorHAnsi"/>
          <w:bCs/>
        </w:rPr>
        <w:t xml:space="preserve">In </w:t>
      </w:r>
      <w:r w:rsidR="00955DD4">
        <w:rPr>
          <w:rFonts w:asciiTheme="minorHAnsi" w:hAnsiTheme="minorHAnsi"/>
          <w:bCs/>
        </w:rPr>
        <w:t>a</w:t>
      </w:r>
      <w:r w:rsidR="00293B05">
        <w:rPr>
          <w:rFonts w:asciiTheme="minorHAnsi" w:hAnsiTheme="minorHAnsi"/>
          <w:bCs/>
        </w:rPr>
        <w:t xml:space="preserve"> study by McPhearson et al. (2013), researchers</w:t>
      </w:r>
      <w:r w:rsidR="009A0915" w:rsidRPr="00D66974">
        <w:rPr>
          <w:rFonts w:asciiTheme="minorHAnsi" w:hAnsiTheme="minorHAnsi"/>
          <w:bCs/>
        </w:rPr>
        <w:t xml:space="preserve"> acknowledged the need to </w:t>
      </w:r>
      <w:r w:rsidR="00A916D6" w:rsidRPr="00D66974">
        <w:rPr>
          <w:rFonts w:asciiTheme="minorHAnsi" w:hAnsiTheme="minorHAnsi"/>
          <w:bCs/>
        </w:rPr>
        <w:t>spatially analyze</w:t>
      </w:r>
      <w:r w:rsidR="009A0915" w:rsidRPr="00D66974">
        <w:rPr>
          <w:rFonts w:asciiTheme="minorHAnsi" w:hAnsiTheme="minorHAnsi"/>
          <w:bCs/>
        </w:rPr>
        <w:t xml:space="preserve"> social-ecological </w:t>
      </w:r>
      <w:r w:rsidR="00A916D6" w:rsidRPr="00D66974">
        <w:rPr>
          <w:rFonts w:asciiTheme="minorHAnsi" w:hAnsiTheme="minorHAnsi"/>
          <w:bCs/>
        </w:rPr>
        <w:t xml:space="preserve">interactions </w:t>
      </w:r>
      <w:r w:rsidR="004E076C" w:rsidRPr="00D66974">
        <w:rPr>
          <w:rFonts w:asciiTheme="minorHAnsi" w:hAnsiTheme="minorHAnsi"/>
          <w:bCs/>
        </w:rPr>
        <w:t>to</w:t>
      </w:r>
      <w:r w:rsidR="00A916D6" w:rsidRPr="00D66974">
        <w:rPr>
          <w:rFonts w:asciiTheme="minorHAnsi" w:hAnsiTheme="minorHAnsi"/>
          <w:bCs/>
        </w:rPr>
        <w:t xml:space="preserve"> better understand UES distribution</w:t>
      </w:r>
      <w:r w:rsidR="00293B05">
        <w:rPr>
          <w:rFonts w:asciiTheme="minorHAnsi" w:hAnsiTheme="minorHAnsi"/>
          <w:bCs/>
        </w:rPr>
        <w:t xml:space="preserve">. They </w:t>
      </w:r>
      <w:r w:rsidR="00A916D6" w:rsidRPr="00D66974">
        <w:rPr>
          <w:rFonts w:asciiTheme="minorHAnsi" w:hAnsiTheme="minorHAnsi"/>
          <w:bCs/>
        </w:rPr>
        <w:t>mapp</w:t>
      </w:r>
      <w:r w:rsidR="00293B05">
        <w:rPr>
          <w:rFonts w:asciiTheme="minorHAnsi" w:hAnsiTheme="minorHAnsi"/>
          <w:bCs/>
        </w:rPr>
        <w:t>ed</w:t>
      </w:r>
      <w:r w:rsidR="00A916D6" w:rsidRPr="00D66974">
        <w:rPr>
          <w:rFonts w:asciiTheme="minorHAnsi" w:hAnsiTheme="minorHAnsi"/>
          <w:bCs/>
        </w:rPr>
        <w:t xml:space="preserve"> the </w:t>
      </w:r>
      <w:r w:rsidR="00EC6549">
        <w:rPr>
          <w:rFonts w:asciiTheme="minorHAnsi" w:hAnsiTheme="minorHAnsi"/>
          <w:bCs/>
        </w:rPr>
        <w:t>supply of UES</w:t>
      </w:r>
      <w:r w:rsidR="00A916D6" w:rsidRPr="00D66974">
        <w:rPr>
          <w:rFonts w:asciiTheme="minorHAnsi" w:hAnsiTheme="minorHAnsi"/>
          <w:bCs/>
        </w:rPr>
        <w:t xml:space="preserve"> from vacant lots </w:t>
      </w:r>
      <w:r w:rsidR="00057C8C" w:rsidRPr="00D66974">
        <w:rPr>
          <w:rFonts w:asciiTheme="minorHAnsi" w:hAnsiTheme="minorHAnsi"/>
          <w:bCs/>
        </w:rPr>
        <w:t>with</w:t>
      </w:r>
      <w:r w:rsidR="00A916D6" w:rsidRPr="00D66974">
        <w:rPr>
          <w:rFonts w:asciiTheme="minorHAnsi" w:hAnsiTheme="minorHAnsi"/>
          <w:bCs/>
        </w:rPr>
        <w:t xml:space="preserve">in New York City and the </w:t>
      </w:r>
      <w:r w:rsidR="00311C13">
        <w:rPr>
          <w:rFonts w:asciiTheme="minorHAnsi" w:hAnsiTheme="minorHAnsi"/>
          <w:bCs/>
        </w:rPr>
        <w:t>SES</w:t>
      </w:r>
      <w:r w:rsidR="00A916D6" w:rsidRPr="00D66974">
        <w:rPr>
          <w:rFonts w:asciiTheme="minorHAnsi" w:hAnsiTheme="minorHAnsi"/>
          <w:bCs/>
        </w:rPr>
        <w:t xml:space="preserve"> of neighborhoods directly surrounding them</w:t>
      </w:r>
      <w:r w:rsidR="00293B05">
        <w:rPr>
          <w:rFonts w:asciiTheme="minorHAnsi" w:hAnsiTheme="minorHAnsi"/>
          <w:bCs/>
        </w:rPr>
        <w:t xml:space="preserve">. </w:t>
      </w:r>
      <w:r w:rsidR="00A916D6" w:rsidRPr="00D66974">
        <w:rPr>
          <w:rFonts w:asciiTheme="minorHAnsi" w:hAnsiTheme="minorHAnsi" w:cs="Calibri"/>
        </w:rPr>
        <w:t xml:space="preserve">This valuation method provided the opportunity to compare the UES </w:t>
      </w:r>
      <w:r w:rsidR="00A916D6" w:rsidRPr="00D66974">
        <w:rPr>
          <w:rFonts w:asciiTheme="minorHAnsi" w:hAnsiTheme="minorHAnsi" w:cs="Calibri"/>
        </w:rPr>
        <w:lastRenderedPageBreak/>
        <w:t xml:space="preserve">value of vacant lots across the city’s five boroughs and </w:t>
      </w:r>
      <w:r w:rsidR="00293B05">
        <w:rPr>
          <w:rFonts w:asciiTheme="minorHAnsi" w:hAnsiTheme="minorHAnsi" w:cs="Calibri"/>
        </w:rPr>
        <w:t xml:space="preserve">to </w:t>
      </w:r>
      <w:r w:rsidR="00A916D6" w:rsidRPr="00D66974">
        <w:rPr>
          <w:rFonts w:asciiTheme="minorHAnsi" w:hAnsiTheme="minorHAnsi" w:cs="Calibri"/>
        </w:rPr>
        <w:t>identify which lots should be prioritized for UGS development based on their ecological value and the surrounding neighborhoods</w:t>
      </w:r>
      <w:r w:rsidR="00293B05">
        <w:rPr>
          <w:rFonts w:asciiTheme="minorHAnsi" w:hAnsiTheme="minorHAnsi" w:cs="Calibri"/>
        </w:rPr>
        <w:t>’</w:t>
      </w:r>
      <w:r w:rsidR="00A916D6" w:rsidRPr="00D66974">
        <w:rPr>
          <w:rFonts w:asciiTheme="minorHAnsi" w:hAnsiTheme="minorHAnsi" w:cs="Calibri"/>
        </w:rPr>
        <w:t xml:space="preserve"> social need. However, </w:t>
      </w:r>
      <w:r w:rsidR="00057C8C" w:rsidRPr="00D66974">
        <w:rPr>
          <w:rFonts w:asciiTheme="minorHAnsi" w:hAnsiTheme="minorHAnsi" w:cs="Calibri"/>
        </w:rPr>
        <w:t xml:space="preserve">vacant lots are some of the most undervalued and underused </w:t>
      </w:r>
      <w:r w:rsidR="00155D50">
        <w:rPr>
          <w:rFonts w:asciiTheme="minorHAnsi" w:hAnsiTheme="minorHAnsi" w:cs="Calibri"/>
        </w:rPr>
        <w:t>areas</w:t>
      </w:r>
      <w:r w:rsidR="00057C8C" w:rsidRPr="00D66974">
        <w:rPr>
          <w:rFonts w:asciiTheme="minorHAnsi" w:hAnsiTheme="minorHAnsi" w:cs="Calibri"/>
        </w:rPr>
        <w:t xml:space="preserve"> in cities (</w:t>
      </w:r>
      <w:r w:rsidR="003F15CD">
        <w:rPr>
          <w:rFonts w:asciiTheme="minorHAnsi" w:hAnsiTheme="minorHAnsi" w:cs="Calibri"/>
        </w:rPr>
        <w:t>Anderson and Minor, 2017</w:t>
      </w:r>
      <w:r w:rsidR="00057C8C" w:rsidRPr="00D66974">
        <w:rPr>
          <w:rFonts w:asciiTheme="minorHAnsi" w:hAnsiTheme="minorHAnsi" w:cs="Calibri"/>
        </w:rPr>
        <w:t>)</w:t>
      </w:r>
      <w:r w:rsidR="00293B05">
        <w:rPr>
          <w:rFonts w:asciiTheme="minorHAnsi" w:hAnsiTheme="minorHAnsi" w:cs="Calibri"/>
        </w:rPr>
        <w:t>;</w:t>
      </w:r>
      <w:r w:rsidR="00057C8C" w:rsidRPr="00D66974">
        <w:rPr>
          <w:rFonts w:asciiTheme="minorHAnsi" w:hAnsiTheme="minorHAnsi" w:cs="Calibri"/>
        </w:rPr>
        <w:t xml:space="preserve"> therefore, </w:t>
      </w:r>
      <w:r w:rsidR="00057C8C" w:rsidRPr="00D66974">
        <w:rPr>
          <w:rFonts w:asciiTheme="minorHAnsi" w:hAnsiTheme="minorHAnsi"/>
          <w:bCs/>
        </w:rPr>
        <w:t xml:space="preserve">any UES that they </w:t>
      </w:r>
      <w:r>
        <w:rPr>
          <w:rFonts w:asciiTheme="minorHAnsi" w:hAnsiTheme="minorHAnsi"/>
          <w:bCs/>
        </w:rPr>
        <w:t xml:space="preserve">do </w:t>
      </w:r>
      <w:r w:rsidR="00057C8C" w:rsidRPr="00D66974">
        <w:rPr>
          <w:rFonts w:asciiTheme="minorHAnsi" w:hAnsiTheme="minorHAnsi"/>
          <w:bCs/>
        </w:rPr>
        <w:t xml:space="preserve">supply is </w:t>
      </w:r>
      <w:r w:rsidR="00293B05">
        <w:rPr>
          <w:rFonts w:asciiTheme="minorHAnsi" w:hAnsiTheme="minorHAnsi"/>
          <w:bCs/>
        </w:rPr>
        <w:t>only</w:t>
      </w:r>
      <w:r w:rsidR="00155D50">
        <w:rPr>
          <w:rFonts w:asciiTheme="minorHAnsi" w:hAnsiTheme="minorHAnsi"/>
          <w:bCs/>
        </w:rPr>
        <w:t xml:space="preserve"> </w:t>
      </w:r>
      <w:r w:rsidR="006F022C">
        <w:rPr>
          <w:rFonts w:asciiTheme="minorHAnsi" w:hAnsiTheme="minorHAnsi"/>
          <w:bCs/>
        </w:rPr>
        <w:t xml:space="preserve">an </w:t>
      </w:r>
      <w:r w:rsidR="00155D50">
        <w:rPr>
          <w:rFonts w:asciiTheme="minorHAnsi" w:hAnsiTheme="minorHAnsi"/>
          <w:bCs/>
        </w:rPr>
        <w:t>additional benefit</w:t>
      </w:r>
      <w:r w:rsidR="00057C8C" w:rsidRPr="00D66974">
        <w:rPr>
          <w:rFonts w:asciiTheme="minorHAnsi" w:hAnsiTheme="minorHAnsi"/>
          <w:bCs/>
        </w:rPr>
        <w:t xml:space="preserve"> for </w:t>
      </w:r>
      <w:r w:rsidR="00D66974" w:rsidRPr="00D66974">
        <w:rPr>
          <w:rFonts w:asciiTheme="minorHAnsi" w:hAnsiTheme="minorHAnsi"/>
          <w:bCs/>
        </w:rPr>
        <w:t>the</w:t>
      </w:r>
      <w:r w:rsidR="00057C8C" w:rsidRPr="00D66974">
        <w:rPr>
          <w:rFonts w:asciiTheme="minorHAnsi" w:hAnsiTheme="minorHAnsi"/>
          <w:bCs/>
        </w:rPr>
        <w:t xml:space="preserve"> city</w:t>
      </w:r>
      <w:r w:rsidR="00EF53BB" w:rsidRPr="00D66974">
        <w:rPr>
          <w:rFonts w:asciiTheme="minorHAnsi" w:hAnsiTheme="minorHAnsi"/>
          <w:bCs/>
        </w:rPr>
        <w:t xml:space="preserve"> and its residents</w:t>
      </w:r>
      <w:r w:rsidR="00057C8C" w:rsidRPr="00D66974">
        <w:rPr>
          <w:rFonts w:asciiTheme="minorHAnsi" w:hAnsiTheme="minorHAnsi"/>
          <w:bCs/>
        </w:rPr>
        <w:t xml:space="preserve">. </w:t>
      </w:r>
      <w:r w:rsidR="00C43D92" w:rsidRPr="00D66974">
        <w:rPr>
          <w:rFonts w:asciiTheme="minorHAnsi" w:hAnsiTheme="minorHAnsi"/>
          <w:bCs/>
        </w:rPr>
        <w:t xml:space="preserve">Conversely, UGS owned and operated by municipalities should be </w:t>
      </w:r>
      <w:r w:rsidR="00EF53BB" w:rsidRPr="00D66974">
        <w:rPr>
          <w:rFonts w:asciiTheme="minorHAnsi" w:hAnsiTheme="minorHAnsi"/>
          <w:bCs/>
        </w:rPr>
        <w:t>expected</w:t>
      </w:r>
      <w:r w:rsidR="00C43D92" w:rsidRPr="00D66974">
        <w:rPr>
          <w:rFonts w:asciiTheme="minorHAnsi" w:hAnsiTheme="minorHAnsi"/>
          <w:bCs/>
        </w:rPr>
        <w:t xml:space="preserve"> to supply </w:t>
      </w:r>
      <w:r w:rsidR="00D66974" w:rsidRPr="00D66974">
        <w:rPr>
          <w:rFonts w:asciiTheme="minorHAnsi" w:hAnsiTheme="minorHAnsi"/>
          <w:bCs/>
        </w:rPr>
        <w:t>some</w:t>
      </w:r>
      <w:r w:rsidR="00C43D92" w:rsidRPr="00D66974">
        <w:rPr>
          <w:rFonts w:asciiTheme="minorHAnsi" w:hAnsiTheme="minorHAnsi"/>
          <w:bCs/>
        </w:rPr>
        <w:t xml:space="preserve"> </w:t>
      </w:r>
      <w:r w:rsidR="00293B05">
        <w:rPr>
          <w:rFonts w:asciiTheme="minorHAnsi" w:hAnsiTheme="minorHAnsi"/>
          <w:bCs/>
        </w:rPr>
        <w:t>predetermined</w:t>
      </w:r>
      <w:r w:rsidR="00C43D92" w:rsidRPr="00D66974">
        <w:rPr>
          <w:rFonts w:asciiTheme="minorHAnsi" w:hAnsiTheme="minorHAnsi"/>
          <w:bCs/>
        </w:rPr>
        <w:t xml:space="preserve"> value of UES equitably to all city residents</w:t>
      </w:r>
      <w:r w:rsidR="00293B05">
        <w:rPr>
          <w:rFonts w:asciiTheme="minorHAnsi" w:hAnsiTheme="minorHAnsi"/>
          <w:bCs/>
        </w:rPr>
        <w:t>.</w:t>
      </w:r>
      <w:r w:rsidR="00EF53BB" w:rsidRPr="00D66974">
        <w:rPr>
          <w:rFonts w:asciiTheme="minorHAnsi" w:hAnsiTheme="minorHAnsi"/>
          <w:bCs/>
        </w:rPr>
        <w:t xml:space="preserve"> </w:t>
      </w:r>
      <w:r w:rsidR="00FB0AF3">
        <w:rPr>
          <w:rFonts w:asciiTheme="minorHAnsi" w:hAnsiTheme="minorHAnsi"/>
          <w:bCs/>
        </w:rPr>
        <w:t>This is because of s</w:t>
      </w:r>
      <w:r w:rsidR="00EF53BB" w:rsidRPr="00D66974">
        <w:rPr>
          <w:rFonts w:asciiTheme="minorHAnsi" w:hAnsiTheme="minorHAnsi"/>
          <w:bCs/>
        </w:rPr>
        <w:t>ocial equity</w:t>
      </w:r>
      <w:r w:rsidR="00D66974" w:rsidRPr="00D66974">
        <w:rPr>
          <w:rFonts w:asciiTheme="minorHAnsi" w:hAnsiTheme="minorHAnsi"/>
          <w:bCs/>
        </w:rPr>
        <w:t>, a crucial pillar of public administration,</w:t>
      </w:r>
      <w:r w:rsidR="00EF53BB" w:rsidRPr="00D66974">
        <w:rPr>
          <w:rFonts w:asciiTheme="minorHAnsi" w:hAnsiTheme="minorHAnsi"/>
          <w:bCs/>
        </w:rPr>
        <w:t xml:space="preserve"> </w:t>
      </w:r>
      <w:r w:rsidR="00FB0AF3">
        <w:rPr>
          <w:rFonts w:asciiTheme="minorHAnsi" w:hAnsiTheme="minorHAnsi"/>
          <w:bCs/>
        </w:rPr>
        <w:t xml:space="preserve">which </w:t>
      </w:r>
      <w:r w:rsidR="00EF53BB" w:rsidRPr="00D66974">
        <w:rPr>
          <w:rFonts w:asciiTheme="minorHAnsi" w:hAnsiTheme="minorHAnsi"/>
          <w:bCs/>
        </w:rPr>
        <w:t>mandates the fair</w:t>
      </w:r>
      <w:r w:rsidR="00156DA7">
        <w:rPr>
          <w:rFonts w:asciiTheme="minorHAnsi" w:hAnsiTheme="minorHAnsi"/>
          <w:bCs/>
        </w:rPr>
        <w:t xml:space="preserve"> and j</w:t>
      </w:r>
      <w:r w:rsidR="00C23C36" w:rsidRPr="00D66974">
        <w:rPr>
          <w:rFonts w:asciiTheme="minorHAnsi" w:hAnsiTheme="minorHAnsi"/>
          <w:bCs/>
        </w:rPr>
        <w:t>ust</w:t>
      </w:r>
      <w:r w:rsidR="00156DA7">
        <w:rPr>
          <w:rFonts w:asciiTheme="minorHAnsi" w:hAnsiTheme="minorHAnsi"/>
          <w:bCs/>
        </w:rPr>
        <w:t xml:space="preserve"> </w:t>
      </w:r>
      <w:r w:rsidR="00C23C36" w:rsidRPr="00D66974">
        <w:rPr>
          <w:rFonts w:asciiTheme="minorHAnsi" w:hAnsiTheme="minorHAnsi"/>
          <w:bCs/>
        </w:rPr>
        <w:t xml:space="preserve">management and distribution of all institutions </w:t>
      </w:r>
      <w:r w:rsidR="00156DA7">
        <w:rPr>
          <w:rFonts w:asciiTheme="minorHAnsi" w:hAnsiTheme="minorHAnsi"/>
          <w:bCs/>
        </w:rPr>
        <w:t xml:space="preserve">that directly </w:t>
      </w:r>
      <w:r w:rsidR="00C23C36" w:rsidRPr="00D66974">
        <w:rPr>
          <w:rFonts w:asciiTheme="minorHAnsi" w:hAnsiTheme="minorHAnsi"/>
          <w:bCs/>
        </w:rPr>
        <w:t>serv</w:t>
      </w:r>
      <w:r w:rsidR="00156DA7">
        <w:rPr>
          <w:rFonts w:asciiTheme="minorHAnsi" w:hAnsiTheme="minorHAnsi"/>
          <w:bCs/>
        </w:rPr>
        <w:t>e</w:t>
      </w:r>
      <w:r w:rsidR="00C23C36" w:rsidRPr="00D66974">
        <w:rPr>
          <w:rFonts w:asciiTheme="minorHAnsi" w:hAnsiTheme="minorHAnsi"/>
          <w:bCs/>
        </w:rPr>
        <w:t xml:space="preserve"> the public (Svara and Brunet, 2005). </w:t>
      </w:r>
    </w:p>
    <w:p w14:paraId="22F63F17" w14:textId="77777777" w:rsidR="008E6685" w:rsidRPr="00D66974" w:rsidRDefault="008E6685" w:rsidP="0038185F">
      <w:pPr>
        <w:spacing w:line="360" w:lineRule="auto"/>
        <w:rPr>
          <w:b/>
          <w:bCs/>
        </w:rPr>
      </w:pPr>
    </w:p>
    <w:p w14:paraId="7C3DF95F" w14:textId="5EF9A853" w:rsidR="00582297" w:rsidRPr="0038185F" w:rsidRDefault="009761FE" w:rsidP="000975C5">
      <w:pPr>
        <w:pStyle w:val="ListParagraph"/>
        <w:numPr>
          <w:ilvl w:val="2"/>
          <w:numId w:val="2"/>
        </w:numPr>
        <w:spacing w:line="360" w:lineRule="auto"/>
        <w:rPr>
          <w:i/>
          <w:iCs/>
        </w:rPr>
      </w:pPr>
      <w:r w:rsidRPr="009761FE">
        <w:rPr>
          <w:i/>
          <w:iCs/>
        </w:rPr>
        <w:t xml:space="preserve">Urban Ecosystem Services </w:t>
      </w:r>
    </w:p>
    <w:p w14:paraId="2A75E950" w14:textId="77777777" w:rsidR="00413610" w:rsidRDefault="00582297" w:rsidP="0038185F">
      <w:pPr>
        <w:spacing w:line="360" w:lineRule="auto"/>
        <w:ind w:firstLine="720"/>
        <w:rPr>
          <w:rFonts w:asciiTheme="minorHAnsi" w:hAnsiTheme="minorHAnsi"/>
          <w:color w:val="000000" w:themeColor="text1"/>
        </w:rPr>
      </w:pPr>
      <w:r>
        <w:rPr>
          <w:rFonts w:asciiTheme="minorHAnsi" w:hAnsiTheme="minorHAnsi"/>
        </w:rPr>
        <w:t xml:space="preserve">UES </w:t>
      </w:r>
      <w:r w:rsidR="00963C15">
        <w:rPr>
          <w:rFonts w:asciiTheme="minorHAnsi" w:hAnsiTheme="minorHAnsi"/>
        </w:rPr>
        <w:t>are generated by a diverse set of habitats within highly fragmented ecosystems</w:t>
      </w:r>
      <w:r w:rsidR="005B6ECA">
        <w:rPr>
          <w:rFonts w:asciiTheme="minorHAnsi" w:hAnsiTheme="minorHAnsi"/>
        </w:rPr>
        <w:t xml:space="preserve"> that humans normally interact with</w:t>
      </w:r>
      <w:r w:rsidR="00FB0AF3">
        <w:rPr>
          <w:rFonts w:asciiTheme="minorHAnsi" w:hAnsiTheme="minorHAnsi"/>
        </w:rPr>
        <w:t xml:space="preserve">. This </w:t>
      </w:r>
      <w:r w:rsidR="00963C15">
        <w:rPr>
          <w:rFonts w:asciiTheme="minorHAnsi" w:hAnsiTheme="minorHAnsi"/>
        </w:rPr>
        <w:t>includ</w:t>
      </w:r>
      <w:r w:rsidR="00FB0AF3">
        <w:rPr>
          <w:rFonts w:asciiTheme="minorHAnsi" w:hAnsiTheme="minorHAnsi"/>
        </w:rPr>
        <w:t>es</w:t>
      </w:r>
      <w:r w:rsidR="00963C15">
        <w:rPr>
          <w:rFonts w:asciiTheme="minorHAnsi" w:hAnsiTheme="minorHAnsi"/>
        </w:rPr>
        <w:t xml:space="preserve"> green spaces such as parks, urban forests, gardens, cemeteries, and </w:t>
      </w:r>
      <w:r w:rsidR="005B6ECA">
        <w:rPr>
          <w:rFonts w:asciiTheme="minorHAnsi" w:hAnsiTheme="minorHAnsi"/>
        </w:rPr>
        <w:t>vacant lot</w:t>
      </w:r>
      <w:r w:rsidR="00963C15">
        <w:rPr>
          <w:rFonts w:asciiTheme="minorHAnsi" w:hAnsiTheme="minorHAnsi"/>
        </w:rPr>
        <w:t>s</w:t>
      </w:r>
      <w:r w:rsidR="00955DD4">
        <w:rPr>
          <w:rFonts w:asciiTheme="minorHAnsi" w:hAnsiTheme="minorHAnsi"/>
        </w:rPr>
        <w:t>,</w:t>
      </w:r>
      <w:r w:rsidR="00963C15">
        <w:rPr>
          <w:rFonts w:asciiTheme="minorHAnsi" w:hAnsiTheme="minorHAnsi"/>
        </w:rPr>
        <w:t xml:space="preserve"> and blue spaces such as rivers, lakes, wetlands, and reservoirs (Elmqvist et al., 2015). Furthermore, analysis of UES</w:t>
      </w:r>
      <w:r w:rsidR="005B6ECA">
        <w:rPr>
          <w:rFonts w:asciiTheme="minorHAnsi" w:hAnsiTheme="minorHAnsi"/>
        </w:rPr>
        <w:t xml:space="preserve"> typically involves examining how human beings use, benefit from, and value </w:t>
      </w:r>
      <w:r w:rsidR="001D5225">
        <w:rPr>
          <w:rFonts w:asciiTheme="minorHAnsi" w:hAnsiTheme="minorHAnsi"/>
        </w:rPr>
        <w:t>them</w:t>
      </w:r>
      <w:r w:rsidR="005B6ECA">
        <w:rPr>
          <w:rFonts w:asciiTheme="minorHAnsi" w:hAnsiTheme="minorHAnsi"/>
        </w:rPr>
        <w:t xml:space="preserve"> through </w:t>
      </w:r>
      <w:r w:rsidR="001D5225">
        <w:rPr>
          <w:rFonts w:asciiTheme="minorHAnsi" w:hAnsiTheme="minorHAnsi"/>
        </w:rPr>
        <w:t xml:space="preserve">biophysical, </w:t>
      </w:r>
      <w:r w:rsidR="005B6ECA">
        <w:rPr>
          <w:rFonts w:asciiTheme="minorHAnsi" w:hAnsiTheme="minorHAnsi"/>
        </w:rPr>
        <w:t>monetary</w:t>
      </w:r>
      <w:r w:rsidR="001D5225">
        <w:rPr>
          <w:rFonts w:asciiTheme="minorHAnsi" w:hAnsiTheme="minorHAnsi"/>
        </w:rPr>
        <w:t>, and</w:t>
      </w:r>
      <w:r w:rsidR="005B6ECA">
        <w:rPr>
          <w:rFonts w:asciiTheme="minorHAnsi" w:hAnsiTheme="minorHAnsi"/>
        </w:rPr>
        <w:t xml:space="preserve"> health metrics (De Groot et al., 2010; Elmqvist et al., 2015). Therefore, addressing UES fundamentally requires a social-ecological perspective (Folke, 2006). </w:t>
      </w:r>
      <w:r w:rsidR="006A216B">
        <w:rPr>
          <w:rFonts w:asciiTheme="minorHAnsi" w:hAnsiTheme="minorHAnsi"/>
        </w:rPr>
        <w:t xml:space="preserve">In 2005, </w:t>
      </w:r>
      <w:r w:rsidR="008824EE">
        <w:rPr>
          <w:rFonts w:asciiTheme="minorHAnsi" w:hAnsiTheme="minorHAnsi"/>
        </w:rPr>
        <w:t xml:space="preserve">the </w:t>
      </w:r>
      <w:r w:rsidR="00C160DF">
        <w:rPr>
          <w:rFonts w:asciiTheme="minorHAnsi" w:hAnsiTheme="minorHAnsi"/>
        </w:rPr>
        <w:t xml:space="preserve">United Nations </w:t>
      </w:r>
      <w:r w:rsidR="008824EE">
        <w:rPr>
          <w:rFonts w:asciiTheme="minorHAnsi" w:hAnsiTheme="minorHAnsi"/>
        </w:rPr>
        <w:t>release</w:t>
      </w:r>
      <w:r w:rsidR="00C160DF">
        <w:rPr>
          <w:rFonts w:asciiTheme="minorHAnsi" w:hAnsiTheme="minorHAnsi"/>
        </w:rPr>
        <w:t>d</w:t>
      </w:r>
      <w:r w:rsidR="008824EE">
        <w:rPr>
          <w:rFonts w:asciiTheme="minorHAnsi" w:hAnsiTheme="minorHAnsi"/>
        </w:rPr>
        <w:t xml:space="preserve"> the Millennium Ecosystem Assessment</w:t>
      </w:r>
      <w:r w:rsidR="00B80498">
        <w:rPr>
          <w:rFonts w:asciiTheme="minorHAnsi" w:hAnsiTheme="minorHAnsi"/>
        </w:rPr>
        <w:t xml:space="preserve">, </w:t>
      </w:r>
      <w:r w:rsidR="008824EE">
        <w:rPr>
          <w:rFonts w:asciiTheme="minorHAnsi" w:hAnsiTheme="minorHAnsi"/>
        </w:rPr>
        <w:t>which</w:t>
      </w:r>
      <w:r w:rsidR="007C5B2E">
        <w:rPr>
          <w:rFonts w:asciiTheme="minorHAnsi" w:hAnsiTheme="minorHAnsi"/>
        </w:rPr>
        <w:t xml:space="preserve"> presented their findings on the consequences of ecosystem change for human well-being and established a scientific basis for actions needed to produce more sustainable ecosystems</w:t>
      </w:r>
      <w:r w:rsidR="00B80498">
        <w:rPr>
          <w:rFonts w:asciiTheme="minorHAnsi" w:hAnsiTheme="minorHAnsi"/>
        </w:rPr>
        <w:t xml:space="preserve"> (MA, 2005)</w:t>
      </w:r>
      <w:r w:rsidR="00C160DF">
        <w:rPr>
          <w:rFonts w:asciiTheme="minorHAnsi" w:hAnsiTheme="minorHAnsi"/>
        </w:rPr>
        <w:t xml:space="preserve">. </w:t>
      </w:r>
      <w:r w:rsidR="006A216B">
        <w:rPr>
          <w:rFonts w:asciiTheme="minorHAnsi" w:hAnsiTheme="minorHAnsi"/>
        </w:rPr>
        <w:t>Since then, p</w:t>
      </w:r>
      <w:r w:rsidR="007C5B2E">
        <w:rPr>
          <w:rFonts w:asciiTheme="minorHAnsi" w:hAnsiTheme="minorHAnsi"/>
        </w:rPr>
        <w:t xml:space="preserve">olicy makers and city planners have attempted to utilize this information to improve the sustainability of cities and increase the utility of UES for human well-being (TEEB, 2010). </w:t>
      </w:r>
      <w:r w:rsidR="00EC26C6">
        <w:rPr>
          <w:rFonts w:asciiTheme="minorHAnsi" w:hAnsiTheme="minorHAnsi"/>
        </w:rPr>
        <w:t xml:space="preserve">However, there is no </w:t>
      </w:r>
      <w:r w:rsidR="00C160DF">
        <w:rPr>
          <w:rFonts w:asciiTheme="minorHAnsi" w:hAnsiTheme="minorHAnsi"/>
        </w:rPr>
        <w:t>homogeneous</w:t>
      </w:r>
      <w:r w:rsidR="00EC26C6">
        <w:rPr>
          <w:rFonts w:asciiTheme="minorHAnsi" w:hAnsiTheme="minorHAnsi"/>
        </w:rPr>
        <w:t xml:space="preserve"> </w:t>
      </w:r>
      <w:r w:rsidR="00F510CA">
        <w:rPr>
          <w:rFonts w:asciiTheme="minorHAnsi" w:hAnsiTheme="minorHAnsi"/>
        </w:rPr>
        <w:t>framework</w:t>
      </w:r>
      <w:r w:rsidR="00EC26C6">
        <w:rPr>
          <w:rFonts w:asciiTheme="minorHAnsi" w:hAnsiTheme="minorHAnsi"/>
        </w:rPr>
        <w:t xml:space="preserve"> for UES production in cities. </w:t>
      </w:r>
      <w:r w:rsidR="00F510CA">
        <w:rPr>
          <w:rFonts w:asciiTheme="minorHAnsi" w:hAnsiTheme="minorHAnsi"/>
        </w:rPr>
        <w:t xml:space="preserve">Given </w:t>
      </w:r>
      <w:r w:rsidR="00EE4316">
        <w:rPr>
          <w:rFonts w:asciiTheme="minorHAnsi" w:hAnsiTheme="minorHAnsi"/>
        </w:rPr>
        <w:t xml:space="preserve">the </w:t>
      </w:r>
      <w:r w:rsidR="00F510CA">
        <w:rPr>
          <w:rFonts w:asciiTheme="minorHAnsi" w:hAnsiTheme="minorHAnsi"/>
        </w:rPr>
        <w:t xml:space="preserve">variety of the ecological, economic, political, and social characteristics of </w:t>
      </w:r>
      <w:r w:rsidR="008D2527">
        <w:rPr>
          <w:rFonts w:asciiTheme="minorHAnsi" w:hAnsiTheme="minorHAnsi"/>
        </w:rPr>
        <w:t>a given city</w:t>
      </w:r>
      <w:r w:rsidR="00F510CA">
        <w:rPr>
          <w:rFonts w:asciiTheme="minorHAnsi" w:hAnsiTheme="minorHAnsi"/>
        </w:rPr>
        <w:t xml:space="preserve">, UES research needs to be carefully contextualized in relation to the characteristics and needs of that urban area (Luederitz et al., 2015). For instance, </w:t>
      </w:r>
      <w:r w:rsidR="00EE4316">
        <w:rPr>
          <w:rFonts w:asciiTheme="minorHAnsi" w:hAnsiTheme="minorHAnsi"/>
        </w:rPr>
        <w:t xml:space="preserve">green spaces supportive of local climate regulation may be critical in highly impervious cities that experience </w:t>
      </w:r>
      <w:r w:rsidR="00550184">
        <w:rPr>
          <w:rFonts w:asciiTheme="minorHAnsi" w:hAnsiTheme="minorHAnsi"/>
        </w:rPr>
        <w:t>intense heat waves</w:t>
      </w:r>
      <w:r w:rsidR="00EE4316">
        <w:rPr>
          <w:rFonts w:asciiTheme="minorHAnsi" w:hAnsiTheme="minorHAnsi"/>
        </w:rPr>
        <w:t xml:space="preserve"> (i.e. Los </w:t>
      </w:r>
      <w:r w:rsidR="00796E7E">
        <w:rPr>
          <w:rFonts w:asciiTheme="minorHAnsi" w:hAnsiTheme="minorHAnsi"/>
        </w:rPr>
        <w:t>Angeles</w:t>
      </w:r>
      <w:r w:rsidR="00EE4316">
        <w:rPr>
          <w:rFonts w:asciiTheme="minorHAnsi" w:hAnsiTheme="minorHAnsi"/>
        </w:rPr>
        <w:t>, CA)</w:t>
      </w:r>
      <w:r w:rsidR="00C160DF">
        <w:rPr>
          <w:rFonts w:asciiTheme="minorHAnsi" w:hAnsiTheme="minorHAnsi"/>
        </w:rPr>
        <w:t>,</w:t>
      </w:r>
      <w:r w:rsidR="00EE4316">
        <w:rPr>
          <w:rFonts w:asciiTheme="minorHAnsi" w:hAnsiTheme="minorHAnsi"/>
        </w:rPr>
        <w:t xml:space="preserve"> while green spaces supportive of recreational activ</w:t>
      </w:r>
      <w:r w:rsidR="00DA021F">
        <w:rPr>
          <w:rFonts w:asciiTheme="minorHAnsi" w:hAnsiTheme="minorHAnsi"/>
        </w:rPr>
        <w:t>iti</w:t>
      </w:r>
      <w:r w:rsidR="00EE4316">
        <w:rPr>
          <w:rFonts w:asciiTheme="minorHAnsi" w:hAnsiTheme="minorHAnsi"/>
        </w:rPr>
        <w:t xml:space="preserve">es may be more critical in highly impervious cities that </w:t>
      </w:r>
      <w:r w:rsidR="00EE4316">
        <w:rPr>
          <w:rFonts w:asciiTheme="minorHAnsi" w:hAnsiTheme="minorHAnsi"/>
        </w:rPr>
        <w:lastRenderedPageBreak/>
        <w:t>utilize city p</w:t>
      </w:r>
      <w:r w:rsidR="00EE4316" w:rsidRPr="00EE4316">
        <w:rPr>
          <w:rFonts w:asciiTheme="minorHAnsi" w:hAnsiTheme="minorHAnsi"/>
          <w:color w:val="000000" w:themeColor="text1"/>
        </w:rPr>
        <w:t xml:space="preserve">arks </w:t>
      </w:r>
      <w:r w:rsidR="00EE4316">
        <w:rPr>
          <w:rFonts w:asciiTheme="minorHAnsi" w:hAnsiTheme="minorHAnsi"/>
          <w:color w:val="000000" w:themeColor="text1"/>
        </w:rPr>
        <w:t xml:space="preserve">as </w:t>
      </w:r>
      <w:r w:rsidR="005F5FDD">
        <w:rPr>
          <w:rFonts w:asciiTheme="minorHAnsi" w:hAnsiTheme="minorHAnsi"/>
          <w:color w:val="000000" w:themeColor="text1"/>
        </w:rPr>
        <w:t>a key attraction for</w:t>
      </w:r>
      <w:r w:rsidR="00EE4316">
        <w:rPr>
          <w:rFonts w:asciiTheme="minorHAnsi" w:hAnsiTheme="minorHAnsi"/>
          <w:color w:val="000000" w:themeColor="text1"/>
        </w:rPr>
        <w:t xml:space="preserve"> tourists </w:t>
      </w:r>
      <w:r w:rsidR="005F5FDD">
        <w:rPr>
          <w:rFonts w:asciiTheme="minorHAnsi" w:hAnsiTheme="minorHAnsi"/>
          <w:color w:val="000000" w:themeColor="text1"/>
        </w:rPr>
        <w:t xml:space="preserve">and </w:t>
      </w:r>
      <w:r w:rsidR="00EC6549">
        <w:rPr>
          <w:rFonts w:asciiTheme="minorHAnsi" w:hAnsiTheme="minorHAnsi"/>
          <w:color w:val="000000" w:themeColor="text1"/>
        </w:rPr>
        <w:t xml:space="preserve">a </w:t>
      </w:r>
      <w:r w:rsidR="005F5FDD">
        <w:rPr>
          <w:rFonts w:asciiTheme="minorHAnsi" w:hAnsiTheme="minorHAnsi"/>
          <w:color w:val="000000" w:themeColor="text1"/>
        </w:rPr>
        <w:t xml:space="preserve">support </w:t>
      </w:r>
      <w:r w:rsidR="00EC6549">
        <w:rPr>
          <w:rFonts w:asciiTheme="minorHAnsi" w:hAnsiTheme="minorHAnsi"/>
          <w:color w:val="000000" w:themeColor="text1"/>
        </w:rPr>
        <w:t xml:space="preserve">system </w:t>
      </w:r>
      <w:r w:rsidR="005F5FDD">
        <w:rPr>
          <w:rFonts w:asciiTheme="minorHAnsi" w:hAnsiTheme="minorHAnsi"/>
          <w:color w:val="000000" w:themeColor="text1"/>
        </w:rPr>
        <w:t xml:space="preserve">for residents’ cultural service needs </w:t>
      </w:r>
      <w:r w:rsidR="00EE4316">
        <w:rPr>
          <w:rFonts w:asciiTheme="minorHAnsi" w:hAnsiTheme="minorHAnsi"/>
          <w:color w:val="000000" w:themeColor="text1"/>
        </w:rPr>
        <w:t>(i.e. New York, NY).</w:t>
      </w:r>
    </w:p>
    <w:p w14:paraId="57170E80" w14:textId="1DCB4C97" w:rsidR="00E1303C" w:rsidRDefault="00413610" w:rsidP="0038185F">
      <w:pPr>
        <w:spacing w:line="360" w:lineRule="auto"/>
        <w:ind w:firstLine="720"/>
        <w:rPr>
          <w:rFonts w:asciiTheme="minorHAnsi" w:hAnsiTheme="minorHAnsi"/>
          <w:color w:val="000000" w:themeColor="text1"/>
          <w:shd w:val="clear" w:color="auto" w:fill="FCFCFC"/>
        </w:rPr>
      </w:pPr>
      <w:r>
        <w:rPr>
          <w:rFonts w:asciiTheme="minorHAnsi" w:hAnsiTheme="minorHAnsi"/>
          <w:color w:val="000000" w:themeColor="text1"/>
        </w:rPr>
        <w:t>Complicating the push for more green spaces,</w:t>
      </w:r>
      <w:r w:rsidR="00EE4316">
        <w:rPr>
          <w:rFonts w:asciiTheme="minorHAnsi" w:hAnsiTheme="minorHAnsi"/>
          <w:color w:val="000000" w:themeColor="text1"/>
        </w:rPr>
        <w:t xml:space="preserve"> </w:t>
      </w:r>
      <w:r w:rsidR="008E6685">
        <w:rPr>
          <w:rFonts w:asciiTheme="minorHAnsi" w:hAnsiTheme="minorHAnsi"/>
          <w:color w:val="000000" w:themeColor="text1"/>
        </w:rPr>
        <w:t xml:space="preserve">urban ecosystems </w:t>
      </w:r>
      <w:r>
        <w:rPr>
          <w:rFonts w:asciiTheme="minorHAnsi" w:hAnsiTheme="minorHAnsi"/>
          <w:color w:val="000000" w:themeColor="text1"/>
        </w:rPr>
        <w:t xml:space="preserve">may also produce </w:t>
      </w:r>
      <w:r w:rsidR="008E6685">
        <w:rPr>
          <w:rFonts w:asciiTheme="minorHAnsi" w:hAnsiTheme="minorHAnsi"/>
          <w:color w:val="000000" w:themeColor="text1"/>
        </w:rPr>
        <w:t>disservices. Ecosystem disservices are “</w:t>
      </w:r>
      <w:r w:rsidR="008E6685" w:rsidRPr="007230E0">
        <w:rPr>
          <w:rFonts w:asciiTheme="minorHAnsi" w:hAnsiTheme="minorHAnsi"/>
          <w:color w:val="000000" w:themeColor="text1"/>
          <w:shd w:val="clear" w:color="auto" w:fill="FCFCFC"/>
        </w:rPr>
        <w:t>functions, processes and attributes that result in perceived or actual negative impacts on human wellbeing”</w:t>
      </w:r>
      <w:r w:rsidR="007230E0">
        <w:rPr>
          <w:rFonts w:asciiTheme="minorHAnsi" w:hAnsiTheme="minorHAnsi"/>
          <w:color w:val="000000" w:themeColor="text1"/>
          <w:shd w:val="clear" w:color="auto" w:fill="FCFCFC"/>
        </w:rPr>
        <w:t xml:space="preserve"> (Shackleton et al., 2016). To elaborate, urban trees are perceived as one of the primary providers of UES</w:t>
      </w:r>
      <w:r w:rsidR="003C4DBE">
        <w:rPr>
          <w:rFonts w:asciiTheme="minorHAnsi" w:hAnsiTheme="minorHAnsi"/>
          <w:color w:val="000000" w:themeColor="text1"/>
          <w:shd w:val="clear" w:color="auto" w:fill="FCFCFC"/>
        </w:rPr>
        <w:t xml:space="preserve"> as they provide services such as </w:t>
      </w:r>
      <w:r w:rsidR="007230E0">
        <w:rPr>
          <w:rFonts w:asciiTheme="minorHAnsi" w:hAnsiTheme="minorHAnsi"/>
          <w:color w:val="000000" w:themeColor="text1"/>
          <w:shd w:val="clear" w:color="auto" w:fill="FCFCFC"/>
        </w:rPr>
        <w:t xml:space="preserve">carbon storage, air pollution removal, </w:t>
      </w:r>
      <w:r w:rsidR="000F1C35">
        <w:rPr>
          <w:rFonts w:asciiTheme="minorHAnsi" w:hAnsiTheme="minorHAnsi"/>
          <w:color w:val="000000" w:themeColor="text1"/>
          <w:shd w:val="clear" w:color="auto" w:fill="FCFCFC"/>
        </w:rPr>
        <w:t>temperature</w:t>
      </w:r>
      <w:r w:rsidR="007230E0">
        <w:rPr>
          <w:rFonts w:asciiTheme="minorHAnsi" w:hAnsiTheme="minorHAnsi"/>
          <w:color w:val="000000" w:themeColor="text1"/>
          <w:shd w:val="clear" w:color="auto" w:fill="FCFCFC"/>
        </w:rPr>
        <w:t xml:space="preserve"> regulation, stormwater management, habitat provision, and noise pollution reduction (Roy et al., 2012). However, despite the many documented benefits of urban trees, they have also been documented </w:t>
      </w:r>
      <w:r w:rsidR="008D2527">
        <w:rPr>
          <w:rFonts w:asciiTheme="minorHAnsi" w:hAnsiTheme="minorHAnsi"/>
          <w:color w:val="000000" w:themeColor="text1"/>
          <w:shd w:val="clear" w:color="auto" w:fill="FCFCFC"/>
        </w:rPr>
        <w:t xml:space="preserve">to produce </w:t>
      </w:r>
      <w:r>
        <w:rPr>
          <w:rFonts w:asciiTheme="minorHAnsi" w:hAnsiTheme="minorHAnsi"/>
          <w:color w:val="000000" w:themeColor="text1"/>
          <w:shd w:val="clear" w:color="auto" w:fill="FCFCFC"/>
        </w:rPr>
        <w:t>several</w:t>
      </w:r>
      <w:r w:rsidR="008D2527">
        <w:rPr>
          <w:rFonts w:asciiTheme="minorHAnsi" w:hAnsiTheme="minorHAnsi"/>
          <w:color w:val="000000" w:themeColor="text1"/>
          <w:shd w:val="clear" w:color="auto" w:fill="FCFCFC"/>
        </w:rPr>
        <w:t xml:space="preserve"> disservices as well. These include damages to a city’s built-in</w:t>
      </w:r>
      <w:r w:rsidR="00DA021F">
        <w:rPr>
          <w:rFonts w:asciiTheme="minorHAnsi" w:hAnsiTheme="minorHAnsi"/>
          <w:color w:val="000000" w:themeColor="text1"/>
          <w:shd w:val="clear" w:color="auto" w:fill="FCFCFC"/>
        </w:rPr>
        <w:t xml:space="preserve"> in</w:t>
      </w:r>
      <w:r w:rsidR="008D2527">
        <w:rPr>
          <w:rFonts w:asciiTheme="minorHAnsi" w:hAnsiTheme="minorHAnsi"/>
          <w:color w:val="000000" w:themeColor="text1"/>
          <w:shd w:val="clear" w:color="auto" w:fill="FCFCFC"/>
        </w:rPr>
        <w:t xml:space="preserve">frastructure, decreases in air quality through the release of allergenic pollen and </w:t>
      </w:r>
      <w:r>
        <w:rPr>
          <w:rFonts w:asciiTheme="minorHAnsi" w:hAnsiTheme="minorHAnsi"/>
          <w:color w:val="000000" w:themeColor="text1"/>
          <w:shd w:val="clear" w:color="auto" w:fill="FCFCFC"/>
        </w:rPr>
        <w:t>biogenic volatile organic compounds (</w:t>
      </w:r>
      <w:r w:rsidR="008D2527">
        <w:rPr>
          <w:rFonts w:asciiTheme="minorHAnsi" w:hAnsiTheme="minorHAnsi"/>
          <w:color w:val="000000" w:themeColor="text1"/>
          <w:shd w:val="clear" w:color="auto" w:fill="FCFCFC"/>
        </w:rPr>
        <w:t>BVOC</w:t>
      </w:r>
      <w:r>
        <w:rPr>
          <w:rFonts w:asciiTheme="minorHAnsi" w:hAnsiTheme="minorHAnsi"/>
          <w:color w:val="000000" w:themeColor="text1"/>
          <w:shd w:val="clear" w:color="auto" w:fill="FCFCFC"/>
        </w:rPr>
        <w:t>)</w:t>
      </w:r>
      <w:r w:rsidR="008D2527">
        <w:rPr>
          <w:rFonts w:asciiTheme="minorHAnsi" w:hAnsiTheme="minorHAnsi"/>
          <w:color w:val="000000" w:themeColor="text1"/>
          <w:shd w:val="clear" w:color="auto" w:fill="FCFCFC"/>
        </w:rPr>
        <w:t xml:space="preserve"> emissions, negative aesthetic impacts from fruit and leaf litter, and requiring management costs from local municipalities (Roman et al., 2020). Altogether, </w:t>
      </w:r>
      <w:r w:rsidR="001218DC">
        <w:rPr>
          <w:rFonts w:asciiTheme="minorHAnsi" w:hAnsiTheme="minorHAnsi"/>
          <w:color w:val="000000" w:themeColor="text1"/>
          <w:shd w:val="clear" w:color="auto" w:fill="FCFCFC"/>
        </w:rPr>
        <w:t xml:space="preserve">the use of UES has become more prevalent in city planning and governance; however, so must the contextualization of UES </w:t>
      </w:r>
      <w:r w:rsidR="00550184">
        <w:rPr>
          <w:rFonts w:asciiTheme="minorHAnsi" w:hAnsiTheme="minorHAnsi"/>
          <w:color w:val="000000" w:themeColor="text1"/>
          <w:shd w:val="clear" w:color="auto" w:fill="FCFCFC"/>
        </w:rPr>
        <w:t xml:space="preserve">by city characteristics </w:t>
      </w:r>
      <w:r w:rsidR="001218DC">
        <w:rPr>
          <w:rFonts w:asciiTheme="minorHAnsi" w:hAnsiTheme="minorHAnsi"/>
          <w:color w:val="000000" w:themeColor="text1"/>
          <w:shd w:val="clear" w:color="auto" w:fill="FCFCFC"/>
        </w:rPr>
        <w:t xml:space="preserve">and the understanding of disservices so </w:t>
      </w:r>
      <w:r w:rsidR="00C160DF">
        <w:rPr>
          <w:rFonts w:asciiTheme="minorHAnsi" w:hAnsiTheme="minorHAnsi"/>
          <w:color w:val="000000" w:themeColor="text1"/>
          <w:shd w:val="clear" w:color="auto" w:fill="FCFCFC"/>
        </w:rPr>
        <w:t xml:space="preserve">that </w:t>
      </w:r>
      <w:r w:rsidR="001218DC">
        <w:rPr>
          <w:rFonts w:asciiTheme="minorHAnsi" w:hAnsiTheme="minorHAnsi"/>
          <w:color w:val="000000" w:themeColor="text1"/>
          <w:shd w:val="clear" w:color="auto" w:fill="FCFCFC"/>
        </w:rPr>
        <w:t xml:space="preserve">cities can effectively meet the needs of residents </w:t>
      </w:r>
      <w:r w:rsidR="00550184">
        <w:rPr>
          <w:rFonts w:asciiTheme="minorHAnsi" w:hAnsiTheme="minorHAnsi"/>
          <w:color w:val="000000" w:themeColor="text1"/>
          <w:shd w:val="clear" w:color="auto" w:fill="FCFCFC"/>
        </w:rPr>
        <w:t>while</w:t>
      </w:r>
      <w:r w:rsidR="001218DC">
        <w:rPr>
          <w:rFonts w:asciiTheme="minorHAnsi" w:hAnsiTheme="minorHAnsi"/>
          <w:color w:val="000000" w:themeColor="text1"/>
          <w:shd w:val="clear" w:color="auto" w:fill="FCFCFC"/>
        </w:rPr>
        <w:t xml:space="preserve"> </w:t>
      </w:r>
      <w:r w:rsidR="00550184">
        <w:rPr>
          <w:rFonts w:asciiTheme="minorHAnsi" w:hAnsiTheme="minorHAnsi"/>
          <w:color w:val="000000" w:themeColor="text1"/>
          <w:shd w:val="clear" w:color="auto" w:fill="FCFCFC"/>
        </w:rPr>
        <w:t xml:space="preserve">also </w:t>
      </w:r>
      <w:r w:rsidR="001218DC">
        <w:rPr>
          <w:rFonts w:asciiTheme="minorHAnsi" w:hAnsiTheme="minorHAnsi"/>
          <w:color w:val="000000" w:themeColor="text1"/>
          <w:shd w:val="clear" w:color="auto" w:fill="FCFCFC"/>
        </w:rPr>
        <w:t>maximiz</w:t>
      </w:r>
      <w:r w:rsidR="00550184">
        <w:rPr>
          <w:rFonts w:asciiTheme="minorHAnsi" w:hAnsiTheme="minorHAnsi"/>
          <w:color w:val="000000" w:themeColor="text1"/>
          <w:shd w:val="clear" w:color="auto" w:fill="FCFCFC"/>
        </w:rPr>
        <w:t>ing</w:t>
      </w:r>
      <w:r w:rsidR="001218DC">
        <w:rPr>
          <w:rFonts w:asciiTheme="minorHAnsi" w:hAnsiTheme="minorHAnsi"/>
          <w:color w:val="000000" w:themeColor="text1"/>
          <w:shd w:val="clear" w:color="auto" w:fill="FCFCFC"/>
        </w:rPr>
        <w:t xml:space="preserve"> </w:t>
      </w:r>
      <w:r w:rsidR="00550184">
        <w:rPr>
          <w:rFonts w:asciiTheme="minorHAnsi" w:hAnsiTheme="minorHAnsi"/>
          <w:color w:val="000000" w:themeColor="text1"/>
          <w:shd w:val="clear" w:color="auto" w:fill="FCFCFC"/>
        </w:rPr>
        <w:t>the</w:t>
      </w:r>
      <w:r w:rsidR="00C160DF">
        <w:rPr>
          <w:rFonts w:asciiTheme="minorHAnsi" w:hAnsiTheme="minorHAnsi"/>
          <w:color w:val="000000" w:themeColor="text1"/>
          <w:shd w:val="clear" w:color="auto" w:fill="FCFCFC"/>
        </w:rPr>
        <w:t xml:space="preserve"> </w:t>
      </w:r>
      <w:r w:rsidR="00550184">
        <w:rPr>
          <w:rFonts w:asciiTheme="minorHAnsi" w:hAnsiTheme="minorHAnsi"/>
          <w:color w:val="000000" w:themeColor="text1"/>
          <w:shd w:val="clear" w:color="auto" w:fill="FCFCFC"/>
        </w:rPr>
        <w:t>sustainability</w:t>
      </w:r>
      <w:r>
        <w:rPr>
          <w:rFonts w:asciiTheme="minorHAnsi" w:hAnsiTheme="minorHAnsi"/>
          <w:color w:val="000000" w:themeColor="text1"/>
          <w:shd w:val="clear" w:color="auto" w:fill="FCFCFC"/>
        </w:rPr>
        <w:t xml:space="preserve"> </w:t>
      </w:r>
      <w:r w:rsidR="00CC3BAB">
        <w:rPr>
          <w:rFonts w:asciiTheme="minorHAnsi" w:hAnsiTheme="minorHAnsi"/>
          <w:color w:val="000000" w:themeColor="text1"/>
          <w:shd w:val="clear" w:color="auto" w:fill="FCFCFC"/>
        </w:rPr>
        <w:t>benefits</w:t>
      </w:r>
      <w:r w:rsidR="00550184">
        <w:rPr>
          <w:rFonts w:asciiTheme="minorHAnsi" w:hAnsiTheme="minorHAnsi"/>
          <w:color w:val="000000" w:themeColor="text1"/>
          <w:shd w:val="clear" w:color="auto" w:fill="FCFCFC"/>
        </w:rPr>
        <w:t xml:space="preserve">. </w:t>
      </w:r>
    </w:p>
    <w:p w14:paraId="1D07E597" w14:textId="3FA3D1EC" w:rsidR="00A20824" w:rsidRDefault="00F4303D" w:rsidP="0038185F">
      <w:pPr>
        <w:spacing w:line="360" w:lineRule="auto"/>
        <w:ind w:firstLine="720"/>
        <w:rPr>
          <w:rFonts w:asciiTheme="minorHAnsi" w:hAnsiTheme="minorHAnsi"/>
        </w:rPr>
      </w:pPr>
      <w:r w:rsidRPr="00E1303C">
        <w:rPr>
          <w:rFonts w:asciiTheme="minorHAnsi" w:hAnsiTheme="minorHAnsi" w:cstheme="majorHAnsi"/>
        </w:rPr>
        <w:t xml:space="preserve">For this study, </w:t>
      </w:r>
      <w:r w:rsidR="00A612FB">
        <w:rPr>
          <w:rFonts w:asciiTheme="minorHAnsi" w:hAnsiTheme="minorHAnsi" w:cstheme="majorHAnsi"/>
        </w:rPr>
        <w:t>we</w:t>
      </w:r>
      <w:r w:rsidR="00A612FB" w:rsidRPr="00E1303C">
        <w:rPr>
          <w:rFonts w:asciiTheme="minorHAnsi" w:hAnsiTheme="minorHAnsi" w:cstheme="majorHAnsi"/>
        </w:rPr>
        <w:t xml:space="preserve"> </w:t>
      </w:r>
      <w:r w:rsidRPr="00E1303C">
        <w:rPr>
          <w:rFonts w:asciiTheme="minorHAnsi" w:hAnsiTheme="minorHAnsi" w:cstheme="majorHAnsi"/>
        </w:rPr>
        <w:t>examined four UES</w:t>
      </w:r>
      <w:r w:rsidR="00634295" w:rsidRPr="00E1303C">
        <w:rPr>
          <w:rFonts w:asciiTheme="minorHAnsi" w:hAnsiTheme="minorHAnsi" w:cstheme="majorHAnsi"/>
        </w:rPr>
        <w:t>: carbon storage and sequestration</w:t>
      </w:r>
      <w:r w:rsidR="00105105">
        <w:rPr>
          <w:rFonts w:asciiTheme="minorHAnsi" w:hAnsiTheme="minorHAnsi" w:cstheme="majorHAnsi"/>
        </w:rPr>
        <w:t xml:space="preserve"> (total carbon removal)</w:t>
      </w:r>
      <w:r w:rsidR="00634295" w:rsidRPr="00E1303C">
        <w:rPr>
          <w:rFonts w:asciiTheme="minorHAnsi" w:hAnsiTheme="minorHAnsi" w:cstheme="majorHAnsi"/>
        </w:rPr>
        <w:t>, air pollution removal, local climate regulation, and recreation potential</w:t>
      </w:r>
      <w:r w:rsidR="00A8745B">
        <w:rPr>
          <w:rFonts w:asciiTheme="minorHAnsi" w:hAnsiTheme="minorHAnsi" w:cstheme="majorHAnsi"/>
        </w:rPr>
        <w:t xml:space="preserve">. The UES carbon storage and sequestration </w:t>
      </w:r>
      <w:r w:rsidR="00105105">
        <w:rPr>
          <w:rFonts w:asciiTheme="minorHAnsi" w:hAnsiTheme="minorHAnsi" w:cstheme="majorHAnsi"/>
        </w:rPr>
        <w:t>are</w:t>
      </w:r>
      <w:r w:rsidR="00A8745B">
        <w:rPr>
          <w:rFonts w:asciiTheme="minorHAnsi" w:hAnsiTheme="minorHAnsi" w:cstheme="majorHAnsi"/>
        </w:rPr>
        <w:t xml:space="preserve"> especially important service</w:t>
      </w:r>
      <w:r w:rsidR="00105105">
        <w:rPr>
          <w:rFonts w:asciiTheme="minorHAnsi" w:hAnsiTheme="minorHAnsi" w:cstheme="majorHAnsi"/>
        </w:rPr>
        <w:t>s</w:t>
      </w:r>
      <w:r w:rsidR="00A8745B">
        <w:rPr>
          <w:rFonts w:asciiTheme="minorHAnsi" w:hAnsiTheme="minorHAnsi" w:cstheme="majorHAnsi"/>
        </w:rPr>
        <w:t xml:space="preserve"> in urban areas with high carbon emission rates.</w:t>
      </w:r>
      <w:r w:rsidR="00772137" w:rsidRPr="00E1303C">
        <w:rPr>
          <w:rFonts w:asciiTheme="minorHAnsi" w:hAnsiTheme="minorHAnsi" w:cstheme="majorHAnsi"/>
        </w:rPr>
        <w:t xml:space="preserve"> </w:t>
      </w:r>
      <w:r w:rsidR="00105105">
        <w:rPr>
          <w:rFonts w:asciiTheme="minorHAnsi" w:hAnsiTheme="minorHAnsi" w:cstheme="majorHAnsi"/>
        </w:rPr>
        <w:t xml:space="preserve">Carbon storage refers to the amount of carbon that is bound up by woody material in trees or </w:t>
      </w:r>
      <w:r w:rsidR="00F32064">
        <w:rPr>
          <w:rFonts w:asciiTheme="minorHAnsi" w:hAnsiTheme="minorHAnsi" w:cstheme="majorHAnsi"/>
        </w:rPr>
        <w:t xml:space="preserve">by </w:t>
      </w:r>
      <w:r w:rsidR="00105105">
        <w:rPr>
          <w:rFonts w:asciiTheme="minorHAnsi" w:hAnsiTheme="minorHAnsi" w:cstheme="majorHAnsi"/>
        </w:rPr>
        <w:t xml:space="preserve">the soil in the ground, whereas carbon sequestration refers to the removal of carbon from the atmosphere through processes such as photosynthesis. </w:t>
      </w:r>
      <w:r w:rsidR="00A8745B">
        <w:rPr>
          <w:rFonts w:asciiTheme="minorHAnsi" w:hAnsiTheme="minorHAnsi" w:cstheme="majorHAnsi"/>
        </w:rPr>
        <w:t>T</w:t>
      </w:r>
      <w:r w:rsidR="00772137" w:rsidRPr="00E1303C">
        <w:rPr>
          <w:rFonts w:asciiTheme="minorHAnsi" w:hAnsiTheme="minorHAnsi" w:cstheme="majorHAnsi"/>
        </w:rPr>
        <w:t>h</w:t>
      </w:r>
      <w:r w:rsidR="00105105">
        <w:rPr>
          <w:rFonts w:asciiTheme="minorHAnsi" w:hAnsiTheme="minorHAnsi" w:cstheme="majorHAnsi"/>
        </w:rPr>
        <w:t>e</w:t>
      </w:r>
      <w:r w:rsidR="00772137" w:rsidRPr="00E1303C">
        <w:rPr>
          <w:rFonts w:asciiTheme="minorHAnsi" w:hAnsiTheme="minorHAnsi" w:cstheme="majorHAnsi"/>
        </w:rPr>
        <w:t xml:space="preserve"> service</w:t>
      </w:r>
      <w:r w:rsidR="00105105">
        <w:rPr>
          <w:rFonts w:asciiTheme="minorHAnsi" w:hAnsiTheme="minorHAnsi" w:cstheme="majorHAnsi"/>
        </w:rPr>
        <w:t>s of carbon storage and sequestration</w:t>
      </w:r>
      <w:r w:rsidR="00772137" w:rsidRPr="00E1303C">
        <w:rPr>
          <w:rFonts w:asciiTheme="minorHAnsi" w:hAnsiTheme="minorHAnsi" w:cstheme="majorHAnsi"/>
        </w:rPr>
        <w:t xml:space="preserve"> </w:t>
      </w:r>
      <w:r w:rsidR="00105105">
        <w:rPr>
          <w:rFonts w:asciiTheme="minorHAnsi" w:hAnsiTheme="minorHAnsi" w:cstheme="majorHAnsi"/>
        </w:rPr>
        <w:t>are</w:t>
      </w:r>
      <w:r w:rsidR="00772137" w:rsidRPr="00E1303C">
        <w:rPr>
          <w:rFonts w:asciiTheme="minorHAnsi" w:hAnsiTheme="minorHAnsi" w:cstheme="majorHAnsi"/>
        </w:rPr>
        <w:t xml:space="preserve"> provid</w:t>
      </w:r>
      <w:r w:rsidR="001B5C6C">
        <w:rPr>
          <w:rFonts w:asciiTheme="minorHAnsi" w:hAnsiTheme="minorHAnsi" w:cstheme="majorHAnsi"/>
        </w:rPr>
        <w:t>ed</w:t>
      </w:r>
      <w:r w:rsidR="00772137" w:rsidRPr="00E1303C">
        <w:rPr>
          <w:rFonts w:asciiTheme="minorHAnsi" w:hAnsiTheme="minorHAnsi" w:cstheme="majorHAnsi"/>
        </w:rPr>
        <w:t xml:space="preserve"> </w:t>
      </w:r>
      <w:r w:rsidR="00FB0AF3">
        <w:rPr>
          <w:rFonts w:asciiTheme="minorHAnsi" w:hAnsiTheme="minorHAnsi" w:cstheme="majorHAnsi"/>
        </w:rPr>
        <w:t>commonly by</w:t>
      </w:r>
      <w:r w:rsidR="00772137" w:rsidRPr="00E1303C">
        <w:rPr>
          <w:rFonts w:asciiTheme="minorHAnsi" w:hAnsiTheme="minorHAnsi" w:cstheme="majorHAnsi"/>
        </w:rPr>
        <w:t xml:space="preserve"> urban trees and is largely dependent on the tree</w:t>
      </w:r>
      <w:r w:rsidR="00E43827">
        <w:rPr>
          <w:rFonts w:asciiTheme="minorHAnsi" w:hAnsiTheme="minorHAnsi" w:cstheme="majorHAnsi"/>
        </w:rPr>
        <w:t>’s</w:t>
      </w:r>
      <w:r w:rsidR="00772137" w:rsidRPr="00E1303C">
        <w:rPr>
          <w:rFonts w:asciiTheme="minorHAnsi" w:hAnsiTheme="minorHAnsi" w:cstheme="majorHAnsi"/>
        </w:rPr>
        <w:t xml:space="preserve"> biomass volume</w:t>
      </w:r>
      <w:r w:rsidR="00E1303C" w:rsidRPr="00E1303C">
        <w:rPr>
          <w:rFonts w:asciiTheme="minorHAnsi" w:hAnsiTheme="minorHAnsi" w:cstheme="majorHAnsi"/>
        </w:rPr>
        <w:t xml:space="preserve"> (Chaparro and Terradas, 2009). </w:t>
      </w:r>
      <w:r w:rsidR="00E1303C">
        <w:rPr>
          <w:rFonts w:asciiTheme="minorHAnsi" w:hAnsiTheme="minorHAnsi" w:cstheme="majorHAnsi"/>
        </w:rPr>
        <w:t xml:space="preserve">In a review of 28 U.S. cities, the average carbon storage value per square meter of tree cover was estimated to be 7.69 </w:t>
      </w:r>
      <w:r w:rsidR="00620CFA">
        <w:rPr>
          <w:rFonts w:asciiTheme="minorHAnsi" w:hAnsiTheme="minorHAnsi" w:cstheme="majorHAnsi"/>
        </w:rPr>
        <w:t>k</w:t>
      </w:r>
      <w:r w:rsidR="00E1303C">
        <w:rPr>
          <w:rFonts w:asciiTheme="minorHAnsi" w:hAnsiTheme="minorHAnsi" w:cstheme="majorHAnsi"/>
        </w:rPr>
        <w:t>gC m</w:t>
      </w:r>
      <w:r w:rsidR="00E1303C">
        <w:rPr>
          <w:rFonts w:asciiTheme="minorHAnsi" w:hAnsiTheme="minorHAnsi" w:cstheme="majorHAnsi"/>
          <w:vertAlign w:val="superscript"/>
        </w:rPr>
        <w:t>-2</w:t>
      </w:r>
      <w:r w:rsidR="00E1303C">
        <w:rPr>
          <w:rFonts w:asciiTheme="minorHAnsi" w:hAnsiTheme="minorHAnsi" w:cstheme="majorHAnsi"/>
        </w:rPr>
        <w:t>, and the net carbon sequestration rate average</w:t>
      </w:r>
      <w:r w:rsidR="001B5C6C">
        <w:rPr>
          <w:rFonts w:asciiTheme="minorHAnsi" w:hAnsiTheme="minorHAnsi" w:cstheme="majorHAnsi"/>
        </w:rPr>
        <w:t>d</w:t>
      </w:r>
      <w:r w:rsidR="00E1303C">
        <w:rPr>
          <w:rFonts w:asciiTheme="minorHAnsi" w:hAnsiTheme="minorHAnsi" w:cstheme="majorHAnsi"/>
        </w:rPr>
        <w:t xml:space="preserve"> 0.205 </w:t>
      </w:r>
      <w:r w:rsidR="00620CFA">
        <w:rPr>
          <w:rFonts w:asciiTheme="minorHAnsi" w:hAnsiTheme="minorHAnsi" w:cstheme="majorHAnsi"/>
        </w:rPr>
        <w:t>k</w:t>
      </w:r>
      <w:r w:rsidR="00E1303C">
        <w:rPr>
          <w:rFonts w:asciiTheme="minorHAnsi" w:hAnsiTheme="minorHAnsi" w:cstheme="majorHAnsi"/>
        </w:rPr>
        <w:t>gC m</w:t>
      </w:r>
      <w:r w:rsidR="00E1303C">
        <w:rPr>
          <w:rFonts w:asciiTheme="minorHAnsi" w:hAnsiTheme="minorHAnsi" w:cstheme="majorHAnsi"/>
          <w:vertAlign w:val="superscript"/>
        </w:rPr>
        <w:t>-2</w:t>
      </w:r>
      <w:r w:rsidR="00E1303C">
        <w:rPr>
          <w:rFonts w:asciiTheme="minorHAnsi" w:hAnsiTheme="minorHAnsi" w:cstheme="majorHAnsi"/>
        </w:rPr>
        <w:t xml:space="preserve"> year</w:t>
      </w:r>
      <w:r w:rsidR="00E1303C">
        <w:rPr>
          <w:rFonts w:asciiTheme="minorHAnsi" w:hAnsiTheme="minorHAnsi" w:cstheme="majorHAnsi"/>
          <w:vertAlign w:val="superscript"/>
        </w:rPr>
        <w:t>-1</w:t>
      </w:r>
      <w:r w:rsidR="00E1303C">
        <w:rPr>
          <w:rFonts w:asciiTheme="minorHAnsi" w:hAnsiTheme="minorHAnsi" w:cstheme="majorHAnsi"/>
        </w:rPr>
        <w:t xml:space="preserve"> (Nowak et al., 2013). </w:t>
      </w:r>
      <w:r w:rsidR="002F561A">
        <w:rPr>
          <w:rFonts w:asciiTheme="minorHAnsi" w:hAnsiTheme="minorHAnsi" w:cstheme="majorHAnsi"/>
        </w:rPr>
        <w:t>Urban trees in the US are estimated to store up to 643 million tons of carbon and can sequester 25.6 million ton</w:t>
      </w:r>
      <w:r w:rsidR="001B5C6C">
        <w:rPr>
          <w:rFonts w:asciiTheme="minorHAnsi" w:hAnsiTheme="minorHAnsi" w:cstheme="majorHAnsi"/>
        </w:rPr>
        <w:t>s</w:t>
      </w:r>
      <w:r w:rsidR="002F561A">
        <w:rPr>
          <w:rFonts w:asciiTheme="minorHAnsi" w:hAnsiTheme="minorHAnsi" w:cstheme="majorHAnsi"/>
        </w:rPr>
        <w:t xml:space="preserve"> per year</w:t>
      </w:r>
      <w:r w:rsidR="001B5C6C">
        <w:rPr>
          <w:rFonts w:asciiTheme="minorHAnsi" w:hAnsiTheme="minorHAnsi" w:cstheme="majorHAnsi"/>
        </w:rPr>
        <w:t xml:space="preserve">, </w:t>
      </w:r>
      <w:r w:rsidR="00E43827">
        <w:rPr>
          <w:rFonts w:asciiTheme="minorHAnsi" w:hAnsiTheme="minorHAnsi" w:cstheme="majorHAnsi"/>
        </w:rPr>
        <w:t xml:space="preserve">which </w:t>
      </w:r>
      <w:r w:rsidR="002F561A">
        <w:rPr>
          <w:rFonts w:asciiTheme="minorHAnsi" w:hAnsiTheme="minorHAnsi" w:cstheme="majorHAnsi"/>
        </w:rPr>
        <w:t>equates to an economic value of over $52 billion (Nowak et al., 2013). However, it is also important to note that highly maintained trees</w:t>
      </w:r>
      <w:r w:rsidR="00E43827">
        <w:rPr>
          <w:rFonts w:asciiTheme="minorHAnsi" w:hAnsiTheme="minorHAnsi" w:cstheme="majorHAnsi"/>
        </w:rPr>
        <w:t>,</w:t>
      </w:r>
      <w:r w:rsidR="002F561A">
        <w:rPr>
          <w:rFonts w:asciiTheme="minorHAnsi" w:hAnsiTheme="minorHAnsi" w:cstheme="majorHAnsi"/>
        </w:rPr>
        <w:t xml:space="preserve"> </w:t>
      </w:r>
      <w:r w:rsidR="00E43827">
        <w:rPr>
          <w:rFonts w:asciiTheme="minorHAnsi" w:hAnsiTheme="minorHAnsi" w:cstheme="majorHAnsi"/>
        </w:rPr>
        <w:t xml:space="preserve">such </w:t>
      </w:r>
      <w:r w:rsidR="002F561A">
        <w:rPr>
          <w:rFonts w:asciiTheme="minorHAnsi" w:hAnsiTheme="minorHAnsi" w:cstheme="majorHAnsi"/>
        </w:rPr>
        <w:t xml:space="preserve">as those found in </w:t>
      </w:r>
      <w:r w:rsidR="002F561A">
        <w:rPr>
          <w:rFonts w:asciiTheme="minorHAnsi" w:hAnsiTheme="minorHAnsi" w:cstheme="majorHAnsi"/>
        </w:rPr>
        <w:lastRenderedPageBreak/>
        <w:t>parks and planted on sidewalks</w:t>
      </w:r>
      <w:r w:rsidR="003C4DBE">
        <w:rPr>
          <w:rFonts w:asciiTheme="minorHAnsi" w:hAnsiTheme="minorHAnsi" w:cstheme="majorHAnsi"/>
        </w:rPr>
        <w:t>,</w:t>
      </w:r>
      <w:r w:rsidR="002F561A">
        <w:rPr>
          <w:rFonts w:asciiTheme="minorHAnsi" w:hAnsiTheme="minorHAnsi" w:cstheme="majorHAnsi"/>
        </w:rPr>
        <w:t xml:space="preserve"> sequester significantly less carbon than their more natural counterparts (Hostetler and Escobedo, 2010). </w:t>
      </w:r>
      <w:r w:rsidR="00CC3BAB">
        <w:rPr>
          <w:rFonts w:asciiTheme="minorHAnsi" w:hAnsiTheme="minorHAnsi" w:cstheme="majorHAnsi"/>
        </w:rPr>
        <w:t xml:space="preserve">Thus, indicating the importance of naturally vegetated habitats near developed areas </w:t>
      </w:r>
      <w:r w:rsidR="00D545B2">
        <w:rPr>
          <w:rFonts w:asciiTheme="minorHAnsi" w:hAnsiTheme="minorHAnsi" w:cstheme="majorHAnsi"/>
        </w:rPr>
        <w:t>to</w:t>
      </w:r>
      <w:r w:rsidR="00CC3BAB">
        <w:rPr>
          <w:rFonts w:asciiTheme="minorHAnsi" w:hAnsiTheme="minorHAnsi" w:cstheme="majorHAnsi"/>
        </w:rPr>
        <w:t xml:space="preserve"> support carbon storage and sequestration. </w:t>
      </w:r>
      <w:r w:rsidR="002F561A">
        <w:rPr>
          <w:rFonts w:asciiTheme="minorHAnsi" w:hAnsiTheme="minorHAnsi" w:cstheme="majorHAnsi"/>
        </w:rPr>
        <w:t xml:space="preserve">Aside from urban trees, </w:t>
      </w:r>
      <w:r w:rsidR="00DE74FF">
        <w:rPr>
          <w:rFonts w:asciiTheme="minorHAnsi" w:hAnsiTheme="minorHAnsi" w:cstheme="majorHAnsi"/>
        </w:rPr>
        <w:t xml:space="preserve">other components of UGS can assist in carbon storage and sequestration </w:t>
      </w:r>
      <w:r w:rsidR="003C4DBE">
        <w:rPr>
          <w:rFonts w:asciiTheme="minorHAnsi" w:hAnsiTheme="minorHAnsi" w:cstheme="majorHAnsi"/>
        </w:rPr>
        <w:t>as well</w:t>
      </w:r>
      <w:r w:rsidR="006754E3">
        <w:rPr>
          <w:rFonts w:asciiTheme="minorHAnsi" w:hAnsiTheme="minorHAnsi" w:cstheme="majorHAnsi"/>
        </w:rPr>
        <w:t>.</w:t>
      </w:r>
      <w:r w:rsidR="00DE74FF">
        <w:rPr>
          <w:rFonts w:asciiTheme="minorHAnsi" w:hAnsiTheme="minorHAnsi" w:cstheme="majorHAnsi"/>
        </w:rPr>
        <w:t xml:space="preserve"> </w:t>
      </w:r>
      <w:r w:rsidR="006754E3">
        <w:rPr>
          <w:rFonts w:asciiTheme="minorHAnsi" w:hAnsiTheme="minorHAnsi" w:cstheme="majorHAnsi"/>
        </w:rPr>
        <w:t>For</w:t>
      </w:r>
      <w:r w:rsidR="00DE74FF">
        <w:rPr>
          <w:rFonts w:asciiTheme="minorHAnsi" w:hAnsiTheme="minorHAnsi" w:cstheme="majorHAnsi"/>
        </w:rPr>
        <w:t xml:space="preserve"> instance, in an analysis across six U.S. cities, the average soil organic carbon</w:t>
      </w:r>
      <w:r w:rsidR="00EC6549">
        <w:rPr>
          <w:rFonts w:asciiTheme="minorHAnsi" w:hAnsiTheme="minorHAnsi" w:cstheme="majorHAnsi"/>
        </w:rPr>
        <w:t xml:space="preserve"> (SOC)</w:t>
      </w:r>
      <w:r w:rsidR="00DE74FF">
        <w:rPr>
          <w:rFonts w:asciiTheme="minorHAnsi" w:hAnsiTheme="minorHAnsi" w:cstheme="majorHAnsi"/>
        </w:rPr>
        <w:t xml:space="preserve"> density </w:t>
      </w:r>
      <w:r w:rsidR="001B5C6C">
        <w:rPr>
          <w:rFonts w:asciiTheme="minorHAnsi" w:hAnsiTheme="minorHAnsi" w:cstheme="majorHAnsi"/>
        </w:rPr>
        <w:t xml:space="preserve">for urban soils </w:t>
      </w:r>
      <w:r w:rsidR="00DE74FF">
        <w:rPr>
          <w:rFonts w:asciiTheme="minorHAnsi" w:hAnsiTheme="minorHAnsi" w:cstheme="majorHAnsi"/>
        </w:rPr>
        <w:t xml:space="preserve">at 1m depth was 6.3 </w:t>
      </w:r>
      <w:r w:rsidR="00620CFA">
        <w:rPr>
          <w:rFonts w:asciiTheme="minorHAnsi" w:hAnsiTheme="minorHAnsi" w:cstheme="majorHAnsi"/>
        </w:rPr>
        <w:t>k</w:t>
      </w:r>
      <w:r w:rsidR="00DE74FF">
        <w:rPr>
          <w:rFonts w:asciiTheme="minorHAnsi" w:hAnsiTheme="minorHAnsi" w:cstheme="majorHAnsi"/>
        </w:rPr>
        <w:t>gC m</w:t>
      </w:r>
      <w:r w:rsidR="00DE74FF">
        <w:rPr>
          <w:rFonts w:asciiTheme="minorHAnsi" w:hAnsiTheme="minorHAnsi" w:cstheme="majorHAnsi"/>
          <w:vertAlign w:val="superscript"/>
        </w:rPr>
        <w:t xml:space="preserve">-2 </w:t>
      </w:r>
      <w:r w:rsidR="00DE74FF">
        <w:rPr>
          <w:rFonts w:asciiTheme="minorHAnsi" w:hAnsiTheme="minorHAnsi"/>
        </w:rPr>
        <w:t xml:space="preserve">(Pouyat et al., 2006). Furthermore, </w:t>
      </w:r>
      <w:r w:rsidR="001B5C6C">
        <w:rPr>
          <w:rFonts w:asciiTheme="minorHAnsi" w:hAnsiTheme="minorHAnsi"/>
        </w:rPr>
        <w:t xml:space="preserve">although urban grasses and herbaceous plants are not seen as major contributors to carbon removal for cities, they can store up to 0.18 </w:t>
      </w:r>
      <w:r w:rsidR="00260D9C">
        <w:rPr>
          <w:rFonts w:asciiTheme="minorHAnsi" w:hAnsiTheme="minorHAnsi"/>
        </w:rPr>
        <w:t>k</w:t>
      </w:r>
      <w:r w:rsidR="001B5C6C">
        <w:rPr>
          <w:rFonts w:asciiTheme="minorHAnsi" w:hAnsiTheme="minorHAnsi"/>
        </w:rPr>
        <w:t>gC m</w:t>
      </w:r>
      <w:r w:rsidR="001B5C6C">
        <w:rPr>
          <w:rFonts w:asciiTheme="minorHAnsi" w:hAnsiTheme="minorHAnsi"/>
          <w:vertAlign w:val="superscript"/>
        </w:rPr>
        <w:t>-2</w:t>
      </w:r>
      <w:r w:rsidR="001B5C6C">
        <w:rPr>
          <w:rFonts w:asciiTheme="minorHAnsi" w:hAnsiTheme="minorHAnsi"/>
        </w:rPr>
        <w:t>,</w:t>
      </w:r>
      <w:r w:rsidR="001B5C6C">
        <w:rPr>
          <w:rFonts w:asciiTheme="minorHAnsi" w:hAnsiTheme="minorHAnsi"/>
          <w:vertAlign w:val="superscript"/>
        </w:rPr>
        <w:t xml:space="preserve"> </w:t>
      </w:r>
      <w:r w:rsidR="001B5C6C">
        <w:rPr>
          <w:rFonts w:asciiTheme="minorHAnsi" w:hAnsiTheme="minorHAnsi"/>
        </w:rPr>
        <w:t xml:space="preserve">according to a Chicago-based study that examined carbon uptake by green spaces between two city blocks (Jo and McPherson, 1995). </w:t>
      </w:r>
    </w:p>
    <w:p w14:paraId="2F2F6F47" w14:textId="0CAA03FC" w:rsidR="00A53978" w:rsidRPr="00BC7786" w:rsidRDefault="00A20824" w:rsidP="0038185F">
      <w:pPr>
        <w:spacing w:line="360" w:lineRule="auto"/>
        <w:ind w:firstLine="720"/>
        <w:rPr>
          <w:rFonts w:asciiTheme="minorHAnsi" w:hAnsiTheme="minorHAnsi" w:cs="Calibri"/>
        </w:rPr>
      </w:pPr>
      <w:r>
        <w:rPr>
          <w:rFonts w:asciiTheme="minorHAnsi" w:hAnsiTheme="minorHAnsi"/>
        </w:rPr>
        <w:t xml:space="preserve">Another important UES for cities is air pollution removal. Waste treatment facilities, factories, public and private transportation, and residential heating installations all produce significant quantities of air pollution in </w:t>
      </w:r>
      <w:r w:rsidR="00E16D15">
        <w:rPr>
          <w:rFonts w:asciiTheme="minorHAnsi" w:hAnsiTheme="minorHAnsi"/>
        </w:rPr>
        <w:t>cities</w:t>
      </w:r>
      <w:r w:rsidR="00A53978">
        <w:rPr>
          <w:rFonts w:asciiTheme="minorHAnsi" w:hAnsiTheme="minorHAnsi"/>
        </w:rPr>
        <w:t xml:space="preserve">, </w:t>
      </w:r>
      <w:r w:rsidR="00E43827">
        <w:rPr>
          <w:rFonts w:asciiTheme="minorHAnsi" w:hAnsiTheme="minorHAnsi"/>
        </w:rPr>
        <w:t xml:space="preserve">and </w:t>
      </w:r>
      <w:r w:rsidR="00A53978">
        <w:rPr>
          <w:rFonts w:asciiTheme="minorHAnsi" w:hAnsiTheme="minorHAnsi"/>
        </w:rPr>
        <w:t xml:space="preserve">these pollutants can become increasingly </w:t>
      </w:r>
      <w:r w:rsidR="00E43827">
        <w:rPr>
          <w:rFonts w:asciiTheme="minorHAnsi" w:hAnsiTheme="minorHAnsi"/>
        </w:rPr>
        <w:t xml:space="preserve">detrimental </w:t>
      </w:r>
      <w:r w:rsidR="00A53978">
        <w:rPr>
          <w:rFonts w:asciiTheme="minorHAnsi" w:hAnsiTheme="minorHAnsi"/>
        </w:rPr>
        <w:t xml:space="preserve">for human health </w:t>
      </w:r>
      <w:r w:rsidR="00CD399D">
        <w:rPr>
          <w:rFonts w:asciiTheme="minorHAnsi" w:hAnsiTheme="minorHAnsi"/>
        </w:rPr>
        <w:t xml:space="preserve">in the form of </w:t>
      </w:r>
      <w:r w:rsidR="00A53978">
        <w:rPr>
          <w:rFonts w:asciiTheme="minorHAnsi" w:hAnsiTheme="minorHAnsi"/>
        </w:rPr>
        <w:t xml:space="preserve">cardiovascular and respiratory </w:t>
      </w:r>
      <w:r w:rsidR="00E43827">
        <w:rPr>
          <w:rFonts w:asciiTheme="minorHAnsi" w:hAnsiTheme="minorHAnsi"/>
        </w:rPr>
        <w:t>disease</w:t>
      </w:r>
      <w:r w:rsidR="00A53978">
        <w:rPr>
          <w:rFonts w:asciiTheme="minorHAnsi" w:hAnsiTheme="minorHAnsi"/>
        </w:rPr>
        <w:t xml:space="preserve"> as </w:t>
      </w:r>
      <w:r w:rsidR="00E43827">
        <w:rPr>
          <w:rFonts w:asciiTheme="minorHAnsi" w:hAnsiTheme="minorHAnsi"/>
        </w:rPr>
        <w:t>pollutants</w:t>
      </w:r>
      <w:r w:rsidR="00A53978">
        <w:rPr>
          <w:rFonts w:asciiTheme="minorHAnsi" w:hAnsiTheme="minorHAnsi"/>
        </w:rPr>
        <w:t xml:space="preserve"> are produced </w:t>
      </w:r>
      <w:r w:rsidR="00E16D15">
        <w:rPr>
          <w:rFonts w:asciiTheme="minorHAnsi" w:hAnsiTheme="minorHAnsi"/>
        </w:rPr>
        <w:t xml:space="preserve">in </w:t>
      </w:r>
      <w:r w:rsidR="00A53978">
        <w:rPr>
          <w:rFonts w:asciiTheme="minorHAnsi" w:hAnsiTheme="minorHAnsi"/>
        </w:rPr>
        <w:t xml:space="preserve">large and concentrated quantities </w:t>
      </w:r>
      <w:r w:rsidR="00E16D15">
        <w:rPr>
          <w:rFonts w:asciiTheme="minorHAnsi" w:hAnsiTheme="minorHAnsi"/>
        </w:rPr>
        <w:t>within</w:t>
      </w:r>
      <w:r w:rsidR="00A53978">
        <w:rPr>
          <w:rFonts w:asciiTheme="minorHAnsi" w:hAnsiTheme="minorHAnsi"/>
        </w:rPr>
        <w:t xml:space="preserve"> cities (</w:t>
      </w:r>
      <w:r w:rsidR="006754E3">
        <w:rPr>
          <w:rFonts w:asciiTheme="minorHAnsi" w:hAnsiTheme="minorHAnsi"/>
        </w:rPr>
        <w:t>Man</w:t>
      </w:r>
      <w:r w:rsidR="0069413D">
        <w:rPr>
          <w:rFonts w:asciiTheme="minorHAnsi" w:hAnsiTheme="minorHAnsi"/>
        </w:rPr>
        <w:t>isalidis et al., 2020</w:t>
      </w:r>
      <w:r w:rsidR="00A53978">
        <w:rPr>
          <w:rFonts w:asciiTheme="minorHAnsi" w:hAnsiTheme="minorHAnsi"/>
        </w:rPr>
        <w:t xml:space="preserve">). </w:t>
      </w:r>
      <w:r w:rsidR="000F1C35">
        <w:rPr>
          <w:rFonts w:asciiTheme="minorHAnsi" w:hAnsiTheme="minorHAnsi"/>
        </w:rPr>
        <w:t xml:space="preserve">However, </w:t>
      </w:r>
      <w:r w:rsidR="00A53978" w:rsidRPr="00A53978">
        <w:rPr>
          <w:rFonts w:asciiTheme="minorHAnsi" w:hAnsiTheme="minorHAnsi" w:cs="Calibri"/>
        </w:rPr>
        <w:t xml:space="preserve">UGS can greatly improve urban air quality by filtering out atmospheric particulates that are commonly </w:t>
      </w:r>
      <w:r w:rsidR="003241F4">
        <w:rPr>
          <w:rFonts w:asciiTheme="minorHAnsi" w:hAnsiTheme="minorHAnsi" w:cs="Calibri"/>
        </w:rPr>
        <w:t>produced</w:t>
      </w:r>
      <w:r w:rsidR="00A53978" w:rsidRPr="00A53978">
        <w:rPr>
          <w:rFonts w:asciiTheme="minorHAnsi" w:hAnsiTheme="minorHAnsi" w:cs="Calibri"/>
        </w:rPr>
        <w:t xml:space="preserve"> in cities</w:t>
      </w:r>
      <w:r w:rsidR="00E43827">
        <w:rPr>
          <w:rFonts w:asciiTheme="minorHAnsi" w:hAnsiTheme="minorHAnsi" w:cs="Calibri"/>
        </w:rPr>
        <w:t>,</w:t>
      </w:r>
      <w:r w:rsidR="00A53978" w:rsidRPr="00A53978">
        <w:rPr>
          <w:rFonts w:asciiTheme="minorHAnsi" w:hAnsiTheme="minorHAnsi" w:cs="Calibri"/>
        </w:rPr>
        <w:t xml:space="preserve"> such as nitrogen dioxide (NO</w:t>
      </w:r>
      <w:r w:rsidR="00A53978" w:rsidRPr="00E16D15">
        <w:rPr>
          <w:rFonts w:asciiTheme="minorHAnsi" w:hAnsiTheme="minorHAnsi" w:cs="Calibri"/>
          <w:position w:val="-2"/>
          <w:vertAlign w:val="subscript"/>
        </w:rPr>
        <w:t>2</w:t>
      </w:r>
      <w:r w:rsidR="00A53978" w:rsidRPr="00A53978">
        <w:rPr>
          <w:rFonts w:asciiTheme="minorHAnsi" w:hAnsiTheme="minorHAnsi" w:cs="Calibri"/>
        </w:rPr>
        <w:t>), particulate matter (PM), carbon oxide (CO), ozone (O</w:t>
      </w:r>
      <w:r w:rsidR="00A53978" w:rsidRPr="00E16D15">
        <w:rPr>
          <w:rFonts w:asciiTheme="minorHAnsi" w:hAnsiTheme="minorHAnsi" w:cs="Calibri"/>
          <w:position w:val="-2"/>
          <w:vertAlign w:val="subscript"/>
        </w:rPr>
        <w:t>3</w:t>
      </w:r>
      <w:r w:rsidR="00A53978" w:rsidRPr="00A53978">
        <w:rPr>
          <w:rFonts w:asciiTheme="minorHAnsi" w:hAnsiTheme="minorHAnsi" w:cs="Calibri"/>
        </w:rPr>
        <w:t>), and sulfur dioxide (SO</w:t>
      </w:r>
      <w:r w:rsidR="00A53978" w:rsidRPr="00E16D15">
        <w:rPr>
          <w:rFonts w:asciiTheme="minorHAnsi" w:hAnsiTheme="minorHAnsi" w:cs="Calibri"/>
          <w:position w:val="-2"/>
          <w:vertAlign w:val="subscript"/>
        </w:rPr>
        <w:t>2</w:t>
      </w:r>
      <w:r w:rsidR="00A53978" w:rsidRPr="00A53978">
        <w:rPr>
          <w:rFonts w:asciiTheme="minorHAnsi" w:hAnsiTheme="minorHAnsi" w:cs="Calibri"/>
        </w:rPr>
        <w:t>)</w:t>
      </w:r>
      <w:r w:rsidR="00A53978">
        <w:rPr>
          <w:rFonts w:asciiTheme="minorHAnsi" w:hAnsiTheme="minorHAnsi" w:cs="Calibri"/>
        </w:rPr>
        <w:t xml:space="preserve">. </w:t>
      </w:r>
      <w:r w:rsidR="003241F4">
        <w:rPr>
          <w:rFonts w:asciiTheme="minorHAnsi" w:hAnsiTheme="minorHAnsi" w:cs="Calibri"/>
        </w:rPr>
        <w:t>In a</w:t>
      </w:r>
      <w:r w:rsidR="00A53978">
        <w:rPr>
          <w:rFonts w:asciiTheme="minorHAnsi" w:hAnsiTheme="minorHAnsi" w:cs="Calibri"/>
        </w:rPr>
        <w:t xml:space="preserve"> study </w:t>
      </w:r>
      <w:r w:rsidR="003241F4">
        <w:rPr>
          <w:rFonts w:asciiTheme="minorHAnsi" w:hAnsiTheme="minorHAnsi" w:cs="Calibri"/>
        </w:rPr>
        <w:t xml:space="preserve">on </w:t>
      </w:r>
      <w:r w:rsidR="00A53978">
        <w:rPr>
          <w:rFonts w:asciiTheme="minorHAnsi" w:hAnsiTheme="minorHAnsi" w:cs="Calibri"/>
        </w:rPr>
        <w:t>modeled air pollu</w:t>
      </w:r>
      <w:r w:rsidR="00A53978" w:rsidRPr="00BC7786">
        <w:rPr>
          <w:rFonts w:asciiTheme="minorHAnsi" w:hAnsiTheme="minorHAnsi" w:cs="Calibri"/>
        </w:rPr>
        <w:t xml:space="preserve">tion removal rates </w:t>
      </w:r>
      <w:r w:rsidR="00E16D15" w:rsidRPr="00BC7786">
        <w:rPr>
          <w:rFonts w:asciiTheme="minorHAnsi" w:hAnsiTheme="minorHAnsi" w:cs="Calibri"/>
        </w:rPr>
        <w:t>by trees</w:t>
      </w:r>
      <w:r w:rsidR="003241F4">
        <w:rPr>
          <w:rFonts w:asciiTheme="minorHAnsi" w:hAnsiTheme="minorHAnsi" w:cs="Calibri"/>
        </w:rPr>
        <w:t xml:space="preserve"> in 55 U.S. cities, researchers </w:t>
      </w:r>
      <w:r w:rsidR="00A53978" w:rsidRPr="00BC7786">
        <w:rPr>
          <w:rFonts w:asciiTheme="minorHAnsi" w:hAnsiTheme="minorHAnsi" w:cs="Calibri"/>
        </w:rPr>
        <w:t>found the average removal value per unit</w:t>
      </w:r>
      <w:r w:rsidR="00E43827">
        <w:rPr>
          <w:rFonts w:asciiTheme="minorHAnsi" w:hAnsiTheme="minorHAnsi" w:cs="Calibri"/>
        </w:rPr>
        <w:t xml:space="preserve"> of </w:t>
      </w:r>
      <w:r w:rsidR="00A53978" w:rsidRPr="00BC7786">
        <w:rPr>
          <w:rFonts w:asciiTheme="minorHAnsi" w:hAnsiTheme="minorHAnsi" w:cs="Calibri"/>
        </w:rPr>
        <w:t xml:space="preserve">canopy cover </w:t>
      </w:r>
      <w:r w:rsidR="00E43827">
        <w:rPr>
          <w:rFonts w:asciiTheme="minorHAnsi" w:hAnsiTheme="minorHAnsi" w:cs="Calibri"/>
        </w:rPr>
        <w:t>was</w:t>
      </w:r>
      <w:r w:rsidR="00E16D15" w:rsidRPr="00BC7786">
        <w:rPr>
          <w:rFonts w:asciiTheme="minorHAnsi" w:hAnsiTheme="minorHAnsi" w:cs="Calibri"/>
        </w:rPr>
        <w:t xml:space="preserve"> 10.8 g m</w:t>
      </w:r>
      <w:r w:rsidR="00E16D15" w:rsidRPr="00BC7786">
        <w:rPr>
          <w:rFonts w:asciiTheme="minorHAnsi" w:hAnsiTheme="minorHAnsi" w:cs="Calibri"/>
          <w:vertAlign w:val="superscript"/>
        </w:rPr>
        <w:t>-2</w:t>
      </w:r>
      <w:r w:rsidR="00E16D15" w:rsidRPr="00BC7786">
        <w:rPr>
          <w:rFonts w:asciiTheme="minorHAnsi" w:hAnsiTheme="minorHAnsi" w:cs="Calibri"/>
        </w:rPr>
        <w:t xml:space="preserve"> a</w:t>
      </w:r>
      <w:r w:rsidR="00E16D15" w:rsidRPr="00BC7786">
        <w:rPr>
          <w:rFonts w:asciiTheme="minorHAnsi" w:hAnsiTheme="minorHAnsi" w:cs="Calibri"/>
          <w:vertAlign w:val="superscript"/>
        </w:rPr>
        <w:t>-1</w:t>
      </w:r>
      <w:r w:rsidR="00E16D15" w:rsidRPr="00BC7786">
        <w:rPr>
          <w:rFonts w:asciiTheme="minorHAnsi" w:hAnsiTheme="minorHAnsi" w:cs="Calibri"/>
        </w:rPr>
        <w:t xml:space="preserve">, which </w:t>
      </w:r>
      <w:r w:rsidR="00E43827">
        <w:rPr>
          <w:rFonts w:asciiTheme="minorHAnsi" w:hAnsiTheme="minorHAnsi" w:cs="Calibri"/>
        </w:rPr>
        <w:t xml:space="preserve">equates to </w:t>
      </w:r>
      <w:r w:rsidR="00E43827" w:rsidRPr="00BC7786">
        <w:rPr>
          <w:rFonts w:asciiTheme="minorHAnsi" w:hAnsiTheme="minorHAnsi" w:cs="Calibri"/>
        </w:rPr>
        <w:t xml:space="preserve">711,000 metric tons of air pollutant removal </w:t>
      </w:r>
      <w:r w:rsidR="00E16D15" w:rsidRPr="00BC7786">
        <w:rPr>
          <w:rFonts w:asciiTheme="minorHAnsi" w:hAnsiTheme="minorHAnsi" w:cs="Calibri"/>
        </w:rPr>
        <w:t>across the whole country</w:t>
      </w:r>
      <w:r w:rsidR="00E43827">
        <w:rPr>
          <w:rFonts w:asciiTheme="minorHAnsi" w:hAnsiTheme="minorHAnsi" w:cs="Calibri"/>
        </w:rPr>
        <w:t xml:space="preserve"> and </w:t>
      </w:r>
      <w:r w:rsidR="00E16D15" w:rsidRPr="00BC7786">
        <w:rPr>
          <w:rFonts w:asciiTheme="minorHAnsi" w:hAnsiTheme="minorHAnsi" w:cs="Calibri"/>
        </w:rPr>
        <w:t xml:space="preserve">is valued at $3.8 billion (Nowak et al., 2006). Furthermore, urban vegetation has shown to take up more pollutants when pollution concentrations are highest (Tallis et al., 2011). Therefore, this </w:t>
      </w:r>
      <w:r w:rsidR="00E43827">
        <w:rPr>
          <w:rFonts w:asciiTheme="minorHAnsi" w:hAnsiTheme="minorHAnsi" w:cs="Calibri"/>
        </w:rPr>
        <w:t>suggests</w:t>
      </w:r>
      <w:r w:rsidR="00E16D15" w:rsidRPr="00BC7786">
        <w:rPr>
          <w:rFonts w:asciiTheme="minorHAnsi" w:hAnsiTheme="minorHAnsi" w:cs="Calibri"/>
        </w:rPr>
        <w:t xml:space="preserve"> that </w:t>
      </w:r>
      <w:r w:rsidR="0031439A">
        <w:rPr>
          <w:rFonts w:asciiTheme="minorHAnsi" w:hAnsiTheme="minorHAnsi" w:cs="Calibri"/>
        </w:rPr>
        <w:t>UGS</w:t>
      </w:r>
      <w:r w:rsidR="00E16D15" w:rsidRPr="00BC7786">
        <w:rPr>
          <w:rFonts w:asciiTheme="minorHAnsi" w:hAnsiTheme="minorHAnsi" w:cs="Calibri"/>
        </w:rPr>
        <w:t xml:space="preserve"> </w:t>
      </w:r>
      <w:r w:rsidR="002B5CD8">
        <w:rPr>
          <w:rFonts w:asciiTheme="minorHAnsi" w:hAnsiTheme="minorHAnsi" w:cs="Calibri"/>
        </w:rPr>
        <w:t xml:space="preserve">with vegetation that is pollutant tolerant and can target specific compounds </w:t>
      </w:r>
      <w:r w:rsidR="00E16D15" w:rsidRPr="00BC7786">
        <w:rPr>
          <w:rFonts w:asciiTheme="minorHAnsi" w:hAnsiTheme="minorHAnsi" w:cs="Calibri"/>
        </w:rPr>
        <w:t xml:space="preserve">should be </w:t>
      </w:r>
      <w:r w:rsidR="00AD50A7" w:rsidRPr="00BC7786">
        <w:rPr>
          <w:rFonts w:asciiTheme="minorHAnsi" w:hAnsiTheme="minorHAnsi" w:cs="Calibri"/>
        </w:rPr>
        <w:t xml:space="preserve">placed </w:t>
      </w:r>
      <w:r w:rsidR="003C4DBE">
        <w:rPr>
          <w:rFonts w:asciiTheme="minorHAnsi" w:hAnsiTheme="minorHAnsi" w:cs="Calibri"/>
        </w:rPr>
        <w:t>strategically close</w:t>
      </w:r>
      <w:r w:rsidR="00AD50A7" w:rsidRPr="00BC7786">
        <w:rPr>
          <w:rFonts w:asciiTheme="minorHAnsi" w:hAnsiTheme="minorHAnsi" w:cs="Calibri"/>
        </w:rPr>
        <w:t xml:space="preserve"> to the emission sources to maximize their pollutant uptake. </w:t>
      </w:r>
    </w:p>
    <w:p w14:paraId="40D566D9" w14:textId="72DFF284" w:rsidR="00EE4316" w:rsidRPr="00FB44A2" w:rsidRDefault="00AD50A7" w:rsidP="0038185F">
      <w:pPr>
        <w:spacing w:line="360" w:lineRule="auto"/>
        <w:rPr>
          <w:rFonts w:asciiTheme="minorHAnsi" w:hAnsiTheme="minorHAnsi"/>
        </w:rPr>
      </w:pPr>
      <w:r w:rsidRPr="00BC7786">
        <w:rPr>
          <w:rFonts w:asciiTheme="minorHAnsi" w:hAnsiTheme="minorHAnsi"/>
        </w:rPr>
        <w:tab/>
      </w:r>
      <w:r w:rsidR="00C222E3">
        <w:rPr>
          <w:rFonts w:asciiTheme="minorHAnsi" w:hAnsiTheme="minorHAnsi"/>
        </w:rPr>
        <w:t>The prevalence of the urban heat island (UHI) effect in cities across the world continues grow, d</w:t>
      </w:r>
      <w:r w:rsidR="003C4DBE">
        <w:rPr>
          <w:rFonts w:asciiTheme="minorHAnsi" w:hAnsiTheme="minorHAnsi"/>
        </w:rPr>
        <w:t>espite their</w:t>
      </w:r>
      <w:r w:rsidR="00F92DCD" w:rsidRPr="00BC7786">
        <w:rPr>
          <w:rFonts w:asciiTheme="minorHAnsi" w:hAnsiTheme="minorHAnsi"/>
        </w:rPr>
        <w:t xml:space="preserve"> drastically different </w:t>
      </w:r>
      <w:r w:rsidR="00760EA8" w:rsidRPr="00BC7786">
        <w:rPr>
          <w:rFonts w:asciiTheme="minorHAnsi" w:hAnsiTheme="minorHAnsi"/>
        </w:rPr>
        <w:t>climates</w:t>
      </w:r>
      <w:r w:rsidR="00C222E3">
        <w:rPr>
          <w:rFonts w:asciiTheme="minorHAnsi" w:hAnsiTheme="minorHAnsi"/>
        </w:rPr>
        <w:t>.</w:t>
      </w:r>
      <w:r w:rsidR="00FB44A2">
        <w:rPr>
          <w:rFonts w:asciiTheme="minorHAnsi" w:hAnsiTheme="minorHAnsi"/>
        </w:rPr>
        <w:t xml:space="preserve"> </w:t>
      </w:r>
      <w:r w:rsidR="00C222E3">
        <w:rPr>
          <w:rFonts w:asciiTheme="minorHAnsi" w:hAnsiTheme="minorHAnsi"/>
        </w:rPr>
        <w:t>This</w:t>
      </w:r>
      <w:r w:rsidR="00FB44A2">
        <w:rPr>
          <w:rFonts w:asciiTheme="minorHAnsi" w:hAnsiTheme="minorHAnsi"/>
        </w:rPr>
        <w:t xml:space="preserve"> </w:t>
      </w:r>
      <w:r w:rsidR="00C222E3">
        <w:rPr>
          <w:rFonts w:asciiTheme="minorHAnsi" w:hAnsiTheme="minorHAnsi"/>
        </w:rPr>
        <w:t xml:space="preserve">is </w:t>
      </w:r>
      <w:r w:rsidR="00760EA8" w:rsidRPr="00BC7786">
        <w:rPr>
          <w:rFonts w:asciiTheme="minorHAnsi" w:hAnsiTheme="minorHAnsi"/>
        </w:rPr>
        <w:t>due in part to climate change (IPCC, 2012)</w:t>
      </w:r>
      <w:r w:rsidR="00FB44A2">
        <w:rPr>
          <w:rFonts w:asciiTheme="minorHAnsi" w:hAnsiTheme="minorHAnsi"/>
        </w:rPr>
        <w:t xml:space="preserve"> </w:t>
      </w:r>
      <w:r w:rsidR="00760EA8" w:rsidRPr="00BC7786">
        <w:rPr>
          <w:rFonts w:asciiTheme="minorHAnsi" w:hAnsiTheme="minorHAnsi"/>
        </w:rPr>
        <w:t xml:space="preserve">and </w:t>
      </w:r>
      <w:r w:rsidR="00FB44A2">
        <w:rPr>
          <w:rFonts w:asciiTheme="minorHAnsi" w:hAnsiTheme="minorHAnsi"/>
        </w:rPr>
        <w:t xml:space="preserve">the increase </w:t>
      </w:r>
      <w:r w:rsidR="00C222E3">
        <w:rPr>
          <w:rFonts w:asciiTheme="minorHAnsi" w:hAnsiTheme="minorHAnsi"/>
        </w:rPr>
        <w:t>of</w:t>
      </w:r>
      <w:r w:rsidR="00FB44A2">
        <w:rPr>
          <w:rFonts w:asciiTheme="minorHAnsi" w:hAnsiTheme="minorHAnsi"/>
        </w:rPr>
        <w:t xml:space="preserve"> i</w:t>
      </w:r>
      <w:r w:rsidR="00760EA8" w:rsidRPr="00BC7786">
        <w:rPr>
          <w:rFonts w:asciiTheme="minorHAnsi" w:hAnsiTheme="minorHAnsi"/>
        </w:rPr>
        <w:t>mpervious surfaces</w:t>
      </w:r>
      <w:r w:rsidR="00FB44A2">
        <w:rPr>
          <w:rFonts w:asciiTheme="minorHAnsi" w:hAnsiTheme="minorHAnsi"/>
        </w:rPr>
        <w:t xml:space="preserve"> </w:t>
      </w:r>
      <w:r w:rsidR="00C222E3">
        <w:rPr>
          <w:rFonts w:asciiTheme="minorHAnsi" w:hAnsiTheme="minorHAnsi"/>
        </w:rPr>
        <w:t xml:space="preserve">within cities </w:t>
      </w:r>
      <w:r w:rsidR="00760EA8" w:rsidRPr="00BC7786">
        <w:rPr>
          <w:rFonts w:asciiTheme="minorHAnsi" w:hAnsiTheme="minorHAnsi"/>
        </w:rPr>
        <w:t>(Nowak and Greenfield, 2020)</w:t>
      </w:r>
      <w:r w:rsidR="00C222E3">
        <w:rPr>
          <w:rFonts w:asciiTheme="minorHAnsi" w:hAnsiTheme="minorHAnsi"/>
        </w:rPr>
        <w:t>.</w:t>
      </w:r>
      <w:r w:rsidR="00760EA8" w:rsidRPr="00BC7786">
        <w:rPr>
          <w:rFonts w:asciiTheme="minorHAnsi" w:hAnsiTheme="minorHAnsi"/>
        </w:rPr>
        <w:t xml:space="preserve"> </w:t>
      </w:r>
      <w:r w:rsidR="00F92DCD" w:rsidRPr="00BC7786">
        <w:rPr>
          <w:rFonts w:asciiTheme="minorHAnsi" w:hAnsiTheme="minorHAnsi"/>
        </w:rPr>
        <w:t xml:space="preserve">One study that measured the UHI effect across the 38 most populated </w:t>
      </w:r>
      <w:r w:rsidR="00F92DCD" w:rsidRPr="00BC7786">
        <w:rPr>
          <w:rFonts w:asciiTheme="minorHAnsi" w:hAnsiTheme="minorHAnsi"/>
        </w:rPr>
        <w:lastRenderedPageBreak/>
        <w:t xml:space="preserve">cities in the U.S. found the average difference in land surface temperature between the innermost and outermost contour of the cities </w:t>
      </w:r>
      <w:r w:rsidR="003C4DBE">
        <w:rPr>
          <w:rFonts w:asciiTheme="minorHAnsi" w:hAnsiTheme="minorHAnsi"/>
        </w:rPr>
        <w:t xml:space="preserve">to </w:t>
      </w:r>
      <w:r w:rsidR="00F92DCD" w:rsidRPr="00BC7786">
        <w:rPr>
          <w:rFonts w:asciiTheme="minorHAnsi" w:hAnsiTheme="minorHAnsi"/>
        </w:rPr>
        <w:t>be 3</w:t>
      </w:r>
      <w:r w:rsidR="005D3546" w:rsidRPr="00BC7786">
        <w:rPr>
          <w:rFonts w:ascii="Cambria Math" w:eastAsia="Cambria Math" w:hAnsi="Cambria Math" w:cs="Cambria Math"/>
        </w:rPr>
        <w:t>℃</w:t>
      </w:r>
      <w:r w:rsidR="005D3546" w:rsidRPr="00BC7786">
        <w:rPr>
          <w:rFonts w:asciiTheme="minorHAnsi" w:eastAsia="Cambria Math" w:hAnsiTheme="minorHAnsi" w:cs="Cambria Math"/>
        </w:rPr>
        <w:t xml:space="preserve"> (Imhoff et al., 2010). UGS can provide co</w:t>
      </w:r>
      <w:r w:rsidR="00BC7786">
        <w:rPr>
          <w:rFonts w:asciiTheme="minorHAnsi" w:eastAsia="Cambria Math" w:hAnsiTheme="minorHAnsi" w:cs="Cambria Math"/>
        </w:rPr>
        <w:t>o</w:t>
      </w:r>
      <w:r w:rsidR="005D3546" w:rsidRPr="00BC7786">
        <w:rPr>
          <w:rFonts w:asciiTheme="minorHAnsi" w:eastAsia="Cambria Math" w:hAnsiTheme="minorHAnsi" w:cs="Cambria Math"/>
        </w:rPr>
        <w:t xml:space="preserve">ling effects that help to moderate the UHI effect, </w:t>
      </w:r>
      <w:r w:rsidR="00147C03">
        <w:rPr>
          <w:rFonts w:asciiTheme="minorHAnsi" w:eastAsia="Cambria Math" w:hAnsiTheme="minorHAnsi" w:cs="Cambria Math"/>
        </w:rPr>
        <w:t xml:space="preserve">this in turn can </w:t>
      </w:r>
      <w:r w:rsidR="005D3546" w:rsidRPr="00BC7786">
        <w:rPr>
          <w:rFonts w:asciiTheme="minorHAnsi" w:eastAsia="Cambria Math" w:hAnsiTheme="minorHAnsi" w:cs="Cambria Math"/>
        </w:rPr>
        <w:t>improv</w:t>
      </w:r>
      <w:r w:rsidR="00147C03">
        <w:rPr>
          <w:rFonts w:asciiTheme="minorHAnsi" w:eastAsia="Cambria Math" w:hAnsiTheme="minorHAnsi" w:cs="Cambria Math"/>
        </w:rPr>
        <w:t>e</w:t>
      </w:r>
      <w:r w:rsidR="005D3546" w:rsidRPr="00BC7786">
        <w:rPr>
          <w:rFonts w:asciiTheme="minorHAnsi" w:eastAsia="Cambria Math" w:hAnsiTheme="minorHAnsi" w:cs="Cambria Math"/>
        </w:rPr>
        <w:t xml:space="preserve"> </w:t>
      </w:r>
      <w:r w:rsidR="00BC7786">
        <w:rPr>
          <w:rFonts w:asciiTheme="minorHAnsi" w:eastAsia="Cambria Math" w:hAnsiTheme="minorHAnsi" w:cs="Cambria Math"/>
        </w:rPr>
        <w:t xml:space="preserve">resident </w:t>
      </w:r>
      <w:r w:rsidR="005D3546" w:rsidRPr="00BC7786">
        <w:rPr>
          <w:rFonts w:asciiTheme="minorHAnsi" w:eastAsia="Cambria Math" w:hAnsiTheme="minorHAnsi" w:cs="Cambria Math"/>
        </w:rPr>
        <w:t>comfort and reduc</w:t>
      </w:r>
      <w:r w:rsidR="00147C03">
        <w:rPr>
          <w:rFonts w:asciiTheme="minorHAnsi" w:eastAsia="Cambria Math" w:hAnsiTheme="minorHAnsi" w:cs="Cambria Math"/>
        </w:rPr>
        <w:t>e</w:t>
      </w:r>
      <w:r w:rsidR="005D3546" w:rsidRPr="00BC7786">
        <w:rPr>
          <w:rFonts w:asciiTheme="minorHAnsi" w:eastAsia="Cambria Math" w:hAnsiTheme="minorHAnsi" w:cs="Cambria Math"/>
        </w:rPr>
        <w:t xml:space="preserve"> building energy demands (Armson et al. 2012). </w:t>
      </w:r>
      <w:r w:rsidR="00CD399D">
        <w:rPr>
          <w:rFonts w:asciiTheme="minorHAnsi" w:eastAsia="Cambria Math" w:hAnsiTheme="minorHAnsi" w:cs="Cambria Math"/>
        </w:rPr>
        <w:t>One study showed that t</w:t>
      </w:r>
      <w:r w:rsidR="005D3546" w:rsidRPr="00BC7786">
        <w:rPr>
          <w:rFonts w:asciiTheme="minorHAnsi" w:eastAsia="Cambria Math" w:hAnsiTheme="minorHAnsi" w:cs="Cambria Math"/>
        </w:rPr>
        <w:t>hrough</w:t>
      </w:r>
      <w:r w:rsidR="00FB44A2">
        <w:rPr>
          <w:rFonts w:asciiTheme="minorHAnsi" w:eastAsia="Cambria Math" w:hAnsiTheme="minorHAnsi" w:cs="Cambria Math"/>
        </w:rPr>
        <w:t xml:space="preserve"> </w:t>
      </w:r>
      <w:r w:rsidR="004C0471">
        <w:rPr>
          <w:rFonts w:asciiTheme="minorHAnsi" w:eastAsia="Cambria Math" w:hAnsiTheme="minorHAnsi" w:cs="Cambria Math"/>
        </w:rPr>
        <w:t xml:space="preserve">the </w:t>
      </w:r>
      <w:r w:rsidR="00FB44A2">
        <w:rPr>
          <w:rFonts w:asciiTheme="minorHAnsi" w:eastAsia="Cambria Math" w:hAnsiTheme="minorHAnsi" w:cs="Cambria Math"/>
        </w:rPr>
        <w:t>s</w:t>
      </w:r>
      <w:r w:rsidR="005D3546" w:rsidRPr="00BC7786">
        <w:rPr>
          <w:rFonts w:asciiTheme="minorHAnsi" w:eastAsia="Cambria Math" w:hAnsiTheme="minorHAnsi" w:cs="Cambria Math"/>
        </w:rPr>
        <w:t>hading and evapotranspiration abilities</w:t>
      </w:r>
      <w:r w:rsidR="004C0471">
        <w:rPr>
          <w:rFonts w:asciiTheme="minorHAnsi" w:eastAsia="Cambria Math" w:hAnsiTheme="minorHAnsi" w:cs="Cambria Math"/>
        </w:rPr>
        <w:t xml:space="preserve"> </w:t>
      </w:r>
      <w:r w:rsidR="00FB44A2">
        <w:rPr>
          <w:rFonts w:asciiTheme="minorHAnsi" w:eastAsia="Cambria Math" w:hAnsiTheme="minorHAnsi" w:cs="Cambria Math"/>
        </w:rPr>
        <w:t>of UGS,</w:t>
      </w:r>
      <w:r w:rsidR="005D3546" w:rsidRPr="00BC7786">
        <w:rPr>
          <w:rFonts w:asciiTheme="minorHAnsi" w:eastAsia="Cambria Math" w:hAnsiTheme="minorHAnsi" w:cs="Cambria Math"/>
        </w:rPr>
        <w:t xml:space="preserve"> </w:t>
      </w:r>
      <w:r w:rsidR="00FB44A2">
        <w:rPr>
          <w:rFonts w:asciiTheme="minorHAnsi" w:eastAsia="Cambria Math" w:hAnsiTheme="minorHAnsi" w:cs="Cambria Math"/>
        </w:rPr>
        <w:t>they</w:t>
      </w:r>
      <w:r w:rsidR="005D3546" w:rsidRPr="00BC7786">
        <w:rPr>
          <w:rFonts w:asciiTheme="minorHAnsi" w:eastAsia="Cambria Math" w:hAnsiTheme="minorHAnsi" w:cs="Cambria Math"/>
        </w:rPr>
        <w:t xml:space="preserve"> can help </w:t>
      </w:r>
      <w:r w:rsidR="00BC7786" w:rsidRPr="00BC7786">
        <w:rPr>
          <w:rFonts w:asciiTheme="minorHAnsi" w:eastAsia="Cambria Math" w:hAnsiTheme="minorHAnsi" w:cs="Cambria Math"/>
        </w:rPr>
        <w:t>reduce local urban temperatures on average by 1.0</w:t>
      </w:r>
      <w:r w:rsidR="00BC7786" w:rsidRPr="00BC7786">
        <w:rPr>
          <w:rFonts w:ascii="Cambria Math" w:eastAsia="Cambria Math" w:hAnsi="Cambria Math" w:cs="Cambria Math"/>
        </w:rPr>
        <w:t>℃</w:t>
      </w:r>
      <w:r w:rsidR="005D3546" w:rsidRPr="00BC7786">
        <w:rPr>
          <w:rFonts w:asciiTheme="minorHAnsi" w:eastAsia="Cambria Math" w:hAnsiTheme="minorHAnsi" w:cs="Cambria Math"/>
        </w:rPr>
        <w:t xml:space="preserve"> </w:t>
      </w:r>
      <w:r w:rsidR="00BC7786">
        <w:rPr>
          <w:rFonts w:asciiTheme="minorHAnsi" w:eastAsia="Cambria Math" w:hAnsiTheme="minorHAnsi" w:cs="Cambria Math"/>
        </w:rPr>
        <w:t>with e</w:t>
      </w:r>
      <w:r w:rsidR="004C0471">
        <w:rPr>
          <w:rFonts w:asciiTheme="minorHAnsi" w:eastAsia="Cambria Math" w:hAnsiTheme="minorHAnsi" w:cs="Cambria Math"/>
        </w:rPr>
        <w:t>ach</w:t>
      </w:r>
      <w:r w:rsidR="00BC7786">
        <w:rPr>
          <w:rFonts w:asciiTheme="minorHAnsi" w:eastAsia="Cambria Math" w:hAnsiTheme="minorHAnsi" w:cs="Cambria Math"/>
        </w:rPr>
        <w:t xml:space="preserve"> 5% increase in mature tree plantings </w:t>
      </w:r>
      <w:r w:rsidR="005D3546" w:rsidRPr="00BC7786">
        <w:rPr>
          <w:rFonts w:asciiTheme="minorHAnsi" w:eastAsia="Cambria Math" w:hAnsiTheme="minorHAnsi" w:cs="Cambria Math"/>
        </w:rPr>
        <w:t>(Skelhorn et al., 2014)</w:t>
      </w:r>
      <w:r w:rsidR="00BC7786">
        <w:rPr>
          <w:rFonts w:asciiTheme="minorHAnsi" w:eastAsia="Cambria Math" w:hAnsiTheme="minorHAnsi" w:cs="Cambria Math"/>
        </w:rPr>
        <w:t xml:space="preserve">. </w:t>
      </w:r>
    </w:p>
    <w:p w14:paraId="6918A8E6" w14:textId="7EDE31D0" w:rsidR="0038185F" w:rsidRDefault="003C4DBE" w:rsidP="0038185F">
      <w:pPr>
        <w:spacing w:line="360" w:lineRule="auto"/>
        <w:rPr>
          <w:rFonts w:asciiTheme="minorHAnsi" w:eastAsia="Cambria Math" w:hAnsiTheme="minorHAnsi"/>
          <w:lang w:eastAsia="ja-JP"/>
        </w:rPr>
      </w:pPr>
      <w:r>
        <w:rPr>
          <w:rFonts w:asciiTheme="minorHAnsi" w:eastAsia="Cambria Math" w:hAnsiTheme="minorHAnsi" w:cs="Cambria Math"/>
        </w:rPr>
        <w:tab/>
      </w:r>
      <w:r w:rsidR="0081779F">
        <w:rPr>
          <w:rFonts w:asciiTheme="minorHAnsi" w:eastAsia="Cambria Math" w:hAnsiTheme="minorHAnsi" w:cs="Cambria Math"/>
        </w:rPr>
        <w:t xml:space="preserve">Recreational opportunities are perceived </w:t>
      </w:r>
      <w:r w:rsidR="004C0471">
        <w:rPr>
          <w:rFonts w:asciiTheme="minorHAnsi" w:eastAsia="Cambria Math" w:hAnsiTheme="minorHAnsi" w:cs="Cambria Math"/>
        </w:rPr>
        <w:t xml:space="preserve">by city residents </w:t>
      </w:r>
      <w:r w:rsidR="0081779F">
        <w:rPr>
          <w:rFonts w:asciiTheme="minorHAnsi" w:eastAsia="Cambria Math" w:hAnsiTheme="minorHAnsi" w:cs="Cambria Math"/>
        </w:rPr>
        <w:t>as one of the most common and beneficial UES that UGS provide (Andersson et al., 201</w:t>
      </w:r>
      <w:r w:rsidR="00B411C8">
        <w:rPr>
          <w:rFonts w:asciiTheme="minorHAnsi" w:eastAsia="Cambria Math" w:hAnsiTheme="minorHAnsi" w:cs="Cambria Math"/>
        </w:rPr>
        <w:t>5</w:t>
      </w:r>
      <w:r w:rsidR="0081779F">
        <w:rPr>
          <w:rFonts w:asciiTheme="minorHAnsi" w:eastAsia="Cambria Math" w:hAnsiTheme="minorHAnsi" w:cs="Cambria Math"/>
        </w:rPr>
        <w:t>). In cities, recreational activities primarily occur in parks; in addition, parks have been shown to offer a plethora of other cultural UES including opportunities for physical exercise (West et al., 2012), improvements to mental health (Cohen-Cline et al., 2015), increased feelings of safety and social cohesion (Bogar and Beyer, 201</w:t>
      </w:r>
      <w:r w:rsidR="00E40403">
        <w:rPr>
          <w:rFonts w:asciiTheme="minorHAnsi" w:eastAsia="Cambria Math" w:hAnsiTheme="minorHAnsi" w:cs="Cambria Math"/>
        </w:rPr>
        <w:t>6</w:t>
      </w:r>
      <w:r w:rsidR="0081779F">
        <w:rPr>
          <w:rFonts w:asciiTheme="minorHAnsi" w:eastAsia="Cambria Math" w:hAnsiTheme="minorHAnsi" w:cs="Cambria Math"/>
        </w:rPr>
        <w:t xml:space="preserve">; Peters et al., 2010), and increased academic performance (Wu et al., 2014). </w:t>
      </w:r>
      <w:r w:rsidR="00850610">
        <w:rPr>
          <w:rFonts w:asciiTheme="minorHAnsi" w:eastAsia="Cambria Math" w:hAnsiTheme="minorHAnsi"/>
          <w:lang w:eastAsia="ja-JP"/>
        </w:rPr>
        <w:t>Furthermore, studies have also shown that parks may help in reducing stress (Ulrich, 1981), enhanc</w:t>
      </w:r>
      <w:r w:rsidR="004C0471">
        <w:rPr>
          <w:rFonts w:asciiTheme="minorHAnsi" w:eastAsia="Cambria Math" w:hAnsiTheme="minorHAnsi"/>
          <w:lang w:eastAsia="ja-JP"/>
        </w:rPr>
        <w:t>ing</w:t>
      </w:r>
      <w:r w:rsidR="00850610">
        <w:rPr>
          <w:rFonts w:asciiTheme="minorHAnsi" w:eastAsia="Cambria Math" w:hAnsiTheme="minorHAnsi"/>
          <w:lang w:eastAsia="ja-JP"/>
        </w:rPr>
        <w:t xml:space="preserve"> one’s contemplativeness and feelings of peacefulness (Kaplan, 1983), and </w:t>
      </w:r>
      <w:r w:rsidR="004C0471">
        <w:rPr>
          <w:rFonts w:asciiTheme="minorHAnsi" w:eastAsia="Cambria Math" w:hAnsiTheme="minorHAnsi"/>
          <w:lang w:eastAsia="ja-JP"/>
        </w:rPr>
        <w:t>significantly increasing</w:t>
      </w:r>
      <w:r w:rsidR="00850610">
        <w:rPr>
          <w:rFonts w:asciiTheme="minorHAnsi" w:eastAsia="Cambria Math" w:hAnsiTheme="minorHAnsi"/>
          <w:lang w:eastAsia="ja-JP"/>
        </w:rPr>
        <w:t xml:space="preserve"> an individual’s perceptions of their own health (Godbey et al., 1992). While there is no biophysical unit of measurement for recreation, one common method </w:t>
      </w:r>
      <w:r w:rsidR="00F776F8">
        <w:rPr>
          <w:rFonts w:asciiTheme="minorHAnsi" w:eastAsia="Cambria Math" w:hAnsiTheme="minorHAnsi"/>
          <w:lang w:eastAsia="ja-JP"/>
        </w:rPr>
        <w:t xml:space="preserve">used </w:t>
      </w:r>
      <w:r w:rsidR="00850610">
        <w:rPr>
          <w:rFonts w:asciiTheme="minorHAnsi" w:eastAsia="Cambria Math" w:hAnsiTheme="minorHAnsi"/>
          <w:lang w:eastAsia="ja-JP"/>
        </w:rPr>
        <w:t>for measuring the recreational potential of a park is using the park’s total acreage and the walking accessibility of the park for urban residents (Rigolon et al., 2016). By utilizing these two units of measurements</w:t>
      </w:r>
      <w:r w:rsidR="004C0471">
        <w:rPr>
          <w:rFonts w:asciiTheme="minorHAnsi" w:eastAsia="Cambria Math" w:hAnsiTheme="minorHAnsi"/>
          <w:lang w:eastAsia="ja-JP"/>
        </w:rPr>
        <w:t>,</w:t>
      </w:r>
      <w:r w:rsidR="00850610">
        <w:rPr>
          <w:rFonts w:asciiTheme="minorHAnsi" w:eastAsia="Cambria Math" w:hAnsiTheme="minorHAnsi"/>
          <w:lang w:eastAsia="ja-JP"/>
        </w:rPr>
        <w:t xml:space="preserve"> it can be </w:t>
      </w:r>
      <w:r w:rsidR="00F776F8">
        <w:rPr>
          <w:rFonts w:asciiTheme="minorHAnsi" w:eastAsia="Cambria Math" w:hAnsiTheme="minorHAnsi"/>
          <w:lang w:eastAsia="ja-JP"/>
        </w:rPr>
        <w:t xml:space="preserve">determined </w:t>
      </w:r>
      <w:r w:rsidR="004C0471">
        <w:rPr>
          <w:rFonts w:asciiTheme="minorHAnsi" w:eastAsia="Cambria Math" w:hAnsiTheme="minorHAnsi"/>
          <w:lang w:eastAsia="ja-JP"/>
        </w:rPr>
        <w:t>which residents</w:t>
      </w:r>
      <w:r w:rsidR="00F776F8">
        <w:rPr>
          <w:rFonts w:asciiTheme="minorHAnsi" w:eastAsia="Cambria Math" w:hAnsiTheme="minorHAnsi"/>
          <w:lang w:eastAsia="ja-JP"/>
        </w:rPr>
        <w:t xml:space="preserve"> can</w:t>
      </w:r>
      <w:r w:rsidR="004C0471">
        <w:rPr>
          <w:rFonts w:asciiTheme="minorHAnsi" w:eastAsia="Cambria Math" w:hAnsiTheme="minorHAnsi"/>
          <w:lang w:eastAsia="ja-JP"/>
        </w:rPr>
        <w:t xml:space="preserve"> easily</w:t>
      </w:r>
      <w:r w:rsidR="00F776F8">
        <w:rPr>
          <w:rFonts w:asciiTheme="minorHAnsi" w:eastAsia="Cambria Math" w:hAnsiTheme="minorHAnsi"/>
          <w:lang w:eastAsia="ja-JP"/>
        </w:rPr>
        <w:t xml:space="preserve"> access the park as well as how much land they will have for recreational activities. </w:t>
      </w:r>
      <w:r w:rsidR="0087245F">
        <w:rPr>
          <w:rFonts w:asciiTheme="minorHAnsi" w:eastAsia="Cambria Math" w:hAnsiTheme="minorHAnsi"/>
          <w:lang w:eastAsia="ja-JP"/>
        </w:rPr>
        <w:t xml:space="preserve">Studying the distribution of these four UES requires the lens of environmental justice, which is the concept of ensuring the environmental equality for all citizens, regardless of race, color, national origin, or income. </w:t>
      </w:r>
    </w:p>
    <w:p w14:paraId="18C54876" w14:textId="43875976" w:rsidR="006C1A9F" w:rsidRDefault="006C1A9F" w:rsidP="0038185F">
      <w:pPr>
        <w:spacing w:line="360" w:lineRule="auto"/>
        <w:rPr>
          <w:rFonts w:asciiTheme="minorHAnsi" w:eastAsia="Cambria Math" w:hAnsiTheme="minorHAnsi"/>
          <w:lang w:eastAsia="ja-JP"/>
        </w:rPr>
      </w:pPr>
    </w:p>
    <w:p w14:paraId="76BC19B9" w14:textId="49998ADE" w:rsidR="006C1A9F" w:rsidRPr="006C1A9F" w:rsidRDefault="006C1A9F" w:rsidP="006C1A9F">
      <w:pPr>
        <w:pStyle w:val="ListParagraph"/>
        <w:numPr>
          <w:ilvl w:val="2"/>
          <w:numId w:val="2"/>
        </w:numPr>
        <w:spacing w:line="360" w:lineRule="auto"/>
        <w:rPr>
          <w:i/>
          <w:iCs/>
        </w:rPr>
      </w:pPr>
      <w:r>
        <w:rPr>
          <w:i/>
          <w:iCs/>
        </w:rPr>
        <w:t xml:space="preserve">A </w:t>
      </w:r>
      <w:r w:rsidRPr="006C1A9F">
        <w:rPr>
          <w:i/>
          <w:iCs/>
        </w:rPr>
        <w:t>Brief Overview of Environmental Justice</w:t>
      </w:r>
    </w:p>
    <w:p w14:paraId="2933BE4D" w14:textId="72B14467" w:rsidR="006C1A9F" w:rsidRDefault="006C1A9F" w:rsidP="006C1A9F">
      <w:pPr>
        <w:spacing w:line="360" w:lineRule="auto"/>
        <w:ind w:firstLine="720"/>
        <w:rPr>
          <w:rFonts w:ascii="Calibri" w:hAnsi="Calibri" w:cs="Calibri"/>
        </w:rPr>
      </w:pPr>
      <w:r w:rsidRPr="0098238D">
        <w:rPr>
          <w:rFonts w:ascii="Cambria" w:hAnsi="Cambria" w:cs="Calibri"/>
        </w:rPr>
        <w:t xml:space="preserve">The social movement and field of research known as environmental justice (EJ) was developed in the United States by activists and scholars during the 1980s as a response to the growing realization that poor and nonwhite populations were disproportionately exposed to environmental hazards (Boone and Fragkias, 2012). Early EJ studies demonstrated that ethnic minorities, people of color, and lower-income communities faced </w:t>
      </w:r>
      <w:r w:rsidRPr="0098238D">
        <w:rPr>
          <w:rFonts w:ascii="Cambria" w:hAnsi="Cambria" w:cs="Calibri"/>
        </w:rPr>
        <w:lastRenderedPageBreak/>
        <w:t xml:space="preserve">higher burdens of polluted air, water, and soil from industrialized facilities and </w:t>
      </w:r>
      <w:r w:rsidR="0061650F">
        <w:rPr>
          <w:rFonts w:ascii="Cambria" w:hAnsi="Cambria" w:cs="Calibri"/>
        </w:rPr>
        <w:t xml:space="preserve">other </w:t>
      </w:r>
      <w:r w:rsidRPr="0098238D">
        <w:rPr>
          <w:rFonts w:ascii="Cambria" w:hAnsi="Cambria" w:cs="Calibri"/>
        </w:rPr>
        <w:t>anthropogenic sources (United Church of Christ, 1987; Bullard, 1990; Colten and Skinner, 1996</w:t>
      </w:r>
      <w:r w:rsidRPr="0098238D">
        <w:rPr>
          <w:rFonts w:asciiTheme="minorHAnsi" w:hAnsiTheme="minorHAnsi" w:cs="Calibri"/>
        </w:rPr>
        <w:t xml:space="preserve">). As the field of EJ grew, researchers and institutions started to </w:t>
      </w:r>
      <w:r>
        <w:rPr>
          <w:rFonts w:asciiTheme="minorHAnsi" w:hAnsiTheme="minorHAnsi" w:cs="Calibri"/>
        </w:rPr>
        <w:t>collaborate</w:t>
      </w:r>
      <w:r w:rsidRPr="0098238D">
        <w:rPr>
          <w:rFonts w:asciiTheme="minorHAnsi" w:hAnsiTheme="minorHAnsi" w:cs="Calibri"/>
        </w:rPr>
        <w:t xml:space="preserve"> to develop their findings. One such event was the Conference on Race and the Incidence of Environmental Hazards at the University of Michigan, organized by sociologists Bryant and Mohai (Mohai et al. 2009). The proceedings of the conference were sent to the United States Environmental Protection Agency (US EPA), which persuaded the agency to start their own investigation into the matter (Mohai et al. 2009). The EPA eventually published their findings in 1992 entitled </w:t>
      </w:r>
      <w:r w:rsidRPr="0098238D">
        <w:rPr>
          <w:rFonts w:asciiTheme="minorHAnsi" w:hAnsiTheme="minorHAnsi" w:cs="Calibri"/>
          <w:i/>
          <w:iCs/>
        </w:rPr>
        <w:t>Environmental Equity: Reducing Risks for all Communities</w:t>
      </w:r>
      <w:r w:rsidRPr="0098238D">
        <w:rPr>
          <w:rFonts w:asciiTheme="minorHAnsi" w:hAnsiTheme="minorHAnsi" w:cs="Calibri"/>
        </w:rPr>
        <w:t xml:space="preserve">, </w:t>
      </w:r>
      <w:r>
        <w:rPr>
          <w:rFonts w:asciiTheme="minorHAnsi" w:hAnsiTheme="minorHAnsi" w:cs="Calibri"/>
        </w:rPr>
        <w:t>which offered t</w:t>
      </w:r>
      <w:r w:rsidRPr="0098238D">
        <w:rPr>
          <w:rFonts w:asciiTheme="minorHAnsi" w:hAnsiTheme="minorHAnsi" w:cs="Calibri"/>
        </w:rPr>
        <w:t>heir own recommendations as to how to alleviate these environmental injustices (Bryant, 1995)</w:t>
      </w:r>
      <w:r w:rsidRPr="0098238D">
        <w:rPr>
          <w:rFonts w:asciiTheme="minorHAnsi" w:hAnsiTheme="minorHAnsi" w:cs="Calibri"/>
          <w:i/>
          <w:iCs/>
        </w:rPr>
        <w:t xml:space="preserve">. </w:t>
      </w:r>
      <w:r w:rsidRPr="0098238D">
        <w:rPr>
          <w:rFonts w:asciiTheme="minorHAnsi" w:hAnsiTheme="minorHAnsi" w:cs="Calibri"/>
        </w:rPr>
        <w:t xml:space="preserve">Furthermore, an executive order was mandated in 1994 by then-President Bill Clinton requiring all federal agencies to consider EJ in their </w:t>
      </w:r>
      <w:r>
        <w:rPr>
          <w:rFonts w:asciiTheme="minorHAnsi" w:hAnsiTheme="minorHAnsi" w:cs="Calibri"/>
        </w:rPr>
        <w:t xml:space="preserve">day-to-day </w:t>
      </w:r>
      <w:r w:rsidRPr="0098238D">
        <w:rPr>
          <w:rFonts w:asciiTheme="minorHAnsi" w:hAnsiTheme="minorHAnsi" w:cs="Calibri"/>
        </w:rPr>
        <w:t>operations (Executive Order No. 12898, 1994). These actions demonstrate how a previously fringe environmental movement made its way into the national focus and has become a formal part of local, state, and federal policy decision-making.</w:t>
      </w:r>
      <w:r>
        <w:rPr>
          <w:rFonts w:ascii="Calibri" w:hAnsi="Calibri" w:cs="Calibri"/>
        </w:rPr>
        <w:t xml:space="preserve"> </w:t>
      </w:r>
    </w:p>
    <w:p w14:paraId="41185F9F" w14:textId="652208D9" w:rsidR="006C1A9F" w:rsidRPr="00233937" w:rsidRDefault="006C1A9F" w:rsidP="006C1A9F">
      <w:pPr>
        <w:spacing w:line="360" w:lineRule="auto"/>
        <w:ind w:firstLine="720"/>
        <w:rPr>
          <w:rFonts w:ascii="Calibri" w:hAnsi="Calibri" w:cs="Calibri"/>
        </w:rPr>
      </w:pPr>
      <w:r w:rsidRPr="008375B2">
        <w:rPr>
          <w:rFonts w:asciiTheme="minorHAnsi" w:hAnsiTheme="minorHAnsi" w:cs="Calibri"/>
        </w:rPr>
        <w:t>In the decades since its conception, the EJ framework for activism, research, and policymaking concerning relationships between environmental and social issues h</w:t>
      </w:r>
      <w:r>
        <w:rPr>
          <w:rFonts w:asciiTheme="minorHAnsi" w:hAnsiTheme="minorHAnsi" w:cs="Calibri"/>
        </w:rPr>
        <w:t>as</w:t>
      </w:r>
      <w:r w:rsidRPr="008375B2">
        <w:rPr>
          <w:rFonts w:asciiTheme="minorHAnsi" w:hAnsiTheme="minorHAnsi" w:cs="Calibri"/>
        </w:rPr>
        <w:t xml:space="preserve"> extended far beyond its U</w:t>
      </w:r>
      <w:r>
        <w:rPr>
          <w:rFonts w:asciiTheme="minorHAnsi" w:hAnsiTheme="minorHAnsi" w:cs="Calibri"/>
        </w:rPr>
        <w:t>.S.</w:t>
      </w:r>
      <w:r w:rsidRPr="008375B2">
        <w:rPr>
          <w:rFonts w:asciiTheme="minorHAnsi" w:hAnsiTheme="minorHAnsi" w:cs="Calibri"/>
        </w:rPr>
        <w:t xml:space="preserve"> origins and into a more global context. Especially as EJ issues have transcended national borders </w:t>
      </w:r>
      <w:r>
        <w:rPr>
          <w:rFonts w:asciiTheme="minorHAnsi" w:hAnsiTheme="minorHAnsi" w:cs="Calibri"/>
        </w:rPr>
        <w:t xml:space="preserve">through </w:t>
      </w:r>
      <w:r w:rsidRPr="008375B2">
        <w:rPr>
          <w:rFonts w:asciiTheme="minorHAnsi" w:hAnsiTheme="minorHAnsi" w:cs="Calibri"/>
        </w:rPr>
        <w:t xml:space="preserve">transfers of </w:t>
      </w:r>
      <w:r>
        <w:rPr>
          <w:rFonts w:asciiTheme="minorHAnsi" w:hAnsiTheme="minorHAnsi" w:cs="Calibri"/>
        </w:rPr>
        <w:t xml:space="preserve">anthropogenic </w:t>
      </w:r>
      <w:r w:rsidRPr="008375B2">
        <w:rPr>
          <w:rFonts w:asciiTheme="minorHAnsi" w:hAnsiTheme="minorHAnsi" w:cs="Calibri"/>
        </w:rPr>
        <w:t xml:space="preserve">waste and climate change (Walker, 2009). As the field has grown, studies have begun to cast attention towards how </w:t>
      </w:r>
      <w:r>
        <w:rPr>
          <w:rFonts w:asciiTheme="minorHAnsi" w:hAnsiTheme="minorHAnsi" w:cs="Calibri"/>
        </w:rPr>
        <w:t>the SES</w:t>
      </w:r>
      <w:r w:rsidRPr="008375B2">
        <w:rPr>
          <w:rFonts w:asciiTheme="minorHAnsi" w:hAnsiTheme="minorHAnsi" w:cs="Calibri"/>
        </w:rPr>
        <w:t xml:space="preserve"> of communities influences the distribution of </w:t>
      </w:r>
      <w:r w:rsidR="0087245F">
        <w:rPr>
          <w:rFonts w:asciiTheme="minorHAnsi" w:hAnsiTheme="minorHAnsi" w:cs="Calibri"/>
        </w:rPr>
        <w:t xml:space="preserve">not just </w:t>
      </w:r>
      <w:r w:rsidRPr="008375B2">
        <w:rPr>
          <w:rFonts w:asciiTheme="minorHAnsi" w:hAnsiTheme="minorHAnsi" w:cs="Calibri"/>
        </w:rPr>
        <w:t xml:space="preserve">environmental </w:t>
      </w:r>
      <w:r w:rsidR="003208A8">
        <w:rPr>
          <w:rFonts w:asciiTheme="minorHAnsi" w:hAnsiTheme="minorHAnsi" w:cs="Calibri"/>
        </w:rPr>
        <w:t>dis</w:t>
      </w:r>
      <w:r w:rsidRPr="008375B2">
        <w:rPr>
          <w:rFonts w:asciiTheme="minorHAnsi" w:hAnsiTheme="minorHAnsi" w:cs="Calibri"/>
        </w:rPr>
        <w:t>amenities</w:t>
      </w:r>
      <w:r w:rsidR="0087245F">
        <w:rPr>
          <w:rFonts w:asciiTheme="minorHAnsi" w:hAnsiTheme="minorHAnsi" w:cs="Calibri"/>
        </w:rPr>
        <w:t xml:space="preserve">, but environmental amenities as well, such as UGS. </w:t>
      </w:r>
    </w:p>
    <w:p w14:paraId="01BDADA6" w14:textId="77777777" w:rsidR="007F3968" w:rsidRPr="0038185F" w:rsidRDefault="007F3968" w:rsidP="0038185F">
      <w:pPr>
        <w:spacing w:line="360" w:lineRule="auto"/>
        <w:rPr>
          <w:rFonts w:asciiTheme="minorHAnsi" w:eastAsia="Cambria Math" w:hAnsiTheme="minorHAnsi"/>
          <w:lang w:eastAsia="ja-JP"/>
        </w:rPr>
      </w:pPr>
    </w:p>
    <w:p w14:paraId="6DDB2C1E" w14:textId="339B2BF4" w:rsidR="0038185F" w:rsidRPr="0038185F" w:rsidRDefault="009761FE" w:rsidP="000975C5">
      <w:pPr>
        <w:pStyle w:val="ListParagraph"/>
        <w:numPr>
          <w:ilvl w:val="2"/>
          <w:numId w:val="2"/>
        </w:numPr>
        <w:spacing w:line="360" w:lineRule="auto"/>
        <w:rPr>
          <w:i/>
          <w:iCs/>
        </w:rPr>
      </w:pPr>
      <w:r w:rsidRPr="00582297">
        <w:rPr>
          <w:i/>
          <w:iCs/>
        </w:rPr>
        <w:t xml:space="preserve">Socioeconomic Status </w:t>
      </w:r>
      <w:r w:rsidR="004C4813">
        <w:rPr>
          <w:i/>
          <w:iCs/>
        </w:rPr>
        <w:t xml:space="preserve">and Environmental Inequality </w:t>
      </w:r>
      <w:r w:rsidRPr="00582297">
        <w:rPr>
          <w:i/>
          <w:iCs/>
        </w:rPr>
        <w:t xml:space="preserve"> </w:t>
      </w:r>
    </w:p>
    <w:p w14:paraId="016B4043" w14:textId="3A11A6D5" w:rsidR="00F500E3" w:rsidRDefault="0038185F" w:rsidP="00F61AD0">
      <w:pPr>
        <w:spacing w:line="360" w:lineRule="auto"/>
        <w:ind w:firstLine="720"/>
        <w:rPr>
          <w:rFonts w:asciiTheme="minorHAnsi" w:hAnsiTheme="minorHAnsi"/>
        </w:rPr>
      </w:pPr>
      <w:r w:rsidRPr="0038185F">
        <w:rPr>
          <w:rFonts w:asciiTheme="minorHAnsi" w:hAnsiTheme="minorHAnsi"/>
        </w:rPr>
        <w:t xml:space="preserve">Despite the extensive research </w:t>
      </w:r>
      <w:r>
        <w:rPr>
          <w:rFonts w:asciiTheme="minorHAnsi" w:hAnsiTheme="minorHAnsi"/>
        </w:rPr>
        <w:t xml:space="preserve">that has demonstrated the benefits </w:t>
      </w:r>
      <w:r w:rsidR="004C0471">
        <w:rPr>
          <w:rFonts w:asciiTheme="minorHAnsi" w:hAnsiTheme="minorHAnsi"/>
        </w:rPr>
        <w:t xml:space="preserve">that </w:t>
      </w:r>
      <w:r>
        <w:rPr>
          <w:rFonts w:asciiTheme="minorHAnsi" w:hAnsiTheme="minorHAnsi"/>
        </w:rPr>
        <w:t xml:space="preserve">humans and cities derive from </w:t>
      </w:r>
      <w:r w:rsidR="00485A74">
        <w:rPr>
          <w:rFonts w:asciiTheme="minorHAnsi" w:hAnsiTheme="minorHAnsi"/>
        </w:rPr>
        <w:t xml:space="preserve">environmental amenities such as </w:t>
      </w:r>
      <w:r>
        <w:rPr>
          <w:rFonts w:asciiTheme="minorHAnsi" w:hAnsiTheme="minorHAnsi"/>
        </w:rPr>
        <w:t xml:space="preserve">UGS and the UES they produce (Gomez-Baggethun and Barton, 2013; Jennings et al., 2016), not everyone in cities have equal access to </w:t>
      </w:r>
      <w:r w:rsidR="004C0471">
        <w:rPr>
          <w:rFonts w:asciiTheme="minorHAnsi" w:hAnsiTheme="minorHAnsi"/>
        </w:rPr>
        <w:t>UGS</w:t>
      </w:r>
      <w:r>
        <w:rPr>
          <w:rFonts w:asciiTheme="minorHAnsi" w:hAnsiTheme="minorHAnsi"/>
        </w:rPr>
        <w:t xml:space="preserve">. This pattern of inequitable access to UGS </w:t>
      </w:r>
      <w:r w:rsidR="00415859">
        <w:rPr>
          <w:rFonts w:asciiTheme="minorHAnsi" w:hAnsiTheme="minorHAnsi"/>
        </w:rPr>
        <w:t xml:space="preserve">is </w:t>
      </w:r>
      <w:r>
        <w:rPr>
          <w:rFonts w:asciiTheme="minorHAnsi" w:hAnsiTheme="minorHAnsi"/>
        </w:rPr>
        <w:t xml:space="preserve">reminiscent yet the inverse of the unequal exposure to environmental disamenities </w:t>
      </w:r>
      <w:r w:rsidR="00415859">
        <w:rPr>
          <w:rFonts w:asciiTheme="minorHAnsi" w:hAnsiTheme="minorHAnsi"/>
        </w:rPr>
        <w:t xml:space="preserve">by </w:t>
      </w:r>
      <w:r w:rsidR="00FF56E7">
        <w:rPr>
          <w:rFonts w:asciiTheme="minorHAnsi" w:hAnsiTheme="minorHAnsi"/>
        </w:rPr>
        <w:t>lower income and minority</w:t>
      </w:r>
      <w:r w:rsidR="00415859">
        <w:rPr>
          <w:rFonts w:asciiTheme="minorHAnsi" w:hAnsiTheme="minorHAnsi"/>
        </w:rPr>
        <w:t xml:space="preserve"> communities </w:t>
      </w:r>
      <w:r>
        <w:rPr>
          <w:rFonts w:asciiTheme="minorHAnsi" w:hAnsiTheme="minorHAnsi"/>
        </w:rPr>
        <w:t>seen i</w:t>
      </w:r>
      <w:r w:rsidR="004C0471">
        <w:rPr>
          <w:rFonts w:asciiTheme="minorHAnsi" w:hAnsiTheme="minorHAnsi"/>
        </w:rPr>
        <w:t>n</w:t>
      </w:r>
      <w:r>
        <w:rPr>
          <w:rFonts w:asciiTheme="minorHAnsi" w:hAnsiTheme="minorHAnsi"/>
        </w:rPr>
        <w:t xml:space="preserve"> classic environmental justice research. </w:t>
      </w:r>
      <w:r w:rsidR="00415859">
        <w:rPr>
          <w:rFonts w:asciiTheme="minorHAnsi" w:hAnsiTheme="minorHAnsi"/>
        </w:rPr>
        <w:t>Research into the inequitable distribution of UGS ha</w:t>
      </w:r>
      <w:r w:rsidR="00DC61F1">
        <w:rPr>
          <w:rFonts w:asciiTheme="minorHAnsi" w:hAnsiTheme="minorHAnsi"/>
        </w:rPr>
        <w:t>s</w:t>
      </w:r>
      <w:r w:rsidR="00415859">
        <w:rPr>
          <w:rFonts w:asciiTheme="minorHAnsi" w:hAnsiTheme="minorHAnsi"/>
        </w:rPr>
        <w:t xml:space="preserve"> repeatedly found SES indicators such as income, ethnicity and race, </w:t>
      </w:r>
      <w:r w:rsidR="00F32D56">
        <w:rPr>
          <w:rFonts w:asciiTheme="minorHAnsi" w:hAnsiTheme="minorHAnsi"/>
        </w:rPr>
        <w:lastRenderedPageBreak/>
        <w:t>housing characteristics, and</w:t>
      </w:r>
      <w:r w:rsidR="00415859">
        <w:rPr>
          <w:rFonts w:asciiTheme="minorHAnsi" w:hAnsiTheme="minorHAnsi"/>
        </w:rPr>
        <w:t xml:space="preserve"> population density to significantly influence UGS distribution (</w:t>
      </w:r>
      <w:r w:rsidR="00FF56E7">
        <w:rPr>
          <w:rFonts w:asciiTheme="minorHAnsi" w:hAnsiTheme="minorHAnsi"/>
        </w:rPr>
        <w:t xml:space="preserve">As synthesized by </w:t>
      </w:r>
      <w:r w:rsidR="00415859">
        <w:rPr>
          <w:rFonts w:asciiTheme="minorHAnsi" w:hAnsiTheme="minorHAnsi"/>
        </w:rPr>
        <w:t>Wolch et al., 2014).</w:t>
      </w:r>
      <w:r w:rsidR="00F61AD0">
        <w:rPr>
          <w:rFonts w:asciiTheme="minorHAnsi" w:hAnsiTheme="minorHAnsi"/>
        </w:rPr>
        <w:t xml:space="preserve"> </w:t>
      </w:r>
      <w:r w:rsidR="00F32D56">
        <w:rPr>
          <w:rFonts w:asciiTheme="minorHAnsi" w:hAnsiTheme="minorHAnsi"/>
        </w:rPr>
        <w:t xml:space="preserve">Since these SES values have been shown to be correlated with UGS distribution, it is critical to examine how they relate to UES distribution.  </w:t>
      </w:r>
    </w:p>
    <w:p w14:paraId="527B4EFC" w14:textId="0E3553AC" w:rsidR="00F61AD0" w:rsidRDefault="008165B3" w:rsidP="00F61AD0">
      <w:pPr>
        <w:spacing w:line="360" w:lineRule="auto"/>
        <w:ind w:firstLine="720"/>
        <w:rPr>
          <w:rFonts w:asciiTheme="minorHAnsi" w:hAnsiTheme="minorHAnsi"/>
        </w:rPr>
      </w:pPr>
      <w:r>
        <w:rPr>
          <w:rFonts w:asciiTheme="minorHAnsi" w:hAnsiTheme="minorHAnsi"/>
        </w:rPr>
        <w:t xml:space="preserve">As residents </w:t>
      </w:r>
      <w:r w:rsidR="00FC706A">
        <w:rPr>
          <w:rFonts w:asciiTheme="minorHAnsi" w:hAnsiTheme="minorHAnsi"/>
        </w:rPr>
        <w:t>exit</w:t>
      </w:r>
      <w:r>
        <w:rPr>
          <w:rFonts w:asciiTheme="minorHAnsi" w:hAnsiTheme="minorHAnsi"/>
        </w:rPr>
        <w:t xml:space="preserve"> their homes, s</w:t>
      </w:r>
      <w:r w:rsidR="00F500E3">
        <w:rPr>
          <w:rFonts w:asciiTheme="minorHAnsi" w:hAnsiTheme="minorHAnsi"/>
        </w:rPr>
        <w:t xml:space="preserve">treet trees </w:t>
      </w:r>
      <w:r>
        <w:rPr>
          <w:rFonts w:asciiTheme="minorHAnsi" w:hAnsiTheme="minorHAnsi"/>
        </w:rPr>
        <w:t>are typically the first type of UGS they see and interact with</w:t>
      </w:r>
      <w:r w:rsidR="0098399B">
        <w:rPr>
          <w:rFonts w:asciiTheme="minorHAnsi" w:hAnsiTheme="minorHAnsi"/>
        </w:rPr>
        <w:t>.</w:t>
      </w:r>
      <w:r>
        <w:rPr>
          <w:rFonts w:asciiTheme="minorHAnsi" w:hAnsiTheme="minorHAnsi"/>
        </w:rPr>
        <w:t xml:space="preserve"> </w:t>
      </w:r>
      <w:r w:rsidR="0098399B">
        <w:rPr>
          <w:rFonts w:asciiTheme="minorHAnsi" w:hAnsiTheme="minorHAnsi"/>
        </w:rPr>
        <w:t>T</w:t>
      </w:r>
      <w:r>
        <w:rPr>
          <w:rFonts w:asciiTheme="minorHAnsi" w:hAnsiTheme="minorHAnsi"/>
        </w:rPr>
        <w:t>his makes them one</w:t>
      </w:r>
      <w:r w:rsidR="00F500E3">
        <w:rPr>
          <w:rFonts w:asciiTheme="minorHAnsi" w:hAnsiTheme="minorHAnsi"/>
        </w:rPr>
        <w:t xml:space="preserve"> of the most </w:t>
      </w:r>
      <w:r w:rsidR="00B80498">
        <w:rPr>
          <w:rFonts w:asciiTheme="minorHAnsi" w:hAnsiTheme="minorHAnsi"/>
        </w:rPr>
        <w:t>important</w:t>
      </w:r>
      <w:r w:rsidR="00F500E3">
        <w:rPr>
          <w:rFonts w:asciiTheme="minorHAnsi" w:hAnsiTheme="minorHAnsi"/>
        </w:rPr>
        <w:t xml:space="preserve"> types of UGS found in cities </w:t>
      </w:r>
      <w:r w:rsidR="00B80498">
        <w:rPr>
          <w:rFonts w:asciiTheme="minorHAnsi" w:hAnsiTheme="minorHAnsi"/>
        </w:rPr>
        <w:t>as they</w:t>
      </w:r>
      <w:r w:rsidR="00F500E3">
        <w:rPr>
          <w:rFonts w:asciiTheme="minorHAnsi" w:hAnsiTheme="minorHAnsi"/>
        </w:rPr>
        <w:t xml:space="preserve"> </w:t>
      </w:r>
      <w:r w:rsidR="00B80498">
        <w:rPr>
          <w:rFonts w:asciiTheme="minorHAnsi" w:hAnsiTheme="minorHAnsi"/>
        </w:rPr>
        <w:t xml:space="preserve">offer </w:t>
      </w:r>
      <w:r w:rsidR="00F500E3">
        <w:rPr>
          <w:rFonts w:asciiTheme="minorHAnsi" w:hAnsiTheme="minorHAnsi"/>
        </w:rPr>
        <w:t xml:space="preserve">the most direct interaction that residents have with UES. However, </w:t>
      </w:r>
      <w:r w:rsidR="00FC706A">
        <w:rPr>
          <w:rFonts w:asciiTheme="minorHAnsi" w:hAnsiTheme="minorHAnsi"/>
        </w:rPr>
        <w:t xml:space="preserve">studies </w:t>
      </w:r>
      <w:r w:rsidR="00F500E3">
        <w:rPr>
          <w:rFonts w:asciiTheme="minorHAnsi" w:hAnsiTheme="minorHAnsi"/>
        </w:rPr>
        <w:t>show that there is an inequitable access to street trees. In</w:t>
      </w:r>
      <w:r w:rsidR="00B93002">
        <w:rPr>
          <w:rFonts w:asciiTheme="minorHAnsi" w:hAnsiTheme="minorHAnsi"/>
        </w:rPr>
        <w:t xml:space="preserve"> a multivariate analysis that measured urban tree canopy cover (UTC) across seven cities in the U.S.</w:t>
      </w:r>
      <w:r w:rsidR="00F500E3">
        <w:rPr>
          <w:rFonts w:asciiTheme="minorHAnsi" w:hAnsiTheme="minorHAnsi"/>
        </w:rPr>
        <w:t xml:space="preserve">, </w:t>
      </w:r>
      <w:r w:rsidR="00E1344D">
        <w:rPr>
          <w:rFonts w:asciiTheme="minorHAnsi" w:hAnsiTheme="minorHAnsi"/>
        </w:rPr>
        <w:t xml:space="preserve">Schwartz er al. (2015) </w:t>
      </w:r>
      <w:r w:rsidR="00B93002">
        <w:rPr>
          <w:rFonts w:asciiTheme="minorHAnsi" w:hAnsiTheme="minorHAnsi"/>
        </w:rPr>
        <w:t xml:space="preserve">identified a strong positive correlation between UTC cover and the median household income across </w:t>
      </w:r>
      <w:r w:rsidR="00E1344D">
        <w:rPr>
          <w:rFonts w:asciiTheme="minorHAnsi" w:hAnsiTheme="minorHAnsi"/>
        </w:rPr>
        <w:t>all</w:t>
      </w:r>
      <w:r w:rsidR="00B93002">
        <w:rPr>
          <w:rFonts w:asciiTheme="minorHAnsi" w:hAnsiTheme="minorHAnsi"/>
        </w:rPr>
        <w:t xml:space="preserve"> the cities examine</w:t>
      </w:r>
      <w:r w:rsidR="00E1344D">
        <w:rPr>
          <w:rFonts w:asciiTheme="minorHAnsi" w:hAnsiTheme="minorHAnsi"/>
        </w:rPr>
        <w:t xml:space="preserve">d. </w:t>
      </w:r>
      <w:r w:rsidR="00B93002">
        <w:rPr>
          <w:rFonts w:asciiTheme="minorHAnsi" w:hAnsiTheme="minorHAnsi"/>
        </w:rPr>
        <w:t>Furthermore, in a single city study out</w:t>
      </w:r>
      <w:r w:rsidR="00EE7476">
        <w:rPr>
          <w:rFonts w:asciiTheme="minorHAnsi" w:hAnsiTheme="minorHAnsi"/>
        </w:rPr>
        <w:t xml:space="preserve"> of</w:t>
      </w:r>
      <w:r w:rsidR="00B93002">
        <w:rPr>
          <w:rFonts w:asciiTheme="minorHAnsi" w:hAnsiTheme="minorHAnsi"/>
        </w:rPr>
        <w:t xml:space="preserve"> Indianapolis, IN, researchers found a substantial increase in the total number of street trees planted throughout the city during a 15-year period</w:t>
      </w:r>
      <w:r w:rsidR="002D2480">
        <w:rPr>
          <w:rFonts w:asciiTheme="minorHAnsi" w:hAnsiTheme="minorHAnsi"/>
        </w:rPr>
        <w:t>. H</w:t>
      </w:r>
      <w:r w:rsidR="00B93002">
        <w:rPr>
          <w:rFonts w:asciiTheme="minorHAnsi" w:hAnsiTheme="minorHAnsi"/>
        </w:rPr>
        <w:t>owever, the locations of the street tree plantings were significantly correlated with neighborhood SES indicators such as education</w:t>
      </w:r>
      <w:r w:rsidR="00EE7476">
        <w:rPr>
          <w:rFonts w:asciiTheme="minorHAnsi" w:hAnsiTheme="minorHAnsi"/>
        </w:rPr>
        <w:t xml:space="preserve"> levels</w:t>
      </w:r>
      <w:r w:rsidR="00B93002">
        <w:rPr>
          <w:rFonts w:asciiTheme="minorHAnsi" w:hAnsiTheme="minorHAnsi"/>
        </w:rPr>
        <w:t xml:space="preserve">, population density, owner occupancy rates, and the percentage of the neighborhood that identified as </w:t>
      </w:r>
      <w:r w:rsidR="00F32D56">
        <w:rPr>
          <w:rFonts w:asciiTheme="minorHAnsi" w:hAnsiTheme="minorHAnsi"/>
        </w:rPr>
        <w:t>B</w:t>
      </w:r>
      <w:r w:rsidR="00B93002">
        <w:rPr>
          <w:rFonts w:asciiTheme="minorHAnsi" w:hAnsiTheme="minorHAnsi"/>
        </w:rPr>
        <w:t xml:space="preserve">lack (Lockwood and Berland, 2019). </w:t>
      </w:r>
      <w:r w:rsidR="00F500E3">
        <w:rPr>
          <w:rFonts w:asciiTheme="minorHAnsi" w:hAnsiTheme="minorHAnsi"/>
        </w:rPr>
        <w:t xml:space="preserve">Despite street trees being one of the most direct forms of UGS urban resident interact with, research still shows that they are inequitably distributed by </w:t>
      </w:r>
      <w:r w:rsidR="00E1344D">
        <w:rPr>
          <w:rFonts w:asciiTheme="minorHAnsi" w:hAnsiTheme="minorHAnsi"/>
        </w:rPr>
        <w:t>several</w:t>
      </w:r>
      <w:r w:rsidR="00F500E3">
        <w:rPr>
          <w:rFonts w:asciiTheme="minorHAnsi" w:hAnsiTheme="minorHAnsi"/>
        </w:rPr>
        <w:t xml:space="preserve"> SES indicators. Therefore, the</w:t>
      </w:r>
      <w:r w:rsidR="00B93002">
        <w:rPr>
          <w:rFonts w:asciiTheme="minorHAnsi" w:hAnsiTheme="minorHAnsi"/>
        </w:rPr>
        <w:t xml:space="preserve"> study of th</w:t>
      </w:r>
      <w:r w:rsidR="002D2480">
        <w:rPr>
          <w:rFonts w:asciiTheme="minorHAnsi" w:hAnsiTheme="minorHAnsi"/>
        </w:rPr>
        <w:t xml:space="preserve">e </w:t>
      </w:r>
      <w:r w:rsidR="00B93002">
        <w:rPr>
          <w:rFonts w:asciiTheme="minorHAnsi" w:hAnsiTheme="minorHAnsi"/>
        </w:rPr>
        <w:t xml:space="preserve">distribution </w:t>
      </w:r>
      <w:r w:rsidR="002D2480">
        <w:rPr>
          <w:rFonts w:asciiTheme="minorHAnsi" w:hAnsiTheme="minorHAnsi"/>
        </w:rPr>
        <w:t xml:space="preserve">of street trees </w:t>
      </w:r>
      <w:r w:rsidR="00B93002">
        <w:rPr>
          <w:rFonts w:asciiTheme="minorHAnsi" w:hAnsiTheme="minorHAnsi"/>
        </w:rPr>
        <w:t xml:space="preserve">and </w:t>
      </w:r>
      <w:r w:rsidR="00F500E3">
        <w:rPr>
          <w:rFonts w:asciiTheme="minorHAnsi" w:hAnsiTheme="minorHAnsi"/>
        </w:rPr>
        <w:t xml:space="preserve">their </w:t>
      </w:r>
      <w:r w:rsidR="00B93002">
        <w:rPr>
          <w:rFonts w:asciiTheme="minorHAnsi" w:hAnsiTheme="minorHAnsi"/>
        </w:rPr>
        <w:t>UES provision is of major concern for e</w:t>
      </w:r>
      <w:r w:rsidR="00DC61F1">
        <w:rPr>
          <w:rFonts w:asciiTheme="minorHAnsi" w:hAnsiTheme="minorHAnsi"/>
        </w:rPr>
        <w:t>quitable</w:t>
      </w:r>
      <w:r w:rsidR="00B93002">
        <w:rPr>
          <w:rFonts w:asciiTheme="minorHAnsi" w:hAnsiTheme="minorHAnsi"/>
        </w:rPr>
        <w:t xml:space="preserve"> city planning</w:t>
      </w:r>
      <w:r>
        <w:rPr>
          <w:rFonts w:asciiTheme="minorHAnsi" w:hAnsiTheme="minorHAnsi"/>
        </w:rPr>
        <w:t xml:space="preserve"> for city officials and planners</w:t>
      </w:r>
      <w:r w:rsidR="00B93002">
        <w:rPr>
          <w:rFonts w:asciiTheme="minorHAnsi" w:hAnsiTheme="minorHAnsi"/>
        </w:rPr>
        <w:t xml:space="preserve">. </w:t>
      </w:r>
    </w:p>
    <w:p w14:paraId="2718BEA5" w14:textId="6E1E392B" w:rsidR="007F3968" w:rsidRDefault="00F61AD0" w:rsidP="007F3968">
      <w:pPr>
        <w:spacing w:line="360" w:lineRule="auto"/>
        <w:ind w:firstLine="720"/>
        <w:rPr>
          <w:rFonts w:asciiTheme="minorHAnsi" w:hAnsiTheme="minorHAnsi" w:cs="Calibri"/>
        </w:rPr>
      </w:pPr>
      <w:r w:rsidRPr="00F61AD0">
        <w:rPr>
          <w:rFonts w:asciiTheme="minorHAnsi" w:hAnsiTheme="minorHAnsi" w:cs="Calibri"/>
        </w:rPr>
        <w:t xml:space="preserve">Another important UGS whose distribution is often examined in relation to </w:t>
      </w:r>
      <w:r>
        <w:rPr>
          <w:rFonts w:asciiTheme="minorHAnsi" w:hAnsiTheme="minorHAnsi" w:cs="Calibri"/>
        </w:rPr>
        <w:t>SES indicators</w:t>
      </w:r>
      <w:r w:rsidRPr="00F61AD0">
        <w:rPr>
          <w:rFonts w:asciiTheme="minorHAnsi" w:hAnsiTheme="minorHAnsi" w:cs="Calibri"/>
        </w:rPr>
        <w:t xml:space="preserve"> </w:t>
      </w:r>
      <w:r>
        <w:rPr>
          <w:rFonts w:asciiTheme="minorHAnsi" w:hAnsiTheme="minorHAnsi" w:cs="Calibri"/>
        </w:rPr>
        <w:t>are</w:t>
      </w:r>
      <w:r w:rsidRPr="00F61AD0">
        <w:rPr>
          <w:rFonts w:asciiTheme="minorHAnsi" w:hAnsiTheme="minorHAnsi" w:cs="Calibri"/>
        </w:rPr>
        <w:t xml:space="preserve"> urban forests. Urban forests are characterized as “land in and around urban areas of intensive human influence... which is occupied by trees and associated natural resources” (Strom, 2007). Due to the high density of trees in urban forests, </w:t>
      </w:r>
      <w:r w:rsidR="002D2480">
        <w:rPr>
          <w:rFonts w:asciiTheme="minorHAnsi" w:hAnsiTheme="minorHAnsi" w:cs="Calibri"/>
        </w:rPr>
        <w:t>they</w:t>
      </w:r>
      <w:r w:rsidRPr="00F61AD0">
        <w:rPr>
          <w:rFonts w:asciiTheme="minorHAnsi" w:hAnsiTheme="minorHAnsi" w:cs="Calibri"/>
        </w:rPr>
        <w:t xml:space="preserve"> are considered</w:t>
      </w:r>
      <w:r w:rsidRPr="00F61AD0">
        <w:rPr>
          <w:rFonts w:asciiTheme="minorHAnsi" w:hAnsiTheme="minorHAnsi"/>
        </w:rPr>
        <w:t xml:space="preserve"> </w:t>
      </w:r>
      <w:r w:rsidRPr="00F61AD0">
        <w:rPr>
          <w:rFonts w:asciiTheme="minorHAnsi" w:hAnsiTheme="minorHAnsi" w:cs="Calibri"/>
        </w:rPr>
        <w:t xml:space="preserve">significant contributors of </w:t>
      </w:r>
      <w:r>
        <w:rPr>
          <w:rFonts w:asciiTheme="minorHAnsi" w:hAnsiTheme="minorHAnsi" w:cs="Calibri"/>
        </w:rPr>
        <w:t>UES</w:t>
      </w:r>
      <w:r w:rsidRPr="00F61AD0">
        <w:rPr>
          <w:rFonts w:asciiTheme="minorHAnsi" w:hAnsiTheme="minorHAnsi" w:cs="Calibri"/>
        </w:rPr>
        <w:t xml:space="preserve"> (Jim and Chen, 2009). Single city studies have found conflicting results showing positive, negative, and</w:t>
      </w:r>
      <w:r>
        <w:rPr>
          <w:rFonts w:asciiTheme="minorHAnsi" w:hAnsiTheme="minorHAnsi" w:cs="Calibri"/>
        </w:rPr>
        <w:t>/or</w:t>
      </w:r>
      <w:r w:rsidRPr="00F61AD0">
        <w:rPr>
          <w:rFonts w:asciiTheme="minorHAnsi" w:hAnsiTheme="minorHAnsi" w:cs="Calibri"/>
        </w:rPr>
        <w:t xml:space="preserve"> no relationships between different minority populations and urban forest cover (Danford et al. 2014; Flocks et al. 2011). However, recent meta-analys</w:t>
      </w:r>
      <w:r w:rsidR="002D2480">
        <w:rPr>
          <w:rFonts w:asciiTheme="minorHAnsi" w:hAnsiTheme="minorHAnsi" w:cs="Calibri"/>
        </w:rPr>
        <w:t>es</w:t>
      </w:r>
      <w:r w:rsidRPr="00F61AD0">
        <w:rPr>
          <w:rFonts w:asciiTheme="minorHAnsi" w:hAnsiTheme="minorHAnsi" w:cs="Calibri"/>
        </w:rPr>
        <w:t xml:space="preserve"> </w:t>
      </w:r>
      <w:r w:rsidR="006C4F65">
        <w:rPr>
          <w:rFonts w:asciiTheme="minorHAnsi" w:hAnsiTheme="minorHAnsi" w:cs="Calibri"/>
        </w:rPr>
        <w:t xml:space="preserve">that </w:t>
      </w:r>
      <w:r w:rsidRPr="00F61AD0">
        <w:rPr>
          <w:rFonts w:asciiTheme="minorHAnsi" w:hAnsiTheme="minorHAnsi" w:cs="Calibri"/>
        </w:rPr>
        <w:t>examin</w:t>
      </w:r>
      <w:r w:rsidR="006C4F65">
        <w:rPr>
          <w:rFonts w:asciiTheme="minorHAnsi" w:hAnsiTheme="minorHAnsi" w:cs="Calibri"/>
        </w:rPr>
        <w:t>ed</w:t>
      </w:r>
      <w:r w:rsidRPr="00F61AD0">
        <w:rPr>
          <w:rFonts w:asciiTheme="minorHAnsi" w:hAnsiTheme="minorHAnsi" w:cs="Calibri"/>
        </w:rPr>
        <w:t xml:space="preserve"> urban forest cover </w:t>
      </w:r>
      <w:r w:rsidR="006C4F65">
        <w:rPr>
          <w:rFonts w:asciiTheme="minorHAnsi" w:hAnsiTheme="minorHAnsi" w:cs="Calibri"/>
        </w:rPr>
        <w:t xml:space="preserve">have </w:t>
      </w:r>
      <w:r w:rsidRPr="00F61AD0">
        <w:rPr>
          <w:rFonts w:asciiTheme="minorHAnsi" w:hAnsiTheme="minorHAnsi" w:cs="Calibri"/>
        </w:rPr>
        <w:t xml:space="preserve">found significant </w:t>
      </w:r>
      <w:r w:rsidR="006C4F65" w:rsidRPr="00F61AD0">
        <w:rPr>
          <w:rFonts w:asciiTheme="minorHAnsi" w:hAnsiTheme="minorHAnsi" w:cs="Calibri"/>
        </w:rPr>
        <w:t>inequiti</w:t>
      </w:r>
      <w:r w:rsidR="006C4F65">
        <w:rPr>
          <w:rFonts w:asciiTheme="minorHAnsi" w:hAnsiTheme="minorHAnsi" w:cs="Calibri"/>
        </w:rPr>
        <w:t>es</w:t>
      </w:r>
      <w:r w:rsidRPr="00F61AD0">
        <w:rPr>
          <w:rFonts w:asciiTheme="minorHAnsi" w:hAnsiTheme="minorHAnsi" w:cs="Calibri"/>
        </w:rPr>
        <w:t xml:space="preserve"> </w:t>
      </w:r>
      <w:r w:rsidR="006C4F65">
        <w:rPr>
          <w:rFonts w:asciiTheme="minorHAnsi" w:hAnsiTheme="minorHAnsi" w:cs="Calibri"/>
        </w:rPr>
        <w:t>for</w:t>
      </w:r>
      <w:r w:rsidRPr="00F61AD0">
        <w:rPr>
          <w:rFonts w:asciiTheme="minorHAnsi" w:hAnsiTheme="minorHAnsi" w:cs="Calibri"/>
        </w:rPr>
        <w:t xml:space="preserve"> urban forest cover on public land </w:t>
      </w:r>
      <w:r w:rsidR="006C4F65">
        <w:rPr>
          <w:rFonts w:asciiTheme="minorHAnsi" w:hAnsiTheme="minorHAnsi" w:cs="Calibri"/>
        </w:rPr>
        <w:t>for</w:t>
      </w:r>
      <w:r w:rsidR="008165B3">
        <w:rPr>
          <w:rFonts w:asciiTheme="minorHAnsi" w:hAnsiTheme="minorHAnsi" w:cs="Calibri"/>
        </w:rPr>
        <w:t xml:space="preserve"> both</w:t>
      </w:r>
      <w:r w:rsidR="006C4F65">
        <w:rPr>
          <w:rFonts w:asciiTheme="minorHAnsi" w:hAnsiTheme="minorHAnsi" w:cs="Calibri"/>
        </w:rPr>
        <w:t xml:space="preserve"> different racial and economic groups</w:t>
      </w:r>
      <w:r w:rsidRPr="00F61AD0">
        <w:rPr>
          <w:rFonts w:asciiTheme="minorHAnsi" w:hAnsiTheme="minorHAnsi" w:cs="Calibri"/>
        </w:rPr>
        <w:t xml:space="preserve"> (Gerrish and Watkins, 2018; Watkins and Gerrish, 2018). Unlike street trees, urban forests are</w:t>
      </w:r>
      <w:r w:rsidR="002D2480">
        <w:rPr>
          <w:rFonts w:asciiTheme="minorHAnsi" w:hAnsiTheme="minorHAnsi" w:cs="Calibri"/>
        </w:rPr>
        <w:t xml:space="preserve"> not</w:t>
      </w:r>
      <w:r w:rsidRPr="00F61AD0">
        <w:rPr>
          <w:rFonts w:asciiTheme="minorHAnsi" w:hAnsiTheme="minorHAnsi" w:cs="Calibri"/>
        </w:rPr>
        <w:t xml:space="preserve"> found to be as widely distributed throughout cities</w:t>
      </w:r>
      <w:r w:rsidR="002D2480">
        <w:rPr>
          <w:rFonts w:asciiTheme="minorHAnsi" w:hAnsiTheme="minorHAnsi" w:cs="Calibri"/>
        </w:rPr>
        <w:t xml:space="preserve">; </w:t>
      </w:r>
      <w:r w:rsidRPr="00F61AD0">
        <w:rPr>
          <w:rFonts w:asciiTheme="minorHAnsi" w:hAnsiTheme="minorHAnsi" w:cs="Calibri"/>
        </w:rPr>
        <w:t xml:space="preserve">however, </w:t>
      </w:r>
      <w:r w:rsidRPr="00F61AD0">
        <w:rPr>
          <w:rFonts w:asciiTheme="minorHAnsi" w:hAnsiTheme="minorHAnsi" w:cs="Calibri"/>
        </w:rPr>
        <w:lastRenderedPageBreak/>
        <w:t xml:space="preserve">due to </w:t>
      </w:r>
      <w:r w:rsidR="002D2480">
        <w:rPr>
          <w:rFonts w:asciiTheme="minorHAnsi" w:hAnsiTheme="minorHAnsi" w:cs="Calibri"/>
        </w:rPr>
        <w:t xml:space="preserve">the </w:t>
      </w:r>
      <w:r w:rsidRPr="00F61AD0">
        <w:rPr>
          <w:rFonts w:asciiTheme="minorHAnsi" w:hAnsiTheme="minorHAnsi" w:cs="Calibri"/>
        </w:rPr>
        <w:t xml:space="preserve">high density of trees </w:t>
      </w:r>
      <w:r w:rsidR="002D2480">
        <w:rPr>
          <w:rFonts w:asciiTheme="minorHAnsi" w:hAnsiTheme="minorHAnsi" w:cs="Calibri"/>
        </w:rPr>
        <w:t xml:space="preserve">in urban forests, </w:t>
      </w:r>
      <w:r w:rsidRPr="00F61AD0">
        <w:rPr>
          <w:rFonts w:asciiTheme="minorHAnsi" w:hAnsiTheme="minorHAnsi" w:cs="Calibri"/>
        </w:rPr>
        <w:t xml:space="preserve">they do contribute significant UES. Therefore, the scrutiny of </w:t>
      </w:r>
      <w:r w:rsidR="002D2480">
        <w:rPr>
          <w:rFonts w:asciiTheme="minorHAnsi" w:hAnsiTheme="minorHAnsi" w:cs="Calibri"/>
        </w:rPr>
        <w:t>the a</w:t>
      </w:r>
      <w:r w:rsidRPr="00F61AD0">
        <w:rPr>
          <w:rFonts w:asciiTheme="minorHAnsi" w:hAnsiTheme="minorHAnsi" w:cs="Calibri"/>
        </w:rPr>
        <w:t xml:space="preserve">rea of </w:t>
      </w:r>
      <w:r w:rsidR="008165B3">
        <w:rPr>
          <w:rFonts w:asciiTheme="minorHAnsi" w:hAnsiTheme="minorHAnsi" w:cs="Calibri"/>
        </w:rPr>
        <w:t>distribution for</w:t>
      </w:r>
      <w:r w:rsidR="002D2480">
        <w:rPr>
          <w:rFonts w:asciiTheme="minorHAnsi" w:hAnsiTheme="minorHAnsi" w:cs="Calibri"/>
        </w:rPr>
        <w:t xml:space="preserve"> urban forests </w:t>
      </w:r>
      <w:r w:rsidRPr="00F61AD0">
        <w:rPr>
          <w:rFonts w:asciiTheme="minorHAnsi" w:hAnsiTheme="minorHAnsi" w:cs="Calibri"/>
        </w:rPr>
        <w:t>should be of the utmost consideration</w:t>
      </w:r>
      <w:r w:rsidR="008165B3">
        <w:rPr>
          <w:rFonts w:asciiTheme="minorHAnsi" w:hAnsiTheme="minorHAnsi" w:cs="Calibri"/>
        </w:rPr>
        <w:t xml:space="preserve"> when city officials and planners are assessing the development of new urban forests</w:t>
      </w:r>
      <w:r w:rsidRPr="00F61AD0">
        <w:rPr>
          <w:rFonts w:asciiTheme="minorHAnsi" w:hAnsiTheme="minorHAnsi" w:cs="Calibri"/>
        </w:rPr>
        <w:t xml:space="preserve">. </w:t>
      </w:r>
    </w:p>
    <w:p w14:paraId="5567AF5C" w14:textId="22F03BE7" w:rsidR="00401CB7" w:rsidRDefault="008E14ED" w:rsidP="00401CB7">
      <w:pPr>
        <w:spacing w:line="360" w:lineRule="auto"/>
        <w:ind w:firstLine="720"/>
        <w:rPr>
          <w:rFonts w:asciiTheme="minorHAnsi" w:hAnsiTheme="minorHAnsi" w:cs="Calibri"/>
        </w:rPr>
      </w:pPr>
      <w:r w:rsidRPr="007F3968">
        <w:rPr>
          <w:rFonts w:asciiTheme="minorHAnsi" w:hAnsiTheme="minorHAnsi" w:cs="Calibri"/>
        </w:rPr>
        <w:t xml:space="preserve">Parks are </w:t>
      </w:r>
      <w:r w:rsidR="002A3EEC">
        <w:rPr>
          <w:rFonts w:asciiTheme="minorHAnsi" w:hAnsiTheme="minorHAnsi" w:cs="Calibri"/>
        </w:rPr>
        <w:t xml:space="preserve">one of </w:t>
      </w:r>
      <w:r w:rsidRPr="007F3968">
        <w:rPr>
          <w:rFonts w:asciiTheme="minorHAnsi" w:hAnsiTheme="minorHAnsi" w:cs="Calibri"/>
        </w:rPr>
        <w:t xml:space="preserve">the most recognized of all UGS </w:t>
      </w:r>
      <w:r w:rsidR="008165B3">
        <w:rPr>
          <w:rFonts w:asciiTheme="minorHAnsi" w:hAnsiTheme="minorHAnsi" w:cs="Calibri"/>
        </w:rPr>
        <w:t xml:space="preserve">that provide UES </w:t>
      </w:r>
      <w:r w:rsidRPr="007F3968">
        <w:rPr>
          <w:rFonts w:asciiTheme="minorHAnsi" w:hAnsiTheme="minorHAnsi" w:cs="Calibri"/>
        </w:rPr>
        <w:t>by</w:t>
      </w:r>
      <w:r w:rsidR="008165B3">
        <w:rPr>
          <w:rFonts w:asciiTheme="minorHAnsi" w:hAnsiTheme="minorHAnsi" w:cs="Calibri"/>
        </w:rPr>
        <w:t xml:space="preserve"> </w:t>
      </w:r>
      <w:r w:rsidR="002A3EEC">
        <w:rPr>
          <w:rFonts w:asciiTheme="minorHAnsi" w:hAnsiTheme="minorHAnsi" w:cs="Calibri"/>
        </w:rPr>
        <w:t>urban residents</w:t>
      </w:r>
      <w:r w:rsidRPr="007F3968">
        <w:rPr>
          <w:rFonts w:asciiTheme="minorHAnsi" w:hAnsiTheme="minorHAnsi" w:cs="Calibri"/>
        </w:rPr>
        <w:t xml:space="preserve"> (Buchel and Frantzeskaki, 2015). However, despite the importance and popularity of </w:t>
      </w:r>
      <w:r w:rsidR="002D2480">
        <w:rPr>
          <w:rFonts w:asciiTheme="minorHAnsi" w:hAnsiTheme="minorHAnsi" w:cs="Calibri"/>
        </w:rPr>
        <w:t>parks</w:t>
      </w:r>
      <w:r w:rsidRPr="007F3968">
        <w:rPr>
          <w:rFonts w:asciiTheme="minorHAnsi" w:hAnsiTheme="minorHAnsi" w:cs="Calibri"/>
        </w:rPr>
        <w:t xml:space="preserve">, </w:t>
      </w:r>
      <w:r w:rsidR="002D2480">
        <w:rPr>
          <w:rFonts w:asciiTheme="minorHAnsi" w:hAnsiTheme="minorHAnsi" w:cs="Calibri"/>
        </w:rPr>
        <w:t>they</w:t>
      </w:r>
      <w:r w:rsidRPr="007F3968">
        <w:rPr>
          <w:rFonts w:asciiTheme="minorHAnsi" w:hAnsiTheme="minorHAnsi" w:cs="Calibri"/>
        </w:rPr>
        <w:t xml:space="preserve"> also fall victim to inequitable distributions of quality and quantity. </w:t>
      </w:r>
      <w:r w:rsidR="008770B6">
        <w:rPr>
          <w:rFonts w:asciiTheme="minorHAnsi" w:hAnsiTheme="minorHAnsi" w:cs="Calibri"/>
        </w:rPr>
        <w:t>Rigolon et al. (2018)</w:t>
      </w:r>
      <w:r w:rsidRPr="007F3968">
        <w:rPr>
          <w:rFonts w:asciiTheme="minorHAnsi" w:hAnsiTheme="minorHAnsi" w:cs="Calibri"/>
        </w:rPr>
        <w:t xml:space="preserve"> found the quality</w:t>
      </w:r>
      <w:r w:rsidR="002A3EEC">
        <w:rPr>
          <w:rFonts w:asciiTheme="minorHAnsi" w:hAnsiTheme="minorHAnsi" w:cs="Calibri"/>
        </w:rPr>
        <w:t xml:space="preserve"> and access</w:t>
      </w:r>
      <w:r w:rsidRPr="007F3968">
        <w:rPr>
          <w:rFonts w:asciiTheme="minorHAnsi" w:hAnsiTheme="minorHAnsi" w:cs="Calibri"/>
        </w:rPr>
        <w:t xml:space="preserve"> of city park systems</w:t>
      </w:r>
      <w:r w:rsidR="007F3968">
        <w:rPr>
          <w:rFonts w:asciiTheme="minorHAnsi" w:hAnsiTheme="minorHAnsi" w:cs="Calibri"/>
        </w:rPr>
        <w:t xml:space="preserve"> </w:t>
      </w:r>
      <w:r w:rsidR="008165B3">
        <w:rPr>
          <w:rFonts w:asciiTheme="minorHAnsi" w:hAnsiTheme="minorHAnsi" w:cs="Calibri"/>
        </w:rPr>
        <w:t xml:space="preserve">in 99 of the largest cities in the U.S. </w:t>
      </w:r>
      <w:r w:rsidR="007F3968">
        <w:rPr>
          <w:rFonts w:asciiTheme="minorHAnsi" w:hAnsiTheme="minorHAnsi" w:cs="Calibri"/>
        </w:rPr>
        <w:t>were greate</w:t>
      </w:r>
      <w:r w:rsidR="00B80498">
        <w:rPr>
          <w:rFonts w:asciiTheme="minorHAnsi" w:hAnsiTheme="minorHAnsi" w:cs="Calibri"/>
        </w:rPr>
        <w:t>st</w:t>
      </w:r>
      <w:r w:rsidR="007F3968">
        <w:rPr>
          <w:rFonts w:asciiTheme="minorHAnsi" w:hAnsiTheme="minorHAnsi" w:cs="Calibri"/>
        </w:rPr>
        <w:t xml:space="preserve"> in cities that had a higher median income value and</w:t>
      </w:r>
      <w:r w:rsidR="00F36D64">
        <w:rPr>
          <w:rFonts w:asciiTheme="minorHAnsi" w:hAnsiTheme="minorHAnsi" w:cs="Calibri"/>
        </w:rPr>
        <w:t xml:space="preserve"> </w:t>
      </w:r>
      <w:r w:rsidR="007F3968">
        <w:rPr>
          <w:rFonts w:asciiTheme="minorHAnsi" w:hAnsiTheme="minorHAnsi" w:cs="Calibri"/>
        </w:rPr>
        <w:t xml:space="preserve">were </w:t>
      </w:r>
      <w:r w:rsidR="00E1344D">
        <w:rPr>
          <w:rFonts w:asciiTheme="minorHAnsi" w:hAnsiTheme="minorHAnsi" w:cs="Calibri"/>
        </w:rPr>
        <w:t>w</w:t>
      </w:r>
      <w:r w:rsidR="007F3968">
        <w:rPr>
          <w:rFonts w:asciiTheme="minorHAnsi" w:hAnsiTheme="minorHAnsi" w:cs="Calibri"/>
        </w:rPr>
        <w:t>hiter</w:t>
      </w:r>
      <w:r w:rsidR="008770B6">
        <w:rPr>
          <w:rFonts w:asciiTheme="minorHAnsi" w:hAnsiTheme="minorHAnsi" w:cs="Calibri"/>
        </w:rPr>
        <w:t xml:space="preserve">. </w:t>
      </w:r>
      <w:r w:rsidR="008165B3">
        <w:rPr>
          <w:rFonts w:asciiTheme="minorHAnsi" w:hAnsiTheme="minorHAnsi" w:cs="Calibri"/>
        </w:rPr>
        <w:t>This assessment was determined by examining factors</w:t>
      </w:r>
      <w:r w:rsidR="008165B3" w:rsidRPr="007F3968">
        <w:rPr>
          <w:rFonts w:asciiTheme="minorHAnsi" w:hAnsiTheme="minorHAnsi" w:cs="Calibri"/>
        </w:rPr>
        <w:t xml:space="preserve"> such as park acreage, walking accessibility, </w:t>
      </w:r>
      <w:r w:rsidR="008165B3">
        <w:rPr>
          <w:rFonts w:asciiTheme="minorHAnsi" w:hAnsiTheme="minorHAnsi" w:cs="Calibri"/>
        </w:rPr>
        <w:t xml:space="preserve">the </w:t>
      </w:r>
      <w:r w:rsidR="008165B3" w:rsidRPr="007F3968">
        <w:rPr>
          <w:rFonts w:asciiTheme="minorHAnsi" w:hAnsiTheme="minorHAnsi" w:cs="Calibri"/>
        </w:rPr>
        <w:t>state of park facilities</w:t>
      </w:r>
      <w:r w:rsidR="007D72DE">
        <w:rPr>
          <w:rFonts w:asciiTheme="minorHAnsi" w:hAnsiTheme="minorHAnsi" w:cs="Calibri"/>
        </w:rPr>
        <w:t>, and the amount of money spent on maintenance by municipalities</w:t>
      </w:r>
      <w:r w:rsidR="008165B3">
        <w:rPr>
          <w:rFonts w:asciiTheme="minorHAnsi" w:hAnsiTheme="minorHAnsi" w:cs="Calibri"/>
        </w:rPr>
        <w:t xml:space="preserve"> (Rigolon et al., 2018). </w:t>
      </w:r>
      <w:r w:rsidR="007F3968">
        <w:rPr>
          <w:rFonts w:asciiTheme="minorHAnsi" w:hAnsiTheme="minorHAnsi" w:cs="Calibri"/>
        </w:rPr>
        <w:t>As parks ar</w:t>
      </w:r>
      <w:r w:rsidR="008770B6">
        <w:rPr>
          <w:rFonts w:asciiTheme="minorHAnsi" w:hAnsiTheme="minorHAnsi" w:cs="Calibri"/>
        </w:rPr>
        <w:t xml:space="preserve">e </w:t>
      </w:r>
      <w:r w:rsidR="007F3968">
        <w:rPr>
          <w:rFonts w:asciiTheme="minorHAnsi" w:hAnsiTheme="minorHAnsi" w:cs="Calibri"/>
        </w:rPr>
        <w:t>common</w:t>
      </w:r>
      <w:r w:rsidR="008770B6">
        <w:rPr>
          <w:rFonts w:asciiTheme="minorHAnsi" w:hAnsiTheme="minorHAnsi" w:cs="Calibri"/>
        </w:rPr>
        <w:t xml:space="preserve"> </w:t>
      </w:r>
      <w:r w:rsidR="007F3968">
        <w:rPr>
          <w:rFonts w:asciiTheme="minorHAnsi" w:hAnsiTheme="minorHAnsi" w:cs="Calibri"/>
        </w:rPr>
        <w:t>areas for urban residents to relax, escape the city, and enjoy nature (Chiesura, 2004), ensuring that all public parks are of the same quality</w:t>
      </w:r>
      <w:r w:rsidR="002A3EEC">
        <w:rPr>
          <w:rFonts w:asciiTheme="minorHAnsi" w:hAnsiTheme="minorHAnsi" w:cs="Calibri"/>
        </w:rPr>
        <w:t xml:space="preserve"> and accessibility</w:t>
      </w:r>
      <w:r w:rsidR="007F3968">
        <w:rPr>
          <w:rFonts w:asciiTheme="minorHAnsi" w:hAnsiTheme="minorHAnsi" w:cs="Calibri"/>
        </w:rPr>
        <w:t xml:space="preserve"> is a </w:t>
      </w:r>
      <w:r w:rsidR="00F36D64">
        <w:rPr>
          <w:rFonts w:asciiTheme="minorHAnsi" w:hAnsiTheme="minorHAnsi" w:cs="Calibri"/>
        </w:rPr>
        <w:t>fundamental way</w:t>
      </w:r>
      <w:r w:rsidR="007F3968">
        <w:rPr>
          <w:rFonts w:asciiTheme="minorHAnsi" w:hAnsiTheme="minorHAnsi" w:cs="Calibri"/>
        </w:rPr>
        <w:t xml:space="preserve"> to ensure</w:t>
      </w:r>
      <w:r w:rsidR="008770B6">
        <w:rPr>
          <w:rFonts w:asciiTheme="minorHAnsi" w:hAnsiTheme="minorHAnsi" w:cs="Calibri"/>
        </w:rPr>
        <w:t xml:space="preserve"> that all </w:t>
      </w:r>
      <w:r w:rsidR="00F36D64">
        <w:rPr>
          <w:rFonts w:asciiTheme="minorHAnsi" w:hAnsiTheme="minorHAnsi" w:cs="Calibri"/>
        </w:rPr>
        <w:t xml:space="preserve">residents are benefiting </w:t>
      </w:r>
      <w:r w:rsidR="008770B6">
        <w:rPr>
          <w:rFonts w:asciiTheme="minorHAnsi" w:hAnsiTheme="minorHAnsi" w:cs="Calibri"/>
        </w:rPr>
        <w:t xml:space="preserve">equally </w:t>
      </w:r>
      <w:r w:rsidR="00F36D64">
        <w:rPr>
          <w:rFonts w:asciiTheme="minorHAnsi" w:hAnsiTheme="minorHAnsi" w:cs="Calibri"/>
        </w:rPr>
        <w:t xml:space="preserve">from them. </w:t>
      </w:r>
    </w:p>
    <w:p w14:paraId="738C4FAC" w14:textId="28B16937" w:rsidR="00EE7476" w:rsidRDefault="00EE7476" w:rsidP="00E1344D">
      <w:pPr>
        <w:spacing w:line="360" w:lineRule="auto"/>
        <w:ind w:firstLine="720"/>
        <w:rPr>
          <w:rFonts w:asciiTheme="minorHAnsi" w:hAnsiTheme="minorHAnsi" w:cs="Calibri"/>
        </w:rPr>
      </w:pPr>
      <w:r w:rsidRPr="00EE7476">
        <w:rPr>
          <w:rFonts w:asciiTheme="minorHAnsi" w:hAnsiTheme="minorHAnsi" w:cs="Calibri"/>
        </w:rPr>
        <w:t>Aside from inequitable access to UGS by SES indicators, studies have also shown</w:t>
      </w:r>
      <w:r w:rsidR="00081592">
        <w:rPr>
          <w:rFonts w:asciiTheme="minorHAnsi" w:hAnsiTheme="minorHAnsi" w:cs="Calibri"/>
        </w:rPr>
        <w:t xml:space="preserve"> that</w:t>
      </w:r>
      <w:r w:rsidRPr="00EE7476">
        <w:rPr>
          <w:rFonts w:asciiTheme="minorHAnsi" w:hAnsiTheme="minorHAnsi" w:cs="Calibri"/>
        </w:rPr>
        <w:t xml:space="preserve"> SES indicators </w:t>
      </w:r>
      <w:r w:rsidR="002A3EEC">
        <w:rPr>
          <w:rFonts w:asciiTheme="minorHAnsi" w:hAnsiTheme="minorHAnsi" w:cs="Calibri"/>
        </w:rPr>
        <w:t>are associated with</w:t>
      </w:r>
      <w:r w:rsidRPr="00EE7476">
        <w:rPr>
          <w:rFonts w:asciiTheme="minorHAnsi" w:hAnsiTheme="minorHAnsi" w:cs="Calibri"/>
        </w:rPr>
        <w:t xml:space="preserve"> disparities in human health</w:t>
      </w:r>
      <w:r w:rsidR="002A3EEC">
        <w:rPr>
          <w:rFonts w:asciiTheme="minorHAnsi" w:hAnsiTheme="minorHAnsi" w:cs="Calibri"/>
        </w:rPr>
        <w:t xml:space="preserve"> as well</w:t>
      </w:r>
      <w:r w:rsidRPr="00EE7476">
        <w:rPr>
          <w:rFonts w:asciiTheme="minorHAnsi" w:hAnsiTheme="minorHAnsi" w:cs="Calibri"/>
        </w:rPr>
        <w:t>.</w:t>
      </w:r>
      <w:r w:rsidR="002A3EEC">
        <w:rPr>
          <w:rFonts w:asciiTheme="minorHAnsi" w:hAnsiTheme="minorHAnsi" w:cs="Calibri"/>
        </w:rPr>
        <w:t xml:space="preserve"> It is critical to analyze SES indicators in this context as access to UGS has been shown to help improve human health.</w:t>
      </w:r>
      <w:r w:rsidRPr="00EE7476">
        <w:rPr>
          <w:rFonts w:asciiTheme="minorHAnsi" w:hAnsiTheme="minorHAnsi" w:cs="Calibri"/>
        </w:rPr>
        <w:t xml:space="preserve"> </w:t>
      </w:r>
      <w:r w:rsidR="004106AD">
        <w:rPr>
          <w:rFonts w:asciiTheme="minorHAnsi" w:hAnsiTheme="minorHAnsi" w:cs="Calibri"/>
        </w:rPr>
        <w:t>C</w:t>
      </w:r>
      <w:r w:rsidRPr="00EE7476">
        <w:rPr>
          <w:rFonts w:asciiTheme="minorHAnsi" w:hAnsiTheme="minorHAnsi" w:cs="Calibri"/>
        </w:rPr>
        <w:t xml:space="preserve">oncerning physical health issues, research has shown that compared to affluent </w:t>
      </w:r>
      <w:r w:rsidR="00C93F2A">
        <w:rPr>
          <w:rFonts w:asciiTheme="minorHAnsi" w:hAnsiTheme="minorHAnsi" w:cs="Calibri"/>
        </w:rPr>
        <w:t>W</w:t>
      </w:r>
      <w:r w:rsidRPr="00EE7476">
        <w:rPr>
          <w:rFonts w:asciiTheme="minorHAnsi" w:hAnsiTheme="minorHAnsi" w:cs="Calibri"/>
        </w:rPr>
        <w:t>hite children</w:t>
      </w:r>
      <w:r w:rsidR="00081592">
        <w:rPr>
          <w:rFonts w:asciiTheme="minorHAnsi" w:hAnsiTheme="minorHAnsi" w:cs="Calibri"/>
        </w:rPr>
        <w:t>,</w:t>
      </w:r>
      <w:r w:rsidRPr="00EE7476">
        <w:rPr>
          <w:rFonts w:asciiTheme="minorHAnsi" w:hAnsiTheme="minorHAnsi" w:cs="Calibri"/>
        </w:rPr>
        <w:t xml:space="preserve"> poor Hispanic, </w:t>
      </w:r>
      <w:r w:rsidR="00C93F2A">
        <w:rPr>
          <w:rFonts w:asciiTheme="minorHAnsi" w:hAnsiTheme="minorHAnsi" w:cs="Calibri"/>
        </w:rPr>
        <w:t>W</w:t>
      </w:r>
      <w:r w:rsidRPr="00EE7476">
        <w:rPr>
          <w:rFonts w:asciiTheme="minorHAnsi" w:hAnsiTheme="minorHAnsi" w:cs="Calibri"/>
        </w:rPr>
        <w:t xml:space="preserve">hite, and </w:t>
      </w:r>
      <w:r w:rsidR="00F32D56">
        <w:rPr>
          <w:rFonts w:asciiTheme="minorHAnsi" w:hAnsiTheme="minorHAnsi" w:cs="Calibri"/>
        </w:rPr>
        <w:t>B</w:t>
      </w:r>
      <w:r w:rsidRPr="00EE7476">
        <w:rPr>
          <w:rFonts w:asciiTheme="minorHAnsi" w:hAnsiTheme="minorHAnsi" w:cs="Calibri"/>
        </w:rPr>
        <w:t xml:space="preserve">lack children are 2.7, 1.9, and 3.2 times more likely to be obese, respectively (Singh et al. 2008). As for cardiovascular diseases, a leading cause of death in the United States (30.4%), premature cardiovascular deaths are higher among </w:t>
      </w:r>
      <w:r w:rsidR="00F32D56">
        <w:rPr>
          <w:rFonts w:asciiTheme="minorHAnsi" w:hAnsiTheme="minorHAnsi" w:cs="Calibri"/>
        </w:rPr>
        <w:t>B</w:t>
      </w:r>
      <w:r w:rsidRPr="00EE7476">
        <w:rPr>
          <w:rFonts w:asciiTheme="minorHAnsi" w:hAnsiTheme="minorHAnsi" w:cs="Calibri"/>
        </w:rPr>
        <w:t xml:space="preserve">lack populations than </w:t>
      </w:r>
      <w:r w:rsidR="00C93F2A">
        <w:rPr>
          <w:rFonts w:asciiTheme="minorHAnsi" w:hAnsiTheme="minorHAnsi" w:cs="Calibri"/>
        </w:rPr>
        <w:t>W</w:t>
      </w:r>
      <w:r w:rsidRPr="00EE7476">
        <w:rPr>
          <w:rFonts w:asciiTheme="minorHAnsi" w:hAnsiTheme="minorHAnsi" w:cs="Calibri"/>
        </w:rPr>
        <w:t>hite (65.2</w:t>
      </w:r>
      <w:r w:rsidR="00F32D56">
        <w:rPr>
          <w:rFonts w:asciiTheme="minorHAnsi" w:hAnsiTheme="minorHAnsi" w:cs="Calibri"/>
        </w:rPr>
        <w:t>%</w:t>
      </w:r>
      <w:r w:rsidRPr="00EE7476">
        <w:rPr>
          <w:rFonts w:asciiTheme="minorHAnsi" w:hAnsiTheme="minorHAnsi" w:cs="Calibri"/>
        </w:rPr>
        <w:t xml:space="preserve"> v. 43.2</w:t>
      </w:r>
      <w:r w:rsidR="00F32D56">
        <w:rPr>
          <w:rFonts w:asciiTheme="minorHAnsi" w:hAnsiTheme="minorHAnsi" w:cs="Calibri"/>
        </w:rPr>
        <w:t>%</w:t>
      </w:r>
      <w:r w:rsidRPr="00EE7476">
        <w:rPr>
          <w:rFonts w:asciiTheme="minorHAnsi" w:hAnsiTheme="minorHAnsi" w:cs="Calibri"/>
        </w:rPr>
        <w:t xml:space="preserve">) (CDC, 2013). </w:t>
      </w:r>
      <w:r w:rsidR="004106AD">
        <w:rPr>
          <w:rFonts w:asciiTheme="minorHAnsi" w:hAnsiTheme="minorHAnsi" w:cs="Calibri"/>
        </w:rPr>
        <w:t>Consequently, studies</w:t>
      </w:r>
      <w:r w:rsidRPr="00EE7476">
        <w:rPr>
          <w:rFonts w:asciiTheme="minorHAnsi" w:hAnsiTheme="minorHAnsi" w:cs="Calibri"/>
        </w:rPr>
        <w:t xml:space="preserve"> examining cardiovascular disease and green space </w:t>
      </w:r>
      <w:r w:rsidR="004106AD">
        <w:rPr>
          <w:rFonts w:asciiTheme="minorHAnsi" w:hAnsiTheme="minorHAnsi" w:cs="Calibri"/>
        </w:rPr>
        <w:t xml:space="preserve">have </w:t>
      </w:r>
      <w:r w:rsidRPr="00EE7476">
        <w:rPr>
          <w:rFonts w:asciiTheme="minorHAnsi" w:hAnsiTheme="minorHAnsi" w:cs="Calibri"/>
        </w:rPr>
        <w:t xml:space="preserve">found that increased accessibility to larger green space </w:t>
      </w:r>
      <w:r w:rsidR="004106AD">
        <w:rPr>
          <w:rFonts w:asciiTheme="minorHAnsi" w:hAnsiTheme="minorHAnsi" w:cs="Calibri"/>
        </w:rPr>
        <w:t>is</w:t>
      </w:r>
      <w:r w:rsidRPr="00EE7476">
        <w:rPr>
          <w:rFonts w:asciiTheme="minorHAnsi" w:hAnsiTheme="minorHAnsi" w:cs="Calibri"/>
        </w:rPr>
        <w:t xml:space="preserve"> inversely related to cardiovascular mortality (Coutts et al. 2010). This relationship is believed to occur as increased park density has shown strong positive correlations with increased levels of physical activity (West et al. 2012</w:t>
      </w:r>
      <w:r w:rsidRPr="004106AD">
        <w:rPr>
          <w:rFonts w:asciiTheme="minorHAnsi" w:hAnsiTheme="minorHAnsi" w:cs="Calibri"/>
        </w:rPr>
        <w:t xml:space="preserve">). </w:t>
      </w:r>
      <w:r w:rsidR="004106AD" w:rsidRPr="004106AD">
        <w:rPr>
          <w:rFonts w:asciiTheme="minorHAnsi" w:hAnsiTheme="minorHAnsi" w:cs="Calibri"/>
        </w:rPr>
        <w:t>Similarly</w:t>
      </w:r>
      <w:r w:rsidR="004106AD">
        <w:rPr>
          <w:rFonts w:asciiTheme="minorHAnsi" w:hAnsiTheme="minorHAnsi" w:cs="Calibri"/>
        </w:rPr>
        <w:t>,</w:t>
      </w:r>
      <w:r w:rsidR="004106AD" w:rsidRPr="004106AD">
        <w:rPr>
          <w:rFonts w:asciiTheme="minorHAnsi" w:hAnsiTheme="minorHAnsi" w:cs="Calibri"/>
        </w:rPr>
        <w:t xml:space="preserve"> correlations </w:t>
      </w:r>
      <w:r w:rsidR="004106AD">
        <w:rPr>
          <w:rFonts w:asciiTheme="minorHAnsi" w:hAnsiTheme="minorHAnsi" w:cs="Calibri"/>
        </w:rPr>
        <w:t xml:space="preserve">have also been observed </w:t>
      </w:r>
      <w:r w:rsidR="004106AD" w:rsidRPr="004106AD">
        <w:rPr>
          <w:rFonts w:asciiTheme="minorHAnsi" w:hAnsiTheme="minorHAnsi" w:cs="Calibri"/>
        </w:rPr>
        <w:t xml:space="preserve">between </w:t>
      </w:r>
      <w:r w:rsidR="00081592">
        <w:rPr>
          <w:rFonts w:asciiTheme="minorHAnsi" w:hAnsiTheme="minorHAnsi" w:cs="Calibri"/>
        </w:rPr>
        <w:t>SES</w:t>
      </w:r>
      <w:r w:rsidR="004106AD" w:rsidRPr="004106AD">
        <w:rPr>
          <w:rFonts w:asciiTheme="minorHAnsi" w:hAnsiTheme="minorHAnsi" w:cs="Calibri"/>
        </w:rPr>
        <w:t xml:space="preserve"> and </w:t>
      </w:r>
      <w:r w:rsidR="004106AD">
        <w:rPr>
          <w:rFonts w:asciiTheme="minorHAnsi" w:hAnsiTheme="minorHAnsi" w:cs="Calibri"/>
        </w:rPr>
        <w:t xml:space="preserve">psychological </w:t>
      </w:r>
      <w:r w:rsidR="004106AD" w:rsidRPr="004106AD">
        <w:rPr>
          <w:rFonts w:asciiTheme="minorHAnsi" w:hAnsiTheme="minorHAnsi" w:cs="Calibri"/>
        </w:rPr>
        <w:t>health disparities</w:t>
      </w:r>
      <w:r w:rsidR="004106AD">
        <w:rPr>
          <w:rFonts w:asciiTheme="minorHAnsi" w:hAnsiTheme="minorHAnsi" w:cs="Calibri"/>
        </w:rPr>
        <w:t xml:space="preserve">. </w:t>
      </w:r>
      <w:r w:rsidR="004106AD" w:rsidRPr="004106AD">
        <w:rPr>
          <w:rFonts w:asciiTheme="minorHAnsi" w:hAnsiTheme="minorHAnsi" w:cs="Calibri"/>
        </w:rPr>
        <w:t>CDC data shows that</w:t>
      </w:r>
      <w:r w:rsidR="004106AD">
        <w:rPr>
          <w:rFonts w:asciiTheme="minorHAnsi" w:hAnsiTheme="minorHAnsi" w:cs="Calibri"/>
        </w:rPr>
        <w:t xml:space="preserve"> </w:t>
      </w:r>
      <w:r w:rsidR="004106AD" w:rsidRPr="004106AD">
        <w:rPr>
          <w:rFonts w:asciiTheme="minorHAnsi" w:hAnsiTheme="minorHAnsi" w:cs="Calibri"/>
        </w:rPr>
        <w:t xml:space="preserve">suicide was the </w:t>
      </w:r>
      <w:r w:rsidR="004106AD" w:rsidRPr="002A6A56">
        <w:rPr>
          <w:rFonts w:asciiTheme="minorHAnsi" w:hAnsiTheme="minorHAnsi" w:cs="Calibri"/>
        </w:rPr>
        <w:t>10</w:t>
      </w:r>
      <w:r w:rsidR="004106AD" w:rsidRPr="002A6A56">
        <w:rPr>
          <w:rFonts w:asciiTheme="minorHAnsi" w:hAnsiTheme="minorHAnsi" w:cs="Calibri"/>
          <w:position w:val="8"/>
          <w:vertAlign w:val="superscript"/>
        </w:rPr>
        <w:t>th</w:t>
      </w:r>
      <w:r w:rsidR="00845507">
        <w:rPr>
          <w:rFonts w:asciiTheme="minorHAnsi" w:hAnsiTheme="minorHAnsi" w:cs="Calibri"/>
          <w:position w:val="8"/>
          <w:vertAlign w:val="superscript"/>
        </w:rPr>
        <w:t xml:space="preserve"> </w:t>
      </w:r>
      <w:r w:rsidR="004106AD" w:rsidRPr="004106AD">
        <w:rPr>
          <w:rFonts w:asciiTheme="minorHAnsi" w:hAnsiTheme="minorHAnsi" w:cs="Calibri"/>
        </w:rPr>
        <w:t xml:space="preserve">highest cause of death in the United States in 2009, totaling $41.2 billion in productivity and medical costs (CDC, 2013). However, this </w:t>
      </w:r>
      <w:r w:rsidR="004106AD" w:rsidRPr="004106AD">
        <w:rPr>
          <w:rFonts w:asciiTheme="minorHAnsi" w:hAnsiTheme="minorHAnsi" w:cs="Calibri"/>
        </w:rPr>
        <w:lastRenderedPageBreak/>
        <w:t>major concern is not e</w:t>
      </w:r>
      <w:r w:rsidR="00081592">
        <w:rPr>
          <w:rFonts w:asciiTheme="minorHAnsi" w:hAnsiTheme="minorHAnsi" w:cs="Calibri"/>
        </w:rPr>
        <w:t>quall</w:t>
      </w:r>
      <w:r w:rsidR="004106AD" w:rsidRPr="004106AD">
        <w:rPr>
          <w:rFonts w:asciiTheme="minorHAnsi" w:hAnsiTheme="minorHAnsi" w:cs="Calibri"/>
        </w:rPr>
        <w:t xml:space="preserve">y experienced among US populations. Of the 36,909 suicide deaths recorded in 2009, </w:t>
      </w:r>
      <w:r w:rsidR="004106AD">
        <w:rPr>
          <w:rFonts w:asciiTheme="minorHAnsi" w:hAnsiTheme="minorHAnsi" w:cs="Calibri"/>
        </w:rPr>
        <w:t>the highest</w:t>
      </w:r>
      <w:r w:rsidR="004106AD" w:rsidRPr="004106AD">
        <w:rPr>
          <w:rFonts w:asciiTheme="minorHAnsi" w:hAnsiTheme="minorHAnsi" w:cs="Calibri"/>
        </w:rPr>
        <w:t xml:space="preserve"> rates of suicide among adolescents and young adults were </w:t>
      </w:r>
      <w:r w:rsidR="004106AD">
        <w:rPr>
          <w:rFonts w:asciiTheme="minorHAnsi" w:hAnsiTheme="minorHAnsi" w:cs="Calibri"/>
        </w:rPr>
        <w:t xml:space="preserve">observed </w:t>
      </w:r>
      <w:r w:rsidR="004106AD" w:rsidRPr="004106AD">
        <w:rPr>
          <w:rFonts w:asciiTheme="minorHAnsi" w:hAnsiTheme="minorHAnsi" w:cs="Calibri"/>
        </w:rPr>
        <w:t xml:space="preserve">among American Indian/Alaskan Native and </w:t>
      </w:r>
      <w:r w:rsidR="00F32D56">
        <w:rPr>
          <w:rFonts w:asciiTheme="minorHAnsi" w:hAnsiTheme="minorHAnsi" w:cs="Calibri"/>
        </w:rPr>
        <w:t>B</w:t>
      </w:r>
      <w:r w:rsidR="004106AD" w:rsidRPr="004106AD">
        <w:rPr>
          <w:rFonts w:asciiTheme="minorHAnsi" w:hAnsiTheme="minorHAnsi" w:cs="Calibri"/>
        </w:rPr>
        <w:t xml:space="preserve">lack populations (CDC, 2013). </w:t>
      </w:r>
      <w:r w:rsidR="004106AD">
        <w:rPr>
          <w:rFonts w:asciiTheme="minorHAnsi" w:hAnsiTheme="minorHAnsi" w:cs="Calibri"/>
        </w:rPr>
        <w:t>Important</w:t>
      </w:r>
      <w:r w:rsidR="00081592">
        <w:rPr>
          <w:rFonts w:asciiTheme="minorHAnsi" w:hAnsiTheme="minorHAnsi" w:cs="Calibri"/>
        </w:rPr>
        <w:t>ly</w:t>
      </w:r>
      <w:r w:rsidR="004106AD">
        <w:rPr>
          <w:rFonts w:asciiTheme="minorHAnsi" w:hAnsiTheme="minorHAnsi" w:cs="Calibri"/>
        </w:rPr>
        <w:t>, a</w:t>
      </w:r>
      <w:r w:rsidR="004106AD" w:rsidRPr="004106AD">
        <w:rPr>
          <w:rFonts w:asciiTheme="minorHAnsi" w:hAnsiTheme="minorHAnsi" w:cs="Calibri"/>
        </w:rPr>
        <w:t xml:space="preserve"> study examining green space and mental health in residents of Miami-Dade County</w:t>
      </w:r>
      <w:r w:rsidR="00FD0C81">
        <w:rPr>
          <w:rFonts w:asciiTheme="minorHAnsi" w:hAnsiTheme="minorHAnsi" w:cs="Calibri"/>
        </w:rPr>
        <w:t xml:space="preserve">, FL </w:t>
      </w:r>
      <w:r w:rsidR="004106AD" w:rsidRPr="004106AD">
        <w:rPr>
          <w:rFonts w:asciiTheme="minorHAnsi" w:hAnsiTheme="minorHAnsi" w:cs="Calibri"/>
        </w:rPr>
        <w:t xml:space="preserve">found that </w:t>
      </w:r>
      <w:r w:rsidR="00D80A4A">
        <w:rPr>
          <w:rFonts w:asciiTheme="minorHAnsi" w:hAnsiTheme="minorHAnsi" w:cs="Calibri"/>
        </w:rPr>
        <w:t xml:space="preserve">increased </w:t>
      </w:r>
      <w:r w:rsidR="004106AD" w:rsidRPr="004106AD">
        <w:rPr>
          <w:rFonts w:asciiTheme="minorHAnsi" w:hAnsiTheme="minorHAnsi" w:cs="Calibri"/>
        </w:rPr>
        <w:t>acreage of green space was significantly correlated with fewer symptoms of depression (Miles, 201</w:t>
      </w:r>
      <w:r w:rsidR="00535479">
        <w:rPr>
          <w:rFonts w:asciiTheme="minorHAnsi" w:hAnsiTheme="minorHAnsi" w:cs="Calibri"/>
        </w:rPr>
        <w:t>2</w:t>
      </w:r>
      <w:r w:rsidR="004106AD" w:rsidRPr="004106AD">
        <w:rPr>
          <w:rFonts w:asciiTheme="minorHAnsi" w:hAnsiTheme="minorHAnsi" w:cs="Calibri"/>
        </w:rPr>
        <w:t xml:space="preserve">). Furthermore, research examining the relationship between </w:t>
      </w:r>
      <w:r w:rsidR="00E1344D">
        <w:rPr>
          <w:rFonts w:asciiTheme="minorHAnsi" w:hAnsiTheme="minorHAnsi" w:cs="Calibri"/>
        </w:rPr>
        <w:t>UGS</w:t>
      </w:r>
      <w:r w:rsidR="004106AD" w:rsidRPr="004106AD">
        <w:rPr>
          <w:rFonts w:asciiTheme="minorHAnsi" w:hAnsiTheme="minorHAnsi" w:cs="Calibri"/>
        </w:rPr>
        <w:t xml:space="preserve"> and health suggests that living near green spaces can encourage residents to be more physically active, socialize more with neighbors, and </w:t>
      </w:r>
      <w:r w:rsidR="00081592">
        <w:rPr>
          <w:rFonts w:asciiTheme="minorHAnsi" w:hAnsiTheme="minorHAnsi" w:cs="Calibri"/>
        </w:rPr>
        <w:t>have higher</w:t>
      </w:r>
      <w:r w:rsidR="004106AD" w:rsidRPr="004106AD">
        <w:rPr>
          <w:rFonts w:asciiTheme="minorHAnsi" w:hAnsiTheme="minorHAnsi" w:cs="Calibri"/>
        </w:rPr>
        <w:t xml:space="preserve"> community satisfaction, all </w:t>
      </w:r>
      <w:r w:rsidR="00F8085C">
        <w:rPr>
          <w:rFonts w:asciiTheme="minorHAnsi" w:hAnsiTheme="minorHAnsi" w:cs="Calibri"/>
        </w:rPr>
        <w:t xml:space="preserve">of which </w:t>
      </w:r>
      <w:r w:rsidR="004106AD" w:rsidRPr="004106AD">
        <w:rPr>
          <w:rFonts w:asciiTheme="minorHAnsi" w:hAnsiTheme="minorHAnsi" w:cs="Calibri"/>
        </w:rPr>
        <w:t>help to support stronger mental health</w:t>
      </w:r>
      <w:r w:rsidR="004106AD">
        <w:rPr>
          <w:rFonts w:asciiTheme="minorHAnsi" w:hAnsiTheme="minorHAnsi" w:cs="Calibri"/>
        </w:rPr>
        <w:t xml:space="preserve"> amongst individuals</w:t>
      </w:r>
      <w:r w:rsidR="004106AD" w:rsidRPr="004106AD">
        <w:rPr>
          <w:rFonts w:asciiTheme="minorHAnsi" w:hAnsiTheme="minorHAnsi" w:cs="Calibri"/>
        </w:rPr>
        <w:t xml:space="preserve"> (as reviewed by Lachowycz and Jones, 2013). </w:t>
      </w:r>
    </w:p>
    <w:p w14:paraId="569D5DA5" w14:textId="77777777" w:rsidR="00E1344D" w:rsidRDefault="00E1344D" w:rsidP="00F90754">
      <w:pPr>
        <w:spacing w:line="360" w:lineRule="auto"/>
        <w:rPr>
          <w:rFonts w:asciiTheme="minorHAnsi" w:hAnsiTheme="minorHAnsi" w:cs="Calibri"/>
        </w:rPr>
      </w:pPr>
    </w:p>
    <w:p w14:paraId="483DAEF2" w14:textId="391E3328" w:rsidR="00F90754" w:rsidRPr="00F90754" w:rsidRDefault="006C1A9F" w:rsidP="00F90754">
      <w:pPr>
        <w:spacing w:line="360" w:lineRule="auto"/>
        <w:rPr>
          <w:rFonts w:asciiTheme="minorHAnsi" w:hAnsiTheme="minorHAnsi" w:cs="Calibri"/>
          <w:i/>
          <w:iCs/>
        </w:rPr>
      </w:pPr>
      <w:r>
        <w:rPr>
          <w:rFonts w:asciiTheme="minorHAnsi" w:hAnsiTheme="minorHAnsi" w:cs="Calibri"/>
          <w:i/>
          <w:iCs/>
        </w:rPr>
        <w:t>1.1.4</w:t>
      </w:r>
      <w:r>
        <w:rPr>
          <w:rFonts w:asciiTheme="minorHAnsi" w:hAnsiTheme="minorHAnsi" w:cs="Calibri"/>
          <w:i/>
          <w:iCs/>
        </w:rPr>
        <w:tab/>
      </w:r>
      <w:r w:rsidR="00F90754">
        <w:rPr>
          <w:rFonts w:asciiTheme="minorHAnsi" w:hAnsiTheme="minorHAnsi" w:cs="Calibri"/>
          <w:i/>
          <w:iCs/>
        </w:rPr>
        <w:t xml:space="preserve">The Impact of Historical and Modern Planning Decisions on Environmental Inequality </w:t>
      </w:r>
    </w:p>
    <w:p w14:paraId="42C94088" w14:textId="67657FA0" w:rsidR="00F32D56" w:rsidRDefault="00F90754" w:rsidP="00F32D56">
      <w:pPr>
        <w:spacing w:line="360" w:lineRule="auto"/>
        <w:ind w:firstLine="720"/>
        <w:rPr>
          <w:rFonts w:asciiTheme="minorHAnsi" w:hAnsiTheme="minorHAnsi" w:cs="Calibri"/>
        </w:rPr>
      </w:pPr>
      <w:r w:rsidRPr="00401CB7">
        <w:rPr>
          <w:rFonts w:asciiTheme="minorHAnsi" w:hAnsiTheme="minorHAnsi" w:cs="Calibri"/>
        </w:rPr>
        <w:t>Inequitable UGS distribution by SES in cities stems from</w:t>
      </w:r>
      <w:r w:rsidR="00030C13">
        <w:rPr>
          <w:rFonts w:asciiTheme="minorHAnsi" w:hAnsiTheme="minorHAnsi" w:cs="Calibri"/>
        </w:rPr>
        <w:t xml:space="preserve"> both</w:t>
      </w:r>
      <w:r w:rsidRPr="00401CB7">
        <w:rPr>
          <w:rFonts w:asciiTheme="minorHAnsi" w:hAnsiTheme="minorHAnsi" w:cs="Calibri"/>
        </w:rPr>
        <w:t xml:space="preserve"> </w:t>
      </w:r>
      <w:r w:rsidR="00030C13">
        <w:rPr>
          <w:rFonts w:asciiTheme="minorHAnsi" w:hAnsiTheme="minorHAnsi" w:cs="Calibri"/>
        </w:rPr>
        <w:t xml:space="preserve">historical planning legacies and </w:t>
      </w:r>
      <w:r w:rsidRPr="00401CB7">
        <w:rPr>
          <w:rFonts w:asciiTheme="minorHAnsi" w:hAnsiTheme="minorHAnsi" w:cs="Calibri"/>
        </w:rPr>
        <w:t>modern</w:t>
      </w:r>
      <w:r w:rsidR="00030C13">
        <w:rPr>
          <w:rFonts w:asciiTheme="minorHAnsi" w:hAnsiTheme="minorHAnsi" w:cs="Calibri"/>
        </w:rPr>
        <w:t>-</w:t>
      </w:r>
      <w:r w:rsidRPr="00401CB7">
        <w:rPr>
          <w:rFonts w:asciiTheme="minorHAnsi" w:hAnsiTheme="minorHAnsi" w:cs="Calibri"/>
        </w:rPr>
        <w:t xml:space="preserve">day decisions in urban planning. </w:t>
      </w:r>
      <w:r w:rsidR="006A5DC2">
        <w:rPr>
          <w:rFonts w:asciiTheme="minorHAnsi" w:hAnsiTheme="minorHAnsi" w:cs="Calibri"/>
        </w:rPr>
        <w:t>H</w:t>
      </w:r>
      <w:r w:rsidR="0039377C" w:rsidRPr="00401CB7">
        <w:rPr>
          <w:rFonts w:asciiTheme="minorHAnsi" w:hAnsiTheme="minorHAnsi" w:cs="Calibri"/>
        </w:rPr>
        <w:t>istorical</w:t>
      </w:r>
      <w:r w:rsidR="00401CB7">
        <w:rPr>
          <w:rFonts w:asciiTheme="minorHAnsi" w:hAnsiTheme="minorHAnsi" w:cs="Calibri"/>
        </w:rPr>
        <w:t>ly</w:t>
      </w:r>
      <w:r>
        <w:rPr>
          <w:rFonts w:asciiTheme="minorHAnsi" w:hAnsiTheme="minorHAnsi" w:cs="Calibri"/>
        </w:rPr>
        <w:t>,</w:t>
      </w:r>
      <w:r w:rsidR="0039377C" w:rsidRPr="00401CB7">
        <w:rPr>
          <w:rFonts w:asciiTheme="minorHAnsi" w:hAnsiTheme="minorHAnsi" w:cs="Calibri"/>
        </w:rPr>
        <w:t xml:space="preserve"> racially motivated segregation, de facto and de jure, encouraged disinvestment by government and private entities in minority and less affluent communities</w:t>
      </w:r>
      <w:r w:rsidR="00B76644">
        <w:rPr>
          <w:rFonts w:asciiTheme="minorHAnsi" w:hAnsiTheme="minorHAnsi" w:cs="Calibri"/>
        </w:rPr>
        <w:t>. These disinvestments have contributed to the</w:t>
      </w:r>
      <w:r w:rsidR="0039377C" w:rsidRPr="00401CB7">
        <w:rPr>
          <w:rFonts w:asciiTheme="minorHAnsi" w:hAnsiTheme="minorHAnsi" w:cs="Calibri"/>
        </w:rPr>
        <w:t xml:space="preserve"> imprints of environmental injustice we still see today</w:t>
      </w:r>
      <w:r w:rsidR="006A5DC2">
        <w:rPr>
          <w:rFonts w:asciiTheme="minorHAnsi" w:hAnsiTheme="minorHAnsi" w:cs="Calibri"/>
        </w:rPr>
        <w:t>.</w:t>
      </w:r>
      <w:r w:rsidR="00F36D64" w:rsidRPr="00401CB7">
        <w:rPr>
          <w:rFonts w:asciiTheme="minorHAnsi" w:hAnsiTheme="minorHAnsi" w:cs="Calibri"/>
        </w:rPr>
        <w:t xml:space="preserve"> </w:t>
      </w:r>
      <w:r>
        <w:rPr>
          <w:rFonts w:asciiTheme="minorHAnsi" w:hAnsiTheme="minorHAnsi" w:cs="Calibri"/>
        </w:rPr>
        <w:t>I</w:t>
      </w:r>
      <w:r w:rsidR="00DC61F1">
        <w:rPr>
          <w:rFonts w:asciiTheme="minorHAnsi" w:hAnsiTheme="minorHAnsi" w:cs="Calibri"/>
        </w:rPr>
        <w:t xml:space="preserve">n </w:t>
      </w:r>
      <w:r w:rsidR="0039377C" w:rsidRPr="00401CB7">
        <w:rPr>
          <w:rFonts w:asciiTheme="minorHAnsi" w:hAnsiTheme="minorHAnsi" w:cs="Calibri"/>
        </w:rPr>
        <w:t xml:space="preserve">cities </w:t>
      </w:r>
      <w:r w:rsidR="00166B4A" w:rsidRPr="00401CB7">
        <w:rPr>
          <w:rFonts w:asciiTheme="minorHAnsi" w:hAnsiTheme="minorHAnsi" w:cs="Calibri"/>
        </w:rPr>
        <w:t>across</w:t>
      </w:r>
      <w:r w:rsidR="0039377C" w:rsidRPr="00401CB7">
        <w:rPr>
          <w:rFonts w:asciiTheme="minorHAnsi" w:hAnsiTheme="minorHAnsi" w:cs="Calibri"/>
        </w:rPr>
        <w:t xml:space="preserve"> the U</w:t>
      </w:r>
      <w:r w:rsidR="00401CB7">
        <w:rPr>
          <w:rFonts w:asciiTheme="minorHAnsi" w:hAnsiTheme="minorHAnsi" w:cs="Calibri"/>
        </w:rPr>
        <w:t>.</w:t>
      </w:r>
      <w:r w:rsidR="0039377C" w:rsidRPr="00401CB7">
        <w:rPr>
          <w:rFonts w:asciiTheme="minorHAnsi" w:hAnsiTheme="minorHAnsi" w:cs="Calibri"/>
        </w:rPr>
        <w:t>S</w:t>
      </w:r>
      <w:r w:rsidR="00401CB7">
        <w:rPr>
          <w:rFonts w:asciiTheme="minorHAnsi" w:hAnsiTheme="minorHAnsi" w:cs="Calibri"/>
        </w:rPr>
        <w:t>.</w:t>
      </w:r>
      <w:r w:rsidR="00081592">
        <w:rPr>
          <w:rFonts w:asciiTheme="minorHAnsi" w:hAnsiTheme="minorHAnsi" w:cs="Calibri"/>
        </w:rPr>
        <w:t xml:space="preserve"> </w:t>
      </w:r>
      <w:r w:rsidR="0039377C" w:rsidRPr="00401CB7">
        <w:rPr>
          <w:rFonts w:asciiTheme="minorHAnsi" w:hAnsiTheme="minorHAnsi" w:cs="Calibri"/>
        </w:rPr>
        <w:t>during the 1930s</w:t>
      </w:r>
      <w:r w:rsidR="00081592">
        <w:rPr>
          <w:rFonts w:asciiTheme="minorHAnsi" w:hAnsiTheme="minorHAnsi" w:cs="Calibri"/>
        </w:rPr>
        <w:t>,</w:t>
      </w:r>
      <w:r w:rsidR="0039377C" w:rsidRPr="00401CB7">
        <w:rPr>
          <w:rFonts w:asciiTheme="minorHAnsi" w:hAnsiTheme="minorHAnsi" w:cs="Calibri"/>
        </w:rPr>
        <w:t xml:space="preserve"> </w:t>
      </w:r>
      <w:r w:rsidR="00F36D64" w:rsidRPr="00401CB7">
        <w:rPr>
          <w:rFonts w:asciiTheme="minorHAnsi" w:hAnsiTheme="minorHAnsi" w:cs="Calibri"/>
        </w:rPr>
        <w:t>the Federal HomeOwners Loan Corporation (HOLC) was charged</w:t>
      </w:r>
      <w:r w:rsidR="0039377C" w:rsidRPr="00401CB7">
        <w:rPr>
          <w:rFonts w:asciiTheme="minorHAnsi" w:hAnsiTheme="minorHAnsi" w:cs="Calibri"/>
        </w:rPr>
        <w:t xml:space="preserve"> by the federal government to</w:t>
      </w:r>
      <w:r w:rsidR="00F36D64" w:rsidRPr="00401CB7">
        <w:rPr>
          <w:rFonts w:asciiTheme="minorHAnsi" w:hAnsiTheme="minorHAnsi" w:cs="Calibri"/>
        </w:rPr>
        <w:t xml:space="preserve"> </w:t>
      </w:r>
      <w:r w:rsidR="0039377C" w:rsidRPr="00401CB7">
        <w:rPr>
          <w:rFonts w:asciiTheme="minorHAnsi" w:hAnsiTheme="minorHAnsi" w:cs="Calibri"/>
        </w:rPr>
        <w:t>assign</w:t>
      </w:r>
      <w:r w:rsidR="00F36D64" w:rsidRPr="00401CB7">
        <w:rPr>
          <w:rFonts w:asciiTheme="minorHAnsi" w:hAnsiTheme="minorHAnsi" w:cs="Calibri"/>
        </w:rPr>
        <w:t xml:space="preserve"> </w:t>
      </w:r>
      <w:r w:rsidR="0039377C" w:rsidRPr="00401CB7">
        <w:rPr>
          <w:rFonts w:asciiTheme="minorHAnsi" w:hAnsiTheme="minorHAnsi" w:cs="Calibri"/>
        </w:rPr>
        <w:t xml:space="preserve">urban </w:t>
      </w:r>
      <w:r w:rsidR="00F36D64" w:rsidRPr="00401CB7">
        <w:rPr>
          <w:rFonts w:asciiTheme="minorHAnsi" w:hAnsiTheme="minorHAnsi" w:cs="Calibri"/>
        </w:rPr>
        <w:t>neighborhoods</w:t>
      </w:r>
      <w:r w:rsidR="0039377C" w:rsidRPr="00401CB7">
        <w:rPr>
          <w:rFonts w:asciiTheme="minorHAnsi" w:hAnsiTheme="minorHAnsi" w:cs="Calibri"/>
        </w:rPr>
        <w:t xml:space="preserve"> </w:t>
      </w:r>
      <w:r w:rsidR="00F36D64" w:rsidRPr="00401CB7">
        <w:rPr>
          <w:rFonts w:asciiTheme="minorHAnsi" w:hAnsiTheme="minorHAnsi" w:cs="Calibri"/>
        </w:rPr>
        <w:t>security risk grades for investment</w:t>
      </w:r>
      <w:r w:rsidR="006A5DC2">
        <w:rPr>
          <w:rFonts w:asciiTheme="minorHAnsi" w:hAnsiTheme="minorHAnsi" w:cs="Calibri"/>
        </w:rPr>
        <w:t xml:space="preserve"> </w:t>
      </w:r>
      <w:r w:rsidR="006A5DC2">
        <w:rPr>
          <w:rFonts w:asciiTheme="minorHAnsi" w:hAnsiTheme="minorHAnsi"/>
          <w:color w:val="000000" w:themeColor="text1"/>
        </w:rPr>
        <w:t>(Mitchell and Franco, 2018)</w:t>
      </w:r>
      <w:r w:rsidR="00F36D64" w:rsidRPr="00401CB7">
        <w:rPr>
          <w:rFonts w:asciiTheme="minorHAnsi" w:hAnsiTheme="minorHAnsi" w:cs="Calibri"/>
        </w:rPr>
        <w:t xml:space="preserve">. </w:t>
      </w:r>
      <w:r w:rsidR="00401CB7" w:rsidRPr="00401CB7">
        <w:rPr>
          <w:rFonts w:asciiTheme="minorHAnsi" w:hAnsiTheme="minorHAnsi" w:cs="Calibri"/>
        </w:rPr>
        <w:t xml:space="preserve">This assessment assigned grades to neighborhoods </w:t>
      </w:r>
      <w:r w:rsidR="00401CB7" w:rsidRPr="00401CB7">
        <w:rPr>
          <w:rFonts w:asciiTheme="minorHAnsi" w:hAnsiTheme="minorHAnsi"/>
          <w:color w:val="000000" w:themeColor="text1"/>
        </w:rPr>
        <w:t xml:space="preserve">based on criteria </w:t>
      </w:r>
      <w:r w:rsidR="00DC61F1">
        <w:rPr>
          <w:rFonts w:asciiTheme="minorHAnsi" w:hAnsiTheme="minorHAnsi"/>
          <w:color w:val="000000" w:themeColor="text1"/>
        </w:rPr>
        <w:t xml:space="preserve">such as </w:t>
      </w:r>
      <w:r w:rsidR="00401CB7">
        <w:rPr>
          <w:rFonts w:asciiTheme="minorHAnsi" w:hAnsiTheme="minorHAnsi"/>
          <w:color w:val="000000" w:themeColor="text1"/>
        </w:rPr>
        <w:t>housing characteristics</w:t>
      </w:r>
      <w:r w:rsidR="00401CB7" w:rsidRPr="00401CB7">
        <w:rPr>
          <w:rFonts w:asciiTheme="minorHAnsi" w:hAnsiTheme="minorHAnsi"/>
          <w:color w:val="000000" w:themeColor="text1"/>
        </w:rPr>
        <w:t xml:space="preserve">, transportation access, closeness to amenities such as parks </w:t>
      </w:r>
      <w:r w:rsidR="00401CB7">
        <w:rPr>
          <w:rFonts w:asciiTheme="minorHAnsi" w:hAnsiTheme="minorHAnsi"/>
          <w:color w:val="000000" w:themeColor="text1"/>
        </w:rPr>
        <w:t>and</w:t>
      </w:r>
      <w:r w:rsidR="00401CB7" w:rsidRPr="00401CB7">
        <w:rPr>
          <w:rFonts w:asciiTheme="minorHAnsi" w:hAnsiTheme="minorHAnsi"/>
          <w:color w:val="000000" w:themeColor="text1"/>
        </w:rPr>
        <w:t xml:space="preserve"> disamenities </w:t>
      </w:r>
      <w:r w:rsidR="00081592">
        <w:rPr>
          <w:rFonts w:asciiTheme="minorHAnsi" w:hAnsiTheme="minorHAnsi"/>
          <w:color w:val="000000" w:themeColor="text1"/>
        </w:rPr>
        <w:t>such as</w:t>
      </w:r>
      <w:r w:rsidR="00401CB7" w:rsidRPr="00401CB7">
        <w:rPr>
          <w:rFonts w:asciiTheme="minorHAnsi" w:hAnsiTheme="minorHAnsi"/>
          <w:color w:val="000000" w:themeColor="text1"/>
        </w:rPr>
        <w:t xml:space="preserve"> polluting industries, the economic class and employment status of </w:t>
      </w:r>
      <w:r w:rsidR="00401CB7">
        <w:rPr>
          <w:rFonts w:asciiTheme="minorHAnsi" w:hAnsiTheme="minorHAnsi"/>
          <w:color w:val="000000" w:themeColor="text1"/>
        </w:rPr>
        <w:t xml:space="preserve">current </w:t>
      </w:r>
      <w:r w:rsidR="00401CB7" w:rsidRPr="00401CB7">
        <w:rPr>
          <w:rFonts w:asciiTheme="minorHAnsi" w:hAnsiTheme="minorHAnsi"/>
          <w:color w:val="000000" w:themeColor="text1"/>
        </w:rPr>
        <w:t xml:space="preserve">residents, and their ethnic and racial composition </w:t>
      </w:r>
      <w:r w:rsidR="00401CB7">
        <w:rPr>
          <w:rFonts w:asciiTheme="minorHAnsi" w:hAnsiTheme="minorHAnsi"/>
          <w:color w:val="000000" w:themeColor="text1"/>
        </w:rPr>
        <w:t>(Mitchell and Franco, 2018). The “Best” neighborhoods were color coded as green and given a letter grade of an “A” while “Hazardous”</w:t>
      </w:r>
      <w:r w:rsidR="00DC61F1">
        <w:rPr>
          <w:rFonts w:asciiTheme="minorHAnsi" w:hAnsiTheme="minorHAnsi"/>
          <w:color w:val="000000" w:themeColor="text1"/>
        </w:rPr>
        <w:t xml:space="preserve"> neighborhoods</w:t>
      </w:r>
      <w:r w:rsidR="00401CB7">
        <w:rPr>
          <w:rFonts w:asciiTheme="minorHAnsi" w:hAnsiTheme="minorHAnsi"/>
          <w:color w:val="000000" w:themeColor="text1"/>
        </w:rPr>
        <w:t xml:space="preserve"> were color coded as red and given a letter grade of a “D” (Mitchell and Franco, 2018). </w:t>
      </w:r>
      <w:r w:rsidR="00401CB7">
        <w:rPr>
          <w:rFonts w:asciiTheme="minorHAnsi" w:hAnsiTheme="minorHAnsi" w:cs="Calibri"/>
        </w:rPr>
        <w:t>The HOLC would</w:t>
      </w:r>
      <w:r w:rsidR="00F36D64" w:rsidRPr="0039377C">
        <w:rPr>
          <w:rFonts w:asciiTheme="minorHAnsi" w:hAnsiTheme="minorHAnsi" w:cs="Calibri"/>
        </w:rPr>
        <w:t xml:space="preserve"> consistently mark </w:t>
      </w:r>
      <w:r w:rsidR="00F32D56">
        <w:rPr>
          <w:rFonts w:asciiTheme="minorHAnsi" w:hAnsiTheme="minorHAnsi" w:cs="Calibri"/>
        </w:rPr>
        <w:t>B</w:t>
      </w:r>
      <w:r w:rsidR="00F36D64" w:rsidRPr="0039377C">
        <w:rPr>
          <w:rFonts w:asciiTheme="minorHAnsi" w:hAnsiTheme="minorHAnsi" w:cs="Calibri"/>
        </w:rPr>
        <w:t xml:space="preserve">lack neighborhoods red, indicating a high risk for investment which was commonly known as </w:t>
      </w:r>
      <w:r>
        <w:rPr>
          <w:rFonts w:asciiTheme="minorHAnsi" w:hAnsiTheme="minorHAnsi" w:cs="Calibri"/>
        </w:rPr>
        <w:t>“</w:t>
      </w:r>
      <w:r w:rsidR="00F36D64" w:rsidRPr="0039377C">
        <w:rPr>
          <w:rFonts w:asciiTheme="minorHAnsi" w:hAnsiTheme="minorHAnsi" w:cs="Calibri"/>
        </w:rPr>
        <w:t>redlining</w:t>
      </w:r>
      <w:r>
        <w:rPr>
          <w:rFonts w:asciiTheme="minorHAnsi" w:hAnsiTheme="minorHAnsi" w:cs="Calibri"/>
        </w:rPr>
        <w:t>”</w:t>
      </w:r>
      <w:r w:rsidR="00F36D64" w:rsidRPr="0039377C">
        <w:rPr>
          <w:rFonts w:asciiTheme="minorHAnsi" w:hAnsiTheme="minorHAnsi" w:cs="Calibri"/>
        </w:rPr>
        <w:t xml:space="preserve">. </w:t>
      </w:r>
    </w:p>
    <w:p w14:paraId="1DB03EA8" w14:textId="77777777" w:rsidR="00F72C86" w:rsidRDefault="00F36D64" w:rsidP="00F72C86">
      <w:pPr>
        <w:spacing w:line="360" w:lineRule="auto"/>
        <w:ind w:firstLine="720"/>
        <w:rPr>
          <w:rFonts w:asciiTheme="minorHAnsi" w:hAnsiTheme="minorHAnsi" w:cs="Calibri"/>
        </w:rPr>
      </w:pPr>
      <w:r w:rsidRPr="0039377C">
        <w:rPr>
          <w:rFonts w:asciiTheme="minorHAnsi" w:hAnsiTheme="minorHAnsi" w:cs="Calibri"/>
        </w:rPr>
        <w:t>Today</w:t>
      </w:r>
      <w:r w:rsidR="00081592">
        <w:rPr>
          <w:rFonts w:asciiTheme="minorHAnsi" w:hAnsiTheme="minorHAnsi" w:cs="Calibri"/>
        </w:rPr>
        <w:t>,</w:t>
      </w:r>
      <w:r w:rsidRPr="0039377C">
        <w:rPr>
          <w:rFonts w:asciiTheme="minorHAnsi" w:hAnsiTheme="minorHAnsi" w:cs="Calibri"/>
        </w:rPr>
        <w:t xml:space="preserve"> the same</w:t>
      </w:r>
      <w:r w:rsidR="009F3405">
        <w:rPr>
          <w:rFonts w:asciiTheme="minorHAnsi" w:hAnsiTheme="minorHAnsi" w:cs="Calibri"/>
        </w:rPr>
        <w:t xml:space="preserve"> </w:t>
      </w:r>
      <w:r w:rsidRPr="0039377C">
        <w:rPr>
          <w:rFonts w:asciiTheme="minorHAnsi" w:hAnsiTheme="minorHAnsi" w:cs="Calibri"/>
        </w:rPr>
        <w:t>neighborhoods that were redlined nearly a century ago</w:t>
      </w:r>
      <w:r w:rsidR="00401CB7">
        <w:rPr>
          <w:rFonts w:asciiTheme="minorHAnsi" w:hAnsiTheme="minorHAnsi" w:cs="Calibri"/>
        </w:rPr>
        <w:t xml:space="preserve"> still feel the impacts of those decisions</w:t>
      </w:r>
      <w:r w:rsidR="006A5DC2">
        <w:rPr>
          <w:rFonts w:asciiTheme="minorHAnsi" w:hAnsiTheme="minorHAnsi" w:cs="Calibri"/>
        </w:rPr>
        <w:t>. I</w:t>
      </w:r>
      <w:r w:rsidRPr="0039377C">
        <w:rPr>
          <w:rFonts w:asciiTheme="minorHAnsi" w:hAnsiTheme="minorHAnsi" w:cs="Calibri"/>
        </w:rPr>
        <w:t>n Baltimore, M</w:t>
      </w:r>
      <w:r w:rsidR="00081592">
        <w:rPr>
          <w:rFonts w:asciiTheme="minorHAnsi" w:hAnsiTheme="minorHAnsi" w:cs="Calibri"/>
        </w:rPr>
        <w:t>D,</w:t>
      </w:r>
      <w:r w:rsidRPr="0039377C">
        <w:rPr>
          <w:rFonts w:asciiTheme="minorHAnsi" w:hAnsiTheme="minorHAnsi" w:cs="Calibri"/>
        </w:rPr>
        <w:t xml:space="preserve"> </w:t>
      </w:r>
      <w:r w:rsidR="009F0295">
        <w:rPr>
          <w:rFonts w:asciiTheme="minorHAnsi" w:hAnsiTheme="minorHAnsi" w:cs="Calibri"/>
        </w:rPr>
        <w:t xml:space="preserve">neighborhoods that were redlined nearly 100 years ago </w:t>
      </w:r>
      <w:r w:rsidR="00DC61F1">
        <w:rPr>
          <w:rFonts w:asciiTheme="minorHAnsi" w:hAnsiTheme="minorHAnsi" w:cs="Calibri"/>
        </w:rPr>
        <w:t xml:space="preserve">have </w:t>
      </w:r>
      <w:r w:rsidR="009F0295">
        <w:rPr>
          <w:rFonts w:asciiTheme="minorHAnsi" w:hAnsiTheme="minorHAnsi" w:cs="Calibri"/>
        </w:rPr>
        <w:t>significantly</w:t>
      </w:r>
      <w:r w:rsidR="00401CB7">
        <w:rPr>
          <w:rFonts w:asciiTheme="minorHAnsi" w:hAnsiTheme="minorHAnsi" w:cs="Calibri"/>
        </w:rPr>
        <w:t xml:space="preserve"> </w:t>
      </w:r>
      <w:r w:rsidR="00DC61F1">
        <w:rPr>
          <w:rFonts w:asciiTheme="minorHAnsi" w:hAnsiTheme="minorHAnsi" w:cs="Calibri"/>
        </w:rPr>
        <w:t xml:space="preserve">lower </w:t>
      </w:r>
      <w:r w:rsidRPr="0039377C">
        <w:rPr>
          <w:rFonts w:asciiTheme="minorHAnsi" w:hAnsiTheme="minorHAnsi" w:cs="Calibri"/>
        </w:rPr>
        <w:t xml:space="preserve">percentages of tree canopy cover </w:t>
      </w:r>
      <w:r w:rsidR="00DC61F1">
        <w:rPr>
          <w:rFonts w:asciiTheme="minorHAnsi" w:hAnsiTheme="minorHAnsi" w:cs="Calibri"/>
        </w:rPr>
        <w:t xml:space="preserve">compared to </w:t>
      </w:r>
      <w:r w:rsidRPr="0039377C">
        <w:rPr>
          <w:rFonts w:asciiTheme="minorHAnsi" w:hAnsiTheme="minorHAnsi" w:cs="Calibri"/>
        </w:rPr>
        <w:t>any other neighborhoods in the c</w:t>
      </w:r>
      <w:r w:rsidR="009F3405">
        <w:rPr>
          <w:rFonts w:asciiTheme="minorHAnsi" w:hAnsiTheme="minorHAnsi" w:cs="Calibri"/>
        </w:rPr>
        <w:t>it</w:t>
      </w:r>
      <w:r w:rsidRPr="0039377C">
        <w:rPr>
          <w:rFonts w:asciiTheme="minorHAnsi" w:hAnsiTheme="minorHAnsi" w:cs="Calibri"/>
        </w:rPr>
        <w:t>y (Grove et al. 2018).</w:t>
      </w:r>
      <w:r w:rsidR="00743AFA">
        <w:rPr>
          <w:rFonts w:asciiTheme="minorHAnsi" w:hAnsiTheme="minorHAnsi" w:cs="Calibri"/>
        </w:rPr>
        <w:t xml:space="preserve"> In a study by Namin et al. (2020)</w:t>
      </w:r>
      <w:r w:rsidR="002B11FB">
        <w:rPr>
          <w:rFonts w:asciiTheme="minorHAnsi" w:hAnsiTheme="minorHAnsi" w:cs="Calibri"/>
        </w:rPr>
        <w:t>, they</w:t>
      </w:r>
      <w:r w:rsidR="009F3405">
        <w:rPr>
          <w:rFonts w:asciiTheme="minorHAnsi" w:hAnsiTheme="minorHAnsi" w:cs="Calibri"/>
        </w:rPr>
        <w:t xml:space="preserve"> also</w:t>
      </w:r>
      <w:r w:rsidR="00743AFA">
        <w:rPr>
          <w:rFonts w:asciiTheme="minorHAnsi" w:hAnsiTheme="minorHAnsi" w:cs="Calibri"/>
        </w:rPr>
        <w:t xml:space="preserve"> </w:t>
      </w:r>
      <w:r w:rsidR="00743AFA">
        <w:rPr>
          <w:rFonts w:asciiTheme="minorHAnsi" w:hAnsiTheme="minorHAnsi" w:cs="Calibri"/>
        </w:rPr>
        <w:lastRenderedPageBreak/>
        <w:t>examined the impact of HOLC grades on urban tree canopies</w:t>
      </w:r>
      <w:r w:rsidR="009F3405">
        <w:rPr>
          <w:rFonts w:asciiTheme="minorHAnsi" w:hAnsiTheme="minorHAnsi" w:cs="Calibri"/>
        </w:rPr>
        <w:t>,</w:t>
      </w:r>
      <w:r w:rsidR="00743AFA">
        <w:rPr>
          <w:rFonts w:asciiTheme="minorHAnsi" w:hAnsiTheme="minorHAnsi" w:cs="Calibri"/>
        </w:rPr>
        <w:t xml:space="preserve"> </w:t>
      </w:r>
      <w:r w:rsidR="002B11FB">
        <w:rPr>
          <w:rFonts w:asciiTheme="minorHAnsi" w:hAnsiTheme="minorHAnsi" w:cs="Calibri"/>
        </w:rPr>
        <w:t xml:space="preserve">by measuring differences in cities </w:t>
      </w:r>
      <w:r w:rsidR="00743AFA">
        <w:rPr>
          <w:rFonts w:asciiTheme="minorHAnsi" w:hAnsiTheme="minorHAnsi" w:cs="Calibri"/>
        </w:rPr>
        <w:t xml:space="preserve">throughout the </w:t>
      </w:r>
      <w:r w:rsidR="002B11FB">
        <w:rPr>
          <w:rFonts w:asciiTheme="minorHAnsi" w:hAnsiTheme="minorHAnsi" w:cs="Calibri"/>
        </w:rPr>
        <w:t xml:space="preserve">entire </w:t>
      </w:r>
      <w:r w:rsidR="00A86641">
        <w:rPr>
          <w:rFonts w:asciiTheme="minorHAnsi" w:hAnsiTheme="minorHAnsi" w:cs="Calibri"/>
        </w:rPr>
        <w:t>United States.</w:t>
      </w:r>
      <w:r w:rsidR="002B11FB">
        <w:rPr>
          <w:rFonts w:asciiTheme="minorHAnsi" w:hAnsiTheme="minorHAnsi" w:cs="Calibri"/>
        </w:rPr>
        <w:t xml:space="preserve"> Their findings showed </w:t>
      </w:r>
      <w:r w:rsidR="00743AFA">
        <w:rPr>
          <w:rFonts w:asciiTheme="minorHAnsi" w:hAnsiTheme="minorHAnsi" w:cs="Calibri"/>
        </w:rPr>
        <w:t>that 85.21% of “A” graded HOLC areas in cit</w:t>
      </w:r>
      <w:r w:rsidR="002B11FB">
        <w:rPr>
          <w:rFonts w:asciiTheme="minorHAnsi" w:hAnsiTheme="minorHAnsi" w:cs="Calibri"/>
        </w:rPr>
        <w:t>i</w:t>
      </w:r>
      <w:r w:rsidR="00743AFA">
        <w:rPr>
          <w:rFonts w:asciiTheme="minorHAnsi" w:hAnsiTheme="minorHAnsi" w:cs="Calibri"/>
        </w:rPr>
        <w:t>es had the highest percentage</w:t>
      </w:r>
      <w:r w:rsidR="002B11FB">
        <w:rPr>
          <w:rFonts w:asciiTheme="minorHAnsi" w:hAnsiTheme="minorHAnsi" w:cs="Calibri"/>
        </w:rPr>
        <w:t>s</w:t>
      </w:r>
      <w:r w:rsidR="00743AFA">
        <w:rPr>
          <w:rFonts w:asciiTheme="minorHAnsi" w:hAnsiTheme="minorHAnsi" w:cs="Calibri"/>
        </w:rPr>
        <w:t xml:space="preserve"> of tree canopy</w:t>
      </w:r>
      <w:r w:rsidR="002B11FB">
        <w:rPr>
          <w:rFonts w:asciiTheme="minorHAnsi" w:hAnsiTheme="minorHAnsi" w:cs="Calibri"/>
        </w:rPr>
        <w:t xml:space="preserve"> cover,</w:t>
      </w:r>
      <w:r w:rsidR="00743AFA">
        <w:rPr>
          <w:rFonts w:asciiTheme="minorHAnsi" w:hAnsiTheme="minorHAnsi" w:cs="Calibri"/>
        </w:rPr>
        <w:t xml:space="preserve"> while 72.17% of “D” graded HOLC areas in cities throughout the U.S. had the lowest percentage</w:t>
      </w:r>
      <w:r w:rsidR="002B11FB">
        <w:rPr>
          <w:rFonts w:asciiTheme="minorHAnsi" w:hAnsiTheme="minorHAnsi" w:cs="Calibri"/>
        </w:rPr>
        <w:t>s</w:t>
      </w:r>
      <w:r w:rsidR="00743AFA">
        <w:rPr>
          <w:rFonts w:asciiTheme="minorHAnsi" w:hAnsiTheme="minorHAnsi" w:cs="Calibri"/>
        </w:rPr>
        <w:t xml:space="preserve"> of tree canopy</w:t>
      </w:r>
      <w:r w:rsidR="002B11FB">
        <w:rPr>
          <w:rFonts w:asciiTheme="minorHAnsi" w:hAnsiTheme="minorHAnsi" w:cs="Calibri"/>
        </w:rPr>
        <w:t xml:space="preserve"> cover</w:t>
      </w:r>
      <w:r w:rsidR="00743AFA">
        <w:rPr>
          <w:rFonts w:asciiTheme="minorHAnsi" w:hAnsiTheme="minorHAnsi" w:cs="Calibri"/>
        </w:rPr>
        <w:t>.</w:t>
      </w:r>
      <w:r w:rsidR="006A5DC2">
        <w:rPr>
          <w:rFonts w:asciiTheme="minorHAnsi" w:hAnsiTheme="minorHAnsi" w:cs="Calibri"/>
        </w:rPr>
        <w:t xml:space="preserve"> </w:t>
      </w:r>
      <w:r w:rsidR="00A86641">
        <w:rPr>
          <w:rFonts w:asciiTheme="minorHAnsi" w:hAnsiTheme="minorHAnsi" w:cs="Calibri"/>
        </w:rPr>
        <w:t>These d</w:t>
      </w:r>
      <w:r w:rsidR="006A5DC2">
        <w:rPr>
          <w:rFonts w:asciiTheme="minorHAnsi" w:hAnsiTheme="minorHAnsi" w:cs="Calibri"/>
        </w:rPr>
        <w:t>ifferences in neighborhood tree cover distributions can have broader impacts that even further</w:t>
      </w:r>
      <w:r w:rsidR="00A86641">
        <w:rPr>
          <w:rFonts w:asciiTheme="minorHAnsi" w:hAnsiTheme="minorHAnsi" w:cs="Calibri"/>
        </w:rPr>
        <w:t xml:space="preserve"> increase </w:t>
      </w:r>
      <w:r w:rsidR="00FC706A">
        <w:rPr>
          <w:rFonts w:asciiTheme="minorHAnsi" w:hAnsiTheme="minorHAnsi" w:cs="Calibri"/>
        </w:rPr>
        <w:t>environmental</w:t>
      </w:r>
      <w:r w:rsidR="00A86641">
        <w:rPr>
          <w:rFonts w:asciiTheme="minorHAnsi" w:hAnsiTheme="minorHAnsi" w:cs="Calibri"/>
        </w:rPr>
        <w:t xml:space="preserve"> disparities between communities. For instance, in </w:t>
      </w:r>
      <w:r w:rsidR="002B11FB">
        <w:rPr>
          <w:rFonts w:asciiTheme="minorHAnsi" w:hAnsiTheme="minorHAnsi" w:cs="Calibri"/>
        </w:rPr>
        <w:t>Hoffman et al. (202</w:t>
      </w:r>
      <w:r w:rsidR="00A86641">
        <w:rPr>
          <w:rFonts w:asciiTheme="minorHAnsi" w:hAnsiTheme="minorHAnsi" w:cs="Calibri"/>
        </w:rPr>
        <w:t>0</w:t>
      </w:r>
      <w:r w:rsidR="002B11FB">
        <w:rPr>
          <w:rFonts w:asciiTheme="minorHAnsi" w:hAnsiTheme="minorHAnsi" w:cs="Calibri"/>
        </w:rPr>
        <w:t>)</w:t>
      </w:r>
      <w:r w:rsidR="00A86641">
        <w:rPr>
          <w:rFonts w:asciiTheme="minorHAnsi" w:hAnsiTheme="minorHAnsi" w:cs="Calibri"/>
        </w:rPr>
        <w:t>, they</w:t>
      </w:r>
      <w:r w:rsidRPr="0039377C">
        <w:rPr>
          <w:rFonts w:asciiTheme="minorHAnsi" w:hAnsiTheme="minorHAnsi" w:cs="Calibri"/>
        </w:rPr>
        <w:t xml:space="preserve"> found that of the 108 cities examined, 94% </w:t>
      </w:r>
      <w:r w:rsidR="00A86641">
        <w:rPr>
          <w:rFonts w:asciiTheme="minorHAnsi" w:hAnsiTheme="minorHAnsi" w:cs="Calibri"/>
        </w:rPr>
        <w:t xml:space="preserve">of the cities </w:t>
      </w:r>
      <w:r w:rsidRPr="0039377C">
        <w:rPr>
          <w:rFonts w:asciiTheme="minorHAnsi" w:hAnsiTheme="minorHAnsi" w:cs="Calibri"/>
        </w:rPr>
        <w:t xml:space="preserve">had elevated </w:t>
      </w:r>
      <w:r w:rsidR="002B11FB" w:rsidRPr="0039377C">
        <w:rPr>
          <w:rFonts w:asciiTheme="minorHAnsi" w:hAnsiTheme="minorHAnsi" w:cs="Calibri"/>
        </w:rPr>
        <w:t>land surface</w:t>
      </w:r>
      <w:r w:rsidRPr="0039377C">
        <w:rPr>
          <w:rFonts w:asciiTheme="minorHAnsi" w:hAnsiTheme="minorHAnsi" w:cs="Calibri"/>
        </w:rPr>
        <w:t xml:space="preserve"> temperatures in formally redlined neighborhoods compared to non-redlined neighborhoods by an average of 2.6</w:t>
      </w:r>
      <w:r w:rsidRPr="0039377C">
        <w:rPr>
          <w:rFonts w:asciiTheme="minorHAnsi" w:hAnsiTheme="minorHAnsi"/>
        </w:rPr>
        <w:t>°C</w:t>
      </w:r>
      <w:r w:rsidR="002B11FB">
        <w:rPr>
          <w:rFonts w:asciiTheme="minorHAnsi" w:hAnsiTheme="minorHAnsi"/>
        </w:rPr>
        <w:t>.</w:t>
      </w:r>
      <w:r w:rsidR="00030C13">
        <w:rPr>
          <w:rFonts w:asciiTheme="minorHAnsi" w:hAnsiTheme="minorHAnsi"/>
        </w:rPr>
        <w:t xml:space="preserve"> Nearly 100 years later, </w:t>
      </w:r>
      <w:r w:rsidR="00B76644">
        <w:rPr>
          <w:rFonts w:asciiTheme="minorHAnsi" w:hAnsiTheme="minorHAnsi"/>
        </w:rPr>
        <w:t>these racist decisions in neighborhood value assessments still have in impact on the quality of those neighborhoods today.</w:t>
      </w:r>
    </w:p>
    <w:p w14:paraId="1320CA84" w14:textId="59C9618D" w:rsidR="00E1344D" w:rsidRPr="00F72C86" w:rsidRDefault="00030C13" w:rsidP="00F72C86">
      <w:pPr>
        <w:spacing w:line="360" w:lineRule="auto"/>
        <w:ind w:firstLine="720"/>
        <w:rPr>
          <w:rFonts w:asciiTheme="minorHAnsi" w:hAnsiTheme="minorHAnsi" w:cs="Calibri"/>
        </w:rPr>
      </w:pPr>
      <w:r>
        <w:rPr>
          <w:rFonts w:asciiTheme="minorHAnsi" w:hAnsiTheme="minorHAnsi" w:cs="Calibri"/>
          <w:color w:val="000000" w:themeColor="text1"/>
        </w:rPr>
        <w:t>R</w:t>
      </w:r>
      <w:r w:rsidR="004457D2">
        <w:rPr>
          <w:rFonts w:asciiTheme="minorHAnsi" w:hAnsiTheme="minorHAnsi" w:cs="Calibri"/>
          <w:color w:val="000000" w:themeColor="text1"/>
        </w:rPr>
        <w:t xml:space="preserve">esearch </w:t>
      </w:r>
      <w:r>
        <w:rPr>
          <w:rFonts w:asciiTheme="minorHAnsi" w:hAnsiTheme="minorHAnsi" w:cs="Calibri"/>
          <w:color w:val="000000" w:themeColor="text1"/>
        </w:rPr>
        <w:t xml:space="preserve">examining modern urban planning decisions </w:t>
      </w:r>
      <w:r w:rsidR="004457D2">
        <w:rPr>
          <w:rFonts w:asciiTheme="minorHAnsi" w:hAnsiTheme="minorHAnsi" w:cs="Calibri"/>
          <w:color w:val="000000" w:themeColor="text1"/>
        </w:rPr>
        <w:t xml:space="preserve">has </w:t>
      </w:r>
      <w:r>
        <w:rPr>
          <w:rFonts w:asciiTheme="minorHAnsi" w:hAnsiTheme="minorHAnsi" w:cs="Calibri"/>
          <w:color w:val="000000" w:themeColor="text1"/>
        </w:rPr>
        <w:t>also shown how UGS</w:t>
      </w:r>
      <w:r w:rsidR="00F251A7" w:rsidRPr="004457D2">
        <w:rPr>
          <w:rFonts w:asciiTheme="minorHAnsi" w:hAnsiTheme="minorHAnsi" w:cs="Calibri"/>
          <w:color w:val="000000" w:themeColor="text1"/>
        </w:rPr>
        <w:t xml:space="preserve"> development </w:t>
      </w:r>
      <w:r>
        <w:rPr>
          <w:rFonts w:asciiTheme="minorHAnsi" w:hAnsiTheme="minorHAnsi" w:cs="Calibri"/>
          <w:color w:val="000000" w:themeColor="text1"/>
        </w:rPr>
        <w:t>i</w:t>
      </w:r>
      <w:r w:rsidR="00B76644">
        <w:rPr>
          <w:rFonts w:asciiTheme="minorHAnsi" w:hAnsiTheme="minorHAnsi" w:cs="Calibri"/>
          <w:color w:val="000000" w:themeColor="text1"/>
        </w:rPr>
        <w:t>s</w:t>
      </w:r>
      <w:r>
        <w:rPr>
          <w:rFonts w:asciiTheme="minorHAnsi" w:hAnsiTheme="minorHAnsi" w:cs="Calibri"/>
          <w:color w:val="000000" w:themeColor="text1"/>
        </w:rPr>
        <w:t xml:space="preserve"> favored</w:t>
      </w:r>
      <w:r w:rsidR="00F251A7" w:rsidRPr="004457D2">
        <w:rPr>
          <w:rFonts w:asciiTheme="minorHAnsi" w:hAnsiTheme="minorHAnsi" w:cs="Calibri"/>
          <w:color w:val="000000" w:themeColor="text1"/>
        </w:rPr>
        <w:t xml:space="preserve"> </w:t>
      </w:r>
      <w:r w:rsidR="0009105E">
        <w:rPr>
          <w:rFonts w:asciiTheme="minorHAnsi" w:hAnsiTheme="minorHAnsi" w:cs="Calibri"/>
          <w:color w:val="000000" w:themeColor="text1"/>
        </w:rPr>
        <w:t>in</w:t>
      </w:r>
      <w:r>
        <w:rPr>
          <w:rFonts w:asciiTheme="minorHAnsi" w:hAnsiTheme="minorHAnsi" w:cs="Calibri"/>
          <w:color w:val="000000" w:themeColor="text1"/>
        </w:rPr>
        <w:t xml:space="preserve"> </w:t>
      </w:r>
      <w:r w:rsidR="00F251A7" w:rsidRPr="004457D2">
        <w:rPr>
          <w:rFonts w:asciiTheme="minorHAnsi" w:hAnsiTheme="minorHAnsi" w:cs="Calibri"/>
          <w:color w:val="000000" w:themeColor="text1"/>
        </w:rPr>
        <w:t>wealthier</w:t>
      </w:r>
      <w:r>
        <w:rPr>
          <w:rFonts w:asciiTheme="minorHAnsi" w:hAnsiTheme="minorHAnsi" w:cs="Calibri"/>
          <w:color w:val="000000" w:themeColor="text1"/>
        </w:rPr>
        <w:t xml:space="preserve"> and </w:t>
      </w:r>
      <w:r w:rsidR="00E1344D">
        <w:rPr>
          <w:rFonts w:asciiTheme="minorHAnsi" w:hAnsiTheme="minorHAnsi" w:cs="Calibri"/>
          <w:color w:val="000000" w:themeColor="text1"/>
        </w:rPr>
        <w:t>w</w:t>
      </w:r>
      <w:r>
        <w:rPr>
          <w:rFonts w:asciiTheme="minorHAnsi" w:hAnsiTheme="minorHAnsi" w:cs="Calibri"/>
          <w:color w:val="000000" w:themeColor="text1"/>
        </w:rPr>
        <w:t>hiter</w:t>
      </w:r>
      <w:r w:rsidR="00F251A7" w:rsidRPr="004457D2">
        <w:rPr>
          <w:rFonts w:asciiTheme="minorHAnsi" w:hAnsiTheme="minorHAnsi" w:cs="Calibri"/>
          <w:color w:val="000000" w:themeColor="text1"/>
        </w:rPr>
        <w:t xml:space="preserve"> areas</w:t>
      </w:r>
      <w:r>
        <w:rPr>
          <w:rFonts w:asciiTheme="minorHAnsi" w:hAnsiTheme="minorHAnsi" w:cs="Calibri"/>
          <w:color w:val="000000" w:themeColor="text1"/>
        </w:rPr>
        <w:t>. I</w:t>
      </w:r>
      <w:r w:rsidR="00A86641">
        <w:rPr>
          <w:rFonts w:asciiTheme="minorHAnsi" w:hAnsiTheme="minorHAnsi" w:cs="Calibri"/>
          <w:color w:val="000000" w:themeColor="text1"/>
        </w:rPr>
        <w:t xml:space="preserve">n a study that examined out-migration of Anglo, </w:t>
      </w:r>
      <w:r w:rsidR="00F32D56">
        <w:rPr>
          <w:rFonts w:asciiTheme="minorHAnsi" w:hAnsiTheme="minorHAnsi" w:cs="Calibri"/>
          <w:color w:val="000000" w:themeColor="text1"/>
        </w:rPr>
        <w:t>B</w:t>
      </w:r>
      <w:r w:rsidR="00A86641">
        <w:rPr>
          <w:rFonts w:asciiTheme="minorHAnsi" w:hAnsiTheme="minorHAnsi" w:cs="Calibri"/>
          <w:color w:val="000000" w:themeColor="text1"/>
        </w:rPr>
        <w:t>lack, and Hispanic populations</w:t>
      </w:r>
      <w:r w:rsidR="0009105E">
        <w:rPr>
          <w:rFonts w:asciiTheme="minorHAnsi" w:hAnsiTheme="minorHAnsi" w:cs="Calibri"/>
          <w:color w:val="000000" w:themeColor="text1"/>
        </w:rPr>
        <w:t xml:space="preserve"> in U.S. cities</w:t>
      </w:r>
      <w:r w:rsidR="00A86641">
        <w:rPr>
          <w:rFonts w:asciiTheme="minorHAnsi" w:hAnsiTheme="minorHAnsi" w:cs="Calibri"/>
          <w:color w:val="000000" w:themeColor="text1"/>
        </w:rPr>
        <w:t xml:space="preserve">, Anglos had a higher likelihood </w:t>
      </w:r>
      <w:r w:rsidR="004B4DF9">
        <w:rPr>
          <w:rFonts w:asciiTheme="minorHAnsi" w:hAnsiTheme="minorHAnsi" w:cs="Calibri"/>
          <w:color w:val="000000" w:themeColor="text1"/>
        </w:rPr>
        <w:t>of moving out of the neighborhood if their neighbors were of minority populations (Pais, et al. 2008).</w:t>
      </w:r>
      <w:r w:rsidR="00F251A7" w:rsidRPr="004457D2">
        <w:rPr>
          <w:rFonts w:asciiTheme="minorHAnsi" w:hAnsiTheme="minorHAnsi" w:cs="Calibri"/>
          <w:color w:val="000000" w:themeColor="text1"/>
        </w:rPr>
        <w:t xml:space="preserve"> </w:t>
      </w:r>
      <w:r w:rsidR="00D80A4A">
        <w:rPr>
          <w:rFonts w:asciiTheme="minorHAnsi" w:hAnsiTheme="minorHAnsi" w:cs="Calibri"/>
          <w:color w:val="000000" w:themeColor="text1"/>
        </w:rPr>
        <w:t>This</w:t>
      </w:r>
      <w:r w:rsidR="004457D2">
        <w:rPr>
          <w:rFonts w:asciiTheme="minorHAnsi" w:hAnsiTheme="minorHAnsi" w:cs="Calibri"/>
          <w:color w:val="000000" w:themeColor="text1"/>
        </w:rPr>
        <w:t xml:space="preserve"> phenomenon </w:t>
      </w:r>
      <w:r w:rsidR="00D80A4A">
        <w:rPr>
          <w:rFonts w:asciiTheme="minorHAnsi" w:hAnsiTheme="minorHAnsi" w:cs="Calibri"/>
          <w:color w:val="000000" w:themeColor="text1"/>
        </w:rPr>
        <w:t xml:space="preserve">is </w:t>
      </w:r>
      <w:r w:rsidR="004457D2">
        <w:rPr>
          <w:rFonts w:asciiTheme="minorHAnsi" w:hAnsiTheme="minorHAnsi" w:cs="Calibri"/>
          <w:color w:val="000000" w:themeColor="text1"/>
        </w:rPr>
        <w:t>known as</w:t>
      </w:r>
      <w:r w:rsidR="00F251A7" w:rsidRPr="004457D2">
        <w:rPr>
          <w:rFonts w:asciiTheme="minorHAnsi" w:hAnsiTheme="minorHAnsi" w:cs="Calibri"/>
          <w:color w:val="000000" w:themeColor="text1"/>
        </w:rPr>
        <w:t xml:space="preserve"> “</w:t>
      </w:r>
      <w:r w:rsidR="00923604">
        <w:rPr>
          <w:rFonts w:asciiTheme="minorHAnsi" w:hAnsiTheme="minorHAnsi" w:cs="Calibri"/>
          <w:color w:val="000000" w:themeColor="text1"/>
        </w:rPr>
        <w:t>W</w:t>
      </w:r>
      <w:r w:rsidR="00F251A7" w:rsidRPr="004457D2">
        <w:rPr>
          <w:rFonts w:asciiTheme="minorHAnsi" w:hAnsiTheme="minorHAnsi" w:cs="Calibri"/>
          <w:color w:val="000000" w:themeColor="text1"/>
        </w:rPr>
        <w:t>hite flight”</w:t>
      </w:r>
      <w:r w:rsidR="00D80A4A">
        <w:rPr>
          <w:rFonts w:asciiTheme="minorHAnsi" w:hAnsiTheme="minorHAnsi" w:cs="Calibri"/>
          <w:color w:val="000000" w:themeColor="text1"/>
        </w:rPr>
        <w:t>,</w:t>
      </w:r>
      <w:r w:rsidR="00F251A7" w:rsidRPr="004457D2">
        <w:rPr>
          <w:rFonts w:asciiTheme="minorHAnsi" w:hAnsiTheme="minorHAnsi" w:cs="Calibri"/>
          <w:color w:val="000000" w:themeColor="text1"/>
        </w:rPr>
        <w:t xml:space="preserve"> </w:t>
      </w:r>
      <w:r w:rsidR="00F8085C">
        <w:rPr>
          <w:rFonts w:asciiTheme="minorHAnsi" w:hAnsiTheme="minorHAnsi" w:cs="Calibri"/>
          <w:color w:val="000000" w:themeColor="text1"/>
        </w:rPr>
        <w:t xml:space="preserve">which is </w:t>
      </w:r>
      <w:r w:rsidR="00F251A7" w:rsidRPr="004457D2">
        <w:rPr>
          <w:rFonts w:asciiTheme="minorHAnsi" w:hAnsiTheme="minorHAnsi" w:cs="Calibri"/>
          <w:color w:val="000000" w:themeColor="text1"/>
        </w:rPr>
        <w:t xml:space="preserve">where </w:t>
      </w:r>
      <w:r w:rsidR="00923604">
        <w:rPr>
          <w:rFonts w:asciiTheme="minorHAnsi" w:hAnsiTheme="minorHAnsi" w:cs="Calibri"/>
          <w:color w:val="000000" w:themeColor="text1"/>
        </w:rPr>
        <w:t>W</w:t>
      </w:r>
      <w:r w:rsidR="00F251A7" w:rsidRPr="004457D2">
        <w:rPr>
          <w:rFonts w:asciiTheme="minorHAnsi" w:hAnsiTheme="minorHAnsi" w:cs="Calibri"/>
          <w:color w:val="000000" w:themeColor="text1"/>
        </w:rPr>
        <w:t>hite families le</w:t>
      </w:r>
      <w:r w:rsidR="00FD0C81">
        <w:rPr>
          <w:rFonts w:asciiTheme="minorHAnsi" w:hAnsiTheme="minorHAnsi" w:cs="Calibri"/>
          <w:color w:val="000000" w:themeColor="text1"/>
        </w:rPr>
        <w:t>ave</w:t>
      </w:r>
      <w:r w:rsidR="00F251A7" w:rsidRPr="004457D2">
        <w:rPr>
          <w:rFonts w:asciiTheme="minorHAnsi" w:hAnsiTheme="minorHAnsi" w:cs="Calibri"/>
          <w:color w:val="000000" w:themeColor="text1"/>
        </w:rPr>
        <w:t xml:space="preserve"> the densely populated </w:t>
      </w:r>
      <w:r w:rsidR="00FD0C81">
        <w:rPr>
          <w:rFonts w:asciiTheme="minorHAnsi" w:hAnsiTheme="minorHAnsi" w:cs="Calibri"/>
          <w:color w:val="000000" w:themeColor="text1"/>
        </w:rPr>
        <w:t xml:space="preserve">parts of </w:t>
      </w:r>
      <w:r w:rsidR="00F251A7" w:rsidRPr="004457D2">
        <w:rPr>
          <w:rFonts w:asciiTheme="minorHAnsi" w:hAnsiTheme="minorHAnsi" w:cs="Calibri"/>
          <w:color w:val="000000" w:themeColor="text1"/>
        </w:rPr>
        <w:t xml:space="preserve">cities to settle into newly developed </w:t>
      </w:r>
      <w:r w:rsidR="00FD0C81">
        <w:rPr>
          <w:rFonts w:asciiTheme="minorHAnsi" w:hAnsiTheme="minorHAnsi" w:cs="Calibri"/>
          <w:color w:val="000000" w:themeColor="text1"/>
        </w:rPr>
        <w:t xml:space="preserve">and spacious </w:t>
      </w:r>
      <w:r w:rsidR="00F251A7" w:rsidRPr="004457D2">
        <w:rPr>
          <w:rFonts w:asciiTheme="minorHAnsi" w:hAnsiTheme="minorHAnsi" w:cs="Calibri"/>
          <w:color w:val="000000" w:themeColor="text1"/>
        </w:rPr>
        <w:t>suburbs</w:t>
      </w:r>
      <w:r w:rsidR="006400D8">
        <w:rPr>
          <w:rFonts w:asciiTheme="minorHAnsi" w:hAnsiTheme="minorHAnsi" w:cs="Calibri"/>
          <w:color w:val="000000" w:themeColor="text1"/>
        </w:rPr>
        <w:t xml:space="preserve"> or city peripheries</w:t>
      </w:r>
      <w:r w:rsidR="00F251A7" w:rsidRPr="004457D2">
        <w:rPr>
          <w:rFonts w:asciiTheme="minorHAnsi" w:hAnsiTheme="minorHAnsi" w:cs="Calibri"/>
          <w:color w:val="000000" w:themeColor="text1"/>
        </w:rPr>
        <w:t xml:space="preserve"> (</w:t>
      </w:r>
      <w:r w:rsidR="004457D2">
        <w:rPr>
          <w:rFonts w:asciiTheme="minorHAnsi" w:hAnsiTheme="minorHAnsi" w:cs="Calibri"/>
          <w:color w:val="000000" w:themeColor="text1"/>
        </w:rPr>
        <w:t>Pais et al., 2008</w:t>
      </w:r>
      <w:r w:rsidR="00F251A7" w:rsidRPr="004457D2">
        <w:rPr>
          <w:rFonts w:asciiTheme="minorHAnsi" w:hAnsiTheme="minorHAnsi" w:cs="Calibri"/>
          <w:color w:val="000000" w:themeColor="text1"/>
        </w:rPr>
        <w:t xml:space="preserve">). As a result, </w:t>
      </w:r>
      <w:r w:rsidR="00EC586F" w:rsidRPr="004457D2">
        <w:rPr>
          <w:rFonts w:asciiTheme="minorHAnsi" w:hAnsiTheme="minorHAnsi" w:cs="Calibri"/>
          <w:color w:val="000000" w:themeColor="text1"/>
        </w:rPr>
        <w:t xml:space="preserve">lower income </w:t>
      </w:r>
      <w:r w:rsidR="00EC586F">
        <w:rPr>
          <w:rFonts w:asciiTheme="minorHAnsi" w:hAnsiTheme="minorHAnsi" w:cs="Calibri"/>
          <w:color w:val="000000" w:themeColor="text1"/>
        </w:rPr>
        <w:t>f</w:t>
      </w:r>
      <w:r w:rsidR="00F251A7" w:rsidRPr="004457D2">
        <w:rPr>
          <w:rFonts w:asciiTheme="minorHAnsi" w:hAnsiTheme="minorHAnsi" w:cs="Calibri"/>
          <w:color w:val="000000" w:themeColor="text1"/>
        </w:rPr>
        <w:t xml:space="preserve">amilies of color move into the old </w:t>
      </w:r>
      <w:r w:rsidR="006400D8">
        <w:rPr>
          <w:rFonts w:asciiTheme="minorHAnsi" w:hAnsiTheme="minorHAnsi" w:cs="Calibri"/>
          <w:color w:val="000000" w:themeColor="text1"/>
        </w:rPr>
        <w:t xml:space="preserve">and denser </w:t>
      </w:r>
      <w:r w:rsidR="00F251A7" w:rsidRPr="004457D2">
        <w:rPr>
          <w:rFonts w:asciiTheme="minorHAnsi" w:hAnsiTheme="minorHAnsi" w:cs="Calibri"/>
          <w:color w:val="000000" w:themeColor="text1"/>
        </w:rPr>
        <w:t xml:space="preserve">core of cites and </w:t>
      </w:r>
      <w:r w:rsidR="00D80A4A" w:rsidRPr="004457D2">
        <w:rPr>
          <w:rFonts w:asciiTheme="minorHAnsi" w:hAnsiTheme="minorHAnsi" w:cs="Calibri"/>
          <w:color w:val="000000" w:themeColor="text1"/>
        </w:rPr>
        <w:t>inherit</w:t>
      </w:r>
      <w:r w:rsidR="00F251A7" w:rsidRPr="004457D2">
        <w:rPr>
          <w:rFonts w:asciiTheme="minorHAnsi" w:hAnsiTheme="minorHAnsi" w:cs="Calibri"/>
          <w:color w:val="000000" w:themeColor="text1"/>
        </w:rPr>
        <w:t xml:space="preserve"> their older and smaller parks, while </w:t>
      </w:r>
      <w:r w:rsidR="00923604">
        <w:rPr>
          <w:rFonts w:asciiTheme="minorHAnsi" w:hAnsiTheme="minorHAnsi" w:cs="Calibri"/>
          <w:color w:val="000000" w:themeColor="text1"/>
        </w:rPr>
        <w:t>W</w:t>
      </w:r>
      <w:r w:rsidR="00F251A7" w:rsidRPr="004457D2">
        <w:rPr>
          <w:rFonts w:asciiTheme="minorHAnsi" w:hAnsiTheme="minorHAnsi" w:cs="Calibri"/>
          <w:color w:val="000000" w:themeColor="text1"/>
        </w:rPr>
        <w:t>hite and wealthier families relocate to the newly developed suburbs and peripheries of cities which ha</w:t>
      </w:r>
      <w:r w:rsidR="00D80A4A">
        <w:rPr>
          <w:rFonts w:asciiTheme="minorHAnsi" w:hAnsiTheme="minorHAnsi" w:cs="Calibri"/>
          <w:color w:val="000000" w:themeColor="text1"/>
        </w:rPr>
        <w:t>s</w:t>
      </w:r>
      <w:r w:rsidR="00F251A7" w:rsidRPr="004457D2">
        <w:rPr>
          <w:rFonts w:asciiTheme="minorHAnsi" w:hAnsiTheme="minorHAnsi" w:cs="Calibri"/>
          <w:color w:val="000000" w:themeColor="text1"/>
        </w:rPr>
        <w:t xml:space="preserve"> ample green space available for development (Boone et al. 2009). </w:t>
      </w:r>
    </w:p>
    <w:p w14:paraId="2F4A7F5A" w14:textId="36C4E560" w:rsidR="00F251A7" w:rsidRDefault="006F7705" w:rsidP="002049ED">
      <w:pPr>
        <w:spacing w:line="360" w:lineRule="auto"/>
        <w:ind w:firstLine="720"/>
        <w:rPr>
          <w:rFonts w:asciiTheme="minorHAnsi" w:hAnsiTheme="minorHAnsi" w:cs="Calibri"/>
          <w:color w:val="000000" w:themeColor="text1"/>
        </w:rPr>
      </w:pPr>
      <w:r>
        <w:rPr>
          <w:rFonts w:asciiTheme="minorHAnsi" w:hAnsiTheme="minorHAnsi" w:cs="Calibri"/>
          <w:color w:val="000000" w:themeColor="text1"/>
        </w:rPr>
        <w:t>Conversely,</w:t>
      </w:r>
      <w:r w:rsidR="00F251A7" w:rsidRPr="004457D2">
        <w:rPr>
          <w:rFonts w:asciiTheme="minorHAnsi" w:hAnsiTheme="minorHAnsi" w:cs="Calibri"/>
          <w:color w:val="000000" w:themeColor="text1"/>
        </w:rPr>
        <w:t xml:space="preserve"> </w:t>
      </w:r>
      <w:r>
        <w:rPr>
          <w:rFonts w:asciiTheme="minorHAnsi" w:hAnsiTheme="minorHAnsi" w:cs="Calibri"/>
          <w:color w:val="000000" w:themeColor="text1"/>
        </w:rPr>
        <w:t xml:space="preserve">examining </w:t>
      </w:r>
      <w:r w:rsidR="00F251A7" w:rsidRPr="004457D2">
        <w:rPr>
          <w:rFonts w:asciiTheme="minorHAnsi" w:hAnsiTheme="minorHAnsi" w:cs="Calibri"/>
          <w:color w:val="000000" w:themeColor="text1"/>
        </w:rPr>
        <w:t xml:space="preserve">attempts to redevelop </w:t>
      </w:r>
      <w:r>
        <w:rPr>
          <w:rFonts w:asciiTheme="minorHAnsi" w:hAnsiTheme="minorHAnsi" w:cs="Calibri"/>
          <w:color w:val="000000" w:themeColor="text1"/>
        </w:rPr>
        <w:t>UGS</w:t>
      </w:r>
      <w:r w:rsidR="00F251A7" w:rsidRPr="004457D2">
        <w:rPr>
          <w:rFonts w:asciiTheme="minorHAnsi" w:hAnsiTheme="minorHAnsi" w:cs="Calibri"/>
          <w:color w:val="000000" w:themeColor="text1"/>
        </w:rPr>
        <w:t xml:space="preserve"> in inner parts of the cit</w:t>
      </w:r>
      <w:r w:rsidR="00EC586F">
        <w:rPr>
          <w:rFonts w:asciiTheme="minorHAnsi" w:hAnsiTheme="minorHAnsi" w:cs="Calibri"/>
          <w:color w:val="000000" w:themeColor="text1"/>
        </w:rPr>
        <w:t>ies</w:t>
      </w:r>
      <w:r>
        <w:rPr>
          <w:rFonts w:asciiTheme="minorHAnsi" w:hAnsiTheme="minorHAnsi" w:cs="Calibri"/>
          <w:color w:val="000000" w:themeColor="text1"/>
        </w:rPr>
        <w:t>,</w:t>
      </w:r>
      <w:r w:rsidR="00F251A7" w:rsidRPr="004457D2">
        <w:rPr>
          <w:rFonts w:asciiTheme="minorHAnsi" w:hAnsiTheme="minorHAnsi" w:cs="Calibri"/>
          <w:color w:val="000000" w:themeColor="text1"/>
        </w:rPr>
        <w:t xml:space="preserve"> </w:t>
      </w:r>
      <w:r w:rsidR="00D80A4A">
        <w:rPr>
          <w:rFonts w:asciiTheme="minorHAnsi" w:hAnsiTheme="minorHAnsi" w:cs="Calibri"/>
          <w:color w:val="000000" w:themeColor="text1"/>
        </w:rPr>
        <w:t>r</w:t>
      </w:r>
      <w:r w:rsidR="002376DA">
        <w:rPr>
          <w:rFonts w:asciiTheme="minorHAnsi" w:hAnsiTheme="minorHAnsi" w:cs="Calibri"/>
          <w:color w:val="000000" w:themeColor="text1"/>
        </w:rPr>
        <w:t>esearch has shown</w:t>
      </w:r>
      <w:r w:rsidR="00F251A7" w:rsidRPr="004457D2">
        <w:rPr>
          <w:rFonts w:asciiTheme="minorHAnsi" w:hAnsiTheme="minorHAnsi" w:cs="Calibri"/>
          <w:color w:val="000000" w:themeColor="text1"/>
        </w:rPr>
        <w:t xml:space="preserve"> how these projects may lead to “environmental </w:t>
      </w:r>
      <w:r w:rsidR="002049ED" w:rsidRPr="004457D2">
        <w:rPr>
          <w:rFonts w:asciiTheme="minorHAnsi" w:hAnsiTheme="minorHAnsi" w:cs="Calibri"/>
          <w:color w:val="000000" w:themeColor="text1"/>
        </w:rPr>
        <w:t>gentrification”</w:t>
      </w:r>
      <w:r w:rsidR="00D80A4A">
        <w:rPr>
          <w:rFonts w:asciiTheme="minorHAnsi" w:hAnsiTheme="minorHAnsi" w:cs="Calibri"/>
          <w:color w:val="000000" w:themeColor="text1"/>
        </w:rPr>
        <w:t>. Environmental gentrification</w:t>
      </w:r>
      <w:r w:rsidR="002376DA">
        <w:rPr>
          <w:rFonts w:asciiTheme="minorHAnsi" w:hAnsiTheme="minorHAnsi" w:cs="Calibri"/>
          <w:color w:val="000000" w:themeColor="text1"/>
        </w:rPr>
        <w:t xml:space="preserve"> is the </w:t>
      </w:r>
      <w:r w:rsidR="002049ED">
        <w:rPr>
          <w:rFonts w:asciiTheme="minorHAnsi" w:hAnsiTheme="minorHAnsi" w:cs="Calibri"/>
          <w:color w:val="000000" w:themeColor="text1"/>
        </w:rPr>
        <w:t>process of environmental amenity provision (</w:t>
      </w:r>
      <w:proofErr w:type="gramStart"/>
      <w:r w:rsidR="002376DA">
        <w:rPr>
          <w:rFonts w:asciiTheme="minorHAnsi" w:hAnsiTheme="minorHAnsi" w:cs="Calibri"/>
          <w:color w:val="000000" w:themeColor="text1"/>
        </w:rPr>
        <w:t>i.e.</w:t>
      </w:r>
      <w:proofErr w:type="gramEnd"/>
      <w:r w:rsidR="002376DA">
        <w:rPr>
          <w:rFonts w:asciiTheme="minorHAnsi" w:hAnsiTheme="minorHAnsi" w:cs="Calibri"/>
          <w:color w:val="000000" w:themeColor="text1"/>
        </w:rPr>
        <w:t xml:space="preserve"> </w:t>
      </w:r>
      <w:r w:rsidR="002049ED">
        <w:rPr>
          <w:rFonts w:asciiTheme="minorHAnsi" w:hAnsiTheme="minorHAnsi" w:cs="Calibri"/>
          <w:color w:val="000000" w:themeColor="text1"/>
        </w:rPr>
        <w:t xml:space="preserve">new park space or pollution clean-up) which </w:t>
      </w:r>
      <w:r w:rsidR="002376DA">
        <w:rPr>
          <w:rFonts w:asciiTheme="minorHAnsi" w:hAnsiTheme="minorHAnsi" w:cs="Calibri"/>
          <w:color w:val="000000" w:themeColor="text1"/>
        </w:rPr>
        <w:t xml:space="preserve">in turn </w:t>
      </w:r>
      <w:r w:rsidR="002049ED">
        <w:rPr>
          <w:rFonts w:asciiTheme="minorHAnsi" w:hAnsiTheme="minorHAnsi" w:cs="Calibri"/>
          <w:color w:val="000000" w:themeColor="text1"/>
        </w:rPr>
        <w:t>increases an area’s given property value, thus attracting wealthier residents and displacing lower-income residents (Checker ,2011). For instance</w:t>
      </w:r>
      <w:r w:rsidR="00F251A7" w:rsidRPr="004457D2">
        <w:rPr>
          <w:rFonts w:asciiTheme="minorHAnsi" w:hAnsiTheme="minorHAnsi" w:cs="Calibri"/>
          <w:color w:val="000000" w:themeColor="text1"/>
        </w:rPr>
        <w:t xml:space="preserve">, in a study examining the development of Atlanta’s Beltline sustainable urban redevelopment project (A 22-mile loop of trails, parks, and a streetcar connecting 45 neighborhoods), housing values within one-half mile of the development increased by 17.9- 26.6% over a 4-year period (Immergluck and Balan, 2018). </w:t>
      </w:r>
      <w:r w:rsidR="006A62D7">
        <w:rPr>
          <w:rFonts w:asciiTheme="minorHAnsi" w:hAnsiTheme="minorHAnsi" w:cs="Calibri"/>
          <w:color w:val="000000" w:themeColor="text1"/>
        </w:rPr>
        <w:t xml:space="preserve">Likewise, in another study that </w:t>
      </w:r>
      <w:r w:rsidR="006A62D7">
        <w:rPr>
          <w:rFonts w:asciiTheme="minorHAnsi" w:hAnsiTheme="minorHAnsi" w:cs="Calibri"/>
          <w:color w:val="000000" w:themeColor="text1"/>
        </w:rPr>
        <w:lastRenderedPageBreak/>
        <w:t>examined the development of NYC’s Highline project (</w:t>
      </w:r>
      <w:r w:rsidR="00E1344D">
        <w:rPr>
          <w:rFonts w:asciiTheme="minorHAnsi" w:hAnsiTheme="minorHAnsi" w:cs="Calibri"/>
          <w:color w:val="000000" w:themeColor="text1"/>
        </w:rPr>
        <w:t>a</w:t>
      </w:r>
      <w:r w:rsidR="006A62D7">
        <w:rPr>
          <w:rFonts w:asciiTheme="minorHAnsi" w:hAnsiTheme="minorHAnsi" w:cs="Calibri"/>
          <w:color w:val="000000" w:themeColor="text1"/>
        </w:rPr>
        <w:t xml:space="preserve">n abandoned </w:t>
      </w:r>
      <w:r w:rsidR="00D80A4A">
        <w:rPr>
          <w:rFonts w:asciiTheme="minorHAnsi" w:hAnsiTheme="minorHAnsi" w:cs="Calibri"/>
          <w:color w:val="000000" w:themeColor="text1"/>
        </w:rPr>
        <w:t xml:space="preserve">railway </w:t>
      </w:r>
      <w:r w:rsidR="006A62D7">
        <w:rPr>
          <w:rFonts w:asciiTheme="minorHAnsi" w:hAnsiTheme="minorHAnsi" w:cs="Calibri"/>
          <w:color w:val="000000" w:themeColor="text1"/>
        </w:rPr>
        <w:t>turned into an elevated walkway and green space), housing values along the project increased by as much as 35.5% (</w:t>
      </w:r>
      <w:r w:rsidR="006A62D7" w:rsidRPr="004F43CA">
        <w:rPr>
          <w:rFonts w:asciiTheme="minorHAnsi" w:hAnsiTheme="minorHAnsi" w:cs="Calibri"/>
          <w:color w:val="000000" w:themeColor="text1"/>
        </w:rPr>
        <w:t>Black and Richards, 2020</w:t>
      </w:r>
      <w:r w:rsidR="006A62D7">
        <w:rPr>
          <w:rFonts w:asciiTheme="minorHAnsi" w:hAnsiTheme="minorHAnsi" w:cs="Calibri"/>
          <w:color w:val="000000" w:themeColor="text1"/>
        </w:rPr>
        <w:t>).</w:t>
      </w:r>
      <w:r w:rsidR="006A62D7" w:rsidRPr="004457D2">
        <w:rPr>
          <w:rFonts w:asciiTheme="minorHAnsi" w:hAnsiTheme="minorHAnsi" w:cs="Calibri"/>
          <w:color w:val="000000" w:themeColor="text1"/>
        </w:rPr>
        <w:t xml:space="preserve"> </w:t>
      </w:r>
      <w:r w:rsidR="006A62D7">
        <w:rPr>
          <w:rFonts w:asciiTheme="minorHAnsi" w:hAnsiTheme="minorHAnsi" w:cs="Calibri"/>
          <w:color w:val="000000" w:themeColor="text1"/>
        </w:rPr>
        <w:t>In</w:t>
      </w:r>
      <w:r w:rsidR="00F251A7" w:rsidRPr="004457D2">
        <w:rPr>
          <w:rFonts w:asciiTheme="minorHAnsi" w:hAnsiTheme="minorHAnsi" w:cs="Calibri"/>
          <w:color w:val="000000" w:themeColor="text1"/>
        </w:rPr>
        <w:t xml:space="preserve"> turn, th</w:t>
      </w:r>
      <w:r w:rsidR="006A62D7">
        <w:rPr>
          <w:rFonts w:asciiTheme="minorHAnsi" w:hAnsiTheme="minorHAnsi" w:cs="Calibri"/>
          <w:color w:val="000000" w:themeColor="text1"/>
        </w:rPr>
        <w:t>ese drastic</w:t>
      </w:r>
      <w:r w:rsidR="00F251A7" w:rsidRPr="004457D2">
        <w:rPr>
          <w:rFonts w:asciiTheme="minorHAnsi" w:hAnsiTheme="minorHAnsi" w:cs="Calibri"/>
          <w:color w:val="000000" w:themeColor="text1"/>
        </w:rPr>
        <w:t xml:space="preserve"> </w:t>
      </w:r>
      <w:r w:rsidR="006A62D7">
        <w:rPr>
          <w:rFonts w:asciiTheme="minorHAnsi" w:hAnsiTheme="minorHAnsi" w:cs="Calibri"/>
          <w:color w:val="000000" w:themeColor="text1"/>
        </w:rPr>
        <w:t>upswings</w:t>
      </w:r>
      <w:r w:rsidR="00F251A7" w:rsidRPr="004457D2">
        <w:rPr>
          <w:rFonts w:asciiTheme="minorHAnsi" w:hAnsiTheme="minorHAnsi" w:cs="Calibri"/>
          <w:color w:val="000000" w:themeColor="text1"/>
        </w:rPr>
        <w:t xml:space="preserve"> in housing cost</w:t>
      </w:r>
      <w:r>
        <w:rPr>
          <w:rFonts w:asciiTheme="minorHAnsi" w:hAnsiTheme="minorHAnsi" w:cs="Calibri"/>
          <w:color w:val="000000" w:themeColor="text1"/>
        </w:rPr>
        <w:t xml:space="preserve">s </w:t>
      </w:r>
      <w:r w:rsidR="00F251A7" w:rsidRPr="004457D2">
        <w:rPr>
          <w:rFonts w:asciiTheme="minorHAnsi" w:hAnsiTheme="minorHAnsi" w:cs="Calibri"/>
          <w:color w:val="000000" w:themeColor="text1"/>
        </w:rPr>
        <w:t>may decrease the opportunity for lower-income and minority populations to experience the environmental amenities produced by the project</w:t>
      </w:r>
      <w:r w:rsidR="004F43CA">
        <w:rPr>
          <w:rFonts w:asciiTheme="minorHAnsi" w:hAnsiTheme="minorHAnsi" w:cs="Calibri"/>
          <w:color w:val="000000" w:themeColor="text1"/>
        </w:rPr>
        <w:t>,</w:t>
      </w:r>
      <w:r w:rsidR="00F251A7" w:rsidRPr="004457D2">
        <w:rPr>
          <w:rFonts w:asciiTheme="minorHAnsi" w:hAnsiTheme="minorHAnsi" w:cs="Calibri"/>
          <w:color w:val="000000" w:themeColor="text1"/>
        </w:rPr>
        <w:t xml:space="preserve"> as they would not be able to afford to live in the area (Immergluck and Balan, 2018</w:t>
      </w:r>
      <w:r w:rsidR="006A62D7">
        <w:rPr>
          <w:rFonts w:asciiTheme="minorHAnsi" w:hAnsiTheme="minorHAnsi" w:cs="Calibri"/>
          <w:color w:val="000000" w:themeColor="text1"/>
        </w:rPr>
        <w:t>; Black and Richards, 2020</w:t>
      </w:r>
      <w:r w:rsidR="00F251A7" w:rsidRPr="004457D2">
        <w:rPr>
          <w:rFonts w:asciiTheme="minorHAnsi" w:hAnsiTheme="minorHAnsi" w:cs="Calibri"/>
          <w:color w:val="000000" w:themeColor="text1"/>
        </w:rPr>
        <w:t>). With greater financial means (</w:t>
      </w:r>
      <w:proofErr w:type="gramStart"/>
      <w:r w:rsidR="0008760F">
        <w:rPr>
          <w:rFonts w:asciiTheme="minorHAnsi" w:hAnsiTheme="minorHAnsi" w:cs="Calibri"/>
          <w:color w:val="000000" w:themeColor="text1"/>
        </w:rPr>
        <w:t>i.e.</w:t>
      </w:r>
      <w:proofErr w:type="gramEnd"/>
      <w:r w:rsidR="0008760F">
        <w:rPr>
          <w:rFonts w:asciiTheme="minorHAnsi" w:hAnsiTheme="minorHAnsi" w:cs="Calibri"/>
          <w:color w:val="000000" w:themeColor="text1"/>
        </w:rPr>
        <w:t xml:space="preserve"> </w:t>
      </w:r>
      <w:r w:rsidR="00F251A7" w:rsidRPr="004457D2">
        <w:rPr>
          <w:rFonts w:asciiTheme="minorHAnsi" w:hAnsiTheme="minorHAnsi" w:cs="Calibri"/>
          <w:color w:val="000000" w:themeColor="text1"/>
        </w:rPr>
        <w:t xml:space="preserve">property taxes) and green space availability, city planners tend to invest more greatly in the development of UGS in city peripheries; while </w:t>
      </w:r>
      <w:r>
        <w:rPr>
          <w:rFonts w:asciiTheme="minorHAnsi" w:hAnsiTheme="minorHAnsi" w:cs="Calibri"/>
          <w:color w:val="000000" w:themeColor="text1"/>
        </w:rPr>
        <w:t>UGS</w:t>
      </w:r>
      <w:r w:rsidR="00F251A7" w:rsidRPr="004457D2">
        <w:rPr>
          <w:rFonts w:asciiTheme="minorHAnsi" w:hAnsiTheme="minorHAnsi" w:cs="Calibri"/>
          <w:color w:val="000000" w:themeColor="text1"/>
        </w:rPr>
        <w:t xml:space="preserve"> development within cit</w:t>
      </w:r>
      <w:r w:rsidR="00923604">
        <w:rPr>
          <w:rFonts w:asciiTheme="minorHAnsi" w:hAnsiTheme="minorHAnsi" w:cs="Calibri"/>
          <w:color w:val="000000" w:themeColor="text1"/>
        </w:rPr>
        <w:t>y centers</w:t>
      </w:r>
      <w:r w:rsidR="00F251A7" w:rsidRPr="004457D2">
        <w:rPr>
          <w:rFonts w:asciiTheme="minorHAnsi" w:hAnsiTheme="minorHAnsi" w:cs="Calibri"/>
          <w:color w:val="000000" w:themeColor="text1"/>
        </w:rPr>
        <w:t xml:space="preserve"> </w:t>
      </w:r>
      <w:r w:rsidR="00923604">
        <w:rPr>
          <w:rFonts w:asciiTheme="minorHAnsi" w:hAnsiTheme="minorHAnsi" w:cs="Calibri"/>
          <w:color w:val="000000" w:themeColor="text1"/>
        </w:rPr>
        <w:t>are</w:t>
      </w:r>
      <w:r w:rsidR="00F251A7" w:rsidRPr="004457D2">
        <w:rPr>
          <w:rFonts w:asciiTheme="minorHAnsi" w:hAnsiTheme="minorHAnsi" w:cs="Calibri"/>
          <w:color w:val="000000" w:themeColor="text1"/>
        </w:rPr>
        <w:t xml:space="preserve"> often only accessible to those that can afford </w:t>
      </w:r>
      <w:r w:rsidR="00923604">
        <w:rPr>
          <w:rFonts w:asciiTheme="minorHAnsi" w:hAnsiTheme="minorHAnsi" w:cs="Calibri"/>
          <w:color w:val="000000" w:themeColor="text1"/>
        </w:rPr>
        <w:t>to live there</w:t>
      </w:r>
      <w:r w:rsidR="00F251A7" w:rsidRPr="004457D2">
        <w:rPr>
          <w:rFonts w:asciiTheme="minorHAnsi" w:hAnsiTheme="minorHAnsi" w:cs="Calibri"/>
          <w:color w:val="000000" w:themeColor="text1"/>
        </w:rPr>
        <w:t xml:space="preserve">. </w:t>
      </w:r>
    </w:p>
    <w:p w14:paraId="38F6C7A2" w14:textId="77777777" w:rsidR="00E1344D" w:rsidRDefault="00E1344D" w:rsidP="00030C13">
      <w:pPr>
        <w:spacing w:line="360" w:lineRule="auto"/>
        <w:rPr>
          <w:rFonts w:asciiTheme="minorHAnsi" w:hAnsiTheme="minorHAnsi" w:cs="Calibri"/>
        </w:rPr>
      </w:pPr>
    </w:p>
    <w:p w14:paraId="6BF9E370" w14:textId="3AA076B5" w:rsidR="00030C13" w:rsidRPr="00EA50AC" w:rsidRDefault="00030C13" w:rsidP="00030C13">
      <w:pPr>
        <w:spacing w:line="360" w:lineRule="auto"/>
        <w:rPr>
          <w:rFonts w:asciiTheme="minorHAnsi" w:hAnsiTheme="minorHAnsi"/>
          <w:i/>
        </w:rPr>
      </w:pPr>
      <w:r>
        <w:rPr>
          <w:rFonts w:asciiTheme="minorHAnsi" w:hAnsiTheme="minorHAnsi"/>
          <w:i/>
        </w:rPr>
        <w:t>1.1.</w:t>
      </w:r>
      <w:r w:rsidR="000B4438">
        <w:rPr>
          <w:rFonts w:asciiTheme="minorHAnsi" w:hAnsiTheme="minorHAnsi"/>
          <w:i/>
        </w:rPr>
        <w:t>5</w:t>
      </w:r>
      <w:r>
        <w:rPr>
          <w:rFonts w:asciiTheme="minorHAnsi" w:hAnsiTheme="minorHAnsi"/>
          <w:i/>
        </w:rPr>
        <w:tab/>
      </w:r>
      <w:r w:rsidRPr="00EA50AC">
        <w:rPr>
          <w:rFonts w:asciiTheme="minorHAnsi" w:hAnsiTheme="minorHAnsi"/>
          <w:i/>
        </w:rPr>
        <w:t xml:space="preserve"> </w:t>
      </w:r>
      <w:r w:rsidR="00B76644">
        <w:rPr>
          <w:rFonts w:asciiTheme="minorHAnsi" w:hAnsiTheme="minorHAnsi"/>
          <w:i/>
        </w:rPr>
        <w:t>Reasons for Studying the Urban Social-Ecological Environment in Rochester, NY</w:t>
      </w:r>
      <w:r>
        <w:rPr>
          <w:rFonts w:asciiTheme="minorHAnsi" w:hAnsiTheme="minorHAnsi"/>
          <w:i/>
        </w:rPr>
        <w:t xml:space="preserve"> </w:t>
      </w:r>
      <w:r w:rsidRPr="00EA50AC">
        <w:rPr>
          <w:rFonts w:asciiTheme="minorHAnsi" w:hAnsiTheme="minorHAnsi"/>
          <w:i/>
        </w:rPr>
        <w:t xml:space="preserve"> </w:t>
      </w:r>
    </w:p>
    <w:p w14:paraId="4BD7E13D" w14:textId="260DF43D" w:rsidR="00D66FCB" w:rsidRDefault="00030C13" w:rsidP="00030C13">
      <w:pPr>
        <w:spacing w:line="360" w:lineRule="auto"/>
        <w:ind w:firstLine="720"/>
        <w:rPr>
          <w:rFonts w:asciiTheme="minorHAnsi" w:hAnsiTheme="minorHAnsi"/>
        </w:rPr>
      </w:pPr>
      <w:r w:rsidRPr="00EA50AC">
        <w:rPr>
          <w:rFonts w:asciiTheme="minorHAnsi" w:hAnsiTheme="minorHAnsi"/>
        </w:rPr>
        <w:t xml:space="preserve">Rochester (Fig. 1) is the </w:t>
      </w:r>
      <w:r w:rsidR="00166B4A">
        <w:rPr>
          <w:rFonts w:asciiTheme="minorHAnsi" w:hAnsiTheme="minorHAnsi"/>
        </w:rPr>
        <w:t>fourth</w:t>
      </w:r>
      <w:r w:rsidRPr="00EA50AC">
        <w:rPr>
          <w:rFonts w:asciiTheme="minorHAnsi" w:hAnsiTheme="minorHAnsi"/>
        </w:rPr>
        <w:t xml:space="preserve"> largest city in New York State</w:t>
      </w:r>
      <w:r w:rsidR="009F3405">
        <w:rPr>
          <w:rFonts w:asciiTheme="minorHAnsi" w:hAnsiTheme="minorHAnsi"/>
        </w:rPr>
        <w:t>. W</w:t>
      </w:r>
      <w:r w:rsidRPr="00EA50AC">
        <w:rPr>
          <w:rFonts w:asciiTheme="minorHAnsi" w:hAnsiTheme="minorHAnsi"/>
        </w:rPr>
        <w:t xml:space="preserve">ith a population of 207,000 people (1.08 million in the metropolitan area) </w:t>
      </w:r>
      <w:r w:rsidR="009F3405">
        <w:rPr>
          <w:rFonts w:asciiTheme="minorHAnsi" w:hAnsiTheme="minorHAnsi"/>
        </w:rPr>
        <w:t xml:space="preserve">and </w:t>
      </w:r>
      <w:r w:rsidR="009F3405" w:rsidRPr="00EA50AC">
        <w:rPr>
          <w:rFonts w:asciiTheme="minorHAnsi" w:hAnsiTheme="minorHAnsi"/>
        </w:rPr>
        <w:t xml:space="preserve">covering an area of </w:t>
      </w:r>
      <w:r w:rsidR="00093529">
        <w:rPr>
          <w:rFonts w:asciiTheme="minorHAnsi" w:hAnsiTheme="minorHAnsi"/>
        </w:rPr>
        <w:t>96</w:t>
      </w:r>
      <w:r w:rsidR="009F3405" w:rsidRPr="00EA50AC">
        <w:rPr>
          <w:rFonts w:asciiTheme="minorHAnsi" w:hAnsiTheme="minorHAnsi"/>
        </w:rPr>
        <w:t xml:space="preserve"> </w:t>
      </w:r>
      <w:r w:rsidR="00E1344D">
        <w:rPr>
          <w:rFonts w:asciiTheme="minorHAnsi" w:hAnsiTheme="minorHAnsi"/>
        </w:rPr>
        <w:t>k</w:t>
      </w:r>
      <w:r w:rsidR="009F3405" w:rsidRPr="00EA50AC">
        <w:rPr>
          <w:rFonts w:asciiTheme="minorHAnsi" w:hAnsiTheme="minorHAnsi"/>
        </w:rPr>
        <w:t>m</w:t>
      </w:r>
      <w:r w:rsidR="009F3405" w:rsidRPr="00EA50AC">
        <w:rPr>
          <w:rFonts w:asciiTheme="minorHAnsi" w:hAnsiTheme="minorHAnsi"/>
          <w:vertAlign w:val="superscript"/>
        </w:rPr>
        <w:t>2</w:t>
      </w:r>
      <w:r w:rsidR="009F3405">
        <w:rPr>
          <w:rFonts w:asciiTheme="minorHAnsi" w:hAnsiTheme="minorHAnsi"/>
        </w:rPr>
        <w:t>, it</w:t>
      </w:r>
      <w:r w:rsidR="009F3405" w:rsidRPr="00EA50AC">
        <w:rPr>
          <w:rFonts w:asciiTheme="minorHAnsi" w:hAnsiTheme="minorHAnsi"/>
          <w:vertAlign w:val="superscript"/>
        </w:rPr>
        <w:t xml:space="preserve"> </w:t>
      </w:r>
      <w:r w:rsidR="009F3405">
        <w:rPr>
          <w:rFonts w:asciiTheme="minorHAnsi" w:hAnsiTheme="minorHAnsi"/>
        </w:rPr>
        <w:t>has an</w:t>
      </w:r>
      <w:r w:rsidRPr="00EA50AC">
        <w:rPr>
          <w:rFonts w:asciiTheme="minorHAnsi" w:hAnsiTheme="minorHAnsi"/>
        </w:rPr>
        <w:t xml:space="preserve"> estimated density of </w:t>
      </w:r>
      <w:r w:rsidR="00093529">
        <w:rPr>
          <w:rFonts w:asciiTheme="minorHAnsi" w:hAnsiTheme="minorHAnsi"/>
        </w:rPr>
        <w:t>2,220</w:t>
      </w:r>
      <w:r w:rsidRPr="00EA50AC">
        <w:rPr>
          <w:rFonts w:asciiTheme="minorHAnsi" w:hAnsiTheme="minorHAnsi"/>
        </w:rPr>
        <w:t xml:space="preserve"> people per </w:t>
      </w:r>
      <w:r w:rsidR="00E1344D">
        <w:rPr>
          <w:rFonts w:asciiTheme="minorHAnsi" w:hAnsiTheme="minorHAnsi"/>
        </w:rPr>
        <w:t>k</w:t>
      </w:r>
      <w:r w:rsidRPr="00EA50AC">
        <w:rPr>
          <w:rFonts w:asciiTheme="minorHAnsi" w:hAnsiTheme="minorHAnsi"/>
        </w:rPr>
        <w:t>m</w:t>
      </w:r>
      <w:r w:rsidRPr="00EA50AC">
        <w:rPr>
          <w:rFonts w:asciiTheme="minorHAnsi" w:hAnsiTheme="minorHAnsi"/>
          <w:vertAlign w:val="superscript"/>
        </w:rPr>
        <w:t>2</w:t>
      </w:r>
      <w:r w:rsidRPr="00EA50AC">
        <w:rPr>
          <w:rFonts w:asciiTheme="minorHAnsi" w:hAnsiTheme="minorHAnsi"/>
        </w:rPr>
        <w:t xml:space="preserve"> (World Population Review, 2020). </w:t>
      </w:r>
      <w:r w:rsidR="000B4438">
        <w:rPr>
          <w:rFonts w:asciiTheme="minorHAnsi" w:hAnsiTheme="minorHAnsi"/>
        </w:rPr>
        <w:t>Today, t</w:t>
      </w:r>
      <w:r>
        <w:rPr>
          <w:rFonts w:asciiTheme="minorHAnsi" w:hAnsiTheme="minorHAnsi"/>
        </w:rPr>
        <w:t>he city</w:t>
      </w:r>
      <w:r w:rsidRPr="00EA50AC">
        <w:rPr>
          <w:rFonts w:asciiTheme="minorHAnsi" w:hAnsiTheme="minorHAnsi"/>
        </w:rPr>
        <w:t xml:space="preserve"> is an international hub for technological and medical developments as well as hosting a number of higher education institutions (DataUSA, 2020). </w:t>
      </w:r>
      <w:r>
        <w:rPr>
          <w:rFonts w:asciiTheme="minorHAnsi" w:hAnsiTheme="minorHAnsi"/>
        </w:rPr>
        <w:t>However,</w:t>
      </w:r>
      <w:r w:rsidRPr="00EA50AC">
        <w:rPr>
          <w:rFonts w:asciiTheme="minorHAnsi" w:hAnsiTheme="minorHAnsi"/>
        </w:rPr>
        <w:t xml:space="preserve"> </w:t>
      </w:r>
      <w:r w:rsidR="00D545B2">
        <w:rPr>
          <w:rFonts w:asciiTheme="minorHAnsi" w:hAnsiTheme="minorHAnsi"/>
        </w:rPr>
        <w:t>the city</w:t>
      </w:r>
      <w:r w:rsidRPr="00EA50AC">
        <w:rPr>
          <w:rFonts w:asciiTheme="minorHAnsi" w:hAnsiTheme="minorHAnsi"/>
        </w:rPr>
        <w:t xml:space="preserve"> also has an employment rate of just 55% and a median household income</w:t>
      </w:r>
      <w:r w:rsidRPr="003C6F05">
        <w:rPr>
          <w:rFonts w:asciiTheme="minorHAnsi" w:hAnsiTheme="minorHAnsi"/>
        </w:rPr>
        <w:t xml:space="preserve"> of $34,000 (US Census Bureau, 2018). </w:t>
      </w:r>
      <w:r>
        <w:rPr>
          <w:rFonts w:asciiTheme="minorHAnsi" w:hAnsiTheme="minorHAnsi"/>
        </w:rPr>
        <w:t>Rochester</w:t>
      </w:r>
      <w:r w:rsidRPr="003C6F05">
        <w:rPr>
          <w:rFonts w:asciiTheme="minorHAnsi" w:hAnsiTheme="minorHAnsi"/>
        </w:rPr>
        <w:t xml:space="preserve"> is also one of the most diverse cities in </w:t>
      </w:r>
      <w:r>
        <w:rPr>
          <w:rFonts w:asciiTheme="minorHAnsi" w:hAnsiTheme="minorHAnsi"/>
        </w:rPr>
        <w:t>New York</w:t>
      </w:r>
      <w:r w:rsidRPr="003C6F05">
        <w:rPr>
          <w:rFonts w:asciiTheme="minorHAnsi" w:hAnsiTheme="minorHAnsi"/>
        </w:rPr>
        <w:t xml:space="preserve"> </w:t>
      </w:r>
      <w:r>
        <w:rPr>
          <w:rFonts w:asciiTheme="minorHAnsi" w:hAnsiTheme="minorHAnsi"/>
        </w:rPr>
        <w:t>S</w:t>
      </w:r>
      <w:r w:rsidRPr="003C6F05">
        <w:rPr>
          <w:rFonts w:asciiTheme="minorHAnsi" w:hAnsiTheme="minorHAnsi"/>
        </w:rPr>
        <w:t xml:space="preserve">tate, with the city’s population identifying as 47% </w:t>
      </w:r>
      <w:r w:rsidR="00C93F2A">
        <w:rPr>
          <w:rFonts w:asciiTheme="minorHAnsi" w:hAnsiTheme="minorHAnsi"/>
        </w:rPr>
        <w:t>W</w:t>
      </w:r>
      <w:r w:rsidRPr="003C6F05">
        <w:rPr>
          <w:rFonts w:asciiTheme="minorHAnsi" w:hAnsiTheme="minorHAnsi"/>
        </w:rPr>
        <w:t xml:space="preserve">hite, 40% </w:t>
      </w:r>
      <w:r>
        <w:rPr>
          <w:rFonts w:asciiTheme="minorHAnsi" w:hAnsiTheme="minorHAnsi"/>
        </w:rPr>
        <w:t>B</w:t>
      </w:r>
      <w:r w:rsidRPr="003C6F05">
        <w:rPr>
          <w:rFonts w:asciiTheme="minorHAnsi" w:hAnsiTheme="minorHAnsi"/>
        </w:rPr>
        <w:t>lack, 3% Asian, 1% Native American, and 3% other (World Population Review, 2020</w:t>
      </w:r>
      <w:r>
        <w:rPr>
          <w:rFonts w:asciiTheme="minorHAnsi" w:hAnsiTheme="minorHAnsi"/>
          <w:vertAlign w:val="subscript"/>
        </w:rPr>
        <w:t>a</w:t>
      </w:r>
      <w:r w:rsidRPr="003C6F05">
        <w:rPr>
          <w:rFonts w:asciiTheme="minorHAnsi" w:hAnsiTheme="minorHAnsi"/>
        </w:rPr>
        <w:t>).</w:t>
      </w:r>
      <w:r w:rsidR="004A11FB">
        <w:rPr>
          <w:rFonts w:asciiTheme="minorHAnsi" w:hAnsiTheme="minorHAnsi"/>
        </w:rPr>
        <w:t xml:space="preserve"> </w:t>
      </w:r>
      <w:r w:rsidR="008D50B5">
        <w:rPr>
          <w:rFonts w:asciiTheme="minorHAnsi" w:hAnsiTheme="minorHAnsi"/>
        </w:rPr>
        <w:t xml:space="preserve">Due to the diversity of </w:t>
      </w:r>
      <w:r w:rsidR="00D545B2">
        <w:rPr>
          <w:rFonts w:asciiTheme="minorHAnsi" w:hAnsiTheme="minorHAnsi"/>
        </w:rPr>
        <w:t>modern-day</w:t>
      </w:r>
      <w:r w:rsidR="008D50B5">
        <w:rPr>
          <w:rFonts w:asciiTheme="minorHAnsi" w:hAnsiTheme="minorHAnsi"/>
        </w:rPr>
        <w:t xml:space="preserve"> SES, Rochester makes for an ideal location to study urban SES distribution. </w:t>
      </w:r>
    </w:p>
    <w:p w14:paraId="6C9723DD" w14:textId="150A8C3C" w:rsidR="00030C13" w:rsidRDefault="004A11FB" w:rsidP="00D82ABD">
      <w:pPr>
        <w:spacing w:line="360" w:lineRule="auto"/>
        <w:ind w:firstLine="720"/>
        <w:rPr>
          <w:rFonts w:asciiTheme="minorHAnsi" w:hAnsiTheme="minorHAnsi"/>
        </w:rPr>
      </w:pPr>
      <w:r>
        <w:rPr>
          <w:rFonts w:asciiTheme="minorHAnsi" w:hAnsiTheme="minorHAnsi"/>
        </w:rPr>
        <w:t xml:space="preserve">Aside from the diversity of modern-day </w:t>
      </w:r>
      <w:r w:rsidR="00851A45">
        <w:rPr>
          <w:rFonts w:asciiTheme="minorHAnsi" w:hAnsiTheme="minorHAnsi"/>
        </w:rPr>
        <w:t>SES</w:t>
      </w:r>
      <w:r>
        <w:rPr>
          <w:rFonts w:asciiTheme="minorHAnsi" w:hAnsiTheme="minorHAnsi"/>
        </w:rPr>
        <w:t xml:space="preserve"> in the city, Rochester</w:t>
      </w:r>
      <w:r w:rsidR="00D66FCB">
        <w:rPr>
          <w:rFonts w:asciiTheme="minorHAnsi" w:hAnsiTheme="minorHAnsi"/>
        </w:rPr>
        <w:t xml:space="preserve"> makes for an ideal location to analyze the distribution of SES due to its historical legacies </w:t>
      </w:r>
      <w:r w:rsidR="008D50B5">
        <w:rPr>
          <w:rFonts w:asciiTheme="minorHAnsi" w:hAnsiTheme="minorHAnsi"/>
        </w:rPr>
        <w:t>of</w:t>
      </w:r>
      <w:r w:rsidR="00D66FCB">
        <w:rPr>
          <w:rFonts w:asciiTheme="minorHAnsi" w:hAnsiTheme="minorHAnsi"/>
        </w:rPr>
        <w:t xml:space="preserve"> segregation and inequitable city planning. </w:t>
      </w:r>
      <w:r w:rsidR="00B92AE4">
        <w:rPr>
          <w:rFonts w:asciiTheme="minorHAnsi" w:hAnsiTheme="minorHAnsi"/>
        </w:rPr>
        <w:t>To elaborate, throughout much of the 19</w:t>
      </w:r>
      <w:r w:rsidR="00B92AE4" w:rsidRPr="00B92AE4">
        <w:rPr>
          <w:rFonts w:asciiTheme="minorHAnsi" w:hAnsiTheme="minorHAnsi"/>
          <w:vertAlign w:val="superscript"/>
        </w:rPr>
        <w:t>th</w:t>
      </w:r>
      <w:r w:rsidR="00B92AE4">
        <w:rPr>
          <w:rFonts w:asciiTheme="minorHAnsi" w:hAnsiTheme="minorHAnsi"/>
        </w:rPr>
        <w:t xml:space="preserve"> and 20</w:t>
      </w:r>
      <w:r w:rsidR="00B92AE4" w:rsidRPr="00B92AE4">
        <w:rPr>
          <w:rFonts w:asciiTheme="minorHAnsi" w:hAnsiTheme="minorHAnsi"/>
          <w:vertAlign w:val="superscript"/>
        </w:rPr>
        <w:t>th</w:t>
      </w:r>
      <w:r w:rsidR="00B92AE4">
        <w:rPr>
          <w:rFonts w:asciiTheme="minorHAnsi" w:hAnsiTheme="minorHAnsi"/>
        </w:rPr>
        <w:t xml:space="preserve"> century racial covenants were created by neighborhood associations, financial institutions</w:t>
      </w:r>
      <w:r w:rsidR="00F72C86">
        <w:rPr>
          <w:rFonts w:asciiTheme="minorHAnsi" w:hAnsiTheme="minorHAnsi"/>
        </w:rPr>
        <w:t xml:space="preserve">, </w:t>
      </w:r>
      <w:r w:rsidR="00B92AE4">
        <w:rPr>
          <w:rFonts w:asciiTheme="minorHAnsi" w:hAnsiTheme="minorHAnsi"/>
        </w:rPr>
        <w:t xml:space="preserve">and real-estate developers </w:t>
      </w:r>
      <w:r w:rsidR="00B81994">
        <w:rPr>
          <w:rFonts w:asciiTheme="minorHAnsi" w:hAnsiTheme="minorHAnsi"/>
        </w:rPr>
        <w:t>which</w:t>
      </w:r>
      <w:r w:rsidR="00B92AE4">
        <w:rPr>
          <w:rFonts w:asciiTheme="minorHAnsi" w:hAnsiTheme="minorHAnsi"/>
        </w:rPr>
        <w:t xml:space="preserve"> prevented property owners from allowing non-White residents to buy, live in, or use property in certain neighborhoods and housing developments (</w:t>
      </w:r>
      <w:r w:rsidR="00B92AE4" w:rsidRPr="004B7E65">
        <w:rPr>
          <w:rFonts w:asciiTheme="minorHAnsi" w:hAnsiTheme="minorHAnsi"/>
        </w:rPr>
        <w:t>City Roots Community Land Trust and Yale Environmental Protection Clinic, 2020</w:t>
      </w:r>
      <w:r w:rsidR="00B92AE4">
        <w:rPr>
          <w:rFonts w:asciiTheme="minorHAnsi" w:hAnsiTheme="minorHAnsi"/>
        </w:rPr>
        <w:t xml:space="preserve">). Another example </w:t>
      </w:r>
      <w:r w:rsidR="00E1344D">
        <w:rPr>
          <w:rFonts w:asciiTheme="minorHAnsi" w:hAnsiTheme="minorHAnsi"/>
        </w:rPr>
        <w:t>is</w:t>
      </w:r>
      <w:r w:rsidR="00B92AE4">
        <w:rPr>
          <w:rFonts w:asciiTheme="minorHAnsi" w:hAnsiTheme="minorHAnsi"/>
        </w:rPr>
        <w:t xml:space="preserve"> educational segregation. Even though the city of Rochester ended de jure segregation of schools in 1857, over 100 years </w:t>
      </w:r>
      <w:r w:rsidR="00D82ABD">
        <w:rPr>
          <w:rFonts w:asciiTheme="minorHAnsi" w:hAnsiTheme="minorHAnsi"/>
        </w:rPr>
        <w:t>later</w:t>
      </w:r>
      <w:r w:rsidR="00B92AE4">
        <w:rPr>
          <w:rFonts w:asciiTheme="minorHAnsi" w:hAnsiTheme="minorHAnsi"/>
        </w:rPr>
        <w:t xml:space="preserve"> student populations within the city’s schools were still heavily </w:t>
      </w:r>
      <w:r w:rsidR="00D82ABD">
        <w:rPr>
          <w:rFonts w:asciiTheme="minorHAnsi" w:hAnsiTheme="minorHAnsi"/>
        </w:rPr>
        <w:t>segregated through de facto measures (</w:t>
      </w:r>
      <w:r w:rsidR="00D82ABD" w:rsidRPr="004B7E65">
        <w:rPr>
          <w:rFonts w:asciiTheme="minorHAnsi" w:hAnsiTheme="minorHAnsi"/>
        </w:rPr>
        <w:t>Grier and Grier, 1958</w:t>
      </w:r>
      <w:r w:rsidR="004B7E65">
        <w:rPr>
          <w:rFonts w:asciiTheme="minorHAnsi" w:hAnsiTheme="minorHAnsi"/>
        </w:rPr>
        <w:t xml:space="preserve">; </w:t>
      </w:r>
      <w:r w:rsidR="004B7E65">
        <w:rPr>
          <w:rFonts w:asciiTheme="minorHAnsi" w:hAnsiTheme="minorHAnsi"/>
        </w:rPr>
        <w:lastRenderedPageBreak/>
        <w:t>Murphy, 2018</w:t>
      </w:r>
      <w:r w:rsidR="00D82ABD">
        <w:rPr>
          <w:rFonts w:asciiTheme="minorHAnsi" w:hAnsiTheme="minorHAnsi"/>
        </w:rPr>
        <w:t xml:space="preserve">). Lastly, </w:t>
      </w:r>
      <w:r w:rsidR="00B81994">
        <w:rPr>
          <w:rFonts w:asciiTheme="minorHAnsi" w:hAnsiTheme="minorHAnsi"/>
        </w:rPr>
        <w:t>in</w:t>
      </w:r>
      <w:r>
        <w:rPr>
          <w:rFonts w:asciiTheme="minorHAnsi" w:hAnsiTheme="minorHAnsi"/>
        </w:rPr>
        <w:t xml:space="preserve"> 1939, along with other cities throughout the U.S., </w:t>
      </w:r>
      <w:r w:rsidR="000B4438">
        <w:rPr>
          <w:rFonts w:asciiTheme="minorHAnsi" w:hAnsiTheme="minorHAnsi"/>
        </w:rPr>
        <w:t>t</w:t>
      </w:r>
      <w:r>
        <w:rPr>
          <w:rFonts w:asciiTheme="minorHAnsi" w:hAnsiTheme="minorHAnsi"/>
        </w:rPr>
        <w:t xml:space="preserve">he HOLC assessed </w:t>
      </w:r>
      <w:r w:rsidR="00B81994">
        <w:rPr>
          <w:rFonts w:asciiTheme="minorHAnsi" w:hAnsiTheme="minorHAnsi"/>
        </w:rPr>
        <w:t xml:space="preserve">the </w:t>
      </w:r>
      <w:r>
        <w:rPr>
          <w:rFonts w:asciiTheme="minorHAnsi" w:hAnsiTheme="minorHAnsi"/>
        </w:rPr>
        <w:t xml:space="preserve">value </w:t>
      </w:r>
      <w:r w:rsidR="00B81994">
        <w:rPr>
          <w:rFonts w:asciiTheme="minorHAnsi" w:hAnsiTheme="minorHAnsi"/>
        </w:rPr>
        <w:t>of neighborhoods in</w:t>
      </w:r>
      <w:r>
        <w:rPr>
          <w:rFonts w:asciiTheme="minorHAnsi" w:hAnsiTheme="minorHAnsi"/>
        </w:rPr>
        <w:t xml:space="preserve"> Rochester. Neighborhoods historically known for their minority populations such as Corn Hill and Markview Heights were assessed as “Hazardous” neighborhoods, while more affluent and </w:t>
      </w:r>
      <w:r w:rsidR="00C93F2A">
        <w:rPr>
          <w:rFonts w:asciiTheme="minorHAnsi" w:hAnsiTheme="minorHAnsi"/>
        </w:rPr>
        <w:t>W</w:t>
      </w:r>
      <w:r>
        <w:rPr>
          <w:rFonts w:asciiTheme="minorHAnsi" w:hAnsiTheme="minorHAnsi"/>
        </w:rPr>
        <w:t xml:space="preserve">hite neighborhoods such as Charlotte and Highland Park were assessed as being more desirable to live in (Nelson, et al. 2019). </w:t>
      </w:r>
      <w:r w:rsidR="00030C13">
        <w:rPr>
          <w:rFonts w:asciiTheme="minorHAnsi" w:hAnsiTheme="minorHAnsi"/>
        </w:rPr>
        <w:t xml:space="preserve">Due to the </w:t>
      </w:r>
      <w:r w:rsidR="00851A45">
        <w:rPr>
          <w:rFonts w:asciiTheme="minorHAnsi" w:hAnsiTheme="minorHAnsi"/>
        </w:rPr>
        <w:t xml:space="preserve">history of </w:t>
      </w:r>
      <w:r w:rsidR="00D82ABD">
        <w:rPr>
          <w:rFonts w:asciiTheme="minorHAnsi" w:hAnsiTheme="minorHAnsi"/>
        </w:rPr>
        <w:t xml:space="preserve">segregation and </w:t>
      </w:r>
      <w:r w:rsidR="00851A45">
        <w:rPr>
          <w:rFonts w:asciiTheme="minorHAnsi" w:hAnsiTheme="minorHAnsi"/>
        </w:rPr>
        <w:t>inequitable city planning</w:t>
      </w:r>
      <w:r w:rsidR="00030C13">
        <w:rPr>
          <w:rFonts w:asciiTheme="minorHAnsi" w:hAnsiTheme="minorHAnsi"/>
        </w:rPr>
        <w:t xml:space="preserve">, Rochester makes for a suitable location </w:t>
      </w:r>
      <w:r w:rsidR="00B81994">
        <w:rPr>
          <w:rFonts w:asciiTheme="minorHAnsi" w:hAnsiTheme="minorHAnsi"/>
        </w:rPr>
        <w:t>to</w:t>
      </w:r>
      <w:r w:rsidR="00030C13">
        <w:rPr>
          <w:rFonts w:asciiTheme="minorHAnsi" w:hAnsiTheme="minorHAnsi"/>
        </w:rPr>
        <w:t xml:space="preserve"> </w:t>
      </w:r>
      <w:r w:rsidR="00B81994">
        <w:rPr>
          <w:rFonts w:asciiTheme="minorHAnsi" w:hAnsiTheme="minorHAnsi"/>
        </w:rPr>
        <w:t>examine</w:t>
      </w:r>
      <w:r w:rsidR="00030C13">
        <w:rPr>
          <w:rFonts w:asciiTheme="minorHAnsi" w:hAnsiTheme="minorHAnsi"/>
        </w:rPr>
        <w:t xml:space="preserve"> </w:t>
      </w:r>
      <w:r w:rsidR="00B81994">
        <w:rPr>
          <w:rFonts w:asciiTheme="minorHAnsi" w:hAnsiTheme="minorHAnsi"/>
        </w:rPr>
        <w:t>how the</w:t>
      </w:r>
      <w:r w:rsidR="008D50B5">
        <w:rPr>
          <w:rFonts w:asciiTheme="minorHAnsi" w:hAnsiTheme="minorHAnsi"/>
        </w:rPr>
        <w:t xml:space="preserve">se actions </w:t>
      </w:r>
      <w:r w:rsidR="00B81994">
        <w:rPr>
          <w:rFonts w:asciiTheme="minorHAnsi" w:hAnsiTheme="minorHAnsi"/>
        </w:rPr>
        <w:t>may</w:t>
      </w:r>
      <w:r w:rsidR="007D72DE">
        <w:rPr>
          <w:rFonts w:asciiTheme="minorHAnsi" w:hAnsiTheme="minorHAnsi"/>
        </w:rPr>
        <w:t xml:space="preserve"> affect</w:t>
      </w:r>
      <w:r w:rsidR="00B81994">
        <w:rPr>
          <w:rFonts w:asciiTheme="minorHAnsi" w:hAnsiTheme="minorHAnsi"/>
        </w:rPr>
        <w:t xml:space="preserve"> the </w:t>
      </w:r>
      <w:r w:rsidR="0009105E">
        <w:rPr>
          <w:rFonts w:asciiTheme="minorHAnsi" w:hAnsiTheme="minorHAnsi"/>
        </w:rPr>
        <w:t>distribution of SES</w:t>
      </w:r>
      <w:r w:rsidR="00B81994">
        <w:rPr>
          <w:rFonts w:asciiTheme="minorHAnsi" w:hAnsiTheme="minorHAnsi"/>
        </w:rPr>
        <w:t xml:space="preserve"> today</w:t>
      </w:r>
      <w:r w:rsidR="00030C13">
        <w:rPr>
          <w:rFonts w:asciiTheme="minorHAnsi" w:hAnsiTheme="minorHAnsi"/>
        </w:rPr>
        <w:t xml:space="preserve">. </w:t>
      </w:r>
    </w:p>
    <w:p w14:paraId="4D1D2EB2" w14:textId="784F1198" w:rsidR="007F228B" w:rsidRDefault="00030C13" w:rsidP="00B1721C">
      <w:pPr>
        <w:spacing w:line="360" w:lineRule="auto"/>
        <w:ind w:firstLine="720"/>
        <w:rPr>
          <w:rFonts w:asciiTheme="minorHAnsi" w:hAnsiTheme="minorHAnsi"/>
        </w:rPr>
      </w:pPr>
      <w:r>
        <w:rPr>
          <w:rFonts w:asciiTheme="minorHAnsi" w:hAnsiTheme="minorHAnsi"/>
        </w:rPr>
        <w:t xml:space="preserve">Historically, the city of Rochester has gone by many different nicknames. These names include “America’s Boom Town”, “Flour City”, and “Flower City” (McKelvey, 1962). The name Flower City comes from Rochester’s history as </w:t>
      </w:r>
      <w:r w:rsidR="00B1721C">
        <w:rPr>
          <w:rFonts w:asciiTheme="minorHAnsi" w:hAnsiTheme="minorHAnsi"/>
        </w:rPr>
        <w:t xml:space="preserve">being </w:t>
      </w:r>
      <w:r>
        <w:rPr>
          <w:rFonts w:asciiTheme="minorHAnsi" w:hAnsiTheme="minorHAnsi"/>
        </w:rPr>
        <w:t>one of the premier nursery centers in</w:t>
      </w:r>
      <w:r w:rsidR="00A72448">
        <w:rPr>
          <w:rFonts w:asciiTheme="minorHAnsi" w:hAnsiTheme="minorHAnsi"/>
        </w:rPr>
        <w:t xml:space="preserve"> America</w:t>
      </w:r>
      <w:r w:rsidR="00B1721C">
        <w:rPr>
          <w:rFonts w:asciiTheme="minorHAnsi" w:hAnsiTheme="minorHAnsi"/>
        </w:rPr>
        <w:t xml:space="preserve"> at the time</w:t>
      </w:r>
      <w:r w:rsidR="00A72448">
        <w:rPr>
          <w:rFonts w:asciiTheme="minorHAnsi" w:hAnsiTheme="minorHAnsi"/>
        </w:rPr>
        <w:t xml:space="preserve"> and being home to </w:t>
      </w:r>
      <w:r w:rsidR="00B1721C">
        <w:rPr>
          <w:rFonts w:asciiTheme="minorHAnsi" w:hAnsiTheme="minorHAnsi"/>
        </w:rPr>
        <w:t xml:space="preserve">one of </w:t>
      </w:r>
      <w:r w:rsidR="00A72448">
        <w:rPr>
          <w:rFonts w:asciiTheme="minorHAnsi" w:hAnsiTheme="minorHAnsi"/>
        </w:rPr>
        <w:t>just a handful of park systems designed by Fredrick Law Olmsted</w:t>
      </w:r>
      <w:r w:rsidR="00B1721C">
        <w:rPr>
          <w:rFonts w:asciiTheme="minorHAnsi" w:hAnsiTheme="minorHAnsi"/>
        </w:rPr>
        <w:t xml:space="preserve"> (</w:t>
      </w:r>
      <w:r w:rsidR="00B1721C">
        <w:rPr>
          <w:rFonts w:asciiTheme="minorHAnsi" w:hAnsiTheme="minorHAnsi"/>
          <w:iCs/>
        </w:rPr>
        <w:t xml:space="preserve">McKelvey, 1962; </w:t>
      </w:r>
      <w:r w:rsidR="00B1721C">
        <w:rPr>
          <w:rFonts w:asciiTheme="minorHAnsi" w:hAnsiTheme="minorHAnsi"/>
        </w:rPr>
        <w:t>Wickes and O’Connell, 1988)</w:t>
      </w:r>
      <w:r w:rsidR="00A72448">
        <w:rPr>
          <w:rFonts w:asciiTheme="minorHAnsi" w:hAnsiTheme="minorHAnsi"/>
        </w:rPr>
        <w:t xml:space="preserve">. </w:t>
      </w:r>
      <w:r>
        <w:rPr>
          <w:rFonts w:asciiTheme="minorHAnsi" w:hAnsiTheme="minorHAnsi"/>
        </w:rPr>
        <w:t xml:space="preserve">Today, the city </w:t>
      </w:r>
      <w:r w:rsidR="00D545B2">
        <w:rPr>
          <w:rFonts w:asciiTheme="minorHAnsi" w:hAnsiTheme="minorHAnsi"/>
        </w:rPr>
        <w:t>can</w:t>
      </w:r>
      <w:r>
        <w:rPr>
          <w:rFonts w:asciiTheme="minorHAnsi" w:hAnsiTheme="minorHAnsi"/>
        </w:rPr>
        <w:t xml:space="preserve"> maintain the distinction as the Flower City t</w:t>
      </w:r>
      <w:r w:rsidRPr="003C6F05">
        <w:rPr>
          <w:rFonts w:asciiTheme="minorHAnsi" w:hAnsiTheme="minorHAnsi"/>
        </w:rPr>
        <w:t>hanks to its 97 parks, playgrounds, and recreation centers covering the city in 13 Km</w:t>
      </w:r>
      <w:r w:rsidRPr="003C6F05">
        <w:rPr>
          <w:rFonts w:asciiTheme="minorHAnsi" w:hAnsiTheme="minorHAnsi"/>
          <w:vertAlign w:val="superscript"/>
        </w:rPr>
        <w:t xml:space="preserve">2 </w:t>
      </w:r>
      <w:r w:rsidRPr="003C6F05">
        <w:rPr>
          <w:rFonts w:asciiTheme="minorHAnsi" w:hAnsiTheme="minorHAnsi"/>
        </w:rPr>
        <w:t xml:space="preserve">of green spaces, and the 82,000+ trees owned and maintained by the city (Monroe County GIS Department, 2020). </w:t>
      </w:r>
      <w:r w:rsidR="008E6B8D">
        <w:rPr>
          <w:rFonts w:asciiTheme="minorHAnsi" w:hAnsiTheme="minorHAnsi"/>
        </w:rPr>
        <w:t>The city’s history with</w:t>
      </w:r>
      <w:r w:rsidR="001A21C7">
        <w:rPr>
          <w:rFonts w:asciiTheme="minorHAnsi" w:hAnsiTheme="minorHAnsi"/>
        </w:rPr>
        <w:t xml:space="preserve"> green space</w:t>
      </w:r>
      <w:r w:rsidR="008E6B8D">
        <w:rPr>
          <w:rFonts w:asciiTheme="minorHAnsi" w:hAnsiTheme="minorHAnsi"/>
        </w:rPr>
        <w:t>s</w:t>
      </w:r>
      <w:r w:rsidR="001A21C7">
        <w:rPr>
          <w:rFonts w:asciiTheme="minorHAnsi" w:hAnsiTheme="minorHAnsi"/>
        </w:rPr>
        <w:t xml:space="preserve"> and</w:t>
      </w:r>
      <w:r>
        <w:rPr>
          <w:rFonts w:asciiTheme="minorHAnsi" w:hAnsiTheme="minorHAnsi"/>
        </w:rPr>
        <w:t xml:space="preserve"> plethora of </w:t>
      </w:r>
      <w:r w:rsidR="001A21C7">
        <w:rPr>
          <w:rFonts w:asciiTheme="minorHAnsi" w:hAnsiTheme="minorHAnsi"/>
        </w:rPr>
        <w:t xml:space="preserve">current </w:t>
      </w:r>
      <w:r>
        <w:rPr>
          <w:rFonts w:asciiTheme="minorHAnsi" w:hAnsiTheme="minorHAnsi"/>
        </w:rPr>
        <w:t>green space</w:t>
      </w:r>
      <w:r w:rsidR="001A21C7">
        <w:rPr>
          <w:rFonts w:asciiTheme="minorHAnsi" w:hAnsiTheme="minorHAnsi"/>
        </w:rPr>
        <w:t>s</w:t>
      </w:r>
      <w:r>
        <w:rPr>
          <w:rFonts w:asciiTheme="minorHAnsi" w:hAnsiTheme="minorHAnsi"/>
        </w:rPr>
        <w:t xml:space="preserve"> makes Rochester the ideal location to examine the distributive supply of UES. </w:t>
      </w:r>
    </w:p>
    <w:p w14:paraId="5122C2B8" w14:textId="49556F4F" w:rsidR="00CD34F5" w:rsidRDefault="00CD34F5" w:rsidP="00B1721C">
      <w:pPr>
        <w:spacing w:line="360" w:lineRule="auto"/>
        <w:ind w:firstLine="720"/>
        <w:rPr>
          <w:rFonts w:asciiTheme="minorHAnsi" w:hAnsiTheme="minorHAnsi"/>
        </w:rPr>
      </w:pPr>
    </w:p>
    <w:p w14:paraId="14377B30" w14:textId="23DE98FF" w:rsidR="00CD34F5" w:rsidRDefault="00CD34F5" w:rsidP="00B1721C">
      <w:pPr>
        <w:spacing w:line="360" w:lineRule="auto"/>
        <w:ind w:firstLine="720"/>
        <w:rPr>
          <w:rFonts w:asciiTheme="minorHAnsi" w:hAnsiTheme="minorHAnsi"/>
        </w:rPr>
      </w:pPr>
    </w:p>
    <w:p w14:paraId="0312C1FB" w14:textId="01A86E0A" w:rsidR="00CD34F5" w:rsidRDefault="00CD34F5" w:rsidP="00B1721C">
      <w:pPr>
        <w:spacing w:line="360" w:lineRule="auto"/>
        <w:ind w:firstLine="720"/>
        <w:rPr>
          <w:rFonts w:asciiTheme="minorHAnsi" w:hAnsiTheme="minorHAnsi"/>
        </w:rPr>
      </w:pPr>
    </w:p>
    <w:p w14:paraId="3B20AF96" w14:textId="77777777" w:rsidR="00CD34F5" w:rsidRDefault="00CD34F5" w:rsidP="00B1721C">
      <w:pPr>
        <w:spacing w:line="360" w:lineRule="auto"/>
        <w:ind w:firstLine="720"/>
        <w:rPr>
          <w:rFonts w:asciiTheme="minorHAnsi" w:hAnsiTheme="minorHAnsi"/>
        </w:rPr>
      </w:pPr>
    </w:p>
    <w:p w14:paraId="35921D6C" w14:textId="4ABFCCCD" w:rsidR="00CD34F5" w:rsidRDefault="00CD34F5" w:rsidP="00B1721C">
      <w:pPr>
        <w:spacing w:line="360" w:lineRule="auto"/>
        <w:ind w:firstLine="720"/>
        <w:rPr>
          <w:rFonts w:asciiTheme="minorHAnsi" w:hAnsiTheme="minorHAnsi"/>
        </w:rPr>
      </w:pPr>
      <w:r>
        <w:rPr>
          <w:rFonts w:asciiTheme="minorHAnsi" w:hAnsiTheme="minorHAnsi"/>
          <w:i/>
          <w:iCs/>
          <w:noProof/>
        </w:rPr>
        <w:lastRenderedPageBreak/>
        <w:drawing>
          <wp:anchor distT="0" distB="0" distL="114300" distR="114300" simplePos="0" relativeHeight="251735040" behindDoc="0" locked="0" layoutInCell="1" allowOverlap="1" wp14:anchorId="0799C350" wp14:editId="1FCE3B34">
            <wp:simplePos x="0" y="0"/>
            <wp:positionH relativeFrom="margin">
              <wp:align>center</wp:align>
            </wp:positionH>
            <wp:positionV relativeFrom="paragraph">
              <wp:posOffset>236220</wp:posOffset>
            </wp:positionV>
            <wp:extent cx="5902325" cy="5029200"/>
            <wp:effectExtent l="12700" t="12700" r="15875" b="12700"/>
            <wp:wrapTopAndBottom/>
            <wp:docPr id="14" name="Picture 14"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ma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02325" cy="5029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BE8DA45" w14:textId="77777777" w:rsidR="00A612FB" w:rsidRDefault="00A612FB" w:rsidP="00B76644">
      <w:pPr>
        <w:rPr>
          <w:rFonts w:asciiTheme="minorHAnsi" w:hAnsiTheme="minorHAnsi"/>
          <w:i/>
          <w:iCs/>
        </w:rPr>
      </w:pPr>
    </w:p>
    <w:p w14:paraId="2C267D90" w14:textId="569D4EE7" w:rsidR="00B76644" w:rsidRPr="00CA55F4" w:rsidRDefault="00B76644" w:rsidP="00B76644">
      <w:pPr>
        <w:rPr>
          <w:rFonts w:asciiTheme="minorHAnsi" w:hAnsiTheme="minorHAnsi"/>
          <w:i/>
          <w:iCs/>
          <w:noProof/>
        </w:rPr>
      </w:pPr>
      <w:r w:rsidRPr="001E5D4B">
        <w:rPr>
          <w:rFonts w:asciiTheme="minorHAnsi" w:hAnsiTheme="minorHAnsi"/>
          <w:i/>
          <w:iCs/>
        </w:rPr>
        <w:t xml:space="preserve">Fig. 1. A map of Rochester, NY highlighting key characteristics of the city, including block groups, parks, and the Genesee River. </w:t>
      </w:r>
      <w:r w:rsidRPr="002F406A">
        <w:rPr>
          <w:rFonts w:asciiTheme="minorHAnsi" w:hAnsiTheme="minorHAnsi"/>
        </w:rPr>
        <w:t>The city is commonly divided into four different geographic quadrants and the city center.</w:t>
      </w:r>
      <w:r w:rsidR="00923604">
        <w:rPr>
          <w:rFonts w:asciiTheme="minorHAnsi" w:hAnsiTheme="minorHAnsi"/>
        </w:rPr>
        <w:t xml:space="preserve"> Looking at the distribution of public parks in the city, the largest parks </w:t>
      </w:r>
      <w:r w:rsidR="00CA55F4">
        <w:rPr>
          <w:rFonts w:asciiTheme="minorHAnsi" w:hAnsiTheme="minorHAnsi"/>
        </w:rPr>
        <w:t xml:space="preserve">(Olmsted Parks System) </w:t>
      </w:r>
      <w:r w:rsidR="00923604">
        <w:rPr>
          <w:rFonts w:asciiTheme="minorHAnsi" w:hAnsiTheme="minorHAnsi"/>
        </w:rPr>
        <w:t xml:space="preserve">surround the city periphery, while smaller parks are scattered throughout the center parts of the city. </w:t>
      </w:r>
      <w:r w:rsidRPr="002F406A">
        <w:rPr>
          <w:rFonts w:asciiTheme="minorHAnsi" w:hAnsiTheme="minorHAnsi"/>
        </w:rPr>
        <w:t xml:space="preserve"> </w:t>
      </w:r>
    </w:p>
    <w:p w14:paraId="538B81D4" w14:textId="77777777" w:rsidR="00CD34F5" w:rsidRDefault="00CD34F5" w:rsidP="000B4438">
      <w:pPr>
        <w:spacing w:line="360" w:lineRule="auto"/>
        <w:rPr>
          <w:rFonts w:asciiTheme="minorHAnsi" w:hAnsiTheme="minorHAnsi" w:cs="Calibri"/>
          <w:i/>
          <w:iCs/>
        </w:rPr>
      </w:pPr>
    </w:p>
    <w:p w14:paraId="6ED8DB06" w14:textId="77777777" w:rsidR="00CD34F5" w:rsidRDefault="00CD34F5" w:rsidP="000B4438">
      <w:pPr>
        <w:spacing w:line="360" w:lineRule="auto"/>
        <w:rPr>
          <w:rFonts w:asciiTheme="minorHAnsi" w:hAnsiTheme="minorHAnsi" w:cs="Calibri"/>
          <w:i/>
          <w:iCs/>
        </w:rPr>
      </w:pPr>
    </w:p>
    <w:p w14:paraId="022E712B" w14:textId="77777777" w:rsidR="00CD34F5" w:rsidRDefault="00CD34F5" w:rsidP="000B4438">
      <w:pPr>
        <w:spacing w:line="360" w:lineRule="auto"/>
        <w:rPr>
          <w:rFonts w:asciiTheme="minorHAnsi" w:hAnsiTheme="minorHAnsi" w:cs="Calibri"/>
          <w:i/>
          <w:iCs/>
        </w:rPr>
      </w:pPr>
    </w:p>
    <w:p w14:paraId="17BA1702" w14:textId="77777777" w:rsidR="00CD34F5" w:rsidRDefault="00CD34F5" w:rsidP="000B4438">
      <w:pPr>
        <w:spacing w:line="360" w:lineRule="auto"/>
        <w:rPr>
          <w:rFonts w:asciiTheme="minorHAnsi" w:hAnsiTheme="minorHAnsi" w:cs="Calibri"/>
          <w:i/>
          <w:iCs/>
        </w:rPr>
      </w:pPr>
    </w:p>
    <w:p w14:paraId="0C9C4C45" w14:textId="77777777" w:rsidR="00CD34F5" w:rsidRDefault="00CD34F5" w:rsidP="000B4438">
      <w:pPr>
        <w:spacing w:line="360" w:lineRule="auto"/>
        <w:rPr>
          <w:rFonts w:asciiTheme="minorHAnsi" w:hAnsiTheme="minorHAnsi" w:cs="Calibri"/>
          <w:i/>
          <w:iCs/>
        </w:rPr>
      </w:pPr>
    </w:p>
    <w:p w14:paraId="5CC474AF" w14:textId="77777777" w:rsidR="00CD34F5" w:rsidRDefault="00CD34F5" w:rsidP="000B4438">
      <w:pPr>
        <w:spacing w:line="360" w:lineRule="auto"/>
        <w:rPr>
          <w:rFonts w:asciiTheme="minorHAnsi" w:hAnsiTheme="minorHAnsi" w:cs="Calibri"/>
          <w:i/>
          <w:iCs/>
        </w:rPr>
      </w:pPr>
    </w:p>
    <w:p w14:paraId="336AD381" w14:textId="77777777" w:rsidR="00CD34F5" w:rsidRDefault="00CD34F5" w:rsidP="000B4438">
      <w:pPr>
        <w:spacing w:line="360" w:lineRule="auto"/>
        <w:rPr>
          <w:rFonts w:asciiTheme="minorHAnsi" w:hAnsiTheme="minorHAnsi" w:cs="Calibri"/>
          <w:i/>
          <w:iCs/>
        </w:rPr>
      </w:pPr>
    </w:p>
    <w:p w14:paraId="1A27C2C2" w14:textId="45C2081E" w:rsidR="000B4438" w:rsidRPr="000B4438" w:rsidRDefault="000B4438" w:rsidP="000B4438">
      <w:pPr>
        <w:spacing w:line="360" w:lineRule="auto"/>
        <w:rPr>
          <w:rFonts w:asciiTheme="minorHAnsi" w:hAnsiTheme="minorHAnsi" w:cs="Calibri"/>
          <w:i/>
          <w:iCs/>
        </w:rPr>
      </w:pPr>
      <w:r>
        <w:rPr>
          <w:rFonts w:asciiTheme="minorHAnsi" w:hAnsiTheme="minorHAnsi" w:cs="Calibri"/>
          <w:i/>
          <w:iCs/>
        </w:rPr>
        <w:lastRenderedPageBreak/>
        <w:t>1.1.6</w:t>
      </w:r>
      <w:r>
        <w:rPr>
          <w:rFonts w:asciiTheme="minorHAnsi" w:hAnsiTheme="minorHAnsi" w:cs="Calibri"/>
          <w:i/>
          <w:iCs/>
        </w:rPr>
        <w:tab/>
        <w:t xml:space="preserve">Examples of Environmental Inequality in Rochester </w:t>
      </w:r>
    </w:p>
    <w:p w14:paraId="2AD489B0" w14:textId="0EFAC904" w:rsidR="00731C5F" w:rsidRDefault="000B4438" w:rsidP="00731C5F">
      <w:pPr>
        <w:spacing w:line="360" w:lineRule="auto"/>
        <w:ind w:firstLine="720"/>
        <w:rPr>
          <w:rFonts w:asciiTheme="minorHAnsi" w:hAnsiTheme="minorHAnsi" w:cs="Calibri"/>
        </w:rPr>
      </w:pPr>
      <w:r>
        <w:rPr>
          <w:rFonts w:asciiTheme="minorHAnsi" w:hAnsiTheme="minorHAnsi" w:cs="Calibri"/>
        </w:rPr>
        <w:t xml:space="preserve">Aside from the economic and racial diversity and plethora of green spaces in Rochester, another reason why Rochester makes for an ideal location to study the associations between UES supply and SES is its history of environmental inequality. </w:t>
      </w:r>
      <w:r w:rsidR="00C47565">
        <w:rPr>
          <w:rFonts w:asciiTheme="minorHAnsi" w:hAnsiTheme="minorHAnsi" w:cs="Calibri"/>
        </w:rPr>
        <w:t xml:space="preserve">These issues </w:t>
      </w:r>
      <w:r w:rsidR="00053DCA">
        <w:rPr>
          <w:rFonts w:asciiTheme="minorHAnsi" w:hAnsiTheme="minorHAnsi" w:cs="Calibri"/>
        </w:rPr>
        <w:t xml:space="preserve">of environmental inequality </w:t>
      </w:r>
      <w:r w:rsidR="00C47565">
        <w:rPr>
          <w:rFonts w:asciiTheme="minorHAnsi" w:hAnsiTheme="minorHAnsi" w:cs="Calibri"/>
        </w:rPr>
        <w:t>are</w:t>
      </w:r>
      <w:r w:rsidR="008375B2">
        <w:rPr>
          <w:rFonts w:asciiTheme="minorHAnsi" w:hAnsiTheme="minorHAnsi" w:cs="Calibri"/>
        </w:rPr>
        <w:t xml:space="preserve"> largely </w:t>
      </w:r>
      <w:r w:rsidR="00EC586F">
        <w:rPr>
          <w:rFonts w:asciiTheme="minorHAnsi" w:hAnsiTheme="minorHAnsi" w:cs="Calibri"/>
        </w:rPr>
        <w:t>due t</w:t>
      </w:r>
      <w:r w:rsidR="008375B2">
        <w:rPr>
          <w:rFonts w:asciiTheme="minorHAnsi" w:hAnsiTheme="minorHAnsi" w:cs="Calibri"/>
        </w:rPr>
        <w:t xml:space="preserve">o the city’s </w:t>
      </w:r>
      <w:r w:rsidR="0008760F">
        <w:rPr>
          <w:rFonts w:asciiTheme="minorHAnsi" w:hAnsiTheme="minorHAnsi" w:cs="Calibri"/>
        </w:rPr>
        <w:t xml:space="preserve">historically </w:t>
      </w:r>
      <w:r w:rsidR="008375B2">
        <w:rPr>
          <w:rFonts w:asciiTheme="minorHAnsi" w:hAnsiTheme="minorHAnsi" w:cs="Calibri"/>
        </w:rPr>
        <w:t>industrial</w:t>
      </w:r>
      <w:r w:rsidR="0008760F">
        <w:rPr>
          <w:rFonts w:asciiTheme="minorHAnsi" w:hAnsiTheme="minorHAnsi" w:cs="Calibri"/>
        </w:rPr>
        <w:t>-</w:t>
      </w:r>
      <w:r w:rsidR="00D63073">
        <w:rPr>
          <w:rFonts w:asciiTheme="minorHAnsi" w:hAnsiTheme="minorHAnsi" w:cs="Calibri"/>
        </w:rPr>
        <w:t>centered economy</w:t>
      </w:r>
      <w:r w:rsidR="008375B2">
        <w:rPr>
          <w:rFonts w:asciiTheme="minorHAnsi" w:hAnsiTheme="minorHAnsi" w:cs="Calibri"/>
        </w:rPr>
        <w:t xml:space="preserve"> and the car-centric urbanization that has taken place over the last several decades. </w:t>
      </w:r>
      <w:r w:rsidR="00776222">
        <w:rPr>
          <w:rFonts w:asciiTheme="minorHAnsi" w:hAnsiTheme="minorHAnsi" w:cs="Calibri"/>
        </w:rPr>
        <w:t>The American Rust Belt is the former heartland of the U.S.’s manufacturing industry and include</w:t>
      </w:r>
      <w:r w:rsidR="00053DCA">
        <w:rPr>
          <w:rFonts w:asciiTheme="minorHAnsi" w:hAnsiTheme="minorHAnsi" w:cs="Calibri"/>
        </w:rPr>
        <w:t>s</w:t>
      </w:r>
      <w:r w:rsidR="00776222">
        <w:rPr>
          <w:rFonts w:asciiTheme="minorHAnsi" w:hAnsiTheme="minorHAnsi" w:cs="Calibri"/>
        </w:rPr>
        <w:t xml:space="preserve"> the many cities that were established along the Great Lakes</w:t>
      </w:r>
      <w:r w:rsidR="005368D2">
        <w:rPr>
          <w:rFonts w:asciiTheme="minorHAnsi" w:hAnsiTheme="minorHAnsi" w:cs="Calibri"/>
        </w:rPr>
        <w:t xml:space="preserve"> </w:t>
      </w:r>
      <w:r w:rsidR="00776222">
        <w:rPr>
          <w:rFonts w:asciiTheme="minorHAnsi" w:hAnsiTheme="minorHAnsi" w:cs="Calibri"/>
        </w:rPr>
        <w:t>(</w:t>
      </w:r>
      <w:r w:rsidR="00776222" w:rsidRPr="006947C8">
        <w:rPr>
          <w:rFonts w:asciiTheme="minorHAnsi" w:hAnsiTheme="minorHAnsi" w:cs="Calibri"/>
        </w:rPr>
        <w:t>Pottie-Sherman, 2019</w:t>
      </w:r>
      <w:r w:rsidR="00776222">
        <w:rPr>
          <w:rFonts w:asciiTheme="minorHAnsi" w:hAnsiTheme="minorHAnsi" w:cs="Calibri"/>
        </w:rPr>
        <w:t xml:space="preserve">). However, due to regional economic transformations, </w:t>
      </w:r>
      <w:r w:rsidR="00C93F2A">
        <w:rPr>
          <w:rFonts w:asciiTheme="minorHAnsi" w:hAnsiTheme="minorHAnsi" w:cs="Calibri"/>
        </w:rPr>
        <w:t>W</w:t>
      </w:r>
      <w:r w:rsidR="00776222">
        <w:rPr>
          <w:rFonts w:asciiTheme="minorHAnsi" w:hAnsiTheme="minorHAnsi" w:cs="Calibri"/>
        </w:rPr>
        <w:t>hite-middle class suburbanization, and urban core disinvestment (Coppola, 2019; Hackworth, 2018),</w:t>
      </w:r>
      <w:r w:rsidR="00731C5F">
        <w:rPr>
          <w:rFonts w:asciiTheme="minorHAnsi" w:hAnsiTheme="minorHAnsi" w:cs="Calibri"/>
        </w:rPr>
        <w:t xml:space="preserve"> cities in</w:t>
      </w:r>
      <w:r w:rsidR="00776222">
        <w:rPr>
          <w:rFonts w:asciiTheme="minorHAnsi" w:hAnsiTheme="minorHAnsi" w:cs="Calibri"/>
        </w:rPr>
        <w:t xml:space="preserve"> the Rust Belt</w:t>
      </w:r>
      <w:r w:rsidR="00731C5F">
        <w:rPr>
          <w:rFonts w:asciiTheme="minorHAnsi" w:hAnsiTheme="minorHAnsi" w:cs="Calibri"/>
        </w:rPr>
        <w:t xml:space="preserve"> are</w:t>
      </w:r>
      <w:r w:rsidR="00776222">
        <w:rPr>
          <w:rFonts w:asciiTheme="minorHAnsi" w:hAnsiTheme="minorHAnsi" w:cs="Calibri"/>
        </w:rPr>
        <w:t xml:space="preserve"> largely defined today as area</w:t>
      </w:r>
      <w:r w:rsidR="00731C5F">
        <w:rPr>
          <w:rFonts w:asciiTheme="minorHAnsi" w:hAnsiTheme="minorHAnsi" w:cs="Calibri"/>
        </w:rPr>
        <w:t>s</w:t>
      </w:r>
      <w:r w:rsidR="00776222">
        <w:rPr>
          <w:rFonts w:asciiTheme="minorHAnsi" w:hAnsiTheme="minorHAnsi" w:cs="Calibri"/>
        </w:rPr>
        <w:t xml:space="preserve"> of industrial, population, and status loss (Pottie-Sherman, 2019). </w:t>
      </w:r>
      <w:r w:rsidR="005368D2">
        <w:rPr>
          <w:rFonts w:asciiTheme="minorHAnsi" w:hAnsiTheme="minorHAnsi" w:cs="Calibri"/>
        </w:rPr>
        <w:t xml:space="preserve">Rochester </w:t>
      </w:r>
      <w:r w:rsidR="00053DCA">
        <w:rPr>
          <w:rFonts w:asciiTheme="minorHAnsi" w:hAnsiTheme="minorHAnsi" w:cs="Calibri"/>
        </w:rPr>
        <w:t>is</w:t>
      </w:r>
      <w:r w:rsidR="005368D2">
        <w:rPr>
          <w:rFonts w:asciiTheme="minorHAnsi" w:hAnsiTheme="minorHAnsi" w:cs="Calibri"/>
        </w:rPr>
        <w:t xml:space="preserve"> one of the many cities in the Rust Belt region that thrived during America’s industrial era. The city was home to many different industries throughout its history, including the Eastman Kodak Company, Bausch and Lomb, Gleason Works,</w:t>
      </w:r>
      <w:r w:rsidR="00B17AAB">
        <w:rPr>
          <w:rFonts w:asciiTheme="minorHAnsi" w:hAnsiTheme="minorHAnsi" w:cs="Calibri"/>
        </w:rPr>
        <w:t xml:space="preserve"> and</w:t>
      </w:r>
      <w:r w:rsidR="005368D2">
        <w:rPr>
          <w:rFonts w:asciiTheme="minorHAnsi" w:hAnsiTheme="minorHAnsi" w:cs="Calibri"/>
        </w:rPr>
        <w:t xml:space="preserve"> AC Delco</w:t>
      </w:r>
      <w:r w:rsidR="00B17AAB">
        <w:rPr>
          <w:rFonts w:asciiTheme="minorHAnsi" w:hAnsiTheme="minorHAnsi" w:cs="Calibri"/>
        </w:rPr>
        <w:t xml:space="preserve"> (</w:t>
      </w:r>
      <w:r w:rsidR="00CB020A">
        <w:rPr>
          <w:rFonts w:asciiTheme="minorHAnsi" w:hAnsiTheme="minorHAnsi" w:cs="Calibri"/>
        </w:rPr>
        <w:t>McKelvey</w:t>
      </w:r>
      <w:r w:rsidR="00731C5F">
        <w:rPr>
          <w:rFonts w:asciiTheme="minorHAnsi" w:hAnsiTheme="minorHAnsi" w:cs="Calibri"/>
        </w:rPr>
        <w:t xml:space="preserve">, 1962). While these companies have all at one time or another brought economic success to the city, they are also </w:t>
      </w:r>
      <w:r w:rsidR="00495882">
        <w:rPr>
          <w:rFonts w:asciiTheme="minorHAnsi" w:hAnsiTheme="minorHAnsi" w:cs="Calibri"/>
        </w:rPr>
        <w:t xml:space="preserve">all </w:t>
      </w:r>
      <w:r w:rsidR="00731C5F">
        <w:rPr>
          <w:rFonts w:asciiTheme="minorHAnsi" w:hAnsiTheme="minorHAnsi" w:cs="Calibri"/>
        </w:rPr>
        <w:t xml:space="preserve">partially responsible for the alarming levels of toxic concentrations of air and water pollution found disproportionally throughout communities in the city today. </w:t>
      </w:r>
    </w:p>
    <w:p w14:paraId="7BA2E03D" w14:textId="568B1D49" w:rsidR="003B4245" w:rsidRDefault="001D116C" w:rsidP="00AA2598">
      <w:pPr>
        <w:spacing w:line="360" w:lineRule="auto"/>
        <w:ind w:firstLine="720"/>
        <w:rPr>
          <w:rFonts w:asciiTheme="minorHAnsi" w:hAnsiTheme="minorHAnsi" w:cs="Calibri"/>
        </w:rPr>
      </w:pPr>
      <w:r>
        <w:rPr>
          <w:rFonts w:asciiTheme="minorHAnsi" w:hAnsiTheme="minorHAnsi" w:cs="Calibri"/>
        </w:rPr>
        <w:t xml:space="preserve">One of the most well-known companies to come out </w:t>
      </w:r>
      <w:r w:rsidR="00C47565">
        <w:rPr>
          <w:rFonts w:asciiTheme="minorHAnsi" w:hAnsiTheme="minorHAnsi" w:cs="Calibri"/>
        </w:rPr>
        <w:t>from</w:t>
      </w:r>
      <w:r>
        <w:rPr>
          <w:rFonts w:asciiTheme="minorHAnsi" w:hAnsiTheme="minorHAnsi" w:cs="Calibri"/>
        </w:rPr>
        <w:t xml:space="preserve"> </w:t>
      </w:r>
      <w:r w:rsidR="0038445F">
        <w:rPr>
          <w:rFonts w:asciiTheme="minorHAnsi" w:hAnsiTheme="minorHAnsi" w:cs="Calibri"/>
        </w:rPr>
        <w:t xml:space="preserve">the city of </w:t>
      </w:r>
      <w:r>
        <w:rPr>
          <w:rFonts w:asciiTheme="minorHAnsi" w:hAnsiTheme="minorHAnsi" w:cs="Calibri"/>
        </w:rPr>
        <w:t xml:space="preserve">Rochester is the Eastman Kodak Company. Throughout the twentieth century as the film and movie industry skyrocketed throughout the country, Kodak was one of the </w:t>
      </w:r>
      <w:r w:rsidR="003F320C">
        <w:rPr>
          <w:rFonts w:asciiTheme="minorHAnsi" w:hAnsiTheme="minorHAnsi" w:cs="Calibri"/>
        </w:rPr>
        <w:t xml:space="preserve">country’s </w:t>
      </w:r>
      <w:r>
        <w:rPr>
          <w:rFonts w:asciiTheme="minorHAnsi" w:hAnsiTheme="minorHAnsi" w:cs="Calibri"/>
        </w:rPr>
        <w:t>main producers of film and employed over 60,000 Rochestarians at its height in the 1960’s (</w:t>
      </w:r>
      <w:r w:rsidR="006B31BB" w:rsidRPr="006947C8">
        <w:rPr>
          <w:rFonts w:asciiTheme="minorHAnsi" w:hAnsiTheme="minorHAnsi" w:cs="Calibri"/>
        </w:rPr>
        <w:t>Dick</w:t>
      </w:r>
      <w:r w:rsidR="006947C8" w:rsidRPr="006947C8">
        <w:rPr>
          <w:rFonts w:asciiTheme="minorHAnsi" w:hAnsiTheme="minorHAnsi" w:cs="Calibri"/>
        </w:rPr>
        <w:t>in</w:t>
      </w:r>
      <w:r w:rsidR="006B31BB" w:rsidRPr="006947C8">
        <w:rPr>
          <w:rFonts w:asciiTheme="minorHAnsi" w:hAnsiTheme="minorHAnsi" w:cs="Calibri"/>
        </w:rPr>
        <w:t>son, 2017</w:t>
      </w:r>
      <w:r w:rsidR="006B31BB">
        <w:rPr>
          <w:rFonts w:asciiTheme="minorHAnsi" w:hAnsiTheme="minorHAnsi" w:cs="Calibri"/>
        </w:rPr>
        <w:t>)</w:t>
      </w:r>
      <w:r>
        <w:rPr>
          <w:rFonts w:asciiTheme="minorHAnsi" w:hAnsiTheme="minorHAnsi" w:cs="Calibri"/>
        </w:rPr>
        <w:t xml:space="preserve">. </w:t>
      </w:r>
      <w:r w:rsidR="009C3C06">
        <w:rPr>
          <w:rFonts w:asciiTheme="minorHAnsi" w:hAnsiTheme="minorHAnsi" w:cs="Calibri"/>
        </w:rPr>
        <w:t xml:space="preserve">However, as Kodak produced film for the whole country and was the primary employer and economic juggernaut of the city, it was simultaneously dumping millions of pounds of toxic chemicals into the city’s air and the Genesee River </w:t>
      </w:r>
      <w:r w:rsidR="0038445F">
        <w:rPr>
          <w:rFonts w:asciiTheme="minorHAnsi" w:hAnsiTheme="minorHAnsi" w:cs="Calibri"/>
        </w:rPr>
        <w:t>(</w:t>
      </w:r>
      <w:r w:rsidR="001255C5">
        <w:rPr>
          <w:rFonts w:asciiTheme="minorHAnsi" w:hAnsiTheme="minorHAnsi" w:cs="Calibri"/>
        </w:rPr>
        <w:t xml:space="preserve">Dutzik et al., 2003; </w:t>
      </w:r>
      <w:r w:rsidR="0038445F">
        <w:rPr>
          <w:rFonts w:ascii="Cambria" w:hAnsi="Cambria"/>
          <w:iCs/>
        </w:rPr>
        <w:t>Kerth and Vinyard, 2012</w:t>
      </w:r>
      <w:r w:rsidR="009C3C06">
        <w:rPr>
          <w:rFonts w:asciiTheme="minorHAnsi" w:hAnsiTheme="minorHAnsi" w:cs="Calibri"/>
        </w:rPr>
        <w:t xml:space="preserve">). This in turn earned the company the distinction as </w:t>
      </w:r>
      <w:r w:rsidR="001255C5">
        <w:rPr>
          <w:rFonts w:asciiTheme="minorHAnsi" w:hAnsiTheme="minorHAnsi" w:cs="Calibri"/>
        </w:rPr>
        <w:t>one of the country’s top</w:t>
      </w:r>
      <w:r w:rsidR="009C3C06">
        <w:rPr>
          <w:rFonts w:asciiTheme="minorHAnsi" w:hAnsiTheme="minorHAnsi" w:cs="Calibri"/>
        </w:rPr>
        <w:t xml:space="preserve"> </w:t>
      </w:r>
      <w:r w:rsidR="001255C5">
        <w:rPr>
          <w:rFonts w:asciiTheme="minorHAnsi" w:hAnsiTheme="minorHAnsi" w:cs="Calibri"/>
        </w:rPr>
        <w:t>emitters</w:t>
      </w:r>
      <w:r w:rsidR="009C3C06">
        <w:rPr>
          <w:rFonts w:asciiTheme="minorHAnsi" w:hAnsiTheme="minorHAnsi" w:cs="Calibri"/>
        </w:rPr>
        <w:t xml:space="preserve"> of carcinogenic chemicals by the United States Public Interest Research Group </w:t>
      </w:r>
      <w:r w:rsidR="00B03F60">
        <w:rPr>
          <w:rFonts w:asciiTheme="minorHAnsi" w:hAnsiTheme="minorHAnsi" w:cs="Calibri"/>
        </w:rPr>
        <w:t>between</w:t>
      </w:r>
      <w:r w:rsidR="009C3C06">
        <w:rPr>
          <w:rFonts w:asciiTheme="minorHAnsi" w:hAnsiTheme="minorHAnsi" w:cs="Calibri"/>
        </w:rPr>
        <w:t xml:space="preserve"> 1987-2000 (</w:t>
      </w:r>
      <w:r w:rsidR="001255C5" w:rsidRPr="009F09D8">
        <w:rPr>
          <w:rFonts w:asciiTheme="minorHAnsi" w:hAnsiTheme="minorHAnsi" w:cs="Calibri"/>
        </w:rPr>
        <w:t>Dutzik et al., 2003</w:t>
      </w:r>
      <w:r w:rsidR="009C3C06">
        <w:rPr>
          <w:rFonts w:asciiTheme="minorHAnsi" w:hAnsiTheme="minorHAnsi" w:cs="Calibri"/>
        </w:rPr>
        <w:t xml:space="preserve">). </w:t>
      </w:r>
      <w:r w:rsidR="00B17AAB">
        <w:rPr>
          <w:rFonts w:asciiTheme="minorHAnsi" w:hAnsiTheme="minorHAnsi" w:cs="Calibri"/>
        </w:rPr>
        <w:t>Kodak has invested</w:t>
      </w:r>
      <w:r w:rsidR="00EC586F">
        <w:rPr>
          <w:rFonts w:asciiTheme="minorHAnsi" w:hAnsiTheme="minorHAnsi" w:cs="Calibri"/>
        </w:rPr>
        <w:t xml:space="preserve"> </w:t>
      </w:r>
      <w:r w:rsidR="001255C5">
        <w:rPr>
          <w:rFonts w:asciiTheme="minorHAnsi" w:hAnsiTheme="minorHAnsi" w:cs="Calibri"/>
        </w:rPr>
        <w:t>tens</w:t>
      </w:r>
      <w:r w:rsidR="00EC586F">
        <w:rPr>
          <w:rFonts w:asciiTheme="minorHAnsi" w:hAnsiTheme="minorHAnsi" w:cs="Calibri"/>
        </w:rPr>
        <w:t xml:space="preserve"> of millions of dollars </w:t>
      </w:r>
      <w:r w:rsidR="00B17AAB">
        <w:rPr>
          <w:rFonts w:asciiTheme="minorHAnsi" w:hAnsiTheme="minorHAnsi" w:cs="Calibri"/>
        </w:rPr>
        <w:t>to clean up their environmental impacts and</w:t>
      </w:r>
      <w:r w:rsidR="00C47565">
        <w:rPr>
          <w:rFonts w:asciiTheme="minorHAnsi" w:hAnsiTheme="minorHAnsi" w:cs="Calibri"/>
        </w:rPr>
        <w:t xml:space="preserve"> reduce their output of </w:t>
      </w:r>
      <w:r w:rsidR="003F320C">
        <w:rPr>
          <w:rFonts w:asciiTheme="minorHAnsi" w:hAnsiTheme="minorHAnsi" w:cs="Calibri"/>
        </w:rPr>
        <w:t xml:space="preserve">toxic </w:t>
      </w:r>
      <w:r w:rsidR="00C47565">
        <w:rPr>
          <w:rFonts w:asciiTheme="minorHAnsi" w:hAnsiTheme="minorHAnsi" w:cs="Calibri"/>
        </w:rPr>
        <w:t xml:space="preserve">chemicals </w:t>
      </w:r>
      <w:r w:rsidR="00303F3F">
        <w:rPr>
          <w:rFonts w:asciiTheme="minorHAnsi" w:hAnsiTheme="minorHAnsi" w:cs="Calibri"/>
        </w:rPr>
        <w:t>(</w:t>
      </w:r>
      <w:r w:rsidR="001255C5" w:rsidRPr="00D26070">
        <w:rPr>
          <w:rFonts w:asciiTheme="minorHAnsi" w:hAnsiTheme="minorHAnsi" w:cs="Calibri"/>
        </w:rPr>
        <w:t>USEPA</w:t>
      </w:r>
      <w:r w:rsidR="00AA2598">
        <w:rPr>
          <w:rFonts w:asciiTheme="minorHAnsi" w:hAnsiTheme="minorHAnsi" w:cs="Calibri"/>
        </w:rPr>
        <w:t xml:space="preserve">, </w:t>
      </w:r>
      <w:r w:rsidR="001255C5" w:rsidRPr="00D26070">
        <w:rPr>
          <w:rFonts w:asciiTheme="minorHAnsi" w:hAnsiTheme="minorHAnsi" w:cs="Calibri"/>
        </w:rPr>
        <w:t>2014</w:t>
      </w:r>
      <w:r w:rsidR="00303F3F">
        <w:rPr>
          <w:rFonts w:asciiTheme="minorHAnsi" w:hAnsiTheme="minorHAnsi" w:cs="Calibri"/>
        </w:rPr>
        <w:t>)</w:t>
      </w:r>
      <w:r w:rsidR="00B17AAB">
        <w:rPr>
          <w:rFonts w:asciiTheme="minorHAnsi" w:hAnsiTheme="minorHAnsi" w:cs="Calibri"/>
        </w:rPr>
        <w:t>. However,</w:t>
      </w:r>
      <w:r w:rsidR="00C47565">
        <w:rPr>
          <w:rFonts w:asciiTheme="minorHAnsi" w:hAnsiTheme="minorHAnsi" w:cs="Calibri"/>
        </w:rPr>
        <w:t xml:space="preserve"> the effects </w:t>
      </w:r>
      <w:r w:rsidR="00B17AAB">
        <w:rPr>
          <w:rFonts w:asciiTheme="minorHAnsi" w:hAnsiTheme="minorHAnsi" w:cs="Calibri"/>
        </w:rPr>
        <w:t>of pollution caused by Kodak and other companies during Rochester’s industrial era are still present today</w:t>
      </w:r>
      <w:r w:rsidR="00C47565">
        <w:rPr>
          <w:rFonts w:asciiTheme="minorHAnsi" w:hAnsiTheme="minorHAnsi" w:cs="Calibri"/>
        </w:rPr>
        <w:t xml:space="preserve">. </w:t>
      </w:r>
      <w:r w:rsidR="00E74F75">
        <w:rPr>
          <w:rFonts w:asciiTheme="minorHAnsi" w:hAnsiTheme="minorHAnsi" w:cs="Calibri"/>
        </w:rPr>
        <w:t>I</w:t>
      </w:r>
      <w:r w:rsidR="00DE2E64">
        <w:rPr>
          <w:rFonts w:asciiTheme="minorHAnsi" w:hAnsiTheme="minorHAnsi" w:cs="Calibri"/>
        </w:rPr>
        <w:t xml:space="preserve">n one study that </w:t>
      </w:r>
      <w:r w:rsidR="00DE2E64">
        <w:rPr>
          <w:rFonts w:asciiTheme="minorHAnsi" w:hAnsiTheme="minorHAnsi" w:cs="Calibri"/>
        </w:rPr>
        <w:lastRenderedPageBreak/>
        <w:t xml:space="preserve">compared the level of racial environmental </w:t>
      </w:r>
      <w:r w:rsidR="00AB66B6">
        <w:rPr>
          <w:rFonts w:asciiTheme="minorHAnsi" w:hAnsiTheme="minorHAnsi" w:cs="Calibri"/>
        </w:rPr>
        <w:t xml:space="preserve">inequality for toxic air pollutant exposure amongst 61 metropolitan areas in the U.S., </w:t>
      </w:r>
      <w:r w:rsidR="003F320C">
        <w:rPr>
          <w:rFonts w:asciiTheme="minorHAnsi" w:hAnsiTheme="minorHAnsi" w:cs="Calibri"/>
        </w:rPr>
        <w:t>Downey (2007)</w:t>
      </w:r>
      <w:r w:rsidR="00AB66B6">
        <w:rPr>
          <w:rFonts w:asciiTheme="minorHAnsi" w:hAnsiTheme="minorHAnsi" w:cs="Calibri"/>
        </w:rPr>
        <w:t xml:space="preserve"> found Rochester to have the third largest levels of toxic concentrations of all cities examined</w:t>
      </w:r>
      <w:r w:rsidR="003F320C">
        <w:rPr>
          <w:rFonts w:asciiTheme="minorHAnsi" w:hAnsiTheme="minorHAnsi" w:cs="Calibri"/>
        </w:rPr>
        <w:t xml:space="preserve">. </w:t>
      </w:r>
      <w:r w:rsidR="00AB66B6">
        <w:rPr>
          <w:rFonts w:asciiTheme="minorHAnsi" w:hAnsiTheme="minorHAnsi" w:cs="Calibri"/>
        </w:rPr>
        <w:t xml:space="preserve">Furthermore, </w:t>
      </w:r>
      <w:r w:rsidR="00C83180">
        <w:rPr>
          <w:rFonts w:asciiTheme="minorHAnsi" w:hAnsiTheme="minorHAnsi" w:cs="Calibri"/>
        </w:rPr>
        <w:t xml:space="preserve">the study also found that </w:t>
      </w:r>
      <w:r w:rsidR="00F32D56">
        <w:rPr>
          <w:rFonts w:asciiTheme="minorHAnsi" w:hAnsiTheme="minorHAnsi" w:cs="Calibri"/>
        </w:rPr>
        <w:t>B</w:t>
      </w:r>
      <w:r w:rsidR="00C83180">
        <w:rPr>
          <w:rFonts w:asciiTheme="minorHAnsi" w:hAnsiTheme="minorHAnsi" w:cs="Calibri"/>
        </w:rPr>
        <w:t>lack and Hispanic populations in the city experienced toxic concentration</w:t>
      </w:r>
      <w:r w:rsidR="007B58A2">
        <w:rPr>
          <w:rFonts w:asciiTheme="minorHAnsi" w:hAnsiTheme="minorHAnsi" w:cs="Calibri"/>
        </w:rPr>
        <w:t xml:space="preserve"> </w:t>
      </w:r>
      <w:r w:rsidR="00C83180">
        <w:rPr>
          <w:rFonts w:asciiTheme="minorHAnsi" w:hAnsiTheme="minorHAnsi" w:cs="Calibri"/>
        </w:rPr>
        <w:t xml:space="preserve">levels nearly 2.5 times greater than </w:t>
      </w:r>
      <w:r w:rsidR="007B58A2">
        <w:rPr>
          <w:rFonts w:asciiTheme="minorHAnsi" w:hAnsiTheme="minorHAnsi" w:cs="Calibri"/>
        </w:rPr>
        <w:t xml:space="preserve">those found in </w:t>
      </w:r>
      <w:r w:rsidR="00053DCA">
        <w:rPr>
          <w:rFonts w:asciiTheme="minorHAnsi" w:hAnsiTheme="minorHAnsi" w:cs="Calibri"/>
        </w:rPr>
        <w:t>W</w:t>
      </w:r>
      <w:r w:rsidR="00C83180">
        <w:rPr>
          <w:rFonts w:asciiTheme="minorHAnsi" w:hAnsiTheme="minorHAnsi" w:cs="Calibri"/>
        </w:rPr>
        <w:t>hite populations (Downey, 2007)</w:t>
      </w:r>
      <w:r w:rsidR="00495882">
        <w:rPr>
          <w:rFonts w:asciiTheme="minorHAnsi" w:hAnsiTheme="minorHAnsi" w:cs="Calibri"/>
        </w:rPr>
        <w:t xml:space="preserve">. </w:t>
      </w:r>
      <w:r w:rsidR="003B4245">
        <w:rPr>
          <w:rFonts w:asciiTheme="minorHAnsi" w:hAnsiTheme="minorHAnsi" w:cs="Calibri"/>
        </w:rPr>
        <w:t>While the emission of air and water pollution in Rochester has significantly decreased since 2003 (</w:t>
      </w:r>
      <w:r w:rsidR="00AA2598" w:rsidRPr="00166B4A">
        <w:rPr>
          <w:rFonts w:asciiTheme="minorHAnsi" w:hAnsiTheme="minorHAnsi" w:cs="Calibri"/>
        </w:rPr>
        <w:t>US</w:t>
      </w:r>
      <w:r w:rsidR="003B4245" w:rsidRPr="00166B4A">
        <w:rPr>
          <w:rFonts w:asciiTheme="minorHAnsi" w:hAnsiTheme="minorHAnsi" w:cs="Calibri"/>
        </w:rPr>
        <w:t>EPA, 2021</w:t>
      </w:r>
      <w:r w:rsidR="003B4245">
        <w:rPr>
          <w:rFonts w:asciiTheme="minorHAnsi" w:hAnsiTheme="minorHAnsi" w:cs="Calibri"/>
        </w:rPr>
        <w:t xml:space="preserve">), </w:t>
      </w:r>
      <w:r w:rsidR="00AA2598">
        <w:rPr>
          <w:rFonts w:asciiTheme="minorHAnsi" w:hAnsiTheme="minorHAnsi" w:cs="Calibri"/>
        </w:rPr>
        <w:t xml:space="preserve">nonwhite </w:t>
      </w:r>
      <w:r w:rsidR="003B4245">
        <w:rPr>
          <w:rFonts w:asciiTheme="minorHAnsi" w:hAnsiTheme="minorHAnsi" w:cs="Calibri"/>
        </w:rPr>
        <w:t xml:space="preserve">residents living in neighborhoods near industrial facilities historically known </w:t>
      </w:r>
      <w:r w:rsidR="00AA2598">
        <w:rPr>
          <w:rFonts w:asciiTheme="minorHAnsi" w:hAnsiTheme="minorHAnsi" w:cs="Calibri"/>
        </w:rPr>
        <w:t xml:space="preserve">high levels of pollution emissions, such as </w:t>
      </w:r>
      <w:r w:rsidR="00817709">
        <w:rPr>
          <w:rFonts w:asciiTheme="minorHAnsi" w:hAnsiTheme="minorHAnsi" w:cs="Calibri"/>
        </w:rPr>
        <w:t xml:space="preserve">Eastman </w:t>
      </w:r>
      <w:r w:rsidR="00AA2598">
        <w:rPr>
          <w:rFonts w:asciiTheme="minorHAnsi" w:hAnsiTheme="minorHAnsi" w:cs="Calibri"/>
        </w:rPr>
        <w:t>Kodak, may still be suffering inequitable exposure to legacy pollutants in the surrounding environment</w:t>
      </w:r>
      <w:r w:rsidR="00166B4A">
        <w:rPr>
          <w:rFonts w:asciiTheme="minorHAnsi" w:hAnsiTheme="minorHAnsi" w:cs="Calibri"/>
        </w:rPr>
        <w:t xml:space="preserve"> today</w:t>
      </w:r>
      <w:r w:rsidR="00AA2598">
        <w:rPr>
          <w:rFonts w:asciiTheme="minorHAnsi" w:hAnsiTheme="minorHAnsi" w:cs="Calibri"/>
        </w:rPr>
        <w:t xml:space="preserve">. </w:t>
      </w:r>
    </w:p>
    <w:p w14:paraId="6C43E3AE" w14:textId="77777777" w:rsidR="00D048B2" w:rsidRDefault="00686760" w:rsidP="00146225">
      <w:pPr>
        <w:spacing w:line="360" w:lineRule="auto"/>
        <w:ind w:firstLine="720"/>
        <w:rPr>
          <w:rFonts w:asciiTheme="minorHAnsi" w:hAnsiTheme="minorHAnsi"/>
        </w:rPr>
      </w:pPr>
      <w:r>
        <w:rPr>
          <w:rFonts w:asciiTheme="minorHAnsi" w:hAnsiTheme="minorHAnsi"/>
        </w:rPr>
        <w:t>Decisions made by public institutions have also contributed to the environmental justice issues in the city</w:t>
      </w:r>
      <w:r w:rsidR="00E74F75">
        <w:rPr>
          <w:rFonts w:asciiTheme="minorHAnsi" w:hAnsiTheme="minorHAnsi"/>
        </w:rPr>
        <w:t xml:space="preserve">. </w:t>
      </w:r>
      <w:r w:rsidR="00146225" w:rsidRPr="003C6F05">
        <w:rPr>
          <w:rFonts w:asciiTheme="minorHAnsi" w:hAnsiTheme="minorHAnsi"/>
        </w:rPr>
        <w:t xml:space="preserve">Through the HOLC’s process of </w:t>
      </w:r>
      <w:r w:rsidR="00146225">
        <w:rPr>
          <w:rFonts w:asciiTheme="minorHAnsi" w:hAnsiTheme="minorHAnsi"/>
        </w:rPr>
        <w:t>discriminatorily</w:t>
      </w:r>
      <w:r w:rsidR="00146225" w:rsidRPr="003C6F05">
        <w:rPr>
          <w:rFonts w:asciiTheme="minorHAnsi" w:hAnsiTheme="minorHAnsi"/>
        </w:rPr>
        <w:t xml:space="preserve"> devaluing neighborhoods of lower income and minority renting populations (redlining), federal and local governments had justification for the lack of public improvement projects in these areas (Zuk et al., 2018). Furthermore, largely </w:t>
      </w:r>
      <w:r w:rsidR="007B58A2">
        <w:rPr>
          <w:rFonts w:asciiTheme="minorHAnsi" w:hAnsiTheme="minorHAnsi"/>
        </w:rPr>
        <w:t>due</w:t>
      </w:r>
      <w:r w:rsidR="00146225" w:rsidRPr="003C6F05">
        <w:rPr>
          <w:rFonts w:asciiTheme="minorHAnsi" w:hAnsiTheme="minorHAnsi"/>
        </w:rPr>
        <w:t xml:space="preserve"> to the Federal Aid Highway Act of 1944, cities were incentivized to build roadway projects that would add to the country’s interstate highway system throughout much of the second half of the 20th century (Dimento, 2009). Due to the large amounts of devalued land and a lack of homeownership, redlined neighborhoods </w:t>
      </w:r>
      <w:r w:rsidR="007B58A2">
        <w:rPr>
          <w:rFonts w:asciiTheme="minorHAnsi" w:hAnsiTheme="minorHAnsi"/>
        </w:rPr>
        <w:t xml:space="preserve">were </w:t>
      </w:r>
      <w:r w:rsidR="00146225" w:rsidRPr="003C6F05">
        <w:rPr>
          <w:rFonts w:asciiTheme="minorHAnsi" w:hAnsiTheme="minorHAnsi"/>
        </w:rPr>
        <w:t>ideal and easily obtainable locations for the development of major roads and freeways, and other large developments such as factories and industrial plants</w:t>
      </w:r>
      <w:r w:rsidR="00E74F75">
        <w:rPr>
          <w:rFonts w:asciiTheme="minorHAnsi" w:hAnsiTheme="minorHAnsi"/>
        </w:rPr>
        <w:t xml:space="preserve"> (Dimento, 2009; Zuk et al., 2018)</w:t>
      </w:r>
      <w:r w:rsidR="00146225" w:rsidRPr="003C6F05">
        <w:rPr>
          <w:rFonts w:asciiTheme="minorHAnsi" w:hAnsiTheme="minorHAnsi"/>
        </w:rPr>
        <w:t>.</w:t>
      </w:r>
      <w:r w:rsidR="00146225">
        <w:rPr>
          <w:rFonts w:asciiTheme="minorHAnsi" w:hAnsiTheme="minorHAnsi"/>
        </w:rPr>
        <w:t xml:space="preserve"> </w:t>
      </w:r>
      <w:r w:rsidR="00146225" w:rsidRPr="003C6F05">
        <w:rPr>
          <w:rFonts w:asciiTheme="minorHAnsi" w:hAnsiTheme="minorHAnsi"/>
        </w:rPr>
        <w:t xml:space="preserve">Consequently, </w:t>
      </w:r>
      <w:r w:rsidR="009E3113">
        <w:rPr>
          <w:rFonts w:asciiTheme="minorHAnsi" w:hAnsiTheme="minorHAnsi"/>
        </w:rPr>
        <w:t>these roadway developments</w:t>
      </w:r>
      <w:r w:rsidR="00294B39">
        <w:rPr>
          <w:rFonts w:asciiTheme="minorHAnsi" w:hAnsiTheme="minorHAnsi"/>
        </w:rPr>
        <w:t xml:space="preserve"> made it</w:t>
      </w:r>
      <w:r w:rsidR="00146225" w:rsidRPr="003C6F05">
        <w:rPr>
          <w:rFonts w:asciiTheme="minorHAnsi" w:hAnsiTheme="minorHAnsi"/>
        </w:rPr>
        <w:t xml:space="preserve"> easier for commuters from the suburbs to enter and leave the </w:t>
      </w:r>
      <w:r w:rsidR="007B58A2" w:rsidRPr="003C6F05">
        <w:rPr>
          <w:rFonts w:asciiTheme="minorHAnsi" w:hAnsiTheme="minorHAnsi"/>
        </w:rPr>
        <w:t>city</w:t>
      </w:r>
      <w:r w:rsidR="003E27D9">
        <w:rPr>
          <w:rFonts w:asciiTheme="minorHAnsi" w:hAnsiTheme="minorHAnsi"/>
        </w:rPr>
        <w:t xml:space="preserve"> for work</w:t>
      </w:r>
      <w:r w:rsidR="007B58A2" w:rsidRPr="003C6F05">
        <w:rPr>
          <w:rFonts w:asciiTheme="minorHAnsi" w:hAnsiTheme="minorHAnsi"/>
        </w:rPr>
        <w:t>,</w:t>
      </w:r>
      <w:r w:rsidR="00146225" w:rsidRPr="003C6F05">
        <w:rPr>
          <w:rFonts w:asciiTheme="minorHAnsi" w:hAnsiTheme="minorHAnsi"/>
        </w:rPr>
        <w:t xml:space="preserve"> </w:t>
      </w:r>
      <w:r w:rsidR="007B58A2">
        <w:rPr>
          <w:rFonts w:asciiTheme="minorHAnsi" w:hAnsiTheme="minorHAnsi"/>
        </w:rPr>
        <w:t>but</w:t>
      </w:r>
      <w:r w:rsidR="00146225" w:rsidRPr="003C6F05">
        <w:rPr>
          <w:rFonts w:asciiTheme="minorHAnsi" w:hAnsiTheme="minorHAnsi"/>
        </w:rPr>
        <w:t xml:space="preserve"> </w:t>
      </w:r>
      <w:r w:rsidR="003E27D9">
        <w:rPr>
          <w:rFonts w:asciiTheme="minorHAnsi" w:hAnsiTheme="minorHAnsi"/>
        </w:rPr>
        <w:t xml:space="preserve">in return </w:t>
      </w:r>
      <w:r w:rsidR="007B58A2" w:rsidRPr="003C6F05">
        <w:rPr>
          <w:rFonts w:asciiTheme="minorHAnsi" w:hAnsiTheme="minorHAnsi"/>
        </w:rPr>
        <w:t xml:space="preserve">poor and minority populations </w:t>
      </w:r>
      <w:r w:rsidR="007B58A2">
        <w:rPr>
          <w:rFonts w:asciiTheme="minorHAnsi" w:hAnsiTheme="minorHAnsi"/>
        </w:rPr>
        <w:t xml:space="preserve">were </w:t>
      </w:r>
      <w:r w:rsidR="00146225" w:rsidRPr="003C6F05">
        <w:rPr>
          <w:rFonts w:asciiTheme="minorHAnsi" w:hAnsiTheme="minorHAnsi"/>
        </w:rPr>
        <w:t>sever</w:t>
      </w:r>
      <w:r w:rsidR="007B58A2">
        <w:rPr>
          <w:rFonts w:asciiTheme="minorHAnsi" w:hAnsiTheme="minorHAnsi"/>
        </w:rPr>
        <w:t>ed</w:t>
      </w:r>
      <w:r w:rsidR="00146225" w:rsidRPr="003C6F05">
        <w:rPr>
          <w:rFonts w:asciiTheme="minorHAnsi" w:hAnsiTheme="minorHAnsi"/>
        </w:rPr>
        <w:t xml:space="preserve"> and isolat</w:t>
      </w:r>
      <w:r w:rsidR="007B58A2">
        <w:rPr>
          <w:rFonts w:asciiTheme="minorHAnsi" w:hAnsiTheme="minorHAnsi"/>
        </w:rPr>
        <w:t>ed</w:t>
      </w:r>
      <w:r w:rsidR="00146225" w:rsidRPr="003C6F05">
        <w:rPr>
          <w:rFonts w:asciiTheme="minorHAnsi" w:hAnsiTheme="minorHAnsi"/>
        </w:rPr>
        <w:t xml:space="preserve"> from the rest of the city.</w:t>
      </w:r>
    </w:p>
    <w:p w14:paraId="61321F92" w14:textId="6AC14A16" w:rsidR="00146225" w:rsidRPr="003C6F05" w:rsidRDefault="009E3113" w:rsidP="00146225">
      <w:pPr>
        <w:spacing w:line="360" w:lineRule="auto"/>
        <w:ind w:firstLine="720"/>
        <w:rPr>
          <w:rFonts w:asciiTheme="minorHAnsi" w:hAnsiTheme="minorHAnsi"/>
        </w:rPr>
      </w:pPr>
      <w:r>
        <w:rPr>
          <w:rFonts w:asciiTheme="minorHAnsi" w:hAnsiTheme="minorHAnsi"/>
        </w:rPr>
        <w:t xml:space="preserve">Rochester’s development of the Inner Loop in the early 1950s </w:t>
      </w:r>
      <w:r w:rsidR="00146225" w:rsidRPr="003C6F05">
        <w:rPr>
          <w:rFonts w:asciiTheme="minorHAnsi" w:hAnsiTheme="minorHAnsi"/>
        </w:rPr>
        <w:t>provide</w:t>
      </w:r>
      <w:r>
        <w:rPr>
          <w:rFonts w:asciiTheme="minorHAnsi" w:hAnsiTheme="minorHAnsi"/>
        </w:rPr>
        <w:t>s a</w:t>
      </w:r>
      <w:r w:rsidR="00146225" w:rsidRPr="003C6F05">
        <w:rPr>
          <w:rFonts w:asciiTheme="minorHAnsi" w:hAnsiTheme="minorHAnsi"/>
        </w:rPr>
        <w:t xml:space="preserve"> </w:t>
      </w:r>
      <w:r w:rsidRPr="003C6F05">
        <w:rPr>
          <w:rFonts w:asciiTheme="minorHAnsi" w:hAnsiTheme="minorHAnsi"/>
        </w:rPr>
        <w:t>clear example of these divides</w:t>
      </w:r>
      <w:r w:rsidR="00146225" w:rsidRPr="003C6F05">
        <w:rPr>
          <w:rFonts w:asciiTheme="minorHAnsi" w:hAnsiTheme="minorHAnsi"/>
        </w:rPr>
        <w:t xml:space="preserve">. </w:t>
      </w:r>
      <w:r>
        <w:rPr>
          <w:rFonts w:asciiTheme="minorHAnsi" w:hAnsiTheme="minorHAnsi"/>
        </w:rPr>
        <w:t>C</w:t>
      </w:r>
      <w:r w:rsidR="00146225" w:rsidRPr="003C6F05">
        <w:rPr>
          <w:rFonts w:asciiTheme="minorHAnsi" w:hAnsiTheme="minorHAnsi"/>
        </w:rPr>
        <w:t>ommonly known as the “Inner Noose”</w:t>
      </w:r>
      <w:r>
        <w:rPr>
          <w:rFonts w:asciiTheme="minorHAnsi" w:hAnsiTheme="minorHAnsi"/>
        </w:rPr>
        <w:t>, the Inner Loop</w:t>
      </w:r>
      <w:r w:rsidR="00146225" w:rsidRPr="003C6F05">
        <w:rPr>
          <w:rFonts w:asciiTheme="minorHAnsi" w:hAnsiTheme="minorHAnsi"/>
        </w:rPr>
        <w:t xml:space="preserve"> encircles the city’s downtown area in a sunken expressway, effectively separating </w:t>
      </w:r>
      <w:r w:rsidR="004B100D">
        <w:rPr>
          <w:rFonts w:asciiTheme="minorHAnsi" w:hAnsiTheme="minorHAnsi"/>
        </w:rPr>
        <w:t xml:space="preserve">it and </w:t>
      </w:r>
      <w:r>
        <w:rPr>
          <w:rFonts w:asciiTheme="minorHAnsi" w:hAnsiTheme="minorHAnsi"/>
        </w:rPr>
        <w:t>the neighborhoods th</w:t>
      </w:r>
      <w:r w:rsidR="004B100D">
        <w:rPr>
          <w:rFonts w:asciiTheme="minorHAnsi" w:hAnsiTheme="minorHAnsi"/>
        </w:rPr>
        <w:t>at</w:t>
      </w:r>
      <w:r>
        <w:rPr>
          <w:rFonts w:asciiTheme="minorHAnsi" w:hAnsiTheme="minorHAnsi"/>
        </w:rPr>
        <w:t xml:space="preserve"> surround the</w:t>
      </w:r>
      <w:r w:rsidR="00B82E52">
        <w:rPr>
          <w:rFonts w:asciiTheme="minorHAnsi" w:hAnsiTheme="minorHAnsi"/>
        </w:rPr>
        <w:t xml:space="preserve"> northern part of</w:t>
      </w:r>
      <w:r>
        <w:rPr>
          <w:rFonts w:asciiTheme="minorHAnsi" w:hAnsiTheme="minorHAnsi"/>
        </w:rPr>
        <w:t xml:space="preserve"> downtown</w:t>
      </w:r>
      <w:r w:rsidR="00146225" w:rsidRPr="003C6F05">
        <w:rPr>
          <w:rFonts w:asciiTheme="minorHAnsi" w:hAnsiTheme="minorHAnsi"/>
        </w:rPr>
        <w:t xml:space="preserve"> from the rest of the city (</w:t>
      </w:r>
      <w:r w:rsidR="006B733D">
        <w:rPr>
          <w:rFonts w:asciiTheme="minorHAnsi" w:hAnsiTheme="minorHAnsi"/>
        </w:rPr>
        <w:t xml:space="preserve">Petti, 2017; </w:t>
      </w:r>
      <w:r w:rsidR="00146225" w:rsidRPr="003C6F05">
        <w:rPr>
          <w:rFonts w:asciiTheme="minorHAnsi" w:hAnsiTheme="minorHAnsi"/>
        </w:rPr>
        <w:t>Templeton, 2019).</w:t>
      </w:r>
      <w:r w:rsidR="00B82E52">
        <w:rPr>
          <w:rFonts w:asciiTheme="minorHAnsi" w:hAnsiTheme="minorHAnsi"/>
        </w:rPr>
        <w:t xml:space="preserve"> This area of the city is </w:t>
      </w:r>
      <w:r w:rsidR="00D048B2">
        <w:rPr>
          <w:rFonts w:asciiTheme="minorHAnsi" w:hAnsiTheme="minorHAnsi"/>
        </w:rPr>
        <w:t xml:space="preserve">also </w:t>
      </w:r>
      <w:r w:rsidR="00B82E52">
        <w:rPr>
          <w:rFonts w:asciiTheme="minorHAnsi" w:hAnsiTheme="minorHAnsi"/>
        </w:rPr>
        <w:t xml:space="preserve">commonly </w:t>
      </w:r>
      <w:r w:rsidR="00B82E52" w:rsidRPr="003C6F05">
        <w:rPr>
          <w:rFonts w:asciiTheme="minorHAnsi" w:hAnsiTheme="minorHAnsi"/>
        </w:rPr>
        <w:t xml:space="preserve">known as the “Crescent of Poverty”, </w:t>
      </w:r>
      <w:r w:rsidR="00B82E52">
        <w:rPr>
          <w:rFonts w:asciiTheme="minorHAnsi" w:hAnsiTheme="minorHAnsi"/>
        </w:rPr>
        <w:t>as neighborhoods here</w:t>
      </w:r>
      <w:r w:rsidR="00B82E52" w:rsidRPr="003C6F05">
        <w:rPr>
          <w:rFonts w:asciiTheme="minorHAnsi" w:hAnsiTheme="minorHAnsi"/>
        </w:rPr>
        <w:t xml:space="preserve"> </w:t>
      </w:r>
      <w:r w:rsidR="00B82E52">
        <w:rPr>
          <w:rFonts w:asciiTheme="minorHAnsi" w:hAnsiTheme="minorHAnsi"/>
        </w:rPr>
        <w:t>form</w:t>
      </w:r>
      <w:r w:rsidR="00B82E52" w:rsidRPr="003C6F05">
        <w:rPr>
          <w:rFonts w:asciiTheme="minorHAnsi" w:hAnsiTheme="minorHAnsi"/>
        </w:rPr>
        <w:t xml:space="preserve"> a</w:t>
      </w:r>
      <w:r w:rsidR="00B82E52">
        <w:rPr>
          <w:rFonts w:asciiTheme="minorHAnsi" w:hAnsiTheme="minorHAnsi"/>
        </w:rPr>
        <w:t xml:space="preserve">n aggregate </w:t>
      </w:r>
      <w:r w:rsidR="00B82E52" w:rsidRPr="003C6F05">
        <w:rPr>
          <w:rFonts w:asciiTheme="minorHAnsi" w:hAnsiTheme="minorHAnsi"/>
        </w:rPr>
        <w:t xml:space="preserve">of census tracts </w:t>
      </w:r>
      <w:r w:rsidR="00B82E52">
        <w:rPr>
          <w:rFonts w:asciiTheme="minorHAnsi" w:hAnsiTheme="minorHAnsi"/>
        </w:rPr>
        <w:t>with some of the highest</w:t>
      </w:r>
      <w:r w:rsidR="00B82E52" w:rsidRPr="003C6F05">
        <w:rPr>
          <w:rFonts w:asciiTheme="minorHAnsi" w:hAnsiTheme="minorHAnsi"/>
        </w:rPr>
        <w:t xml:space="preserve"> concentrations of poverty</w:t>
      </w:r>
      <w:r w:rsidR="00B82E52">
        <w:rPr>
          <w:rFonts w:asciiTheme="minorHAnsi" w:hAnsiTheme="minorHAnsi"/>
        </w:rPr>
        <w:t xml:space="preserve"> throughout the </w:t>
      </w:r>
      <w:r w:rsidR="00193A23">
        <w:rPr>
          <w:rFonts w:asciiTheme="minorHAnsi" w:hAnsiTheme="minorHAnsi"/>
        </w:rPr>
        <w:t xml:space="preserve">whole </w:t>
      </w:r>
      <w:r w:rsidR="00B82E52">
        <w:rPr>
          <w:rFonts w:asciiTheme="minorHAnsi" w:hAnsiTheme="minorHAnsi"/>
        </w:rPr>
        <w:t>city (Petti, 2017). Furthermore,</w:t>
      </w:r>
      <w:r w:rsidR="00B82E52" w:rsidRPr="003C6F05">
        <w:rPr>
          <w:rFonts w:asciiTheme="minorHAnsi" w:hAnsiTheme="minorHAnsi"/>
        </w:rPr>
        <w:t xml:space="preserve"> </w:t>
      </w:r>
      <w:r w:rsidR="00B82E52">
        <w:rPr>
          <w:rFonts w:asciiTheme="minorHAnsi" w:hAnsiTheme="minorHAnsi"/>
        </w:rPr>
        <w:t>t</w:t>
      </w:r>
      <w:r w:rsidR="00146225" w:rsidRPr="003C6F05">
        <w:rPr>
          <w:rFonts w:asciiTheme="minorHAnsi" w:hAnsiTheme="minorHAnsi"/>
        </w:rPr>
        <w:t>he development of</w:t>
      </w:r>
      <w:r>
        <w:rPr>
          <w:rFonts w:asciiTheme="minorHAnsi" w:hAnsiTheme="minorHAnsi"/>
        </w:rPr>
        <w:t xml:space="preserve"> </w:t>
      </w:r>
      <w:r w:rsidR="00146225" w:rsidRPr="003C6F05">
        <w:rPr>
          <w:rFonts w:asciiTheme="minorHAnsi" w:hAnsiTheme="minorHAnsi"/>
        </w:rPr>
        <w:t>roadway project</w:t>
      </w:r>
      <w:r w:rsidR="004B100D">
        <w:rPr>
          <w:rFonts w:asciiTheme="minorHAnsi" w:hAnsiTheme="minorHAnsi"/>
        </w:rPr>
        <w:t>s such as the Inner Loop</w:t>
      </w:r>
      <w:r w:rsidR="00146225" w:rsidRPr="003C6F05">
        <w:rPr>
          <w:rFonts w:asciiTheme="minorHAnsi" w:hAnsiTheme="minorHAnsi"/>
        </w:rPr>
        <w:t xml:space="preserve"> ha</w:t>
      </w:r>
      <w:r>
        <w:rPr>
          <w:rFonts w:asciiTheme="minorHAnsi" w:hAnsiTheme="minorHAnsi"/>
        </w:rPr>
        <w:t>s</w:t>
      </w:r>
      <w:r w:rsidR="00146225" w:rsidRPr="003C6F05">
        <w:rPr>
          <w:rFonts w:asciiTheme="minorHAnsi" w:hAnsiTheme="minorHAnsi"/>
        </w:rPr>
        <w:t xml:space="preserve"> led to the amplification of numerous </w:t>
      </w:r>
      <w:r w:rsidR="00D545B2">
        <w:rPr>
          <w:rFonts w:asciiTheme="minorHAnsi" w:hAnsiTheme="minorHAnsi"/>
        </w:rPr>
        <w:t xml:space="preserve">negative </w:t>
      </w:r>
      <w:r w:rsidR="00146225" w:rsidRPr="003C6F05">
        <w:rPr>
          <w:rFonts w:asciiTheme="minorHAnsi" w:hAnsiTheme="minorHAnsi"/>
        </w:rPr>
        <w:t xml:space="preserve">environmental </w:t>
      </w:r>
      <w:r w:rsidR="00D048B2">
        <w:rPr>
          <w:rFonts w:asciiTheme="minorHAnsi" w:hAnsiTheme="minorHAnsi"/>
        </w:rPr>
        <w:t>impact</w:t>
      </w:r>
      <w:r w:rsidR="00146225" w:rsidRPr="003C6F05">
        <w:rPr>
          <w:rFonts w:asciiTheme="minorHAnsi" w:hAnsiTheme="minorHAnsi"/>
        </w:rPr>
        <w:t>s</w:t>
      </w:r>
      <w:r w:rsidR="00D048B2">
        <w:rPr>
          <w:rFonts w:asciiTheme="minorHAnsi" w:hAnsiTheme="minorHAnsi"/>
        </w:rPr>
        <w:t xml:space="preserve"> to land cover change and land </w:t>
      </w:r>
      <w:r w:rsidR="00D048B2">
        <w:rPr>
          <w:rFonts w:asciiTheme="minorHAnsi" w:hAnsiTheme="minorHAnsi"/>
        </w:rPr>
        <w:lastRenderedPageBreak/>
        <w:t>use</w:t>
      </w:r>
      <w:r w:rsidR="00146225" w:rsidRPr="003C6F05">
        <w:rPr>
          <w:rFonts w:asciiTheme="minorHAnsi" w:hAnsiTheme="minorHAnsi"/>
        </w:rPr>
        <w:t xml:space="preserve"> </w:t>
      </w:r>
      <w:r w:rsidR="00D048B2">
        <w:rPr>
          <w:rFonts w:asciiTheme="minorHAnsi" w:hAnsiTheme="minorHAnsi"/>
        </w:rPr>
        <w:t>in</w:t>
      </w:r>
      <w:r w:rsidR="00146225" w:rsidRPr="003C6F05">
        <w:rPr>
          <w:rFonts w:asciiTheme="minorHAnsi" w:hAnsiTheme="minorHAnsi"/>
        </w:rPr>
        <w:t xml:space="preserve"> these communities</w:t>
      </w:r>
      <w:r w:rsidR="00A874D8">
        <w:rPr>
          <w:rFonts w:asciiTheme="minorHAnsi" w:hAnsiTheme="minorHAnsi"/>
        </w:rPr>
        <w:t>;</w:t>
      </w:r>
      <w:r w:rsidR="00146225" w:rsidRPr="003C6F05">
        <w:rPr>
          <w:rFonts w:asciiTheme="minorHAnsi" w:hAnsiTheme="minorHAnsi"/>
        </w:rPr>
        <w:t xml:space="preserve"> </w:t>
      </w:r>
      <w:r w:rsidR="00A874D8">
        <w:rPr>
          <w:rFonts w:asciiTheme="minorHAnsi" w:hAnsiTheme="minorHAnsi"/>
        </w:rPr>
        <w:t xml:space="preserve">these </w:t>
      </w:r>
      <w:r w:rsidR="00D545B2">
        <w:rPr>
          <w:rFonts w:asciiTheme="minorHAnsi" w:hAnsiTheme="minorHAnsi"/>
        </w:rPr>
        <w:t>impacts</w:t>
      </w:r>
      <w:r w:rsidR="00A874D8">
        <w:rPr>
          <w:rFonts w:asciiTheme="minorHAnsi" w:hAnsiTheme="minorHAnsi"/>
        </w:rPr>
        <w:t xml:space="preserve"> include</w:t>
      </w:r>
      <w:r w:rsidR="00146225" w:rsidRPr="003C6F05">
        <w:rPr>
          <w:rFonts w:asciiTheme="minorHAnsi" w:hAnsiTheme="minorHAnsi"/>
        </w:rPr>
        <w:t xml:space="preserve"> increased land surface temperatures, </w:t>
      </w:r>
      <w:r w:rsidR="001A21C7" w:rsidRPr="003C6F05">
        <w:rPr>
          <w:rFonts w:asciiTheme="minorHAnsi" w:hAnsiTheme="minorHAnsi"/>
        </w:rPr>
        <w:t>intensified exposure to air pollutants from vehicles</w:t>
      </w:r>
      <w:r w:rsidR="001A21C7">
        <w:rPr>
          <w:rFonts w:asciiTheme="minorHAnsi" w:hAnsiTheme="minorHAnsi"/>
        </w:rPr>
        <w:t xml:space="preserve">, and </w:t>
      </w:r>
      <w:r w:rsidR="00146225" w:rsidRPr="003C6F05">
        <w:rPr>
          <w:rFonts w:asciiTheme="minorHAnsi" w:hAnsiTheme="minorHAnsi"/>
        </w:rPr>
        <w:t>decreases to accessible UGS (Neb</w:t>
      </w:r>
      <w:r w:rsidR="00CE37CF">
        <w:rPr>
          <w:rFonts w:asciiTheme="minorHAnsi" w:hAnsiTheme="minorHAnsi"/>
        </w:rPr>
        <w:t>a</w:t>
      </w:r>
      <w:r w:rsidR="00146225" w:rsidRPr="003C6F05">
        <w:rPr>
          <w:rFonts w:asciiTheme="minorHAnsi" w:hAnsiTheme="minorHAnsi"/>
        </w:rPr>
        <w:t>l and Brom, 2018; Patton et al., 2014)</w:t>
      </w:r>
      <w:r>
        <w:rPr>
          <w:rFonts w:asciiTheme="minorHAnsi" w:hAnsiTheme="minorHAnsi"/>
        </w:rPr>
        <w:t>.</w:t>
      </w:r>
      <w:r w:rsidR="00146225" w:rsidRPr="003C6F05">
        <w:rPr>
          <w:rFonts w:asciiTheme="minorHAnsi" w:hAnsiTheme="minorHAnsi"/>
        </w:rPr>
        <w:t xml:space="preserve"> </w:t>
      </w:r>
      <w:r w:rsidR="00686760">
        <w:rPr>
          <w:rFonts w:asciiTheme="minorHAnsi" w:hAnsiTheme="minorHAnsi"/>
        </w:rPr>
        <w:t>Efforts</w:t>
      </w:r>
      <w:r w:rsidR="00146225" w:rsidRPr="003C6F05">
        <w:rPr>
          <w:rFonts w:asciiTheme="minorHAnsi" w:hAnsiTheme="minorHAnsi"/>
        </w:rPr>
        <w:t xml:space="preserve"> </w:t>
      </w:r>
      <w:r w:rsidR="00686760">
        <w:rPr>
          <w:rFonts w:asciiTheme="minorHAnsi" w:hAnsiTheme="minorHAnsi"/>
        </w:rPr>
        <w:t>have been</w:t>
      </w:r>
      <w:r w:rsidR="00146225" w:rsidRPr="003C6F05">
        <w:rPr>
          <w:rFonts w:asciiTheme="minorHAnsi" w:hAnsiTheme="minorHAnsi"/>
        </w:rPr>
        <w:t xml:space="preserve"> made by </w:t>
      </w:r>
      <w:r w:rsidR="007B58A2">
        <w:rPr>
          <w:rFonts w:asciiTheme="minorHAnsi" w:hAnsiTheme="minorHAnsi"/>
        </w:rPr>
        <w:t xml:space="preserve">the city of </w:t>
      </w:r>
      <w:r w:rsidR="00146225" w:rsidRPr="003C6F05">
        <w:rPr>
          <w:rFonts w:asciiTheme="minorHAnsi" w:hAnsiTheme="minorHAnsi"/>
        </w:rPr>
        <w:t xml:space="preserve">Rochester to </w:t>
      </w:r>
      <w:r w:rsidR="007B58A2">
        <w:rPr>
          <w:rFonts w:asciiTheme="minorHAnsi" w:hAnsiTheme="minorHAnsi"/>
        </w:rPr>
        <w:t>lessen</w:t>
      </w:r>
      <w:r w:rsidR="00146225" w:rsidRPr="003C6F05">
        <w:rPr>
          <w:rFonts w:asciiTheme="minorHAnsi" w:hAnsiTheme="minorHAnsi"/>
        </w:rPr>
        <w:t xml:space="preserve"> the adverse effects of the </w:t>
      </w:r>
      <w:r w:rsidR="003E27D9">
        <w:rPr>
          <w:rFonts w:asciiTheme="minorHAnsi" w:hAnsiTheme="minorHAnsi"/>
        </w:rPr>
        <w:t>I</w:t>
      </w:r>
      <w:r w:rsidR="00146225" w:rsidRPr="003C6F05">
        <w:rPr>
          <w:rFonts w:asciiTheme="minorHAnsi" w:hAnsiTheme="minorHAnsi"/>
        </w:rPr>
        <w:t xml:space="preserve">nner </w:t>
      </w:r>
      <w:r w:rsidR="003E27D9">
        <w:rPr>
          <w:rFonts w:asciiTheme="minorHAnsi" w:hAnsiTheme="minorHAnsi"/>
        </w:rPr>
        <w:t>L</w:t>
      </w:r>
      <w:r w:rsidR="00146225" w:rsidRPr="003C6F05">
        <w:rPr>
          <w:rFonts w:asciiTheme="minorHAnsi" w:hAnsiTheme="minorHAnsi"/>
        </w:rPr>
        <w:t>oop by filling parts of it in and constructing housing</w:t>
      </w:r>
      <w:r w:rsidR="00146225">
        <w:rPr>
          <w:rFonts w:asciiTheme="minorHAnsi" w:hAnsiTheme="minorHAnsi"/>
        </w:rPr>
        <w:t xml:space="preserve"> and commercial</w:t>
      </w:r>
      <w:r w:rsidR="00146225" w:rsidRPr="003C6F05">
        <w:rPr>
          <w:rFonts w:asciiTheme="minorHAnsi" w:hAnsiTheme="minorHAnsi"/>
        </w:rPr>
        <w:t xml:space="preserve"> units where it once stood (</w:t>
      </w:r>
      <w:r w:rsidR="006B733D">
        <w:rPr>
          <w:rFonts w:asciiTheme="minorHAnsi" w:hAnsiTheme="minorHAnsi"/>
        </w:rPr>
        <w:t xml:space="preserve">Petti, 2017; </w:t>
      </w:r>
      <w:r w:rsidR="00146225" w:rsidRPr="003C6F05">
        <w:rPr>
          <w:rFonts w:asciiTheme="minorHAnsi" w:hAnsiTheme="minorHAnsi"/>
        </w:rPr>
        <w:t>Templeton, 2019)</w:t>
      </w:r>
      <w:r w:rsidR="00686760">
        <w:rPr>
          <w:rFonts w:asciiTheme="minorHAnsi" w:hAnsiTheme="minorHAnsi"/>
        </w:rPr>
        <w:t>. However,</w:t>
      </w:r>
      <w:r w:rsidR="00146225" w:rsidRPr="003C6F05">
        <w:rPr>
          <w:rFonts w:asciiTheme="minorHAnsi" w:hAnsiTheme="minorHAnsi"/>
        </w:rPr>
        <w:t xml:space="preserve"> the impacts of </w:t>
      </w:r>
      <w:r w:rsidR="00146225">
        <w:rPr>
          <w:rFonts w:asciiTheme="minorHAnsi" w:hAnsiTheme="minorHAnsi"/>
        </w:rPr>
        <w:t xml:space="preserve">the city’s car-centric urbanization and </w:t>
      </w:r>
      <w:r w:rsidR="00146225" w:rsidRPr="003C6F05">
        <w:rPr>
          <w:rFonts w:asciiTheme="minorHAnsi" w:hAnsiTheme="minorHAnsi"/>
        </w:rPr>
        <w:t>disinvestment in redlined neighborhoods</w:t>
      </w:r>
      <w:r w:rsidR="007B58A2">
        <w:rPr>
          <w:rFonts w:asciiTheme="minorHAnsi" w:hAnsiTheme="minorHAnsi"/>
        </w:rPr>
        <w:t xml:space="preserve"> </w:t>
      </w:r>
      <w:r w:rsidR="00146225" w:rsidRPr="003C6F05">
        <w:rPr>
          <w:rFonts w:asciiTheme="minorHAnsi" w:hAnsiTheme="minorHAnsi"/>
        </w:rPr>
        <w:t>still exist</w:t>
      </w:r>
      <w:r w:rsidR="007B58A2">
        <w:rPr>
          <w:rFonts w:asciiTheme="minorHAnsi" w:hAnsiTheme="minorHAnsi"/>
        </w:rPr>
        <w:t xml:space="preserve"> t</w:t>
      </w:r>
      <w:r w:rsidR="00146225" w:rsidRPr="003C6F05">
        <w:rPr>
          <w:rFonts w:asciiTheme="minorHAnsi" w:hAnsiTheme="minorHAnsi"/>
        </w:rPr>
        <w:t xml:space="preserve">oday. </w:t>
      </w:r>
    </w:p>
    <w:p w14:paraId="1F06A15C" w14:textId="77777777" w:rsidR="00053DCA" w:rsidRDefault="00053DCA" w:rsidP="006B3020">
      <w:pPr>
        <w:spacing w:line="360" w:lineRule="auto"/>
        <w:rPr>
          <w:rFonts w:asciiTheme="minorHAnsi" w:hAnsiTheme="minorHAnsi"/>
        </w:rPr>
      </w:pPr>
    </w:p>
    <w:p w14:paraId="5F119881" w14:textId="54EE9155" w:rsidR="006B3020" w:rsidRPr="006B3020" w:rsidRDefault="006B3020" w:rsidP="006C1A9F">
      <w:pPr>
        <w:pStyle w:val="ListParagraph"/>
        <w:numPr>
          <w:ilvl w:val="1"/>
          <w:numId w:val="2"/>
        </w:numPr>
        <w:spacing w:line="360" w:lineRule="auto"/>
        <w:rPr>
          <w:i/>
          <w:iCs/>
        </w:rPr>
      </w:pPr>
      <w:r w:rsidRPr="006B3020">
        <w:rPr>
          <w:i/>
          <w:iCs/>
        </w:rPr>
        <w:t>Objectives and Hypothes</w:t>
      </w:r>
      <w:r w:rsidR="00FC706A">
        <w:rPr>
          <w:i/>
          <w:iCs/>
        </w:rPr>
        <w:t>e</w:t>
      </w:r>
      <w:r w:rsidRPr="006B3020">
        <w:rPr>
          <w:i/>
          <w:iCs/>
        </w:rPr>
        <w:t xml:space="preserve">s </w:t>
      </w:r>
    </w:p>
    <w:p w14:paraId="46A63C25" w14:textId="37C8A82D" w:rsidR="00BA674C" w:rsidRDefault="00686760" w:rsidP="00BA674C">
      <w:pPr>
        <w:pStyle w:val="NoSpacing"/>
        <w:spacing w:line="360" w:lineRule="auto"/>
        <w:ind w:firstLine="520"/>
        <w:rPr>
          <w:rFonts w:asciiTheme="minorHAnsi" w:hAnsiTheme="minorHAnsi"/>
          <w:bCs/>
          <w:sz w:val="24"/>
          <w:szCs w:val="24"/>
        </w:rPr>
      </w:pPr>
      <w:r>
        <w:rPr>
          <w:rFonts w:asciiTheme="minorHAnsi" w:hAnsiTheme="minorHAnsi"/>
          <w:sz w:val="24"/>
          <w:szCs w:val="24"/>
        </w:rPr>
        <w:t xml:space="preserve">To understand </w:t>
      </w:r>
      <w:r w:rsidR="00F462D0">
        <w:rPr>
          <w:rFonts w:asciiTheme="minorHAnsi" w:hAnsiTheme="minorHAnsi"/>
          <w:sz w:val="24"/>
          <w:szCs w:val="24"/>
        </w:rPr>
        <w:t xml:space="preserve">the inequality of UES supply in the city of Rochester, </w:t>
      </w:r>
      <w:r w:rsidR="00474FD7">
        <w:rPr>
          <w:rFonts w:asciiTheme="minorHAnsi" w:hAnsiTheme="minorHAnsi"/>
          <w:sz w:val="24"/>
          <w:szCs w:val="24"/>
        </w:rPr>
        <w:t xml:space="preserve">we </w:t>
      </w:r>
      <w:r w:rsidR="00F462D0">
        <w:rPr>
          <w:rFonts w:asciiTheme="minorHAnsi" w:hAnsiTheme="minorHAnsi"/>
          <w:sz w:val="24"/>
          <w:szCs w:val="24"/>
        </w:rPr>
        <w:t>examined</w:t>
      </w:r>
      <w:r w:rsidR="009613A6">
        <w:rPr>
          <w:rFonts w:asciiTheme="minorHAnsi" w:hAnsiTheme="minorHAnsi"/>
          <w:sz w:val="24"/>
          <w:szCs w:val="24"/>
        </w:rPr>
        <w:t xml:space="preserve"> whether the distribution of UES supply </w:t>
      </w:r>
      <w:r w:rsidR="00F462D0">
        <w:rPr>
          <w:rFonts w:asciiTheme="minorHAnsi" w:hAnsiTheme="minorHAnsi"/>
          <w:sz w:val="24"/>
          <w:szCs w:val="24"/>
        </w:rPr>
        <w:t>is associated</w:t>
      </w:r>
      <w:r w:rsidR="009613A6">
        <w:rPr>
          <w:rFonts w:asciiTheme="minorHAnsi" w:hAnsiTheme="minorHAnsi"/>
          <w:sz w:val="24"/>
          <w:szCs w:val="24"/>
        </w:rPr>
        <w:t xml:space="preserve"> </w:t>
      </w:r>
      <w:r w:rsidR="00F462D0">
        <w:rPr>
          <w:rFonts w:asciiTheme="minorHAnsi" w:hAnsiTheme="minorHAnsi"/>
          <w:sz w:val="24"/>
          <w:szCs w:val="24"/>
        </w:rPr>
        <w:t xml:space="preserve">with </w:t>
      </w:r>
      <w:r w:rsidR="002B6B34">
        <w:rPr>
          <w:rFonts w:asciiTheme="minorHAnsi" w:hAnsiTheme="minorHAnsi"/>
          <w:sz w:val="24"/>
          <w:szCs w:val="24"/>
        </w:rPr>
        <w:t xml:space="preserve">contemporary socioeconomic characteristics in city neighborhoods and </w:t>
      </w:r>
      <w:r w:rsidR="00F462D0">
        <w:rPr>
          <w:rFonts w:asciiTheme="minorHAnsi" w:hAnsiTheme="minorHAnsi"/>
          <w:sz w:val="24"/>
          <w:szCs w:val="24"/>
        </w:rPr>
        <w:t>historic redlining</w:t>
      </w:r>
      <w:r w:rsidR="002B6B34">
        <w:rPr>
          <w:rFonts w:asciiTheme="minorHAnsi" w:hAnsiTheme="minorHAnsi"/>
          <w:sz w:val="24"/>
          <w:szCs w:val="24"/>
        </w:rPr>
        <w:t xml:space="preserve"> decisions</w:t>
      </w:r>
      <w:r w:rsidR="00E75F6F">
        <w:rPr>
          <w:rFonts w:asciiTheme="minorHAnsi" w:hAnsiTheme="minorHAnsi"/>
          <w:sz w:val="24"/>
          <w:szCs w:val="24"/>
        </w:rPr>
        <w:t>.</w:t>
      </w:r>
      <w:r w:rsidR="00F42060">
        <w:rPr>
          <w:rFonts w:asciiTheme="minorHAnsi" w:hAnsiTheme="minorHAnsi"/>
          <w:sz w:val="24"/>
          <w:szCs w:val="24"/>
        </w:rPr>
        <w:t xml:space="preserve"> </w:t>
      </w:r>
      <w:r w:rsidR="00474FD7">
        <w:rPr>
          <w:rFonts w:asciiTheme="minorHAnsi" w:hAnsiTheme="minorHAnsi"/>
          <w:bCs/>
          <w:sz w:val="24"/>
          <w:szCs w:val="24"/>
        </w:rPr>
        <w:t xml:space="preserve">We </w:t>
      </w:r>
      <w:r w:rsidR="006B3020">
        <w:rPr>
          <w:rFonts w:asciiTheme="minorHAnsi" w:hAnsiTheme="minorHAnsi"/>
          <w:bCs/>
          <w:sz w:val="24"/>
          <w:szCs w:val="24"/>
        </w:rPr>
        <w:t xml:space="preserve">predicted that </w:t>
      </w:r>
      <w:r w:rsidR="00474FD7">
        <w:rPr>
          <w:rFonts w:asciiTheme="minorHAnsi" w:hAnsiTheme="minorHAnsi"/>
          <w:bCs/>
          <w:sz w:val="24"/>
          <w:szCs w:val="24"/>
        </w:rPr>
        <w:t xml:space="preserve">we </w:t>
      </w:r>
      <w:r w:rsidR="006B3020">
        <w:rPr>
          <w:rFonts w:asciiTheme="minorHAnsi" w:hAnsiTheme="minorHAnsi"/>
          <w:bCs/>
          <w:sz w:val="24"/>
          <w:szCs w:val="24"/>
        </w:rPr>
        <w:t xml:space="preserve">would find a strong </w:t>
      </w:r>
      <w:r w:rsidR="00516388">
        <w:rPr>
          <w:rFonts w:asciiTheme="minorHAnsi" w:hAnsiTheme="minorHAnsi"/>
          <w:bCs/>
          <w:sz w:val="24"/>
          <w:szCs w:val="24"/>
        </w:rPr>
        <w:t>correlation</w:t>
      </w:r>
      <w:r w:rsidR="006B3020">
        <w:rPr>
          <w:rFonts w:asciiTheme="minorHAnsi" w:hAnsiTheme="minorHAnsi"/>
          <w:bCs/>
          <w:sz w:val="24"/>
          <w:szCs w:val="24"/>
        </w:rPr>
        <w:t xml:space="preserve"> between a block group’s UES supply and their current </w:t>
      </w:r>
      <w:r w:rsidR="00516388">
        <w:rPr>
          <w:rFonts w:asciiTheme="minorHAnsi" w:hAnsiTheme="minorHAnsi"/>
          <w:bCs/>
          <w:sz w:val="24"/>
          <w:szCs w:val="24"/>
        </w:rPr>
        <w:t>SES</w:t>
      </w:r>
      <w:r w:rsidR="006B3020">
        <w:rPr>
          <w:rFonts w:asciiTheme="minorHAnsi" w:hAnsiTheme="minorHAnsi"/>
          <w:bCs/>
          <w:sz w:val="24"/>
          <w:szCs w:val="24"/>
        </w:rPr>
        <w:t xml:space="preserve">. </w:t>
      </w:r>
      <w:r w:rsidR="00474FD7">
        <w:rPr>
          <w:rFonts w:asciiTheme="minorHAnsi" w:hAnsiTheme="minorHAnsi"/>
          <w:bCs/>
          <w:sz w:val="24"/>
          <w:szCs w:val="24"/>
        </w:rPr>
        <w:t xml:space="preserve">We </w:t>
      </w:r>
      <w:r w:rsidR="001B1E84">
        <w:rPr>
          <w:rFonts w:asciiTheme="minorHAnsi" w:hAnsiTheme="minorHAnsi"/>
          <w:bCs/>
          <w:sz w:val="24"/>
          <w:szCs w:val="24"/>
        </w:rPr>
        <w:t xml:space="preserve">anticipated this relationship to occur as previous studies have found relationships between SES and UGS distribution (Lockwood and Berland, 2019; Rigolon, 2018; Watkins and Gerrish, 2018). </w:t>
      </w:r>
      <w:r w:rsidR="0026521C">
        <w:rPr>
          <w:rFonts w:asciiTheme="minorHAnsi" w:hAnsiTheme="minorHAnsi"/>
          <w:bCs/>
          <w:sz w:val="24"/>
          <w:szCs w:val="24"/>
        </w:rPr>
        <w:t xml:space="preserve">Therefore, since </w:t>
      </w:r>
      <w:r w:rsidR="00B07BD1">
        <w:rPr>
          <w:rFonts w:asciiTheme="minorHAnsi" w:hAnsiTheme="minorHAnsi"/>
          <w:bCs/>
          <w:sz w:val="24"/>
          <w:szCs w:val="24"/>
        </w:rPr>
        <w:t>UGS</w:t>
      </w:r>
      <w:r w:rsidR="0026521C">
        <w:rPr>
          <w:rFonts w:asciiTheme="minorHAnsi" w:hAnsiTheme="minorHAnsi"/>
          <w:bCs/>
          <w:sz w:val="24"/>
          <w:szCs w:val="24"/>
        </w:rPr>
        <w:t xml:space="preserve"> are inequitably distributed in cities, so would the </w:t>
      </w:r>
      <w:r w:rsidR="00B07BD1">
        <w:rPr>
          <w:rFonts w:asciiTheme="minorHAnsi" w:hAnsiTheme="minorHAnsi"/>
          <w:bCs/>
          <w:sz w:val="24"/>
          <w:szCs w:val="24"/>
        </w:rPr>
        <w:t>UES</w:t>
      </w:r>
      <w:r w:rsidR="0026521C">
        <w:rPr>
          <w:rFonts w:asciiTheme="minorHAnsi" w:hAnsiTheme="minorHAnsi"/>
          <w:bCs/>
          <w:sz w:val="24"/>
          <w:szCs w:val="24"/>
        </w:rPr>
        <w:t xml:space="preserve"> that they produce. </w:t>
      </w:r>
      <w:r w:rsidR="006B3020">
        <w:rPr>
          <w:rFonts w:asciiTheme="minorHAnsi" w:hAnsiTheme="minorHAnsi"/>
          <w:bCs/>
          <w:sz w:val="24"/>
          <w:szCs w:val="24"/>
        </w:rPr>
        <w:t xml:space="preserve">Secondly, </w:t>
      </w:r>
      <w:r w:rsidR="00474FD7">
        <w:rPr>
          <w:rFonts w:asciiTheme="minorHAnsi" w:hAnsiTheme="minorHAnsi"/>
          <w:bCs/>
          <w:sz w:val="24"/>
          <w:szCs w:val="24"/>
        </w:rPr>
        <w:t xml:space="preserve">we </w:t>
      </w:r>
      <w:r w:rsidR="006B3020">
        <w:rPr>
          <w:rFonts w:asciiTheme="minorHAnsi" w:hAnsiTheme="minorHAnsi"/>
          <w:bCs/>
          <w:sz w:val="24"/>
          <w:szCs w:val="24"/>
        </w:rPr>
        <w:t xml:space="preserve">anticipated that there would also be a correlation between the HOLC grade previously assigned to a neighborhood and its current supply of UES. </w:t>
      </w:r>
      <w:r w:rsidR="00474FD7">
        <w:rPr>
          <w:rFonts w:asciiTheme="minorHAnsi" w:hAnsiTheme="minorHAnsi"/>
          <w:bCs/>
          <w:sz w:val="24"/>
          <w:szCs w:val="24"/>
        </w:rPr>
        <w:t xml:space="preserve">We </w:t>
      </w:r>
      <w:r w:rsidR="0026521C">
        <w:rPr>
          <w:rFonts w:asciiTheme="minorHAnsi" w:hAnsiTheme="minorHAnsi"/>
          <w:bCs/>
          <w:sz w:val="24"/>
          <w:szCs w:val="24"/>
        </w:rPr>
        <w:t xml:space="preserve">expected that higher HOLC graded neighborhoods would have greater overall UES supply as previous research has shown how HOLC grades have influenced the distribution of urban tree cover in cities (Namin et al., 2020), and subsequently </w:t>
      </w:r>
      <w:r w:rsidR="00A874D8">
        <w:rPr>
          <w:rFonts w:asciiTheme="minorHAnsi" w:hAnsiTheme="minorHAnsi"/>
          <w:bCs/>
          <w:sz w:val="24"/>
          <w:szCs w:val="24"/>
        </w:rPr>
        <w:t>a lack of UES</w:t>
      </w:r>
      <w:r w:rsidR="0026521C">
        <w:rPr>
          <w:rFonts w:asciiTheme="minorHAnsi" w:hAnsiTheme="minorHAnsi"/>
          <w:bCs/>
          <w:sz w:val="24"/>
          <w:szCs w:val="24"/>
        </w:rPr>
        <w:t xml:space="preserve"> such as </w:t>
      </w:r>
      <w:r w:rsidR="00A874D8">
        <w:rPr>
          <w:rFonts w:asciiTheme="minorHAnsi" w:hAnsiTheme="minorHAnsi"/>
          <w:bCs/>
          <w:sz w:val="24"/>
          <w:szCs w:val="24"/>
        </w:rPr>
        <w:t>local climate regulation</w:t>
      </w:r>
      <w:r w:rsidR="0026521C">
        <w:rPr>
          <w:rFonts w:asciiTheme="minorHAnsi" w:hAnsiTheme="minorHAnsi"/>
          <w:bCs/>
          <w:sz w:val="24"/>
          <w:szCs w:val="24"/>
        </w:rPr>
        <w:t xml:space="preserve"> (Hoffman et al., 2020)</w:t>
      </w:r>
      <w:r w:rsidR="0026521C" w:rsidRPr="00E75F6F">
        <w:rPr>
          <w:rFonts w:asciiTheme="minorHAnsi" w:hAnsiTheme="minorHAnsi"/>
          <w:bCs/>
          <w:sz w:val="24"/>
          <w:szCs w:val="24"/>
        </w:rPr>
        <w:t xml:space="preserve">. </w:t>
      </w:r>
      <w:r w:rsidR="00781BB9">
        <w:rPr>
          <w:rFonts w:asciiTheme="minorHAnsi" w:hAnsiTheme="minorHAnsi"/>
          <w:bCs/>
          <w:sz w:val="24"/>
          <w:szCs w:val="24"/>
        </w:rPr>
        <w:t xml:space="preserve">By </w:t>
      </w:r>
      <w:r w:rsidR="00B07BD1">
        <w:rPr>
          <w:rFonts w:asciiTheme="minorHAnsi" w:hAnsiTheme="minorHAnsi"/>
          <w:bCs/>
          <w:sz w:val="24"/>
          <w:szCs w:val="24"/>
        </w:rPr>
        <w:t xml:space="preserve">examining how UES varies by modern </w:t>
      </w:r>
      <w:r w:rsidR="009374F1">
        <w:rPr>
          <w:rFonts w:asciiTheme="minorHAnsi" w:hAnsiTheme="minorHAnsi"/>
          <w:bCs/>
          <w:sz w:val="24"/>
          <w:szCs w:val="24"/>
        </w:rPr>
        <w:t xml:space="preserve">and historic </w:t>
      </w:r>
      <w:r w:rsidR="00B07BD1">
        <w:rPr>
          <w:rFonts w:asciiTheme="minorHAnsi" w:hAnsiTheme="minorHAnsi"/>
          <w:bCs/>
          <w:sz w:val="24"/>
          <w:szCs w:val="24"/>
        </w:rPr>
        <w:t>SES conditions</w:t>
      </w:r>
      <w:r w:rsidR="00781BB9">
        <w:rPr>
          <w:rFonts w:asciiTheme="minorHAnsi" w:hAnsiTheme="minorHAnsi"/>
          <w:bCs/>
          <w:sz w:val="24"/>
          <w:szCs w:val="24"/>
        </w:rPr>
        <w:t xml:space="preserve">, </w:t>
      </w:r>
      <w:r w:rsidR="00474FD7">
        <w:rPr>
          <w:rFonts w:asciiTheme="minorHAnsi" w:hAnsiTheme="minorHAnsi"/>
          <w:bCs/>
          <w:sz w:val="24"/>
          <w:szCs w:val="24"/>
        </w:rPr>
        <w:t>these results would inform</w:t>
      </w:r>
      <w:r w:rsidR="00B07BD1">
        <w:rPr>
          <w:rFonts w:asciiTheme="minorHAnsi" w:hAnsiTheme="minorHAnsi"/>
          <w:bCs/>
          <w:sz w:val="24"/>
          <w:szCs w:val="24"/>
        </w:rPr>
        <w:t xml:space="preserve"> interested parties </w:t>
      </w:r>
      <w:r w:rsidR="00781BB9">
        <w:rPr>
          <w:rFonts w:asciiTheme="minorHAnsi" w:hAnsiTheme="minorHAnsi"/>
          <w:bCs/>
          <w:sz w:val="24"/>
          <w:szCs w:val="24"/>
        </w:rPr>
        <w:t xml:space="preserve">on </w:t>
      </w:r>
      <w:r w:rsidR="00B07BD1">
        <w:rPr>
          <w:rFonts w:asciiTheme="minorHAnsi" w:hAnsiTheme="minorHAnsi"/>
          <w:bCs/>
          <w:sz w:val="24"/>
          <w:szCs w:val="24"/>
        </w:rPr>
        <w:t xml:space="preserve">the </w:t>
      </w:r>
      <w:r w:rsidR="00E75F6F">
        <w:rPr>
          <w:rFonts w:asciiTheme="minorHAnsi" w:hAnsiTheme="minorHAnsi"/>
          <w:bCs/>
          <w:sz w:val="24"/>
          <w:szCs w:val="24"/>
        </w:rPr>
        <w:t xml:space="preserve">environmental inequality </w:t>
      </w:r>
      <w:r w:rsidR="00B07BD1">
        <w:rPr>
          <w:rFonts w:asciiTheme="minorHAnsi" w:hAnsiTheme="minorHAnsi"/>
          <w:bCs/>
          <w:sz w:val="24"/>
          <w:szCs w:val="24"/>
        </w:rPr>
        <w:t>within the city</w:t>
      </w:r>
      <w:r w:rsidR="00781BB9">
        <w:rPr>
          <w:rFonts w:asciiTheme="minorHAnsi" w:hAnsiTheme="minorHAnsi"/>
          <w:bCs/>
          <w:sz w:val="24"/>
          <w:szCs w:val="24"/>
        </w:rPr>
        <w:t xml:space="preserve">. Through providing a framework for identifying environmental inequality, </w:t>
      </w:r>
      <w:r w:rsidR="00737791">
        <w:rPr>
          <w:rFonts w:asciiTheme="minorHAnsi" w:hAnsiTheme="minorHAnsi"/>
          <w:bCs/>
          <w:sz w:val="24"/>
          <w:szCs w:val="24"/>
        </w:rPr>
        <w:t>interested parties</w:t>
      </w:r>
      <w:r w:rsidR="00781BB9">
        <w:rPr>
          <w:rFonts w:asciiTheme="minorHAnsi" w:hAnsiTheme="minorHAnsi"/>
          <w:bCs/>
          <w:sz w:val="24"/>
          <w:szCs w:val="24"/>
        </w:rPr>
        <w:t xml:space="preserve"> will be able to </w:t>
      </w:r>
      <w:r w:rsidR="00737791">
        <w:rPr>
          <w:rFonts w:asciiTheme="minorHAnsi" w:hAnsiTheme="minorHAnsi"/>
          <w:bCs/>
          <w:sz w:val="24"/>
          <w:szCs w:val="24"/>
        </w:rPr>
        <w:t xml:space="preserve">help </w:t>
      </w:r>
      <w:r w:rsidR="00781BB9">
        <w:rPr>
          <w:rFonts w:asciiTheme="minorHAnsi" w:hAnsiTheme="minorHAnsi"/>
          <w:bCs/>
          <w:sz w:val="24"/>
          <w:szCs w:val="24"/>
        </w:rPr>
        <w:t xml:space="preserve">improve </w:t>
      </w:r>
      <w:r w:rsidR="00737791">
        <w:rPr>
          <w:rFonts w:asciiTheme="minorHAnsi" w:hAnsiTheme="minorHAnsi"/>
          <w:bCs/>
          <w:sz w:val="24"/>
          <w:szCs w:val="24"/>
        </w:rPr>
        <w:t>the environmental equality within the city through UGS development</w:t>
      </w:r>
      <w:r w:rsidR="00781BB9">
        <w:rPr>
          <w:rFonts w:asciiTheme="minorHAnsi" w:hAnsiTheme="minorHAnsi"/>
          <w:bCs/>
          <w:sz w:val="24"/>
          <w:szCs w:val="24"/>
        </w:rPr>
        <w:t xml:space="preserve">. </w:t>
      </w:r>
    </w:p>
    <w:p w14:paraId="583A5D88" w14:textId="77777777" w:rsidR="009842C5" w:rsidRDefault="009842C5" w:rsidP="0038185F">
      <w:pPr>
        <w:spacing w:line="360" w:lineRule="auto"/>
        <w:rPr>
          <w:rFonts w:asciiTheme="minorHAnsi" w:hAnsiTheme="minorHAnsi"/>
          <w:b/>
          <w:i/>
          <w:iCs/>
        </w:rPr>
      </w:pPr>
    </w:p>
    <w:p w14:paraId="24809566" w14:textId="77777777" w:rsidR="009842C5" w:rsidRDefault="009842C5" w:rsidP="0038185F">
      <w:pPr>
        <w:spacing w:line="360" w:lineRule="auto"/>
        <w:rPr>
          <w:rFonts w:asciiTheme="minorHAnsi" w:hAnsiTheme="minorHAnsi"/>
          <w:b/>
          <w:i/>
          <w:iCs/>
        </w:rPr>
      </w:pPr>
    </w:p>
    <w:p w14:paraId="5DC95AA7" w14:textId="77777777" w:rsidR="009842C5" w:rsidRDefault="009842C5" w:rsidP="0038185F">
      <w:pPr>
        <w:spacing w:line="360" w:lineRule="auto"/>
        <w:rPr>
          <w:rFonts w:asciiTheme="minorHAnsi" w:hAnsiTheme="minorHAnsi"/>
          <w:b/>
          <w:i/>
          <w:iCs/>
        </w:rPr>
      </w:pPr>
    </w:p>
    <w:p w14:paraId="0C52615C" w14:textId="77777777" w:rsidR="009842C5" w:rsidRDefault="009842C5" w:rsidP="0038185F">
      <w:pPr>
        <w:spacing w:line="360" w:lineRule="auto"/>
        <w:rPr>
          <w:rFonts w:asciiTheme="minorHAnsi" w:hAnsiTheme="minorHAnsi"/>
          <w:b/>
          <w:i/>
          <w:iCs/>
        </w:rPr>
      </w:pPr>
    </w:p>
    <w:p w14:paraId="60703071" w14:textId="77777777" w:rsidR="00D048B2" w:rsidRDefault="00D048B2" w:rsidP="0038185F">
      <w:pPr>
        <w:spacing w:line="360" w:lineRule="auto"/>
        <w:rPr>
          <w:rFonts w:asciiTheme="minorHAnsi" w:hAnsiTheme="minorHAnsi"/>
          <w:b/>
          <w:i/>
          <w:iCs/>
        </w:rPr>
      </w:pPr>
    </w:p>
    <w:p w14:paraId="0D6D09F7" w14:textId="249AFCC0" w:rsidR="00AF6474" w:rsidRPr="00105105" w:rsidRDefault="00450292" w:rsidP="00105105">
      <w:pPr>
        <w:pStyle w:val="ListParagraph"/>
        <w:numPr>
          <w:ilvl w:val="0"/>
          <w:numId w:val="36"/>
        </w:numPr>
        <w:spacing w:line="360" w:lineRule="auto"/>
        <w:rPr>
          <w:b/>
          <w:i/>
          <w:iCs/>
        </w:rPr>
      </w:pPr>
      <w:r w:rsidRPr="00105105">
        <w:rPr>
          <w:b/>
          <w:i/>
          <w:iCs/>
        </w:rPr>
        <w:lastRenderedPageBreak/>
        <w:t xml:space="preserve">Materials &amp; </w:t>
      </w:r>
      <w:r w:rsidR="00D1218E" w:rsidRPr="00105105">
        <w:rPr>
          <w:b/>
          <w:i/>
          <w:iCs/>
        </w:rPr>
        <w:t>Methods</w:t>
      </w:r>
    </w:p>
    <w:p w14:paraId="513CCD40" w14:textId="77777777" w:rsidR="00105105" w:rsidRPr="00105105" w:rsidRDefault="00105105" w:rsidP="00105105">
      <w:pPr>
        <w:spacing w:line="360" w:lineRule="auto"/>
        <w:rPr>
          <w:b/>
          <w:i/>
          <w:iCs/>
        </w:rPr>
      </w:pPr>
    </w:p>
    <w:p w14:paraId="2E14F2A5" w14:textId="0DB02485" w:rsidR="009761B1" w:rsidRDefault="00737791" w:rsidP="00737791">
      <w:pPr>
        <w:spacing w:line="360" w:lineRule="auto"/>
        <w:ind w:firstLine="720"/>
        <w:rPr>
          <w:rFonts w:asciiTheme="minorHAnsi" w:hAnsiTheme="minorHAnsi"/>
        </w:rPr>
      </w:pPr>
      <w:r>
        <w:rPr>
          <w:rFonts w:asciiTheme="minorHAnsi" w:hAnsiTheme="minorHAnsi"/>
        </w:rPr>
        <w:t xml:space="preserve">For this </w:t>
      </w:r>
      <w:r w:rsidR="00CE7801">
        <w:rPr>
          <w:rFonts w:asciiTheme="minorHAnsi" w:hAnsiTheme="minorHAnsi"/>
        </w:rPr>
        <w:t>study</w:t>
      </w:r>
      <w:r>
        <w:rPr>
          <w:rFonts w:asciiTheme="minorHAnsi" w:hAnsiTheme="minorHAnsi"/>
        </w:rPr>
        <w:t xml:space="preserve"> </w:t>
      </w:r>
      <w:r w:rsidR="00474FD7">
        <w:rPr>
          <w:rFonts w:asciiTheme="minorHAnsi" w:hAnsiTheme="minorHAnsi"/>
        </w:rPr>
        <w:t xml:space="preserve">we </w:t>
      </w:r>
      <w:r>
        <w:rPr>
          <w:rFonts w:asciiTheme="minorHAnsi" w:hAnsiTheme="minorHAnsi"/>
        </w:rPr>
        <w:t xml:space="preserve">had </w:t>
      </w:r>
      <w:r w:rsidR="00CE7801">
        <w:rPr>
          <w:rFonts w:asciiTheme="minorHAnsi" w:hAnsiTheme="minorHAnsi"/>
        </w:rPr>
        <w:t>three</w:t>
      </w:r>
      <w:r>
        <w:rPr>
          <w:rFonts w:asciiTheme="minorHAnsi" w:hAnsiTheme="minorHAnsi"/>
        </w:rPr>
        <w:t xml:space="preserve"> primary objectives:</w:t>
      </w:r>
      <w:r w:rsidR="00F462D0">
        <w:rPr>
          <w:rFonts w:asciiTheme="minorHAnsi" w:hAnsiTheme="minorHAnsi"/>
        </w:rPr>
        <w:t xml:space="preserve"> (</w:t>
      </w:r>
      <w:r w:rsidR="00F462D0" w:rsidRPr="00FD6DAC">
        <w:rPr>
          <w:rFonts w:asciiTheme="minorHAnsi" w:hAnsiTheme="minorHAnsi"/>
          <w:bCs/>
        </w:rPr>
        <w:t xml:space="preserve">1) </w:t>
      </w:r>
      <w:r w:rsidR="00F462D0">
        <w:rPr>
          <w:rFonts w:asciiTheme="minorHAnsi" w:hAnsiTheme="minorHAnsi"/>
          <w:bCs/>
        </w:rPr>
        <w:t>q</w:t>
      </w:r>
      <w:r w:rsidR="00F462D0" w:rsidRPr="00FD6DAC">
        <w:rPr>
          <w:rFonts w:asciiTheme="minorHAnsi" w:hAnsiTheme="minorHAnsi"/>
          <w:bCs/>
        </w:rPr>
        <w:t xml:space="preserve">uantify the </w:t>
      </w:r>
      <w:r w:rsidR="00474FD7">
        <w:rPr>
          <w:rFonts w:asciiTheme="minorHAnsi" w:hAnsiTheme="minorHAnsi"/>
          <w:bCs/>
        </w:rPr>
        <w:t xml:space="preserve">potential </w:t>
      </w:r>
      <w:r w:rsidR="00F462D0" w:rsidRPr="00FD6DAC">
        <w:rPr>
          <w:rFonts w:asciiTheme="minorHAnsi" w:hAnsiTheme="minorHAnsi"/>
          <w:bCs/>
        </w:rPr>
        <w:t xml:space="preserve">distribution </w:t>
      </w:r>
      <w:r w:rsidR="00F462D0">
        <w:rPr>
          <w:rFonts w:asciiTheme="minorHAnsi" w:hAnsiTheme="minorHAnsi"/>
          <w:bCs/>
        </w:rPr>
        <w:t xml:space="preserve">of </w:t>
      </w:r>
      <w:r w:rsidR="00F462D0" w:rsidRPr="00FD6DAC">
        <w:rPr>
          <w:rFonts w:asciiTheme="minorHAnsi" w:hAnsiTheme="minorHAnsi"/>
          <w:bCs/>
        </w:rPr>
        <w:t>UGS and UES throughout the city of Rochester</w:t>
      </w:r>
      <w:r w:rsidR="00F462D0">
        <w:rPr>
          <w:rFonts w:asciiTheme="minorHAnsi" w:hAnsiTheme="minorHAnsi"/>
          <w:bCs/>
        </w:rPr>
        <w:t>,</w:t>
      </w:r>
      <w:r w:rsidR="00F462D0" w:rsidRPr="00FD6DAC">
        <w:rPr>
          <w:rFonts w:asciiTheme="minorHAnsi" w:hAnsiTheme="minorHAnsi"/>
          <w:bCs/>
        </w:rPr>
        <w:t xml:space="preserve"> (2) </w:t>
      </w:r>
      <w:r w:rsidR="00F462D0">
        <w:rPr>
          <w:rFonts w:asciiTheme="minorHAnsi" w:hAnsiTheme="minorHAnsi"/>
          <w:bCs/>
        </w:rPr>
        <w:t>d</w:t>
      </w:r>
      <w:r w:rsidR="00F462D0" w:rsidRPr="00FD6DAC">
        <w:rPr>
          <w:rFonts w:asciiTheme="minorHAnsi" w:hAnsiTheme="minorHAnsi"/>
          <w:bCs/>
        </w:rPr>
        <w:t xml:space="preserve">etermine the distribution of </w:t>
      </w:r>
      <w:r w:rsidR="00A6059E" w:rsidRPr="00FD6DAC">
        <w:rPr>
          <w:rFonts w:asciiTheme="minorHAnsi" w:hAnsiTheme="minorHAnsi"/>
          <w:bCs/>
        </w:rPr>
        <w:t>modern-day</w:t>
      </w:r>
      <w:r w:rsidR="00474FD7">
        <w:rPr>
          <w:rFonts w:asciiTheme="minorHAnsi" w:hAnsiTheme="minorHAnsi"/>
          <w:bCs/>
        </w:rPr>
        <w:t xml:space="preserve"> SES</w:t>
      </w:r>
      <w:r w:rsidR="00F462D0" w:rsidRPr="00FD6DAC">
        <w:rPr>
          <w:rFonts w:asciiTheme="minorHAnsi" w:hAnsiTheme="minorHAnsi"/>
          <w:bCs/>
        </w:rPr>
        <w:t xml:space="preserve"> and historic </w:t>
      </w:r>
      <w:r w:rsidR="00F462D0">
        <w:rPr>
          <w:rFonts w:asciiTheme="minorHAnsi" w:hAnsiTheme="minorHAnsi"/>
          <w:bCs/>
        </w:rPr>
        <w:t>SES</w:t>
      </w:r>
      <w:r w:rsidR="00474FD7">
        <w:rPr>
          <w:rFonts w:asciiTheme="minorHAnsi" w:hAnsiTheme="minorHAnsi"/>
          <w:bCs/>
        </w:rPr>
        <w:t xml:space="preserve"> (HOLC grade)</w:t>
      </w:r>
      <w:r w:rsidR="00F462D0" w:rsidRPr="00FD6DAC">
        <w:rPr>
          <w:rFonts w:asciiTheme="minorHAnsi" w:hAnsiTheme="minorHAnsi"/>
          <w:bCs/>
        </w:rPr>
        <w:t xml:space="preserve"> throughout </w:t>
      </w:r>
      <w:r w:rsidR="00F462D0">
        <w:rPr>
          <w:rFonts w:asciiTheme="minorHAnsi" w:hAnsiTheme="minorHAnsi"/>
          <w:bCs/>
        </w:rPr>
        <w:t>city</w:t>
      </w:r>
      <w:r w:rsidR="00F462D0" w:rsidRPr="00FD6DAC">
        <w:rPr>
          <w:rFonts w:asciiTheme="minorHAnsi" w:hAnsiTheme="minorHAnsi"/>
          <w:bCs/>
        </w:rPr>
        <w:t xml:space="preserve"> at the census block group level and </w:t>
      </w:r>
      <w:r w:rsidR="00F462D0">
        <w:rPr>
          <w:rFonts w:asciiTheme="minorHAnsi" w:hAnsiTheme="minorHAnsi"/>
          <w:bCs/>
        </w:rPr>
        <w:t>determine if</w:t>
      </w:r>
      <w:r w:rsidR="00F462D0" w:rsidRPr="00FD6DAC">
        <w:rPr>
          <w:rFonts w:asciiTheme="minorHAnsi" w:hAnsiTheme="minorHAnsi"/>
          <w:bCs/>
        </w:rPr>
        <w:t xml:space="preserve"> they correlate to UES distribution</w:t>
      </w:r>
      <w:r w:rsidR="00F462D0">
        <w:rPr>
          <w:rFonts w:asciiTheme="minorHAnsi" w:hAnsiTheme="minorHAnsi"/>
          <w:bCs/>
        </w:rPr>
        <w:t xml:space="preserve">, </w:t>
      </w:r>
      <w:r w:rsidR="00F462D0" w:rsidRPr="00FD6DAC">
        <w:rPr>
          <w:rFonts w:asciiTheme="minorHAnsi" w:hAnsiTheme="minorHAnsi"/>
          <w:bCs/>
        </w:rPr>
        <w:t xml:space="preserve">(3) </w:t>
      </w:r>
      <w:r w:rsidR="00CE7801">
        <w:rPr>
          <w:rFonts w:asciiTheme="minorHAnsi" w:hAnsiTheme="minorHAnsi"/>
          <w:bCs/>
        </w:rPr>
        <w:t xml:space="preserve">and </w:t>
      </w:r>
      <w:r w:rsidR="00F462D0">
        <w:rPr>
          <w:rFonts w:asciiTheme="minorHAnsi" w:hAnsiTheme="minorHAnsi"/>
          <w:bCs/>
        </w:rPr>
        <w:t>i</w:t>
      </w:r>
      <w:r w:rsidR="00F462D0" w:rsidRPr="00FD6DAC">
        <w:rPr>
          <w:rFonts w:asciiTheme="minorHAnsi" w:hAnsiTheme="minorHAnsi"/>
          <w:bCs/>
        </w:rPr>
        <w:t xml:space="preserve">dentify neighborhood UES needs and opportunities for improvement </w:t>
      </w:r>
      <w:r w:rsidR="00CE7801" w:rsidRPr="00FD6DAC">
        <w:rPr>
          <w:rFonts w:asciiTheme="minorHAnsi" w:hAnsiTheme="minorHAnsi"/>
          <w:bCs/>
        </w:rPr>
        <w:t>using</w:t>
      </w:r>
      <w:r w:rsidR="00F462D0" w:rsidRPr="00FD6DAC">
        <w:rPr>
          <w:rFonts w:asciiTheme="minorHAnsi" w:hAnsiTheme="minorHAnsi"/>
          <w:bCs/>
        </w:rPr>
        <w:t xml:space="preserve"> a social-ecological matrix</w:t>
      </w:r>
      <w:r>
        <w:rPr>
          <w:rFonts w:asciiTheme="minorHAnsi" w:hAnsiTheme="minorHAnsi"/>
          <w:bCs/>
        </w:rPr>
        <w:t xml:space="preserve"> and hot spot analysis</w:t>
      </w:r>
      <w:r w:rsidR="00CE7801">
        <w:rPr>
          <w:rFonts w:asciiTheme="minorHAnsi" w:hAnsiTheme="minorHAnsi"/>
          <w:bCs/>
        </w:rPr>
        <w:t xml:space="preserve">. </w:t>
      </w:r>
    </w:p>
    <w:p w14:paraId="401A83F1" w14:textId="77777777" w:rsidR="00737791" w:rsidRPr="00646B01" w:rsidRDefault="00737791" w:rsidP="0038185F">
      <w:pPr>
        <w:spacing w:line="360" w:lineRule="auto"/>
        <w:rPr>
          <w:rFonts w:asciiTheme="minorHAnsi" w:hAnsiTheme="minorHAnsi"/>
          <w:iCs/>
        </w:rPr>
      </w:pPr>
    </w:p>
    <w:p w14:paraId="544001EA" w14:textId="340503B8" w:rsidR="00AF6474" w:rsidRPr="003C6F05" w:rsidRDefault="00D1218E" w:rsidP="0038185F">
      <w:pPr>
        <w:spacing w:line="360" w:lineRule="auto"/>
        <w:rPr>
          <w:rFonts w:asciiTheme="minorHAnsi" w:hAnsiTheme="minorHAnsi"/>
          <w:i/>
        </w:rPr>
      </w:pPr>
      <w:r w:rsidRPr="003C6F05">
        <w:rPr>
          <w:rFonts w:asciiTheme="minorHAnsi" w:hAnsiTheme="minorHAnsi"/>
          <w:i/>
        </w:rPr>
        <w:t>2.</w:t>
      </w:r>
      <w:r w:rsidR="00775165">
        <w:rPr>
          <w:rFonts w:asciiTheme="minorHAnsi" w:hAnsiTheme="minorHAnsi"/>
          <w:i/>
        </w:rPr>
        <w:t>1</w:t>
      </w:r>
      <w:r w:rsidRPr="003C6F05">
        <w:rPr>
          <w:rFonts w:asciiTheme="minorHAnsi" w:hAnsiTheme="minorHAnsi"/>
          <w:i/>
        </w:rPr>
        <w:t xml:space="preserve"> LULC Classification </w:t>
      </w:r>
    </w:p>
    <w:p w14:paraId="36965F86" w14:textId="5326AFBA" w:rsidR="00AF6474" w:rsidRPr="003C6F05" w:rsidRDefault="00D1218E" w:rsidP="0038185F">
      <w:pPr>
        <w:spacing w:line="360" w:lineRule="auto"/>
        <w:rPr>
          <w:rFonts w:asciiTheme="minorHAnsi" w:hAnsiTheme="minorHAnsi"/>
        </w:rPr>
      </w:pPr>
      <w:r w:rsidRPr="003C6F05">
        <w:rPr>
          <w:rFonts w:asciiTheme="minorHAnsi" w:hAnsiTheme="minorHAnsi"/>
          <w:i/>
        </w:rPr>
        <w:t xml:space="preserve">            </w:t>
      </w:r>
      <w:r w:rsidRPr="003C6F05">
        <w:rPr>
          <w:rFonts w:asciiTheme="minorHAnsi" w:hAnsiTheme="minorHAnsi"/>
        </w:rPr>
        <w:t>To quantify the estimated value of the four UES indicators</w:t>
      </w:r>
      <w:r w:rsidR="00B411EF">
        <w:rPr>
          <w:rFonts w:asciiTheme="minorHAnsi" w:hAnsiTheme="minorHAnsi"/>
        </w:rPr>
        <w:t xml:space="preserve"> in this study,</w:t>
      </w:r>
      <w:r w:rsidRPr="003C6F05">
        <w:rPr>
          <w:rFonts w:asciiTheme="minorHAnsi" w:hAnsiTheme="minorHAnsi"/>
        </w:rPr>
        <w:t xml:space="preserve">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created a LULC classification for the entire extent of the city. </w:t>
      </w:r>
      <w:r w:rsidR="004F67CB">
        <w:rPr>
          <w:rFonts w:asciiTheme="minorHAnsi" w:hAnsiTheme="minorHAnsi"/>
        </w:rPr>
        <w:t>U</w:t>
      </w:r>
      <w:r w:rsidRPr="003C6F05">
        <w:rPr>
          <w:rFonts w:asciiTheme="minorHAnsi" w:hAnsiTheme="minorHAnsi"/>
        </w:rPr>
        <w:t>sing an object-based image analysis (OBIA) method</w:t>
      </w:r>
      <w:r w:rsidR="00C47D9B">
        <w:rPr>
          <w:rFonts w:asciiTheme="minorHAnsi" w:hAnsiTheme="minorHAnsi"/>
        </w:rPr>
        <w:t>,</w:t>
      </w:r>
      <w:r w:rsidRPr="003C6F05">
        <w:rPr>
          <w:rFonts w:asciiTheme="minorHAnsi" w:hAnsiTheme="minorHAnsi"/>
        </w:rPr>
        <w:t xml:space="preserve">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made an eight-class LULC classification of Rochester</w:t>
      </w:r>
      <w:r w:rsidR="00C47D9B">
        <w:rPr>
          <w:rFonts w:asciiTheme="minorHAnsi" w:hAnsiTheme="minorHAnsi"/>
        </w:rPr>
        <w:t xml:space="preserve"> that</w:t>
      </w:r>
      <w:r w:rsidRPr="003C6F05">
        <w:rPr>
          <w:rFonts w:asciiTheme="minorHAnsi" w:hAnsiTheme="minorHAnsi"/>
        </w:rPr>
        <w:t xml:space="preserve"> includ</w:t>
      </w:r>
      <w:r w:rsidR="00B411EF">
        <w:rPr>
          <w:rFonts w:asciiTheme="minorHAnsi" w:hAnsiTheme="minorHAnsi"/>
        </w:rPr>
        <w:t>ed</w:t>
      </w:r>
      <w:r w:rsidRPr="003C6F05">
        <w:rPr>
          <w:rFonts w:asciiTheme="minorHAnsi" w:hAnsiTheme="minorHAnsi"/>
        </w:rPr>
        <w:t xml:space="preserve"> UGS features such as coarse vegetation</w:t>
      </w:r>
      <w:r w:rsidR="00D048B2">
        <w:rPr>
          <w:rFonts w:asciiTheme="minorHAnsi" w:hAnsiTheme="minorHAnsi"/>
        </w:rPr>
        <w:t xml:space="preserve"> (trees)</w:t>
      </w:r>
      <w:r w:rsidRPr="003C6F05">
        <w:rPr>
          <w:rFonts w:asciiTheme="minorHAnsi" w:hAnsiTheme="minorHAnsi"/>
        </w:rPr>
        <w:t>, fine vegetation</w:t>
      </w:r>
      <w:r w:rsidR="00D048B2">
        <w:rPr>
          <w:rFonts w:asciiTheme="minorHAnsi" w:hAnsiTheme="minorHAnsi"/>
        </w:rPr>
        <w:t xml:space="preserve"> (herbaceous plants)</w:t>
      </w:r>
      <w:r w:rsidRPr="003C6F05">
        <w:rPr>
          <w:rFonts w:asciiTheme="minorHAnsi" w:hAnsiTheme="minorHAnsi"/>
        </w:rPr>
        <w:t xml:space="preserve">, bare soil, and water.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generated this classification schema through five primary steps: image preprocessing, segmentation, image classification, accuracy assessment, and classification refinement (Haas and Ban, 2017). </w:t>
      </w:r>
    </w:p>
    <w:p w14:paraId="41DB78A3" w14:textId="152EB70A" w:rsidR="00AF6474" w:rsidRPr="003C6F05" w:rsidRDefault="00D1218E" w:rsidP="0038185F">
      <w:pPr>
        <w:spacing w:line="360" w:lineRule="auto"/>
        <w:rPr>
          <w:rFonts w:asciiTheme="minorHAnsi" w:hAnsiTheme="minorHAnsi"/>
        </w:rPr>
      </w:pPr>
      <w:r w:rsidRPr="003C6F05">
        <w:rPr>
          <w:rFonts w:asciiTheme="minorHAnsi" w:hAnsiTheme="minorHAnsi"/>
        </w:rPr>
        <w:t xml:space="preserve">            Prior to performing the LULC classification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pre</w:t>
      </w:r>
      <w:r w:rsidR="00B411EF">
        <w:rPr>
          <w:rFonts w:asciiTheme="minorHAnsi" w:hAnsiTheme="minorHAnsi"/>
        </w:rPr>
        <w:t>-</w:t>
      </w:r>
      <w:r w:rsidRPr="003C6F05">
        <w:rPr>
          <w:rFonts w:asciiTheme="minorHAnsi" w:hAnsiTheme="minorHAnsi"/>
        </w:rPr>
        <w:t>process</w:t>
      </w:r>
      <w:r w:rsidR="00B411EF">
        <w:rPr>
          <w:rFonts w:asciiTheme="minorHAnsi" w:hAnsiTheme="minorHAnsi"/>
        </w:rPr>
        <w:t>ed</w:t>
      </w:r>
      <w:r w:rsidRPr="003C6F05">
        <w:rPr>
          <w:rFonts w:asciiTheme="minorHAnsi" w:hAnsiTheme="minorHAnsi"/>
        </w:rPr>
        <w:t xml:space="preserve"> the imagery. Using ArcGIS Pro 2.5 (ESRI, 2020) and 2015 orthoimagery obtained from the NYS GIS Clearinghouse,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clipped together high-resolution scenes of the city of Rochester and then mosaiced them together using the city boundary as the extent. Afterwards,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turned on the DRA function and switched the band combination of the orthoimagery to a false color composite (R=4, G=3, B=2) </w:t>
      </w:r>
      <w:r w:rsidR="00D545B2" w:rsidRPr="003C6F05">
        <w:rPr>
          <w:rFonts w:asciiTheme="minorHAnsi" w:hAnsiTheme="minorHAnsi"/>
        </w:rPr>
        <w:t>to</w:t>
      </w:r>
      <w:r w:rsidRPr="003C6F05">
        <w:rPr>
          <w:rFonts w:asciiTheme="minorHAnsi" w:hAnsiTheme="minorHAnsi"/>
        </w:rPr>
        <w:t xml:space="preserve"> highlight contrasts between vegetation and impervious surfaces. </w:t>
      </w:r>
    </w:p>
    <w:p w14:paraId="1BAFE0B4" w14:textId="379406F9" w:rsidR="00AF6474" w:rsidRPr="003C6F05" w:rsidRDefault="00D1218E" w:rsidP="0038185F">
      <w:pPr>
        <w:spacing w:line="360" w:lineRule="auto"/>
        <w:rPr>
          <w:rFonts w:asciiTheme="minorHAnsi" w:hAnsiTheme="minorHAnsi"/>
        </w:rPr>
      </w:pPr>
      <w:r w:rsidRPr="003C6F05">
        <w:rPr>
          <w:rFonts w:asciiTheme="minorHAnsi" w:hAnsiTheme="minorHAnsi"/>
        </w:rPr>
        <w:t xml:space="preserve">            Using the segmentation tool in ArcGIS</w:t>
      </w:r>
      <w:r w:rsidR="0092148A" w:rsidRPr="003C6F05">
        <w:rPr>
          <w:rFonts w:asciiTheme="minorHAnsi" w:hAnsiTheme="minorHAnsi"/>
        </w:rPr>
        <w:t>,</w:t>
      </w:r>
      <w:r w:rsidRPr="003C6F05">
        <w:rPr>
          <w:rFonts w:asciiTheme="minorHAnsi" w:hAnsiTheme="minorHAnsi"/>
        </w:rPr>
        <w:t xml:space="preserve">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created an object-based segmentation of the city which was then used for identifying features as training samples for the eight LULC classes. In recent years and with the increase in spatial resolution of imagery, OBIA classification methods have increased in popularity and are commonly considered advantageous to pixel-based classifications (Blaschke, 2010). Despite OBIA analyses being considered complex and challenging compared to pixel-based approaches, OBIA methods </w:t>
      </w:r>
      <w:r w:rsidRPr="003C6F05">
        <w:rPr>
          <w:rFonts w:asciiTheme="minorHAnsi" w:hAnsiTheme="minorHAnsi"/>
        </w:rPr>
        <w:lastRenderedPageBreak/>
        <w:t>have far greater classification abilities, especially in respect to urban feature discrimination (</w:t>
      </w:r>
      <w:r w:rsidR="0032638A">
        <w:rPr>
          <w:rFonts w:asciiTheme="minorHAnsi" w:hAnsiTheme="minorHAnsi"/>
        </w:rPr>
        <w:t>D</w:t>
      </w:r>
      <w:r w:rsidRPr="003C6F05">
        <w:rPr>
          <w:rFonts w:asciiTheme="minorHAnsi" w:hAnsiTheme="minorHAnsi"/>
        </w:rPr>
        <w:t xml:space="preserve">e Pinho et al., 2012). </w:t>
      </w:r>
    </w:p>
    <w:p w14:paraId="454C2AEA" w14:textId="3429879C" w:rsidR="00AF6474" w:rsidRPr="003C6F05" w:rsidRDefault="00D1218E" w:rsidP="0038185F">
      <w:pPr>
        <w:spacing w:line="360" w:lineRule="auto"/>
        <w:rPr>
          <w:rFonts w:asciiTheme="minorHAnsi" w:hAnsiTheme="minorHAnsi"/>
        </w:rPr>
      </w:pPr>
      <w:r w:rsidRPr="003C6F05">
        <w:rPr>
          <w:rFonts w:asciiTheme="minorHAnsi" w:hAnsiTheme="minorHAnsi"/>
        </w:rPr>
        <w:t xml:space="preserve">            Prior to classification,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selected a sufficient number of spectrally representative training samples for each LULC class from the segmented image of Rochester. In total</w:t>
      </w:r>
      <w:r w:rsidR="00F13AA3">
        <w:rPr>
          <w:rFonts w:asciiTheme="minorHAnsi" w:hAnsiTheme="minorHAnsi"/>
        </w:rPr>
        <w:t>,</w:t>
      </w:r>
      <w:r w:rsidRPr="003C6F05">
        <w:rPr>
          <w:rFonts w:asciiTheme="minorHAnsi" w:hAnsiTheme="minorHAnsi"/>
        </w:rPr>
        <w:t xml:space="preserve">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selected training samples that would represent the eight LULC classes: coarse vegetation (trees), fine vegetation (herbaceous plants), bare soil, water, buildings, roads &amp; parking lots, other paved surfaces, and shadows. These are commonly selected LULC classes for urban LULC classification (Haas and Ban, 2017; MacFaden et al., 2012). However,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did not select training samples specifically for the eight primary LULC classes</w:t>
      </w:r>
      <w:r w:rsidR="00B411EF">
        <w:rPr>
          <w:rFonts w:asciiTheme="minorHAnsi" w:hAnsiTheme="minorHAnsi"/>
        </w:rPr>
        <w:t>.</w:t>
      </w:r>
      <w:r w:rsidRPr="003C6F05">
        <w:rPr>
          <w:rFonts w:asciiTheme="minorHAnsi" w:hAnsiTheme="minorHAnsi"/>
        </w:rPr>
        <w:t xml:space="preserve"> </w:t>
      </w:r>
      <w:r w:rsidR="00B411EF">
        <w:rPr>
          <w:rFonts w:asciiTheme="minorHAnsi" w:hAnsiTheme="minorHAnsi"/>
        </w:rPr>
        <w:t>I</w:t>
      </w:r>
      <w:r w:rsidR="00B411EF" w:rsidRPr="003C6F05">
        <w:rPr>
          <w:rFonts w:asciiTheme="minorHAnsi" w:hAnsiTheme="minorHAnsi"/>
        </w:rPr>
        <w:t>nstead,</w:t>
      </w:r>
      <w:r w:rsidRPr="003C6F05">
        <w:rPr>
          <w:rFonts w:asciiTheme="minorHAnsi" w:hAnsiTheme="minorHAnsi"/>
        </w:rPr>
        <w:t xml:space="preserve">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selected training samples for 16 subclasses that were generated for the eight primary LULC classes, </w:t>
      </w:r>
      <w:r w:rsidR="00D545B2" w:rsidRPr="003C6F05">
        <w:rPr>
          <w:rFonts w:asciiTheme="minorHAnsi" w:hAnsiTheme="minorHAnsi"/>
        </w:rPr>
        <w:t>to</w:t>
      </w:r>
      <w:r w:rsidRPr="003C6F05">
        <w:rPr>
          <w:rFonts w:asciiTheme="minorHAnsi" w:hAnsiTheme="minorHAnsi"/>
        </w:rPr>
        <w:t xml:space="preserve"> select even greater spectrally distinguishable features. For instance, the buildings class was divided into four subclasses of grey roof, white roof, yellow roof, and purple roof. Each of these classes had their own training samples selected and were classified separately before being aggregated together into the buildings class (Haas and Ban, 2017; MacFaden et al., 2012). After the training samples selection,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ran three different supervised classification methods: support vector machine (SVM), maximum likelihood, and random trees. Following </w:t>
      </w:r>
      <w:r w:rsidR="0005422E">
        <w:rPr>
          <w:rFonts w:asciiTheme="minorHAnsi" w:hAnsiTheme="minorHAnsi"/>
        </w:rPr>
        <w:t>our</w:t>
      </w:r>
      <w:r w:rsidR="0005422E" w:rsidRPr="003C6F05">
        <w:rPr>
          <w:rFonts w:asciiTheme="minorHAnsi" w:hAnsiTheme="minorHAnsi"/>
        </w:rPr>
        <w:t xml:space="preserve"> </w:t>
      </w:r>
      <w:r w:rsidRPr="003C6F05">
        <w:rPr>
          <w:rFonts w:asciiTheme="minorHAnsi" w:hAnsiTheme="minorHAnsi"/>
        </w:rPr>
        <w:t xml:space="preserve">analysis of each of these classifications,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selected the SVM classification as the most </w:t>
      </w:r>
      <w:r w:rsidR="0092148A" w:rsidRPr="003C6F05">
        <w:rPr>
          <w:rFonts w:asciiTheme="minorHAnsi" w:hAnsiTheme="minorHAnsi"/>
        </w:rPr>
        <w:t>visually accurate</w:t>
      </w:r>
      <w:r w:rsidRPr="003C6F05">
        <w:rPr>
          <w:rFonts w:asciiTheme="minorHAnsi" w:hAnsiTheme="minorHAnsi"/>
        </w:rPr>
        <w:t xml:space="preserve"> representati</w:t>
      </w:r>
      <w:r w:rsidR="0092148A" w:rsidRPr="003C6F05">
        <w:rPr>
          <w:rFonts w:asciiTheme="minorHAnsi" w:hAnsiTheme="minorHAnsi"/>
        </w:rPr>
        <w:t>on</w:t>
      </w:r>
      <w:r w:rsidRPr="003C6F05">
        <w:rPr>
          <w:rFonts w:asciiTheme="minorHAnsi" w:hAnsiTheme="minorHAnsi"/>
        </w:rPr>
        <w:t xml:space="preserve"> of the land cover in the city</w:t>
      </w:r>
      <w:r w:rsidR="003C53BF">
        <w:rPr>
          <w:rFonts w:asciiTheme="minorHAnsi" w:hAnsiTheme="minorHAnsi"/>
        </w:rPr>
        <w:t xml:space="preserve"> by comparing it to the orthoimagery used</w:t>
      </w:r>
      <w:r w:rsidRPr="003C6F05">
        <w:rPr>
          <w:rFonts w:asciiTheme="minorHAnsi" w:hAnsiTheme="minorHAnsi"/>
        </w:rPr>
        <w:t xml:space="preserve">. </w:t>
      </w:r>
    </w:p>
    <w:p w14:paraId="438EFE52" w14:textId="61D64146" w:rsidR="009761B1" w:rsidRDefault="00D1218E" w:rsidP="009D29FB">
      <w:pPr>
        <w:spacing w:line="360" w:lineRule="auto"/>
        <w:ind w:firstLine="720"/>
        <w:rPr>
          <w:rFonts w:asciiTheme="minorHAnsi" w:hAnsiTheme="minorHAnsi"/>
        </w:rPr>
      </w:pPr>
      <w:r w:rsidRPr="003C6F05">
        <w:rPr>
          <w:rFonts w:asciiTheme="minorHAnsi" w:hAnsiTheme="minorHAnsi"/>
        </w:rPr>
        <w:t>Upon the completion of the LULC classification</w:t>
      </w:r>
      <w:r w:rsidR="004F67CB">
        <w:rPr>
          <w:rFonts w:asciiTheme="minorHAnsi" w:hAnsiTheme="minorHAnsi"/>
        </w:rPr>
        <w:t>,</w:t>
      </w:r>
      <w:r w:rsidRPr="003C6F05">
        <w:rPr>
          <w:rFonts w:asciiTheme="minorHAnsi" w:hAnsiTheme="minorHAnsi"/>
        </w:rPr>
        <w:t xml:space="preserve">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compute</w:t>
      </w:r>
      <w:r w:rsidR="00B411EF">
        <w:rPr>
          <w:rFonts w:asciiTheme="minorHAnsi" w:hAnsiTheme="minorHAnsi"/>
        </w:rPr>
        <w:t>d</w:t>
      </w:r>
      <w:r w:rsidRPr="003C6F05">
        <w:rPr>
          <w:rFonts w:asciiTheme="minorHAnsi" w:hAnsiTheme="minorHAnsi"/>
        </w:rPr>
        <w:t xml:space="preserve"> an accuracy assessment in order to determine the reliability of the classification map. Using the create random points tool in ArcGIS, 2,000 random points were placed throughout the classification map proportionally to the total amount of surface area covered by each class. Then, using the 2015 orthoimagery as the reference dataset,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manually visited each point and denoted the landcover classification and ground truth class for the land directly underneath the point. Using a confusion matrix, </w:t>
      </w:r>
      <w:r w:rsidR="00474FD7">
        <w:rPr>
          <w:rFonts w:asciiTheme="minorHAnsi" w:hAnsiTheme="minorHAnsi"/>
        </w:rPr>
        <w:t>we</w:t>
      </w:r>
      <w:r w:rsidR="00474FD7" w:rsidRPr="003C6F05">
        <w:rPr>
          <w:rFonts w:asciiTheme="minorHAnsi" w:hAnsiTheme="minorHAnsi"/>
        </w:rPr>
        <w:t xml:space="preserve"> </w:t>
      </w:r>
      <w:r w:rsidR="00E7512C" w:rsidRPr="003C6F05">
        <w:rPr>
          <w:rFonts w:asciiTheme="minorHAnsi" w:hAnsiTheme="minorHAnsi"/>
        </w:rPr>
        <w:t>were</w:t>
      </w:r>
      <w:r w:rsidRPr="003C6F05">
        <w:rPr>
          <w:rFonts w:asciiTheme="minorHAnsi" w:hAnsiTheme="minorHAnsi"/>
        </w:rPr>
        <w:t xml:space="preserve"> able to calculate the producer’s and user’s accuracy for each class as well as the overall accuracy (OA) and kappa coefficient. </w:t>
      </w:r>
      <w:r w:rsidR="00474FD7">
        <w:rPr>
          <w:rFonts w:asciiTheme="minorHAnsi" w:hAnsiTheme="minorHAnsi"/>
        </w:rPr>
        <w:t>We</w:t>
      </w:r>
      <w:r w:rsidRPr="003C6F05">
        <w:rPr>
          <w:rFonts w:asciiTheme="minorHAnsi" w:hAnsiTheme="minorHAnsi"/>
        </w:rPr>
        <w:t xml:space="preserve"> r</w:t>
      </w:r>
      <w:r w:rsidR="00B411EF">
        <w:rPr>
          <w:rFonts w:asciiTheme="minorHAnsi" w:hAnsiTheme="minorHAnsi"/>
        </w:rPr>
        <w:t>a</w:t>
      </w:r>
      <w:r w:rsidRPr="003C6F05">
        <w:rPr>
          <w:rFonts w:asciiTheme="minorHAnsi" w:hAnsiTheme="minorHAnsi"/>
        </w:rPr>
        <w:t xml:space="preserve">n two confusion matrices for the SVM classification as the first one failed to produce an OA of over 80%. For the second confusion matrix, </w:t>
      </w:r>
      <w:r w:rsidR="00474FD7">
        <w:rPr>
          <w:rFonts w:asciiTheme="minorHAnsi" w:hAnsiTheme="minorHAnsi"/>
        </w:rPr>
        <w:t>we</w:t>
      </w:r>
      <w:r w:rsidR="00474FD7" w:rsidRPr="003C6F05">
        <w:rPr>
          <w:rFonts w:asciiTheme="minorHAnsi" w:hAnsiTheme="minorHAnsi"/>
        </w:rPr>
        <w:t xml:space="preserve"> </w:t>
      </w:r>
      <w:r w:rsidRPr="003C6F05">
        <w:rPr>
          <w:rFonts w:asciiTheme="minorHAnsi" w:hAnsiTheme="minorHAnsi"/>
        </w:rPr>
        <w:t xml:space="preserve">reduced the number of LULC classifications to six by aggregating the buildings, roads &amp; parking lot, and other paved surfaces classes into one impervious surface class. Accuracy assessments are a </w:t>
      </w:r>
      <w:r w:rsidRPr="003C6F05">
        <w:rPr>
          <w:rFonts w:asciiTheme="minorHAnsi" w:hAnsiTheme="minorHAnsi"/>
        </w:rPr>
        <w:lastRenderedPageBreak/>
        <w:t>crucial step in the LULC classification process as it establishes the reliability of the generated data to the user (Rwanga and Ndambuki, 2017). For this classification an OA within the range of 80-90% was the intended goal as this is the median range of overall accuracies for accuracy assessments of object-based images analyses (</w:t>
      </w:r>
      <w:r w:rsidR="004F67CB">
        <w:rPr>
          <w:rFonts w:asciiTheme="minorHAnsi" w:hAnsiTheme="minorHAnsi"/>
        </w:rPr>
        <w:t xml:space="preserve">as </w:t>
      </w:r>
      <w:r w:rsidRPr="003C6F05">
        <w:rPr>
          <w:rFonts w:asciiTheme="minorHAnsi" w:hAnsiTheme="minorHAnsi"/>
        </w:rPr>
        <w:t xml:space="preserve">reviewed by Ye et al., 2018). Following the accuracy assessment, </w:t>
      </w:r>
      <w:r w:rsidR="004F3DF4">
        <w:rPr>
          <w:rFonts w:asciiTheme="minorHAnsi" w:hAnsiTheme="minorHAnsi"/>
        </w:rPr>
        <w:t>we</w:t>
      </w:r>
      <w:r w:rsidR="004F3DF4" w:rsidRPr="003C6F05">
        <w:rPr>
          <w:rFonts w:asciiTheme="minorHAnsi" w:hAnsiTheme="minorHAnsi"/>
        </w:rPr>
        <w:t xml:space="preserve"> </w:t>
      </w:r>
      <w:r w:rsidRPr="003C6F05">
        <w:rPr>
          <w:rFonts w:asciiTheme="minorHAnsi" w:hAnsiTheme="minorHAnsi"/>
        </w:rPr>
        <w:t xml:space="preserve">refined the classification map by manually reclassifying any egregious errors in the LULC classes with the reclassifier tool in ArcGIS, as well as un-merging the three impervious surface classes. Upon completing these five steps, </w:t>
      </w:r>
      <w:r w:rsidR="004F3DF4">
        <w:rPr>
          <w:rFonts w:asciiTheme="minorHAnsi" w:hAnsiTheme="minorHAnsi"/>
        </w:rPr>
        <w:t>we</w:t>
      </w:r>
      <w:r w:rsidR="004F3DF4" w:rsidRPr="003C6F05">
        <w:rPr>
          <w:rFonts w:asciiTheme="minorHAnsi" w:hAnsiTheme="minorHAnsi"/>
        </w:rPr>
        <w:t xml:space="preserve"> </w:t>
      </w:r>
      <w:r w:rsidRPr="003C6F05">
        <w:rPr>
          <w:rFonts w:asciiTheme="minorHAnsi" w:hAnsiTheme="minorHAnsi"/>
        </w:rPr>
        <w:t xml:space="preserve">now had a LULC classification map of Rochester that would be used to quantify the value of the UES indicators examined in this study. </w:t>
      </w:r>
    </w:p>
    <w:p w14:paraId="55622BB1" w14:textId="77777777" w:rsidR="00C472C9" w:rsidRPr="003C6F05" w:rsidRDefault="00C472C9" w:rsidP="009D29FB">
      <w:pPr>
        <w:spacing w:line="360" w:lineRule="auto"/>
        <w:ind w:firstLine="720"/>
        <w:rPr>
          <w:rFonts w:asciiTheme="minorHAnsi" w:hAnsiTheme="minorHAnsi"/>
        </w:rPr>
      </w:pPr>
    </w:p>
    <w:p w14:paraId="09497CE9" w14:textId="20B703CF" w:rsidR="00AF6474" w:rsidRPr="003C6F05" w:rsidRDefault="00D1218E" w:rsidP="0038185F">
      <w:pPr>
        <w:spacing w:line="360" w:lineRule="auto"/>
        <w:rPr>
          <w:rFonts w:asciiTheme="minorHAnsi" w:hAnsiTheme="minorHAnsi"/>
          <w:i/>
        </w:rPr>
      </w:pPr>
      <w:r w:rsidRPr="003C6F05">
        <w:rPr>
          <w:rFonts w:asciiTheme="minorHAnsi" w:hAnsiTheme="minorHAnsi"/>
          <w:i/>
        </w:rPr>
        <w:t>2.</w:t>
      </w:r>
      <w:r w:rsidR="00775165">
        <w:rPr>
          <w:rFonts w:asciiTheme="minorHAnsi" w:hAnsiTheme="minorHAnsi"/>
          <w:i/>
        </w:rPr>
        <w:t>2</w:t>
      </w:r>
      <w:r w:rsidRPr="003C6F05">
        <w:rPr>
          <w:rFonts w:asciiTheme="minorHAnsi" w:hAnsiTheme="minorHAnsi"/>
          <w:i/>
        </w:rPr>
        <w:t xml:space="preserve"> </w:t>
      </w:r>
      <w:r w:rsidR="00FC21E5">
        <w:rPr>
          <w:rFonts w:asciiTheme="minorHAnsi" w:hAnsiTheme="minorHAnsi"/>
          <w:i/>
        </w:rPr>
        <w:t xml:space="preserve">Urban </w:t>
      </w:r>
      <w:r w:rsidRPr="003C6F05">
        <w:rPr>
          <w:rFonts w:asciiTheme="minorHAnsi" w:hAnsiTheme="minorHAnsi"/>
          <w:i/>
        </w:rPr>
        <w:t xml:space="preserve">Ecosystem Service Modeling </w:t>
      </w:r>
    </w:p>
    <w:p w14:paraId="5D40B7CA" w14:textId="3DFC3373" w:rsidR="0038445F" w:rsidRDefault="004F3DF4" w:rsidP="0038445F">
      <w:pPr>
        <w:spacing w:line="360" w:lineRule="auto"/>
        <w:ind w:firstLine="720"/>
        <w:rPr>
          <w:rFonts w:asciiTheme="minorHAnsi" w:hAnsiTheme="minorHAnsi"/>
        </w:rPr>
      </w:pPr>
      <w:r>
        <w:rPr>
          <w:rFonts w:asciiTheme="minorHAnsi" w:hAnsiTheme="minorHAnsi"/>
        </w:rPr>
        <w:t>We</w:t>
      </w:r>
      <w:r w:rsidRPr="003C6F05">
        <w:rPr>
          <w:rFonts w:asciiTheme="minorHAnsi" w:hAnsiTheme="minorHAnsi"/>
        </w:rPr>
        <w:t xml:space="preserve"> </w:t>
      </w:r>
      <w:r w:rsidR="00D1218E" w:rsidRPr="003C6F05">
        <w:rPr>
          <w:rFonts w:asciiTheme="minorHAnsi" w:hAnsiTheme="minorHAnsi"/>
        </w:rPr>
        <w:t>assessed the potential distribution of urban ecosystem services (UES) throughout the city of Rochester by constructing models for four UES indicators. The</w:t>
      </w:r>
      <w:r w:rsidR="000F3F77">
        <w:rPr>
          <w:rFonts w:asciiTheme="minorHAnsi" w:hAnsiTheme="minorHAnsi"/>
        </w:rPr>
        <w:t>se indicators</w:t>
      </w:r>
      <w:r w:rsidR="00D1218E" w:rsidRPr="003C6F05">
        <w:rPr>
          <w:rFonts w:asciiTheme="minorHAnsi" w:hAnsiTheme="minorHAnsi"/>
        </w:rPr>
        <w:t xml:space="preserve"> were </w:t>
      </w:r>
      <w:r w:rsidR="00F32064">
        <w:rPr>
          <w:rFonts w:asciiTheme="minorHAnsi" w:hAnsiTheme="minorHAnsi"/>
        </w:rPr>
        <w:t>total carbon removal (</w:t>
      </w:r>
      <w:r w:rsidR="00D1218E" w:rsidRPr="003C6F05">
        <w:rPr>
          <w:rFonts w:asciiTheme="minorHAnsi" w:hAnsiTheme="minorHAnsi"/>
        </w:rPr>
        <w:t>carbon storage and sequestration</w:t>
      </w:r>
      <w:r w:rsidR="00F32064">
        <w:rPr>
          <w:rFonts w:asciiTheme="minorHAnsi" w:hAnsiTheme="minorHAnsi"/>
        </w:rPr>
        <w:t>)</w:t>
      </w:r>
      <w:r w:rsidR="00D1218E" w:rsidRPr="003C6F05">
        <w:rPr>
          <w:rFonts w:asciiTheme="minorHAnsi" w:hAnsiTheme="minorHAnsi"/>
        </w:rPr>
        <w:t xml:space="preserve">, air pollution removal, climate regulation, and recreation potential. </w:t>
      </w:r>
      <w:r>
        <w:rPr>
          <w:rFonts w:asciiTheme="minorHAnsi" w:hAnsiTheme="minorHAnsi"/>
        </w:rPr>
        <w:t>We</w:t>
      </w:r>
      <w:r w:rsidRPr="003C6F05">
        <w:rPr>
          <w:rFonts w:asciiTheme="minorHAnsi" w:hAnsiTheme="minorHAnsi"/>
        </w:rPr>
        <w:t xml:space="preserve"> </w:t>
      </w:r>
      <w:r w:rsidR="00D1218E" w:rsidRPr="003C6F05">
        <w:rPr>
          <w:rFonts w:asciiTheme="minorHAnsi" w:hAnsiTheme="minorHAnsi"/>
        </w:rPr>
        <w:t xml:space="preserve">selected these four indicators based on literature reviews that examined the benefit of UES to human health and well-being (Elmqvist et al., 2015; Gómez-Baggethun and Barton, 2013, Haase et al., 2014). </w:t>
      </w:r>
      <w:r>
        <w:rPr>
          <w:rFonts w:asciiTheme="minorHAnsi" w:hAnsiTheme="minorHAnsi"/>
        </w:rPr>
        <w:t>We</w:t>
      </w:r>
      <w:r w:rsidRPr="003C6F05">
        <w:rPr>
          <w:rFonts w:asciiTheme="minorHAnsi" w:hAnsiTheme="minorHAnsi"/>
        </w:rPr>
        <w:t xml:space="preserve"> </w:t>
      </w:r>
      <w:r w:rsidR="00D1218E" w:rsidRPr="003C6F05">
        <w:rPr>
          <w:rFonts w:asciiTheme="minorHAnsi" w:hAnsiTheme="minorHAnsi"/>
        </w:rPr>
        <w:t xml:space="preserve">quantified the value for each UES for </w:t>
      </w:r>
      <w:r w:rsidR="000F3F77">
        <w:rPr>
          <w:rFonts w:asciiTheme="minorHAnsi" w:hAnsiTheme="minorHAnsi"/>
        </w:rPr>
        <w:t>all</w:t>
      </w:r>
      <w:r w:rsidR="00D1218E" w:rsidRPr="003C6F05">
        <w:rPr>
          <w:rFonts w:asciiTheme="minorHAnsi" w:hAnsiTheme="minorHAnsi"/>
        </w:rPr>
        <w:t xml:space="preserve"> census block group</w:t>
      </w:r>
      <w:r w:rsidR="000F3F77">
        <w:rPr>
          <w:rFonts w:asciiTheme="minorHAnsi" w:hAnsiTheme="minorHAnsi"/>
        </w:rPr>
        <w:t>s</w:t>
      </w:r>
      <w:r w:rsidR="00D1218E" w:rsidRPr="003C6F05">
        <w:rPr>
          <w:rFonts w:asciiTheme="minorHAnsi" w:hAnsiTheme="minorHAnsi"/>
        </w:rPr>
        <w:t xml:space="preserve"> within the city</w:t>
      </w:r>
      <w:r w:rsidR="000F3F77">
        <w:rPr>
          <w:rFonts w:asciiTheme="minorHAnsi" w:hAnsiTheme="minorHAnsi"/>
        </w:rPr>
        <w:t>,</w:t>
      </w:r>
      <w:r w:rsidR="00D1218E" w:rsidRPr="003C6F05">
        <w:rPr>
          <w:rFonts w:asciiTheme="minorHAnsi" w:hAnsiTheme="minorHAnsi"/>
        </w:rPr>
        <w:t xml:space="preserve"> using the LULC classification map, additional datasets and shapefiles, and literature-based coefficients. </w:t>
      </w:r>
      <w:r>
        <w:rPr>
          <w:rFonts w:asciiTheme="minorHAnsi" w:hAnsiTheme="minorHAnsi"/>
        </w:rPr>
        <w:t xml:space="preserve">We </w:t>
      </w:r>
      <w:r w:rsidR="000F3F77">
        <w:rPr>
          <w:rFonts w:asciiTheme="minorHAnsi" w:hAnsiTheme="minorHAnsi"/>
        </w:rPr>
        <w:t>selected p</w:t>
      </w:r>
      <w:r w:rsidR="00D1218E" w:rsidRPr="003C6F05">
        <w:rPr>
          <w:rFonts w:asciiTheme="minorHAnsi" w:hAnsiTheme="minorHAnsi"/>
        </w:rPr>
        <w:t xml:space="preserve">lace specific literature and data to the maximum extent throughout </w:t>
      </w:r>
      <w:r w:rsidR="000F3F77">
        <w:rPr>
          <w:rFonts w:asciiTheme="minorHAnsi" w:hAnsiTheme="minorHAnsi"/>
        </w:rPr>
        <w:t xml:space="preserve">the </w:t>
      </w:r>
      <w:r w:rsidR="00ED6143">
        <w:rPr>
          <w:rFonts w:asciiTheme="minorHAnsi" w:hAnsiTheme="minorHAnsi"/>
        </w:rPr>
        <w:t xml:space="preserve">modelling </w:t>
      </w:r>
      <w:r w:rsidR="000F3F77">
        <w:rPr>
          <w:rFonts w:asciiTheme="minorHAnsi" w:hAnsiTheme="minorHAnsi"/>
        </w:rPr>
        <w:t xml:space="preserve">process </w:t>
      </w:r>
      <w:r w:rsidR="00BD6993">
        <w:rPr>
          <w:rFonts w:asciiTheme="minorHAnsi" w:hAnsiTheme="minorHAnsi"/>
        </w:rPr>
        <w:t>to</w:t>
      </w:r>
      <w:r w:rsidR="000F3F77">
        <w:rPr>
          <w:rFonts w:asciiTheme="minorHAnsi" w:hAnsiTheme="minorHAnsi"/>
        </w:rPr>
        <w:t xml:space="preserve"> generate the most </w:t>
      </w:r>
      <w:r w:rsidR="00ED6143">
        <w:rPr>
          <w:rFonts w:asciiTheme="minorHAnsi" w:hAnsiTheme="minorHAnsi"/>
        </w:rPr>
        <w:t>realistic</w:t>
      </w:r>
      <w:r w:rsidR="000F3F77">
        <w:rPr>
          <w:rFonts w:asciiTheme="minorHAnsi" w:hAnsiTheme="minorHAnsi"/>
        </w:rPr>
        <w:t xml:space="preserve"> models possible</w:t>
      </w:r>
      <w:r w:rsidR="00D1218E" w:rsidRPr="003C6F05">
        <w:rPr>
          <w:rFonts w:asciiTheme="minorHAnsi" w:hAnsiTheme="minorHAnsi"/>
        </w:rPr>
        <w:t xml:space="preserve">. For instance, Rochester and </w:t>
      </w:r>
      <w:r w:rsidR="000F3F77">
        <w:rPr>
          <w:rFonts w:asciiTheme="minorHAnsi" w:hAnsiTheme="minorHAnsi"/>
        </w:rPr>
        <w:t xml:space="preserve">western </w:t>
      </w:r>
      <w:r w:rsidR="00D1218E" w:rsidRPr="003C6F05">
        <w:rPr>
          <w:rFonts w:asciiTheme="minorHAnsi" w:hAnsiTheme="minorHAnsi"/>
        </w:rPr>
        <w:t>NY-based data</w:t>
      </w:r>
      <w:r>
        <w:rPr>
          <w:rFonts w:asciiTheme="minorHAnsi" w:hAnsiTheme="minorHAnsi"/>
        </w:rPr>
        <w:t xml:space="preserve"> w</w:t>
      </w:r>
      <w:r w:rsidR="00BD6993">
        <w:rPr>
          <w:rFonts w:asciiTheme="minorHAnsi" w:hAnsiTheme="minorHAnsi"/>
        </w:rPr>
        <w:t>ere</w:t>
      </w:r>
      <w:r>
        <w:rPr>
          <w:rFonts w:asciiTheme="minorHAnsi" w:hAnsiTheme="minorHAnsi"/>
        </w:rPr>
        <w:t xml:space="preserve"> preferred</w:t>
      </w:r>
      <w:r w:rsidR="00D1218E" w:rsidRPr="003C6F05">
        <w:rPr>
          <w:rFonts w:asciiTheme="minorHAnsi" w:hAnsiTheme="minorHAnsi"/>
        </w:rPr>
        <w:t xml:space="preserve"> over data from New York City or other US </w:t>
      </w:r>
      <w:r w:rsidR="00A4175C">
        <w:rPr>
          <w:rFonts w:asciiTheme="minorHAnsi" w:hAnsiTheme="minorHAnsi"/>
        </w:rPr>
        <w:t>cities</w:t>
      </w:r>
      <w:r>
        <w:rPr>
          <w:rFonts w:asciiTheme="minorHAnsi" w:hAnsiTheme="minorHAnsi"/>
        </w:rPr>
        <w:t>.</w:t>
      </w:r>
      <w:r w:rsidR="00ED6143">
        <w:rPr>
          <w:rFonts w:asciiTheme="minorHAnsi" w:hAnsiTheme="minorHAnsi"/>
        </w:rPr>
        <w:t xml:space="preserve"> </w:t>
      </w:r>
      <w:r>
        <w:rPr>
          <w:rFonts w:asciiTheme="minorHAnsi" w:hAnsiTheme="minorHAnsi"/>
        </w:rPr>
        <w:t>US</w:t>
      </w:r>
      <w:r w:rsidR="00ED6143">
        <w:rPr>
          <w:rFonts w:asciiTheme="minorHAnsi" w:hAnsiTheme="minorHAnsi"/>
        </w:rPr>
        <w:t>-based data</w:t>
      </w:r>
      <w:r>
        <w:rPr>
          <w:rFonts w:asciiTheme="minorHAnsi" w:hAnsiTheme="minorHAnsi"/>
        </w:rPr>
        <w:t xml:space="preserve"> w</w:t>
      </w:r>
      <w:r w:rsidR="00BD6993">
        <w:rPr>
          <w:rFonts w:asciiTheme="minorHAnsi" w:hAnsiTheme="minorHAnsi"/>
        </w:rPr>
        <w:t>ere</w:t>
      </w:r>
      <w:r>
        <w:rPr>
          <w:rFonts w:asciiTheme="minorHAnsi" w:hAnsiTheme="minorHAnsi"/>
        </w:rPr>
        <w:t xml:space="preserve"> selected preferentially</w:t>
      </w:r>
      <w:r w:rsidR="00ED6143">
        <w:rPr>
          <w:rFonts w:asciiTheme="minorHAnsi" w:hAnsiTheme="minorHAnsi"/>
        </w:rPr>
        <w:t xml:space="preserve"> </w:t>
      </w:r>
      <w:r w:rsidR="00D1218E" w:rsidRPr="003C6F05">
        <w:rPr>
          <w:rFonts w:asciiTheme="minorHAnsi" w:hAnsiTheme="minorHAnsi"/>
        </w:rPr>
        <w:t>over international urban data</w:t>
      </w:r>
      <w:r w:rsidR="00ED6143">
        <w:rPr>
          <w:rFonts w:asciiTheme="minorHAnsi" w:hAnsiTheme="minorHAnsi"/>
        </w:rPr>
        <w:t>.</w:t>
      </w:r>
    </w:p>
    <w:p w14:paraId="73CFC916" w14:textId="5870D503" w:rsidR="00ED6143" w:rsidRDefault="00ED6143" w:rsidP="0038445F">
      <w:pPr>
        <w:spacing w:line="360" w:lineRule="auto"/>
        <w:ind w:firstLine="720"/>
        <w:rPr>
          <w:rFonts w:asciiTheme="minorHAnsi" w:hAnsiTheme="minorHAnsi"/>
        </w:rPr>
      </w:pPr>
    </w:p>
    <w:p w14:paraId="0C7F8133" w14:textId="05AA28FF" w:rsidR="009F0295" w:rsidRPr="0038445F" w:rsidRDefault="00D1218E" w:rsidP="0038445F">
      <w:pPr>
        <w:spacing w:line="360" w:lineRule="auto"/>
        <w:rPr>
          <w:rFonts w:asciiTheme="minorHAnsi" w:hAnsiTheme="minorHAnsi"/>
        </w:rPr>
      </w:pPr>
      <w:r w:rsidRPr="003C6F05">
        <w:rPr>
          <w:rFonts w:asciiTheme="minorHAnsi" w:hAnsiTheme="minorHAnsi"/>
          <w:i/>
        </w:rPr>
        <w:t>2.</w:t>
      </w:r>
      <w:r w:rsidR="00775165">
        <w:rPr>
          <w:rFonts w:asciiTheme="minorHAnsi" w:hAnsiTheme="minorHAnsi"/>
          <w:i/>
        </w:rPr>
        <w:t>2</w:t>
      </w:r>
      <w:r w:rsidRPr="003C6F05">
        <w:rPr>
          <w:rFonts w:asciiTheme="minorHAnsi" w:hAnsiTheme="minorHAnsi"/>
          <w:i/>
        </w:rPr>
        <w:t xml:space="preserve">.1 </w:t>
      </w:r>
      <w:r w:rsidR="00F32064">
        <w:rPr>
          <w:rFonts w:asciiTheme="minorHAnsi" w:hAnsiTheme="minorHAnsi"/>
          <w:i/>
        </w:rPr>
        <w:t>Total Carbon Removal</w:t>
      </w:r>
    </w:p>
    <w:p w14:paraId="7939B7B6" w14:textId="4FEED68B" w:rsidR="00AF6474" w:rsidRDefault="004F3DF4" w:rsidP="009F0295">
      <w:pPr>
        <w:spacing w:line="360" w:lineRule="auto"/>
        <w:ind w:firstLine="720"/>
        <w:rPr>
          <w:rFonts w:asciiTheme="minorHAnsi" w:hAnsiTheme="minorHAnsi"/>
        </w:rPr>
      </w:pPr>
      <w:r>
        <w:rPr>
          <w:rFonts w:asciiTheme="minorHAnsi" w:hAnsiTheme="minorHAnsi"/>
        </w:rPr>
        <w:t>We</w:t>
      </w:r>
      <w:r w:rsidRPr="003C6F05">
        <w:rPr>
          <w:rFonts w:asciiTheme="minorHAnsi" w:hAnsiTheme="minorHAnsi"/>
        </w:rPr>
        <w:t xml:space="preserve"> </w:t>
      </w:r>
      <w:r w:rsidR="00D1218E" w:rsidRPr="003C6F05">
        <w:rPr>
          <w:rFonts w:asciiTheme="minorHAnsi" w:hAnsiTheme="minorHAnsi"/>
        </w:rPr>
        <w:t>estimated the value of carbon storage potential for each block group using data for coarse vegetation, fine vegetation, and bare soil</w:t>
      </w:r>
      <w:r w:rsidR="00ED6143">
        <w:rPr>
          <w:rFonts w:asciiTheme="minorHAnsi" w:hAnsiTheme="minorHAnsi"/>
        </w:rPr>
        <w:t xml:space="preserve">; </w:t>
      </w:r>
      <w:r w:rsidR="00A4175C">
        <w:rPr>
          <w:rFonts w:asciiTheme="minorHAnsi" w:hAnsiTheme="minorHAnsi"/>
        </w:rPr>
        <w:t>as for carbon sequestration</w:t>
      </w:r>
      <w:r w:rsidR="00ED6143">
        <w:rPr>
          <w:rFonts w:asciiTheme="minorHAnsi" w:hAnsiTheme="minorHAnsi"/>
        </w:rPr>
        <w:t>,</w:t>
      </w:r>
      <w:r w:rsidR="00D1218E" w:rsidRPr="003C6F05">
        <w:rPr>
          <w:rFonts w:asciiTheme="minorHAnsi" w:hAnsiTheme="minorHAnsi"/>
        </w:rPr>
        <w:t xml:space="preserve"> </w:t>
      </w:r>
      <w:r>
        <w:rPr>
          <w:rFonts w:asciiTheme="minorHAnsi" w:hAnsiTheme="minorHAnsi"/>
        </w:rPr>
        <w:t xml:space="preserve">we </w:t>
      </w:r>
      <w:r w:rsidR="00D1218E" w:rsidRPr="003C6F05">
        <w:rPr>
          <w:rFonts w:asciiTheme="minorHAnsi" w:hAnsiTheme="minorHAnsi"/>
        </w:rPr>
        <w:t>only used coarse vegetation data. To calculate the estimated value of carbon storage and sequestration</w:t>
      </w:r>
      <w:r w:rsidR="00A4175C">
        <w:rPr>
          <w:rFonts w:asciiTheme="minorHAnsi" w:hAnsiTheme="minorHAnsi"/>
        </w:rPr>
        <w:t>,</w:t>
      </w:r>
      <w:r w:rsidR="00D1218E" w:rsidRPr="003C6F05">
        <w:rPr>
          <w:rFonts w:asciiTheme="minorHAnsi" w:hAnsiTheme="minorHAnsi"/>
        </w:rPr>
        <w:t xml:space="preserve"> </w:t>
      </w:r>
      <w:r>
        <w:rPr>
          <w:rFonts w:asciiTheme="minorHAnsi" w:hAnsiTheme="minorHAnsi"/>
        </w:rPr>
        <w:t>we</w:t>
      </w:r>
      <w:r w:rsidRPr="003C6F05">
        <w:rPr>
          <w:rFonts w:asciiTheme="minorHAnsi" w:hAnsiTheme="minorHAnsi"/>
        </w:rPr>
        <w:t xml:space="preserve"> </w:t>
      </w:r>
      <w:r w:rsidR="00D1218E" w:rsidRPr="003C6F05">
        <w:rPr>
          <w:rFonts w:asciiTheme="minorHAnsi" w:hAnsiTheme="minorHAnsi"/>
        </w:rPr>
        <w:t>multiplied the area of each UGS type by the literature-based coefficient per square meter (Derkzen et al., 2015</w:t>
      </w:r>
      <w:r w:rsidR="00ED6143">
        <w:rPr>
          <w:rFonts w:asciiTheme="minorHAnsi" w:hAnsiTheme="minorHAnsi"/>
        </w:rPr>
        <w:t>, Table 1</w:t>
      </w:r>
      <w:r w:rsidR="00D1218E" w:rsidRPr="003C6F05">
        <w:rPr>
          <w:rFonts w:asciiTheme="minorHAnsi" w:hAnsiTheme="minorHAnsi"/>
        </w:rPr>
        <w:t xml:space="preserve">). The value for carbon storage and sequestration were evaluated for coarse vegetation based on literature-based coefficients </w:t>
      </w:r>
      <w:r w:rsidR="00ED6143">
        <w:rPr>
          <w:rFonts w:asciiTheme="minorHAnsi" w:hAnsiTheme="minorHAnsi"/>
        </w:rPr>
        <w:lastRenderedPageBreak/>
        <w:t>available from the nearest city, Syracuse, NY</w:t>
      </w:r>
      <w:r w:rsidR="00D1218E" w:rsidRPr="003C6F05">
        <w:rPr>
          <w:rFonts w:asciiTheme="minorHAnsi" w:hAnsiTheme="minorHAnsi"/>
        </w:rPr>
        <w:t xml:space="preserve"> </w:t>
      </w:r>
      <w:r w:rsidR="00ED6143">
        <w:rPr>
          <w:rFonts w:asciiTheme="minorHAnsi" w:hAnsiTheme="minorHAnsi"/>
        </w:rPr>
        <w:t>(</w:t>
      </w:r>
      <w:r w:rsidR="00D1218E" w:rsidRPr="003C6F05">
        <w:rPr>
          <w:rFonts w:asciiTheme="minorHAnsi" w:hAnsiTheme="minorHAnsi"/>
        </w:rPr>
        <w:t>Nowak et al.</w:t>
      </w:r>
      <w:r w:rsidR="00ED6143">
        <w:rPr>
          <w:rFonts w:asciiTheme="minorHAnsi" w:hAnsiTheme="minorHAnsi"/>
        </w:rPr>
        <w:t xml:space="preserve">, </w:t>
      </w:r>
      <w:r w:rsidR="00D1218E" w:rsidRPr="003C6F05">
        <w:rPr>
          <w:rFonts w:asciiTheme="minorHAnsi" w:hAnsiTheme="minorHAnsi"/>
        </w:rPr>
        <w:t xml:space="preserve">2013). The estimated values of </w:t>
      </w:r>
      <w:r w:rsidR="00BD6993">
        <w:rPr>
          <w:rFonts w:asciiTheme="minorHAnsi" w:hAnsiTheme="minorHAnsi"/>
        </w:rPr>
        <w:t xml:space="preserve">above ground biomass </w:t>
      </w:r>
      <w:r w:rsidR="00D1218E" w:rsidRPr="003C6F05">
        <w:rPr>
          <w:rFonts w:asciiTheme="minorHAnsi" w:hAnsiTheme="minorHAnsi"/>
        </w:rPr>
        <w:t xml:space="preserve">carbon storage and sequestration for Syracuse were 8.59 </w:t>
      </w:r>
      <w:r w:rsidR="00260D9C">
        <w:rPr>
          <w:rFonts w:asciiTheme="minorHAnsi" w:hAnsiTheme="minorHAnsi"/>
        </w:rPr>
        <w:t>k</w:t>
      </w:r>
      <w:r w:rsidR="00D1218E" w:rsidRPr="003C6F05">
        <w:rPr>
          <w:rFonts w:asciiTheme="minorHAnsi" w:hAnsiTheme="minorHAnsi"/>
        </w:rPr>
        <w:t>g C/m</w:t>
      </w:r>
      <w:r w:rsidR="00D1218E" w:rsidRPr="003C6F05">
        <w:rPr>
          <w:rFonts w:asciiTheme="minorHAnsi" w:hAnsiTheme="minorHAnsi"/>
          <w:vertAlign w:val="superscript"/>
        </w:rPr>
        <w:t>2</w:t>
      </w:r>
      <w:r w:rsidR="00D1218E" w:rsidRPr="003C6F05">
        <w:rPr>
          <w:rFonts w:asciiTheme="minorHAnsi" w:hAnsiTheme="minorHAnsi"/>
        </w:rPr>
        <w:t xml:space="preserve"> and 0.202 Kg C/m</w:t>
      </w:r>
      <w:r w:rsidR="00D1218E" w:rsidRPr="003C6F05">
        <w:rPr>
          <w:rFonts w:asciiTheme="minorHAnsi" w:hAnsiTheme="minorHAnsi"/>
          <w:vertAlign w:val="superscript"/>
        </w:rPr>
        <w:t>2</w:t>
      </w:r>
      <w:r w:rsidR="00D1218E" w:rsidRPr="003C6F05">
        <w:rPr>
          <w:rFonts w:asciiTheme="minorHAnsi" w:hAnsiTheme="minorHAnsi"/>
        </w:rPr>
        <w:t xml:space="preserve">/yr, respectively (Nowak et al., 2013). </w:t>
      </w:r>
      <w:r>
        <w:rPr>
          <w:rFonts w:asciiTheme="minorHAnsi" w:hAnsiTheme="minorHAnsi"/>
        </w:rPr>
        <w:t>We were</w:t>
      </w:r>
      <w:r w:rsidR="00ED6143">
        <w:rPr>
          <w:rFonts w:asciiTheme="minorHAnsi" w:hAnsiTheme="minorHAnsi"/>
        </w:rPr>
        <w:t xml:space="preserve"> unable to find </w:t>
      </w:r>
      <w:r w:rsidR="00D1218E" w:rsidRPr="003C6F05">
        <w:rPr>
          <w:rFonts w:asciiTheme="minorHAnsi" w:hAnsiTheme="minorHAnsi"/>
        </w:rPr>
        <w:t xml:space="preserve">literature-based coefficients that estimated the value of carbon storage </w:t>
      </w:r>
      <w:r w:rsidR="0092148A" w:rsidRPr="003C6F05">
        <w:rPr>
          <w:rFonts w:asciiTheme="minorHAnsi" w:hAnsiTheme="minorHAnsi"/>
        </w:rPr>
        <w:t>for</w:t>
      </w:r>
      <w:r w:rsidR="00D1218E" w:rsidRPr="003C6F05">
        <w:rPr>
          <w:rFonts w:asciiTheme="minorHAnsi" w:hAnsiTheme="minorHAnsi"/>
        </w:rPr>
        <w:t xml:space="preserve"> herbaceous vegetation </w:t>
      </w:r>
      <w:r w:rsidR="0092148A" w:rsidRPr="003C6F05">
        <w:rPr>
          <w:rFonts w:asciiTheme="minorHAnsi" w:hAnsiTheme="minorHAnsi"/>
        </w:rPr>
        <w:t>in</w:t>
      </w:r>
      <w:r w:rsidR="00D1218E" w:rsidRPr="003C6F05">
        <w:rPr>
          <w:rFonts w:asciiTheme="minorHAnsi" w:hAnsiTheme="minorHAnsi"/>
        </w:rPr>
        <w:t xml:space="preserve"> any New York cities. Therefore, the value from a Chicago-based study that estimated the carbon storage value of herbaceous plants within a two-city block area to be 0.18 </w:t>
      </w:r>
      <w:r w:rsidR="00260D9C">
        <w:rPr>
          <w:rFonts w:asciiTheme="minorHAnsi" w:hAnsiTheme="minorHAnsi"/>
        </w:rPr>
        <w:t>k</w:t>
      </w:r>
      <w:r w:rsidR="00D1218E" w:rsidRPr="003C6F05">
        <w:rPr>
          <w:rFonts w:asciiTheme="minorHAnsi" w:hAnsiTheme="minorHAnsi"/>
        </w:rPr>
        <w:t>g C/m</w:t>
      </w:r>
      <w:r w:rsidR="00D1218E" w:rsidRPr="003C6F05">
        <w:rPr>
          <w:rFonts w:asciiTheme="minorHAnsi" w:hAnsiTheme="minorHAnsi"/>
          <w:vertAlign w:val="superscript"/>
        </w:rPr>
        <w:t xml:space="preserve">2 </w:t>
      </w:r>
      <w:r w:rsidR="00D1218E" w:rsidRPr="003C6F05">
        <w:rPr>
          <w:rFonts w:asciiTheme="minorHAnsi" w:hAnsiTheme="minorHAnsi"/>
        </w:rPr>
        <w:t xml:space="preserve">was used (Jo and McPherson, 1995). Lastly, the ability of the city’s </w:t>
      </w:r>
      <w:r w:rsidR="003C53BF">
        <w:rPr>
          <w:rFonts w:asciiTheme="minorHAnsi" w:hAnsiTheme="minorHAnsi"/>
        </w:rPr>
        <w:t xml:space="preserve">urban </w:t>
      </w:r>
      <w:r w:rsidR="00D1218E" w:rsidRPr="003C6F05">
        <w:rPr>
          <w:rFonts w:asciiTheme="minorHAnsi" w:hAnsiTheme="minorHAnsi"/>
        </w:rPr>
        <w:t>soil to store carbon was assessed based on a six-city study done by Pouyat, et al. (2006). This study found the estimated value</w:t>
      </w:r>
      <w:r w:rsidR="00424BAC" w:rsidRPr="00424BAC">
        <w:rPr>
          <w:rFonts w:asciiTheme="minorHAnsi" w:hAnsiTheme="minorHAnsi" w:cstheme="majorHAnsi"/>
        </w:rPr>
        <w:t xml:space="preserve"> </w:t>
      </w:r>
      <w:r w:rsidR="00424BAC">
        <w:rPr>
          <w:rFonts w:asciiTheme="minorHAnsi" w:hAnsiTheme="minorHAnsi" w:cstheme="majorHAnsi"/>
        </w:rPr>
        <w:t>soil organic carbon density for urban soils at 1m depth</w:t>
      </w:r>
      <w:r w:rsidR="00ED6143">
        <w:rPr>
          <w:rFonts w:asciiTheme="minorHAnsi" w:hAnsiTheme="minorHAnsi"/>
        </w:rPr>
        <w:t xml:space="preserve"> from the nearest city,</w:t>
      </w:r>
      <w:r w:rsidR="00D1218E" w:rsidRPr="003C6F05">
        <w:rPr>
          <w:rFonts w:asciiTheme="minorHAnsi" w:hAnsiTheme="minorHAnsi"/>
        </w:rPr>
        <w:t xml:space="preserve"> Syracuse, NY to be 7.1 </w:t>
      </w:r>
      <w:r w:rsidR="00260D9C">
        <w:rPr>
          <w:rFonts w:asciiTheme="minorHAnsi" w:hAnsiTheme="minorHAnsi"/>
        </w:rPr>
        <w:t>k</w:t>
      </w:r>
      <w:r w:rsidR="00D1218E" w:rsidRPr="003C6F05">
        <w:rPr>
          <w:rFonts w:asciiTheme="minorHAnsi" w:hAnsiTheme="minorHAnsi"/>
        </w:rPr>
        <w:t>gC m</w:t>
      </w:r>
      <w:r w:rsidR="003C53BF">
        <w:rPr>
          <w:rFonts w:asciiTheme="minorHAnsi" w:hAnsiTheme="minorHAnsi"/>
          <w:vertAlign w:val="superscript"/>
        </w:rPr>
        <w:t>-</w:t>
      </w:r>
      <w:r w:rsidR="00BD6993">
        <w:rPr>
          <w:rFonts w:asciiTheme="minorHAnsi" w:hAnsiTheme="minorHAnsi"/>
          <w:vertAlign w:val="superscript"/>
        </w:rPr>
        <w:t>3</w:t>
      </w:r>
      <w:r w:rsidR="00D1218E" w:rsidRPr="003C6F05">
        <w:rPr>
          <w:rFonts w:asciiTheme="minorHAnsi" w:hAnsiTheme="minorHAnsi"/>
        </w:rPr>
        <w:t xml:space="preserve">. To calculate the total urban soil area, </w:t>
      </w:r>
      <w:r>
        <w:rPr>
          <w:rFonts w:asciiTheme="minorHAnsi" w:hAnsiTheme="minorHAnsi"/>
        </w:rPr>
        <w:t>we</w:t>
      </w:r>
      <w:r w:rsidRPr="003C6F05">
        <w:rPr>
          <w:rFonts w:asciiTheme="minorHAnsi" w:hAnsiTheme="minorHAnsi"/>
        </w:rPr>
        <w:t xml:space="preserve"> </w:t>
      </w:r>
      <w:r w:rsidR="00D1218E" w:rsidRPr="003C6F05">
        <w:rPr>
          <w:rFonts w:asciiTheme="minorHAnsi" w:hAnsiTheme="minorHAnsi"/>
        </w:rPr>
        <w:t xml:space="preserve">summed the total area of fine vegetation and bare soil for each census block group. Coarse vegetation area was not included in this calculation as it could not be determined whether the LULC class below the canopy cover was an impervious or pervious surface. </w:t>
      </w:r>
    </w:p>
    <w:p w14:paraId="17011441" w14:textId="77777777" w:rsidR="00BD6993" w:rsidRDefault="00BD6993" w:rsidP="00BD6993">
      <w:pPr>
        <w:pStyle w:val="NoSpacing"/>
        <w:spacing w:line="360" w:lineRule="auto"/>
        <w:rPr>
          <w:rFonts w:asciiTheme="minorHAnsi" w:hAnsiTheme="minorHAnsi"/>
          <w:i/>
          <w:sz w:val="24"/>
          <w:szCs w:val="24"/>
        </w:rPr>
      </w:pPr>
    </w:p>
    <w:p w14:paraId="048374D8" w14:textId="4D0D6C50" w:rsidR="00BD6993" w:rsidRPr="009F0295" w:rsidRDefault="00BD6993" w:rsidP="00BD6993">
      <w:pPr>
        <w:pStyle w:val="NoSpacing"/>
        <w:spacing w:line="360" w:lineRule="auto"/>
        <w:rPr>
          <w:rFonts w:asciiTheme="minorHAnsi" w:hAnsiTheme="minorHAnsi"/>
          <w:i/>
          <w:sz w:val="24"/>
          <w:szCs w:val="24"/>
        </w:rPr>
      </w:pPr>
      <w:r w:rsidRPr="009F0295">
        <w:rPr>
          <w:rFonts w:asciiTheme="minorHAnsi" w:hAnsiTheme="minorHAnsi"/>
          <w:i/>
          <w:sz w:val="24"/>
          <w:szCs w:val="24"/>
        </w:rPr>
        <w:t>2.</w:t>
      </w:r>
      <w:r>
        <w:rPr>
          <w:rFonts w:asciiTheme="minorHAnsi" w:hAnsiTheme="minorHAnsi"/>
          <w:i/>
          <w:sz w:val="24"/>
          <w:szCs w:val="24"/>
        </w:rPr>
        <w:t>2</w:t>
      </w:r>
      <w:r w:rsidRPr="009F0295">
        <w:rPr>
          <w:rFonts w:asciiTheme="minorHAnsi" w:hAnsiTheme="minorHAnsi"/>
          <w:i/>
          <w:sz w:val="24"/>
          <w:szCs w:val="24"/>
        </w:rPr>
        <w:t xml:space="preserve">.2 Air Pollution Removal </w:t>
      </w:r>
    </w:p>
    <w:p w14:paraId="4226295B" w14:textId="14073718" w:rsidR="00BD6993" w:rsidRPr="009F0295" w:rsidRDefault="00BD6993" w:rsidP="00BD6993">
      <w:pPr>
        <w:pStyle w:val="NoSpacing"/>
        <w:spacing w:line="360" w:lineRule="auto"/>
        <w:ind w:firstLine="720"/>
        <w:rPr>
          <w:rFonts w:asciiTheme="minorHAnsi" w:hAnsiTheme="minorHAnsi"/>
          <w:i/>
          <w:sz w:val="24"/>
          <w:szCs w:val="24"/>
        </w:rPr>
      </w:pPr>
      <w:r w:rsidRPr="009F0295">
        <w:rPr>
          <w:rFonts w:asciiTheme="minorHAnsi" w:hAnsiTheme="minorHAnsi"/>
          <w:sz w:val="24"/>
          <w:szCs w:val="24"/>
        </w:rPr>
        <w:t>Air pollution removal rates for coarse vegetation w</w:t>
      </w:r>
      <w:r>
        <w:rPr>
          <w:rFonts w:asciiTheme="minorHAnsi" w:hAnsiTheme="minorHAnsi"/>
          <w:sz w:val="24"/>
          <w:szCs w:val="24"/>
        </w:rPr>
        <w:t>ere</w:t>
      </w:r>
      <w:r w:rsidRPr="009F0295">
        <w:rPr>
          <w:rFonts w:asciiTheme="minorHAnsi" w:hAnsiTheme="minorHAnsi"/>
          <w:sz w:val="24"/>
          <w:szCs w:val="24"/>
        </w:rPr>
        <w:t xml:space="preserve"> estimated using coefficients from</w:t>
      </w:r>
      <w:r>
        <w:rPr>
          <w:rFonts w:asciiTheme="minorHAnsi" w:hAnsiTheme="minorHAnsi"/>
          <w:sz w:val="24"/>
          <w:szCs w:val="24"/>
        </w:rPr>
        <w:t xml:space="preserve"> Buffalo, NY, the closest city in</w:t>
      </w:r>
      <w:r w:rsidRPr="009F0295">
        <w:rPr>
          <w:rFonts w:asciiTheme="minorHAnsi" w:hAnsiTheme="minorHAnsi"/>
          <w:sz w:val="24"/>
          <w:szCs w:val="24"/>
        </w:rPr>
        <w:t xml:space="preserve"> a 55-city urban tree pollution removal study (Nowak et al., 2006</w:t>
      </w:r>
      <w:r>
        <w:rPr>
          <w:rFonts w:asciiTheme="minorHAnsi" w:hAnsiTheme="minorHAnsi"/>
          <w:sz w:val="24"/>
          <w:szCs w:val="24"/>
        </w:rPr>
        <w:t>, Table 1</w:t>
      </w:r>
      <w:r w:rsidRPr="009F0295">
        <w:rPr>
          <w:rFonts w:asciiTheme="minorHAnsi" w:hAnsiTheme="minorHAnsi"/>
          <w:sz w:val="24"/>
          <w:szCs w:val="24"/>
        </w:rPr>
        <w:t>). From this study</w:t>
      </w:r>
      <w:r>
        <w:rPr>
          <w:rFonts w:asciiTheme="minorHAnsi" w:hAnsiTheme="minorHAnsi"/>
          <w:sz w:val="24"/>
          <w:szCs w:val="24"/>
        </w:rPr>
        <w:t>,</w:t>
      </w:r>
      <w:r w:rsidRPr="009F0295">
        <w:rPr>
          <w:rFonts w:asciiTheme="minorHAnsi" w:hAnsiTheme="minorHAnsi"/>
          <w:sz w:val="24"/>
          <w:szCs w:val="24"/>
        </w:rPr>
        <w:t xml:space="preserve"> the coefficients of pollutant removal by trees for SO</w:t>
      </w:r>
      <w:r w:rsidRPr="009F0295">
        <w:rPr>
          <w:rFonts w:asciiTheme="minorHAnsi" w:hAnsiTheme="minorHAnsi"/>
          <w:sz w:val="24"/>
          <w:szCs w:val="24"/>
          <w:vertAlign w:val="subscript"/>
        </w:rPr>
        <w:t>2</w:t>
      </w:r>
      <w:r w:rsidRPr="009F0295">
        <w:rPr>
          <w:rFonts w:asciiTheme="minorHAnsi" w:hAnsiTheme="minorHAnsi"/>
          <w:sz w:val="24"/>
          <w:szCs w:val="24"/>
        </w:rPr>
        <w:t>, NO</w:t>
      </w:r>
      <w:r w:rsidRPr="009F0295">
        <w:rPr>
          <w:rFonts w:asciiTheme="minorHAnsi" w:hAnsiTheme="minorHAnsi"/>
          <w:sz w:val="24"/>
          <w:szCs w:val="24"/>
          <w:vertAlign w:val="subscript"/>
        </w:rPr>
        <w:t>2</w:t>
      </w:r>
      <w:r w:rsidRPr="009F0295">
        <w:rPr>
          <w:rFonts w:asciiTheme="minorHAnsi" w:hAnsiTheme="minorHAnsi"/>
          <w:sz w:val="24"/>
          <w:szCs w:val="24"/>
        </w:rPr>
        <w:t>, PM</w:t>
      </w:r>
      <w:r w:rsidRPr="009F0295">
        <w:rPr>
          <w:rFonts w:asciiTheme="minorHAnsi" w:hAnsiTheme="minorHAnsi"/>
          <w:sz w:val="24"/>
          <w:szCs w:val="24"/>
          <w:vertAlign w:val="subscript"/>
        </w:rPr>
        <w:t>10</w:t>
      </w:r>
      <w:r w:rsidRPr="009F0295">
        <w:rPr>
          <w:rFonts w:asciiTheme="minorHAnsi" w:hAnsiTheme="minorHAnsi"/>
          <w:sz w:val="24"/>
          <w:szCs w:val="24"/>
        </w:rPr>
        <w:t>, O</w:t>
      </w:r>
      <w:r w:rsidRPr="009F0295">
        <w:rPr>
          <w:rFonts w:asciiTheme="minorHAnsi" w:hAnsiTheme="minorHAnsi"/>
          <w:sz w:val="24"/>
          <w:szCs w:val="24"/>
          <w:vertAlign w:val="subscript"/>
        </w:rPr>
        <w:t>3</w:t>
      </w:r>
      <w:r w:rsidRPr="009F0295">
        <w:rPr>
          <w:rFonts w:asciiTheme="minorHAnsi" w:hAnsiTheme="minorHAnsi"/>
          <w:sz w:val="24"/>
          <w:szCs w:val="24"/>
        </w:rPr>
        <w:t>, and CO were used to calculate the total quantity of pollutants removed by coarse vegetation through the multiplication of the area of coarse vegetation by the literature-based coefficient per square meter</w:t>
      </w:r>
      <w:r w:rsidRPr="009F0295">
        <w:rPr>
          <w:rFonts w:asciiTheme="minorHAnsi" w:hAnsiTheme="minorHAnsi"/>
          <w:sz w:val="24"/>
          <w:szCs w:val="24"/>
          <w:vertAlign w:val="superscript"/>
        </w:rPr>
        <w:t xml:space="preserve"> </w:t>
      </w:r>
      <w:r w:rsidRPr="009F0295">
        <w:rPr>
          <w:rFonts w:asciiTheme="minorHAnsi" w:hAnsiTheme="minorHAnsi"/>
          <w:sz w:val="24"/>
          <w:szCs w:val="24"/>
        </w:rPr>
        <w:t>(Derkzen et al., 2015</w:t>
      </w:r>
      <w:r>
        <w:rPr>
          <w:rFonts w:asciiTheme="minorHAnsi" w:hAnsiTheme="minorHAnsi"/>
          <w:sz w:val="24"/>
          <w:szCs w:val="24"/>
        </w:rPr>
        <w:t>, Table 1</w:t>
      </w:r>
      <w:r w:rsidRPr="009F0295">
        <w:rPr>
          <w:rFonts w:asciiTheme="minorHAnsi" w:hAnsiTheme="minorHAnsi"/>
          <w:sz w:val="24"/>
          <w:szCs w:val="24"/>
        </w:rPr>
        <w:t>). To measure the rate of pollutant removal by fine vegetation</w:t>
      </w:r>
      <w:r>
        <w:rPr>
          <w:rFonts w:asciiTheme="minorHAnsi" w:hAnsiTheme="minorHAnsi"/>
          <w:sz w:val="24"/>
          <w:szCs w:val="24"/>
        </w:rPr>
        <w:t>,</w:t>
      </w:r>
      <w:r w:rsidRPr="009F0295">
        <w:rPr>
          <w:rFonts w:asciiTheme="minorHAnsi" w:hAnsiTheme="minorHAnsi"/>
          <w:sz w:val="24"/>
          <w:szCs w:val="24"/>
        </w:rPr>
        <w:t xml:space="preserve"> </w:t>
      </w:r>
      <w:r>
        <w:rPr>
          <w:rFonts w:asciiTheme="minorHAnsi" w:hAnsiTheme="minorHAnsi"/>
          <w:sz w:val="24"/>
          <w:szCs w:val="24"/>
        </w:rPr>
        <w:t>we</w:t>
      </w:r>
      <w:r w:rsidRPr="009F0295">
        <w:rPr>
          <w:rFonts w:asciiTheme="minorHAnsi" w:hAnsiTheme="minorHAnsi"/>
          <w:sz w:val="24"/>
          <w:szCs w:val="24"/>
        </w:rPr>
        <w:t xml:space="preserve"> used coefficients from a one-year study examining pollution removal rates of herbaceous plants on green roofs in Chicago</w:t>
      </w:r>
      <w:r>
        <w:rPr>
          <w:rFonts w:asciiTheme="minorHAnsi" w:hAnsiTheme="minorHAnsi"/>
          <w:sz w:val="24"/>
          <w:szCs w:val="24"/>
        </w:rPr>
        <w:t>, IL</w:t>
      </w:r>
      <w:r w:rsidRPr="009F0295">
        <w:rPr>
          <w:rFonts w:asciiTheme="minorHAnsi" w:hAnsiTheme="minorHAnsi"/>
          <w:sz w:val="24"/>
          <w:szCs w:val="24"/>
        </w:rPr>
        <w:t xml:space="preserve"> for SO</w:t>
      </w:r>
      <w:r w:rsidRPr="009F0295">
        <w:rPr>
          <w:rFonts w:asciiTheme="minorHAnsi" w:hAnsiTheme="minorHAnsi"/>
          <w:sz w:val="24"/>
          <w:szCs w:val="24"/>
          <w:vertAlign w:val="subscript"/>
        </w:rPr>
        <w:t>2</w:t>
      </w:r>
      <w:r w:rsidRPr="009F0295">
        <w:rPr>
          <w:rFonts w:asciiTheme="minorHAnsi" w:hAnsiTheme="minorHAnsi"/>
          <w:sz w:val="24"/>
          <w:szCs w:val="24"/>
        </w:rPr>
        <w:t>, NO</w:t>
      </w:r>
      <w:r w:rsidRPr="009F0295">
        <w:rPr>
          <w:rFonts w:asciiTheme="minorHAnsi" w:hAnsiTheme="minorHAnsi"/>
          <w:sz w:val="24"/>
          <w:szCs w:val="24"/>
          <w:vertAlign w:val="subscript"/>
        </w:rPr>
        <w:t>2</w:t>
      </w:r>
      <w:r w:rsidRPr="009F0295">
        <w:rPr>
          <w:rFonts w:asciiTheme="minorHAnsi" w:hAnsiTheme="minorHAnsi"/>
          <w:sz w:val="24"/>
          <w:szCs w:val="24"/>
        </w:rPr>
        <w:t>, and PM</w:t>
      </w:r>
      <w:r w:rsidRPr="009F0295">
        <w:rPr>
          <w:rFonts w:asciiTheme="minorHAnsi" w:hAnsiTheme="minorHAnsi"/>
          <w:sz w:val="24"/>
          <w:szCs w:val="24"/>
          <w:vertAlign w:val="subscript"/>
        </w:rPr>
        <w:t xml:space="preserve">10 </w:t>
      </w:r>
      <w:r w:rsidRPr="009F0295">
        <w:rPr>
          <w:rFonts w:asciiTheme="minorHAnsi" w:hAnsiTheme="minorHAnsi"/>
          <w:sz w:val="24"/>
          <w:szCs w:val="24"/>
        </w:rPr>
        <w:t>(Yang et al., 2008). Just as for the coarse vegetation, to calculate the total removal of pollutants by fine vegetation</w:t>
      </w:r>
      <w:r>
        <w:rPr>
          <w:rFonts w:asciiTheme="minorHAnsi" w:hAnsiTheme="minorHAnsi"/>
          <w:sz w:val="24"/>
          <w:szCs w:val="24"/>
        </w:rPr>
        <w:t>,</w:t>
      </w:r>
      <w:r w:rsidRPr="009F0295">
        <w:rPr>
          <w:rFonts w:asciiTheme="minorHAnsi" w:hAnsiTheme="minorHAnsi"/>
          <w:sz w:val="24"/>
          <w:szCs w:val="24"/>
        </w:rPr>
        <w:t xml:space="preserve"> </w:t>
      </w:r>
      <w:r>
        <w:rPr>
          <w:rFonts w:asciiTheme="minorHAnsi" w:hAnsiTheme="minorHAnsi"/>
          <w:sz w:val="24"/>
          <w:szCs w:val="24"/>
        </w:rPr>
        <w:t>we</w:t>
      </w:r>
      <w:r w:rsidRPr="009F0295">
        <w:rPr>
          <w:rFonts w:asciiTheme="minorHAnsi" w:hAnsiTheme="minorHAnsi"/>
          <w:sz w:val="24"/>
          <w:szCs w:val="24"/>
        </w:rPr>
        <w:t xml:space="preserve"> multiplied the area of fine vegetation by the literature-based coefficients per square meter (Table 1). </w:t>
      </w:r>
    </w:p>
    <w:p w14:paraId="72A6CFEC" w14:textId="77777777" w:rsidR="00BD6993" w:rsidRDefault="00BD6993" w:rsidP="009F0295">
      <w:pPr>
        <w:spacing w:line="360" w:lineRule="auto"/>
        <w:ind w:firstLine="720"/>
        <w:rPr>
          <w:rFonts w:asciiTheme="minorHAnsi" w:hAnsiTheme="minorHAnsi"/>
        </w:rPr>
      </w:pPr>
    </w:p>
    <w:p w14:paraId="5BF54A31" w14:textId="34B387A7" w:rsidR="002B11FB" w:rsidRDefault="002B11FB" w:rsidP="002D0252">
      <w:pPr>
        <w:spacing w:line="360" w:lineRule="auto"/>
        <w:rPr>
          <w:rFonts w:asciiTheme="minorHAnsi" w:hAnsiTheme="minorHAnsi"/>
          <w:i/>
        </w:rPr>
      </w:pPr>
    </w:p>
    <w:p w14:paraId="6667E895" w14:textId="094C4302" w:rsidR="00C472C9" w:rsidRDefault="00C472C9" w:rsidP="002D0252">
      <w:pPr>
        <w:spacing w:line="360" w:lineRule="auto"/>
        <w:rPr>
          <w:rFonts w:asciiTheme="minorHAnsi" w:hAnsiTheme="minorHAnsi"/>
          <w:i/>
        </w:rPr>
      </w:pPr>
    </w:p>
    <w:p w14:paraId="4DB361EB" w14:textId="6AE81FA2" w:rsidR="00C472C9" w:rsidRDefault="00C472C9" w:rsidP="002D0252">
      <w:pPr>
        <w:spacing w:line="360" w:lineRule="auto"/>
        <w:rPr>
          <w:rFonts w:asciiTheme="minorHAnsi" w:hAnsiTheme="minorHAnsi"/>
          <w:i/>
        </w:rPr>
      </w:pPr>
    </w:p>
    <w:p w14:paraId="66128C4D" w14:textId="6008BA87" w:rsidR="00C472C9" w:rsidRDefault="00C472C9" w:rsidP="002D0252">
      <w:pPr>
        <w:spacing w:line="360" w:lineRule="auto"/>
        <w:rPr>
          <w:rFonts w:asciiTheme="minorHAnsi" w:hAnsiTheme="minorHAnsi"/>
          <w:i/>
        </w:rPr>
      </w:pPr>
    </w:p>
    <w:p w14:paraId="49E8AB27" w14:textId="6F3A25AD" w:rsidR="00C472C9" w:rsidRDefault="00C472C9" w:rsidP="002D0252">
      <w:pPr>
        <w:spacing w:line="360" w:lineRule="auto"/>
        <w:rPr>
          <w:rFonts w:asciiTheme="minorHAnsi" w:hAnsiTheme="minorHAnsi"/>
          <w:i/>
        </w:rPr>
      </w:pPr>
    </w:p>
    <w:p w14:paraId="7B161057" w14:textId="77777777" w:rsidR="00BD6993" w:rsidRDefault="00BD6993" w:rsidP="00BD6993">
      <w:pPr>
        <w:rPr>
          <w:rFonts w:ascii="Cambria" w:hAnsi="Cambria"/>
        </w:rPr>
      </w:pPr>
      <w:r w:rsidRPr="001E5D4B">
        <w:rPr>
          <w:rFonts w:ascii="Cambria" w:hAnsi="Cambria"/>
          <w:i/>
          <w:iCs/>
        </w:rPr>
        <w:t>Table 1. An overview of the urban ecosystem service (UES) indicators, supply rates, calculations, and sources used</w:t>
      </w:r>
      <w:r>
        <w:rPr>
          <w:rFonts w:ascii="Cambria" w:hAnsi="Cambria"/>
          <w:i/>
          <w:iCs/>
        </w:rPr>
        <w:t>.</w:t>
      </w:r>
      <w:r>
        <w:rPr>
          <w:rFonts w:ascii="Cambria" w:hAnsi="Cambria"/>
        </w:rPr>
        <w:t xml:space="preserve"> The information outlined in this table was used to calculate the supply of carbon storage and sequestration, total air pollution removal, local climate regulation, and recreation potential throughout the city of Rochester. </w:t>
      </w:r>
    </w:p>
    <w:tbl>
      <w:tblPr>
        <w:tblStyle w:val="PlainTable4"/>
        <w:tblpPr w:leftFromText="180" w:rightFromText="180" w:vertAnchor="text" w:horzAnchor="margin" w:tblpY="77"/>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693"/>
        <w:gridCol w:w="2089"/>
        <w:gridCol w:w="2254"/>
        <w:gridCol w:w="1352"/>
        <w:gridCol w:w="1962"/>
      </w:tblGrid>
      <w:tr w:rsidR="00BD6993" w14:paraId="3737E7CB" w14:textId="77777777" w:rsidTr="00BD6993">
        <w:trPr>
          <w:cnfStyle w:val="100000000000" w:firstRow="1" w:lastRow="0" w:firstColumn="0" w:lastColumn="0" w:oddVBand="0" w:evenVBand="0" w:oddHBand="0"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912" w:type="pct"/>
            <w:tcBorders>
              <w:top w:val="single" w:sz="4" w:space="0" w:color="auto"/>
              <w:bottom w:val="single" w:sz="4" w:space="0" w:color="auto"/>
            </w:tcBorders>
            <w:vAlign w:val="center"/>
          </w:tcPr>
          <w:p w14:paraId="2A2E9B73" w14:textId="77777777" w:rsidR="00BD6993" w:rsidRPr="00BD6993" w:rsidRDefault="00BD6993" w:rsidP="00BD6993">
            <w:pPr>
              <w:rPr>
                <w:rFonts w:asciiTheme="minorHAnsi" w:hAnsiTheme="minorHAnsi"/>
                <w:sz w:val="22"/>
                <w:szCs w:val="22"/>
              </w:rPr>
            </w:pPr>
            <w:r w:rsidRPr="00BD6993">
              <w:rPr>
                <w:rFonts w:asciiTheme="minorHAnsi" w:hAnsiTheme="minorHAnsi"/>
                <w:sz w:val="22"/>
                <w:szCs w:val="22"/>
              </w:rPr>
              <w:t>Ecosystem Service</w:t>
            </w:r>
          </w:p>
        </w:tc>
        <w:tc>
          <w:tcPr>
            <w:tcW w:w="1123" w:type="pct"/>
            <w:tcBorders>
              <w:top w:val="single" w:sz="4" w:space="0" w:color="auto"/>
              <w:bottom w:val="single" w:sz="4" w:space="0" w:color="auto"/>
            </w:tcBorders>
            <w:vAlign w:val="center"/>
          </w:tcPr>
          <w:p w14:paraId="590E48D1" w14:textId="77777777" w:rsidR="00BD6993" w:rsidRPr="00BD6993" w:rsidRDefault="00BD6993" w:rsidP="00BD6993">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Coefficient</w:t>
            </w:r>
          </w:p>
        </w:tc>
        <w:tc>
          <w:tcPr>
            <w:tcW w:w="1211" w:type="pct"/>
            <w:tcBorders>
              <w:top w:val="single" w:sz="4" w:space="0" w:color="auto"/>
              <w:bottom w:val="single" w:sz="4" w:space="0" w:color="auto"/>
            </w:tcBorders>
            <w:vAlign w:val="center"/>
          </w:tcPr>
          <w:p w14:paraId="140C630E" w14:textId="77777777" w:rsidR="00BD6993" w:rsidRPr="00BD6993" w:rsidRDefault="00BD6993" w:rsidP="00BD6993">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Indicator Calculation</w:t>
            </w:r>
          </w:p>
        </w:tc>
        <w:tc>
          <w:tcPr>
            <w:tcW w:w="699" w:type="pct"/>
            <w:tcBorders>
              <w:top w:val="single" w:sz="4" w:space="0" w:color="auto"/>
              <w:bottom w:val="single" w:sz="4" w:space="0" w:color="auto"/>
            </w:tcBorders>
            <w:vAlign w:val="center"/>
          </w:tcPr>
          <w:p w14:paraId="3A40BD7E" w14:textId="77777777" w:rsidR="00BD6993" w:rsidRPr="00BD6993" w:rsidRDefault="00BD6993" w:rsidP="00BD6993">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Data</w:t>
            </w:r>
          </w:p>
        </w:tc>
        <w:tc>
          <w:tcPr>
            <w:tcW w:w="1055" w:type="pct"/>
            <w:tcBorders>
              <w:top w:val="single" w:sz="4" w:space="0" w:color="auto"/>
              <w:bottom w:val="single" w:sz="4" w:space="0" w:color="auto"/>
            </w:tcBorders>
            <w:vAlign w:val="center"/>
          </w:tcPr>
          <w:p w14:paraId="60B26775" w14:textId="77777777" w:rsidR="00BD6993" w:rsidRPr="00BD6993" w:rsidRDefault="00BD6993" w:rsidP="00BD6993">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Literature Sources</w:t>
            </w:r>
          </w:p>
        </w:tc>
      </w:tr>
      <w:tr w:rsidR="00BD6993" w14:paraId="7410EC82" w14:textId="77777777" w:rsidTr="00BD6993">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912" w:type="pct"/>
            <w:tcBorders>
              <w:top w:val="single" w:sz="4" w:space="0" w:color="auto"/>
            </w:tcBorders>
          </w:tcPr>
          <w:p w14:paraId="76C42CFC" w14:textId="77777777" w:rsidR="00BD6993" w:rsidRPr="00BD6993" w:rsidRDefault="00BD6993" w:rsidP="00BD6993">
            <w:pPr>
              <w:rPr>
                <w:rFonts w:asciiTheme="minorHAnsi" w:hAnsiTheme="minorHAnsi"/>
                <w:i/>
                <w:iCs/>
                <w:sz w:val="22"/>
                <w:szCs w:val="22"/>
              </w:rPr>
            </w:pPr>
            <w:r w:rsidRPr="00BD6993">
              <w:rPr>
                <w:rFonts w:asciiTheme="minorHAnsi" w:hAnsiTheme="minorHAnsi"/>
                <w:i/>
                <w:iCs/>
                <w:sz w:val="22"/>
                <w:szCs w:val="22"/>
              </w:rPr>
              <w:t>Regulating Services</w:t>
            </w:r>
          </w:p>
        </w:tc>
        <w:tc>
          <w:tcPr>
            <w:tcW w:w="1123" w:type="pct"/>
            <w:tcBorders>
              <w:top w:val="single" w:sz="4" w:space="0" w:color="auto"/>
            </w:tcBorders>
          </w:tcPr>
          <w:p w14:paraId="5EFEC25F"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211" w:type="pct"/>
            <w:tcBorders>
              <w:top w:val="single" w:sz="4" w:space="0" w:color="auto"/>
            </w:tcBorders>
          </w:tcPr>
          <w:p w14:paraId="6E73960B"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699" w:type="pct"/>
            <w:tcBorders>
              <w:top w:val="single" w:sz="4" w:space="0" w:color="auto"/>
            </w:tcBorders>
          </w:tcPr>
          <w:p w14:paraId="63501489"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055" w:type="pct"/>
            <w:tcBorders>
              <w:top w:val="single" w:sz="4" w:space="0" w:color="auto"/>
            </w:tcBorders>
          </w:tcPr>
          <w:p w14:paraId="1230C562"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BD6993" w14:paraId="1723C37F" w14:textId="77777777" w:rsidTr="00BD6993">
        <w:trPr>
          <w:trHeight w:val="545"/>
        </w:trPr>
        <w:tc>
          <w:tcPr>
            <w:cnfStyle w:val="001000000000" w:firstRow="0" w:lastRow="0" w:firstColumn="1" w:lastColumn="0" w:oddVBand="0" w:evenVBand="0" w:oddHBand="0" w:evenHBand="0" w:firstRowFirstColumn="0" w:firstRowLastColumn="0" w:lastRowFirstColumn="0" w:lastRowLastColumn="0"/>
            <w:tcW w:w="912" w:type="pct"/>
          </w:tcPr>
          <w:p w14:paraId="484E2200" w14:textId="77777777" w:rsidR="00BD6993" w:rsidRPr="00BD6993" w:rsidRDefault="00BD6993" w:rsidP="00BD6993">
            <w:pPr>
              <w:rPr>
                <w:rFonts w:asciiTheme="minorHAnsi" w:hAnsiTheme="minorHAnsi"/>
                <w:sz w:val="22"/>
                <w:szCs w:val="22"/>
              </w:rPr>
            </w:pPr>
            <w:r w:rsidRPr="00BD6993">
              <w:rPr>
                <w:rFonts w:asciiTheme="minorHAnsi" w:hAnsiTheme="minorHAnsi"/>
                <w:sz w:val="22"/>
                <w:szCs w:val="22"/>
              </w:rPr>
              <w:t>Carbon Storage</w:t>
            </w:r>
          </w:p>
        </w:tc>
        <w:tc>
          <w:tcPr>
            <w:tcW w:w="1123" w:type="pct"/>
          </w:tcPr>
          <w:p w14:paraId="787B2DB1"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p w14:paraId="2894DB62"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p w14:paraId="71B110A5" w14:textId="3B64C6A7" w:rsidR="00BD6993" w:rsidRPr="00260D9C"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vertAlign w:val="superscript"/>
              </w:rPr>
            </w:pPr>
            <w:r w:rsidRPr="00BD6993">
              <w:rPr>
                <w:rFonts w:asciiTheme="minorHAnsi" w:hAnsiTheme="minorHAnsi"/>
                <w:sz w:val="22"/>
                <w:szCs w:val="22"/>
              </w:rPr>
              <w:t>8.59 kgC/m</w:t>
            </w:r>
            <w:r w:rsidRPr="00BD6993">
              <w:rPr>
                <w:rFonts w:asciiTheme="minorHAnsi" w:hAnsiTheme="minorHAnsi"/>
                <w:sz w:val="22"/>
                <w:szCs w:val="22"/>
                <w:vertAlign w:val="superscript"/>
              </w:rPr>
              <w:t>2</w:t>
            </w:r>
            <w:r w:rsidR="00260D9C">
              <w:rPr>
                <w:rFonts w:asciiTheme="minorHAnsi" w:hAnsiTheme="minorHAnsi"/>
                <w:sz w:val="22"/>
                <w:szCs w:val="22"/>
              </w:rPr>
              <w:t>, 7.1 kgC/m</w:t>
            </w:r>
            <w:r w:rsidR="00260D9C">
              <w:rPr>
                <w:rFonts w:asciiTheme="minorHAnsi" w:hAnsiTheme="minorHAnsi"/>
                <w:sz w:val="22"/>
                <w:szCs w:val="22"/>
                <w:vertAlign w:val="superscript"/>
              </w:rPr>
              <w:t>-3</w:t>
            </w:r>
            <w:r w:rsidR="00260D9C">
              <w:rPr>
                <w:rFonts w:asciiTheme="minorHAnsi" w:hAnsiTheme="minorHAnsi"/>
                <w:sz w:val="22"/>
                <w:szCs w:val="22"/>
              </w:rPr>
              <w:t>, 0.18 kgC/m</w:t>
            </w:r>
            <w:r w:rsidR="00260D9C">
              <w:rPr>
                <w:rFonts w:asciiTheme="minorHAnsi" w:hAnsiTheme="minorHAnsi"/>
                <w:sz w:val="22"/>
                <w:szCs w:val="22"/>
                <w:vertAlign w:val="superscript"/>
              </w:rPr>
              <w:t>2</w:t>
            </w:r>
          </w:p>
        </w:tc>
        <w:tc>
          <w:tcPr>
            <w:tcW w:w="1211" w:type="pct"/>
          </w:tcPr>
          <w:p w14:paraId="30D8862C" w14:textId="2A0CFEDE"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i/>
                <w:iCs/>
                <w:sz w:val="22"/>
                <w:szCs w:val="22"/>
              </w:rPr>
              <w:t>Coarse &amp; fine veg.</w:t>
            </w:r>
            <w:r w:rsidRPr="00BD6993">
              <w:rPr>
                <w:rFonts w:asciiTheme="minorHAnsi" w:hAnsiTheme="minorHAnsi"/>
                <w:sz w:val="22"/>
                <w:szCs w:val="22"/>
              </w:rPr>
              <w:t>: UGS area x avg. storage rate (</w:t>
            </w:r>
            <w:r w:rsidR="00260D9C">
              <w:rPr>
                <w:rFonts w:asciiTheme="minorHAnsi" w:hAnsiTheme="minorHAnsi"/>
                <w:sz w:val="22"/>
                <w:szCs w:val="22"/>
              </w:rPr>
              <w:t>k</w:t>
            </w:r>
            <w:r w:rsidRPr="00BD6993">
              <w:rPr>
                <w:rFonts w:asciiTheme="minorHAnsi" w:hAnsiTheme="minorHAnsi"/>
                <w:sz w:val="22"/>
                <w:szCs w:val="22"/>
              </w:rPr>
              <w:t>gC/m</w:t>
            </w:r>
            <w:r w:rsidRPr="00BD6993">
              <w:rPr>
                <w:rFonts w:asciiTheme="minorHAnsi" w:hAnsiTheme="minorHAnsi"/>
                <w:sz w:val="22"/>
                <w:szCs w:val="22"/>
                <w:vertAlign w:val="superscript"/>
              </w:rPr>
              <w:t>2</w:t>
            </w:r>
            <w:r w:rsidRPr="00BD6993">
              <w:rPr>
                <w:rFonts w:asciiTheme="minorHAnsi" w:hAnsiTheme="minorHAnsi"/>
                <w:sz w:val="22"/>
                <w:szCs w:val="22"/>
              </w:rPr>
              <w:t>)</w:t>
            </w:r>
          </w:p>
          <w:p w14:paraId="7DA0261D"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i/>
                <w:iCs/>
                <w:sz w:val="22"/>
                <w:szCs w:val="22"/>
              </w:rPr>
              <w:t>Bare soil</w:t>
            </w:r>
            <w:r w:rsidRPr="00BD6993">
              <w:rPr>
                <w:rFonts w:asciiTheme="minorHAnsi" w:hAnsiTheme="minorHAnsi"/>
                <w:sz w:val="22"/>
                <w:szCs w:val="22"/>
              </w:rPr>
              <w:t>: (Bare soil area + fine veg. area) x carbon density/m</w:t>
            </w:r>
            <w:r w:rsidRPr="00BD6993">
              <w:rPr>
                <w:rFonts w:asciiTheme="minorHAnsi" w:hAnsiTheme="minorHAnsi"/>
                <w:sz w:val="22"/>
                <w:szCs w:val="22"/>
                <w:vertAlign w:val="superscript"/>
              </w:rPr>
              <w:t>2</w:t>
            </w:r>
            <w:r w:rsidRPr="00BD6993">
              <w:rPr>
                <w:rFonts w:asciiTheme="minorHAnsi" w:hAnsiTheme="minorHAnsi"/>
                <w:sz w:val="22"/>
                <w:szCs w:val="22"/>
              </w:rPr>
              <w:t xml:space="preserve"> </w:t>
            </w:r>
          </w:p>
        </w:tc>
        <w:tc>
          <w:tcPr>
            <w:tcW w:w="699" w:type="pct"/>
          </w:tcPr>
          <w:p w14:paraId="03E32877"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LULC data</w:t>
            </w:r>
          </w:p>
        </w:tc>
        <w:tc>
          <w:tcPr>
            <w:tcW w:w="1055" w:type="pct"/>
          </w:tcPr>
          <w:p w14:paraId="3C940F82"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cs="Calibri"/>
                <w:color w:val="000000"/>
                <w:sz w:val="22"/>
                <w:szCs w:val="22"/>
              </w:rPr>
              <w:t>Nowak et al., 2013; Jo and McPherson, 1995; Pouyat et al., 2006</w:t>
            </w:r>
          </w:p>
        </w:tc>
      </w:tr>
      <w:tr w:rsidR="00BD6993" w14:paraId="29C2988F" w14:textId="77777777" w:rsidTr="00BD6993">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912" w:type="pct"/>
          </w:tcPr>
          <w:p w14:paraId="520FADBC" w14:textId="77777777" w:rsidR="00BD6993" w:rsidRPr="00BD6993" w:rsidRDefault="00BD6993" w:rsidP="00BD6993">
            <w:pPr>
              <w:rPr>
                <w:rFonts w:asciiTheme="minorHAnsi" w:hAnsiTheme="minorHAnsi"/>
                <w:sz w:val="22"/>
                <w:szCs w:val="22"/>
              </w:rPr>
            </w:pPr>
            <w:r w:rsidRPr="00BD6993">
              <w:rPr>
                <w:rFonts w:asciiTheme="minorHAnsi" w:hAnsiTheme="minorHAnsi"/>
                <w:sz w:val="22"/>
                <w:szCs w:val="22"/>
              </w:rPr>
              <w:t>Carbon Sequestration</w:t>
            </w:r>
          </w:p>
        </w:tc>
        <w:tc>
          <w:tcPr>
            <w:tcW w:w="1123" w:type="pct"/>
          </w:tcPr>
          <w:p w14:paraId="3E88F3E4" w14:textId="7917E24D"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0.202 kgC/m</w:t>
            </w:r>
            <w:r w:rsidRPr="00BD6993">
              <w:rPr>
                <w:rFonts w:asciiTheme="minorHAnsi" w:hAnsiTheme="minorHAnsi"/>
                <w:sz w:val="22"/>
                <w:szCs w:val="22"/>
                <w:vertAlign w:val="superscript"/>
              </w:rPr>
              <w:t>2</w:t>
            </w:r>
            <w:r w:rsidRPr="00BD6993">
              <w:rPr>
                <w:rFonts w:asciiTheme="minorHAnsi" w:hAnsiTheme="minorHAnsi"/>
                <w:sz w:val="22"/>
                <w:szCs w:val="22"/>
              </w:rPr>
              <w:t>/year</w:t>
            </w:r>
          </w:p>
        </w:tc>
        <w:tc>
          <w:tcPr>
            <w:tcW w:w="1211" w:type="pct"/>
          </w:tcPr>
          <w:p w14:paraId="27014F91"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Coarse veg. area x avg. sequestration rate </w:t>
            </w:r>
          </w:p>
        </w:tc>
        <w:tc>
          <w:tcPr>
            <w:tcW w:w="699" w:type="pct"/>
          </w:tcPr>
          <w:p w14:paraId="78562A11"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LULC Data</w:t>
            </w:r>
          </w:p>
        </w:tc>
        <w:tc>
          <w:tcPr>
            <w:tcW w:w="1055" w:type="pct"/>
          </w:tcPr>
          <w:p w14:paraId="1C98B774"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Nowak et al., 2013</w:t>
            </w:r>
          </w:p>
        </w:tc>
      </w:tr>
      <w:tr w:rsidR="00BD6993" w14:paraId="5601180C" w14:textId="77777777" w:rsidTr="00BD6993">
        <w:trPr>
          <w:trHeight w:val="154"/>
        </w:trPr>
        <w:tc>
          <w:tcPr>
            <w:cnfStyle w:val="001000000000" w:firstRow="0" w:lastRow="0" w:firstColumn="1" w:lastColumn="0" w:oddVBand="0" w:evenVBand="0" w:oddHBand="0" w:evenHBand="0" w:firstRowFirstColumn="0" w:firstRowLastColumn="0" w:lastRowFirstColumn="0" w:lastRowLastColumn="0"/>
            <w:tcW w:w="912" w:type="pct"/>
          </w:tcPr>
          <w:p w14:paraId="2963815D" w14:textId="77777777" w:rsidR="00BD6993" w:rsidRPr="00BD6993" w:rsidRDefault="00BD6993" w:rsidP="00BD6993">
            <w:pPr>
              <w:rPr>
                <w:rFonts w:asciiTheme="minorHAnsi" w:hAnsiTheme="minorHAnsi"/>
                <w:sz w:val="22"/>
                <w:szCs w:val="22"/>
              </w:rPr>
            </w:pPr>
            <w:r w:rsidRPr="00BD6993">
              <w:rPr>
                <w:rFonts w:asciiTheme="minorHAnsi" w:hAnsiTheme="minorHAnsi"/>
                <w:sz w:val="22"/>
                <w:szCs w:val="22"/>
              </w:rPr>
              <w:t>Air Pollution Removal</w:t>
            </w:r>
          </w:p>
        </w:tc>
        <w:tc>
          <w:tcPr>
            <w:tcW w:w="1123" w:type="pct"/>
          </w:tcPr>
          <w:p w14:paraId="69669756"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(Coarse veg. &amp; fine veg.)</w:t>
            </w:r>
          </w:p>
        </w:tc>
        <w:tc>
          <w:tcPr>
            <w:tcW w:w="1211" w:type="pct"/>
          </w:tcPr>
          <w:p w14:paraId="1FC8B42E"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699" w:type="pct"/>
          </w:tcPr>
          <w:p w14:paraId="71B51ECD"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LULC Data </w:t>
            </w:r>
          </w:p>
        </w:tc>
        <w:tc>
          <w:tcPr>
            <w:tcW w:w="1055" w:type="pct"/>
          </w:tcPr>
          <w:p w14:paraId="4C6B935C"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BD6993">
              <w:rPr>
                <w:rFonts w:asciiTheme="minorHAnsi" w:hAnsiTheme="minorHAnsi" w:cs="Calibri"/>
                <w:color w:val="000000"/>
                <w:sz w:val="22"/>
                <w:szCs w:val="22"/>
              </w:rPr>
              <w:t>Nowak et al., 2006; Yang et al., 2008</w:t>
            </w:r>
          </w:p>
        </w:tc>
      </w:tr>
      <w:tr w:rsidR="00BD6993" w14:paraId="7E792A00" w14:textId="77777777" w:rsidTr="00BD6993">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12" w:type="pct"/>
          </w:tcPr>
          <w:p w14:paraId="03046638" w14:textId="77777777" w:rsidR="00BD6993" w:rsidRPr="00BD6993" w:rsidRDefault="00BD6993" w:rsidP="00BD6993">
            <w:pPr>
              <w:rPr>
                <w:rFonts w:asciiTheme="minorHAnsi" w:hAnsiTheme="minorHAnsi"/>
                <w:sz w:val="21"/>
                <w:szCs w:val="21"/>
                <w:vertAlign w:val="subscript"/>
              </w:rPr>
            </w:pPr>
            <w:r w:rsidRPr="00BD6993">
              <w:rPr>
                <w:rFonts w:asciiTheme="minorHAnsi" w:hAnsiTheme="minorHAnsi"/>
                <w:sz w:val="21"/>
                <w:szCs w:val="21"/>
              </w:rPr>
              <w:t>NO</w:t>
            </w:r>
            <w:r w:rsidRPr="00BD6993">
              <w:rPr>
                <w:rFonts w:asciiTheme="minorHAnsi" w:hAnsiTheme="minorHAnsi"/>
                <w:sz w:val="21"/>
                <w:szCs w:val="21"/>
                <w:vertAlign w:val="subscript"/>
              </w:rPr>
              <w:t>2</w:t>
            </w:r>
          </w:p>
        </w:tc>
        <w:tc>
          <w:tcPr>
            <w:tcW w:w="1123" w:type="pct"/>
          </w:tcPr>
          <w:p w14:paraId="5AD22E5C"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p w14:paraId="4C496C38"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1.0 g/m</w:t>
            </w:r>
            <w:r w:rsidRPr="00BD6993">
              <w:rPr>
                <w:rFonts w:asciiTheme="minorHAnsi" w:hAnsiTheme="minorHAnsi"/>
                <w:sz w:val="22"/>
                <w:szCs w:val="22"/>
                <w:vertAlign w:val="superscript"/>
              </w:rPr>
              <w:t>2</w:t>
            </w:r>
            <w:r w:rsidRPr="00BD6993">
              <w:rPr>
                <w:rFonts w:asciiTheme="minorHAnsi" w:hAnsiTheme="minorHAnsi"/>
                <w:sz w:val="22"/>
                <w:szCs w:val="22"/>
              </w:rPr>
              <w:t>/yr &amp; 2.33 g/m</w:t>
            </w:r>
            <w:r w:rsidRPr="00BD6993">
              <w:rPr>
                <w:rFonts w:asciiTheme="minorHAnsi" w:hAnsiTheme="minorHAnsi"/>
                <w:sz w:val="22"/>
                <w:szCs w:val="22"/>
                <w:vertAlign w:val="superscript"/>
              </w:rPr>
              <w:t>2</w:t>
            </w:r>
            <w:r w:rsidRPr="00BD6993">
              <w:rPr>
                <w:rFonts w:asciiTheme="minorHAnsi" w:hAnsiTheme="minorHAnsi"/>
                <w:sz w:val="22"/>
                <w:szCs w:val="22"/>
              </w:rPr>
              <w:t>/yr</w:t>
            </w:r>
          </w:p>
        </w:tc>
        <w:tc>
          <w:tcPr>
            <w:tcW w:w="1211" w:type="pct"/>
          </w:tcPr>
          <w:p w14:paraId="37C9874C"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(Coarse veg. area x avg. storage rate) + (Fine veg. area x avg storage rate) </w:t>
            </w:r>
          </w:p>
        </w:tc>
        <w:tc>
          <w:tcPr>
            <w:tcW w:w="699" w:type="pct"/>
          </w:tcPr>
          <w:p w14:paraId="4958381D"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055" w:type="pct"/>
          </w:tcPr>
          <w:p w14:paraId="586D91A4"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BD6993" w14:paraId="535F2F57" w14:textId="77777777" w:rsidTr="00BD6993">
        <w:trPr>
          <w:trHeight w:val="309"/>
        </w:trPr>
        <w:tc>
          <w:tcPr>
            <w:cnfStyle w:val="001000000000" w:firstRow="0" w:lastRow="0" w:firstColumn="1" w:lastColumn="0" w:oddVBand="0" w:evenVBand="0" w:oddHBand="0" w:evenHBand="0" w:firstRowFirstColumn="0" w:firstRowLastColumn="0" w:lastRowFirstColumn="0" w:lastRowLastColumn="0"/>
            <w:tcW w:w="912" w:type="pct"/>
          </w:tcPr>
          <w:p w14:paraId="094D31A6" w14:textId="77777777" w:rsidR="00BD6993" w:rsidRPr="00BD6993" w:rsidRDefault="00BD6993" w:rsidP="00BD6993">
            <w:pPr>
              <w:rPr>
                <w:rFonts w:asciiTheme="minorHAnsi" w:hAnsiTheme="minorHAnsi"/>
                <w:sz w:val="21"/>
                <w:szCs w:val="21"/>
              </w:rPr>
            </w:pPr>
            <w:r w:rsidRPr="00BD6993">
              <w:rPr>
                <w:rFonts w:asciiTheme="minorHAnsi" w:hAnsiTheme="minorHAnsi"/>
                <w:sz w:val="21"/>
                <w:szCs w:val="21"/>
              </w:rPr>
              <w:t>PM</w:t>
            </w:r>
          </w:p>
        </w:tc>
        <w:tc>
          <w:tcPr>
            <w:tcW w:w="1123" w:type="pct"/>
          </w:tcPr>
          <w:p w14:paraId="7176534A"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2.1 g/m</w:t>
            </w:r>
            <w:r w:rsidRPr="00BD6993">
              <w:rPr>
                <w:rFonts w:asciiTheme="minorHAnsi" w:hAnsiTheme="minorHAnsi"/>
                <w:sz w:val="22"/>
                <w:szCs w:val="22"/>
                <w:vertAlign w:val="superscript"/>
              </w:rPr>
              <w:t>2</w:t>
            </w:r>
            <w:r w:rsidRPr="00BD6993">
              <w:rPr>
                <w:rFonts w:asciiTheme="minorHAnsi" w:hAnsiTheme="minorHAnsi"/>
                <w:sz w:val="22"/>
                <w:szCs w:val="22"/>
              </w:rPr>
              <w:t>/yr &amp; 1.12 g/m</w:t>
            </w:r>
            <w:r w:rsidRPr="00BD6993">
              <w:rPr>
                <w:rFonts w:asciiTheme="minorHAnsi" w:hAnsiTheme="minorHAnsi"/>
                <w:sz w:val="22"/>
                <w:szCs w:val="22"/>
                <w:vertAlign w:val="superscript"/>
              </w:rPr>
              <w:t>2</w:t>
            </w:r>
            <w:r w:rsidRPr="00BD6993">
              <w:rPr>
                <w:rFonts w:asciiTheme="minorHAnsi" w:hAnsiTheme="minorHAnsi"/>
                <w:sz w:val="22"/>
                <w:szCs w:val="22"/>
              </w:rPr>
              <w:t>/yr</w:t>
            </w:r>
          </w:p>
        </w:tc>
        <w:tc>
          <w:tcPr>
            <w:tcW w:w="1211" w:type="pct"/>
          </w:tcPr>
          <w:p w14:paraId="6366419B"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(Coarse veg. area x avg. storage rate) + (Fine veg. area x avg storage rate) </w:t>
            </w:r>
          </w:p>
        </w:tc>
        <w:tc>
          <w:tcPr>
            <w:tcW w:w="699" w:type="pct"/>
          </w:tcPr>
          <w:p w14:paraId="64EFBDBC"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1055" w:type="pct"/>
          </w:tcPr>
          <w:p w14:paraId="5C4EBAC0"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D6993" w14:paraId="536E0B5B" w14:textId="77777777" w:rsidTr="00BD6993">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12" w:type="pct"/>
          </w:tcPr>
          <w:p w14:paraId="05A80369" w14:textId="77777777" w:rsidR="00BD6993" w:rsidRPr="00BD6993" w:rsidRDefault="00BD6993" w:rsidP="00BD6993">
            <w:pPr>
              <w:rPr>
                <w:rFonts w:asciiTheme="minorHAnsi" w:hAnsiTheme="minorHAnsi"/>
                <w:sz w:val="21"/>
                <w:szCs w:val="21"/>
                <w:vertAlign w:val="subscript"/>
              </w:rPr>
            </w:pPr>
            <w:r w:rsidRPr="00BD6993">
              <w:rPr>
                <w:rFonts w:asciiTheme="minorHAnsi" w:hAnsiTheme="minorHAnsi"/>
                <w:sz w:val="21"/>
                <w:szCs w:val="21"/>
              </w:rPr>
              <w:t>SO</w:t>
            </w:r>
            <w:r w:rsidRPr="00BD6993">
              <w:rPr>
                <w:rFonts w:asciiTheme="minorHAnsi" w:hAnsiTheme="minorHAnsi"/>
                <w:sz w:val="21"/>
                <w:szCs w:val="21"/>
                <w:vertAlign w:val="subscript"/>
              </w:rPr>
              <w:t>2</w:t>
            </w:r>
          </w:p>
        </w:tc>
        <w:tc>
          <w:tcPr>
            <w:tcW w:w="1123" w:type="pct"/>
          </w:tcPr>
          <w:p w14:paraId="19978EB7"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1.6 g/m</w:t>
            </w:r>
            <w:r w:rsidRPr="00BD6993">
              <w:rPr>
                <w:rFonts w:asciiTheme="minorHAnsi" w:hAnsiTheme="minorHAnsi"/>
                <w:sz w:val="22"/>
                <w:szCs w:val="22"/>
                <w:vertAlign w:val="superscript"/>
              </w:rPr>
              <w:t>2</w:t>
            </w:r>
            <w:r w:rsidRPr="00BD6993">
              <w:rPr>
                <w:rFonts w:asciiTheme="minorHAnsi" w:hAnsiTheme="minorHAnsi"/>
                <w:sz w:val="22"/>
                <w:szCs w:val="22"/>
              </w:rPr>
              <w:t>/yr &amp; 0.65 g/m</w:t>
            </w:r>
            <w:r w:rsidRPr="00BD6993">
              <w:rPr>
                <w:rFonts w:asciiTheme="minorHAnsi" w:hAnsiTheme="minorHAnsi"/>
                <w:sz w:val="22"/>
                <w:szCs w:val="22"/>
                <w:vertAlign w:val="superscript"/>
              </w:rPr>
              <w:t>2</w:t>
            </w:r>
            <w:r w:rsidRPr="00BD6993">
              <w:rPr>
                <w:rFonts w:asciiTheme="minorHAnsi" w:hAnsiTheme="minorHAnsi"/>
                <w:sz w:val="22"/>
                <w:szCs w:val="22"/>
              </w:rPr>
              <w:t>/yr</w:t>
            </w:r>
          </w:p>
        </w:tc>
        <w:tc>
          <w:tcPr>
            <w:tcW w:w="1211" w:type="pct"/>
          </w:tcPr>
          <w:p w14:paraId="664AC577"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(Coarse veg. area x avg. storage rate) + (Fine veg. area x avg storage rate) </w:t>
            </w:r>
          </w:p>
        </w:tc>
        <w:tc>
          <w:tcPr>
            <w:tcW w:w="699" w:type="pct"/>
          </w:tcPr>
          <w:p w14:paraId="5D864EE7"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055" w:type="pct"/>
          </w:tcPr>
          <w:p w14:paraId="048DEA9C"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BD6993" w14:paraId="51A3FBB7" w14:textId="77777777" w:rsidTr="00BD6993">
        <w:trPr>
          <w:trHeight w:val="154"/>
        </w:trPr>
        <w:tc>
          <w:tcPr>
            <w:cnfStyle w:val="001000000000" w:firstRow="0" w:lastRow="0" w:firstColumn="1" w:lastColumn="0" w:oddVBand="0" w:evenVBand="0" w:oddHBand="0" w:evenHBand="0" w:firstRowFirstColumn="0" w:firstRowLastColumn="0" w:lastRowFirstColumn="0" w:lastRowLastColumn="0"/>
            <w:tcW w:w="912" w:type="pct"/>
          </w:tcPr>
          <w:p w14:paraId="3FB6941A" w14:textId="77777777" w:rsidR="00BD6993" w:rsidRPr="00BD6993" w:rsidRDefault="00BD6993" w:rsidP="00BD6993">
            <w:pPr>
              <w:rPr>
                <w:rFonts w:asciiTheme="minorHAnsi" w:hAnsiTheme="minorHAnsi"/>
                <w:sz w:val="21"/>
                <w:szCs w:val="21"/>
              </w:rPr>
            </w:pPr>
            <w:r w:rsidRPr="00BD6993">
              <w:rPr>
                <w:rFonts w:asciiTheme="minorHAnsi" w:hAnsiTheme="minorHAnsi"/>
                <w:sz w:val="21"/>
                <w:szCs w:val="21"/>
              </w:rPr>
              <w:t>CO</w:t>
            </w:r>
          </w:p>
        </w:tc>
        <w:tc>
          <w:tcPr>
            <w:tcW w:w="1123" w:type="pct"/>
          </w:tcPr>
          <w:p w14:paraId="5A5C6E74"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0.2 g/m</w:t>
            </w:r>
            <w:r w:rsidRPr="00BD6993">
              <w:rPr>
                <w:rFonts w:asciiTheme="minorHAnsi" w:hAnsiTheme="minorHAnsi"/>
                <w:sz w:val="22"/>
                <w:szCs w:val="22"/>
                <w:vertAlign w:val="superscript"/>
              </w:rPr>
              <w:t>2</w:t>
            </w:r>
            <w:r w:rsidRPr="00BD6993">
              <w:rPr>
                <w:rFonts w:asciiTheme="minorHAnsi" w:hAnsiTheme="minorHAnsi"/>
                <w:sz w:val="22"/>
                <w:szCs w:val="22"/>
              </w:rPr>
              <w:t>/yr</w:t>
            </w:r>
          </w:p>
        </w:tc>
        <w:tc>
          <w:tcPr>
            <w:tcW w:w="1211" w:type="pct"/>
          </w:tcPr>
          <w:p w14:paraId="27063D25"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(Coarse veg. area x avg. storage rate) </w:t>
            </w:r>
          </w:p>
        </w:tc>
        <w:tc>
          <w:tcPr>
            <w:tcW w:w="699" w:type="pct"/>
          </w:tcPr>
          <w:p w14:paraId="35648896"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1055" w:type="pct"/>
          </w:tcPr>
          <w:p w14:paraId="6CD8BBA8"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D6993" w14:paraId="162F09FB" w14:textId="77777777" w:rsidTr="00BD6993">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912" w:type="pct"/>
          </w:tcPr>
          <w:p w14:paraId="1AFC73AC" w14:textId="77777777" w:rsidR="00BD6993" w:rsidRPr="00BD6993" w:rsidRDefault="00BD6993" w:rsidP="00BD6993">
            <w:pPr>
              <w:rPr>
                <w:rFonts w:asciiTheme="minorHAnsi" w:hAnsiTheme="minorHAnsi"/>
                <w:sz w:val="21"/>
                <w:szCs w:val="21"/>
                <w:vertAlign w:val="subscript"/>
              </w:rPr>
            </w:pPr>
            <w:r w:rsidRPr="00BD6993">
              <w:rPr>
                <w:rFonts w:asciiTheme="minorHAnsi" w:hAnsiTheme="minorHAnsi"/>
                <w:sz w:val="21"/>
                <w:szCs w:val="21"/>
              </w:rPr>
              <w:t>O</w:t>
            </w:r>
            <w:r w:rsidRPr="00BD6993">
              <w:rPr>
                <w:rFonts w:asciiTheme="minorHAnsi" w:hAnsiTheme="minorHAnsi"/>
                <w:sz w:val="21"/>
                <w:szCs w:val="21"/>
                <w:vertAlign w:val="subscript"/>
              </w:rPr>
              <w:t>3</w:t>
            </w:r>
          </w:p>
        </w:tc>
        <w:tc>
          <w:tcPr>
            <w:tcW w:w="1123" w:type="pct"/>
          </w:tcPr>
          <w:p w14:paraId="61EE5F4E"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3.7 g/m</w:t>
            </w:r>
            <w:r w:rsidRPr="00BD6993">
              <w:rPr>
                <w:rFonts w:asciiTheme="minorHAnsi" w:hAnsiTheme="minorHAnsi"/>
                <w:sz w:val="22"/>
                <w:szCs w:val="22"/>
                <w:vertAlign w:val="superscript"/>
              </w:rPr>
              <w:t>2</w:t>
            </w:r>
            <w:r w:rsidRPr="00BD6993">
              <w:rPr>
                <w:rFonts w:asciiTheme="minorHAnsi" w:hAnsiTheme="minorHAnsi"/>
                <w:sz w:val="22"/>
                <w:szCs w:val="22"/>
              </w:rPr>
              <w:t>/yr</w:t>
            </w:r>
          </w:p>
        </w:tc>
        <w:tc>
          <w:tcPr>
            <w:tcW w:w="1211" w:type="pct"/>
          </w:tcPr>
          <w:p w14:paraId="10CB1AAA"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(Coarse veg. area x avg. storage rate) </w:t>
            </w:r>
          </w:p>
        </w:tc>
        <w:tc>
          <w:tcPr>
            <w:tcW w:w="699" w:type="pct"/>
          </w:tcPr>
          <w:p w14:paraId="5ACAB1BD"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055" w:type="pct"/>
          </w:tcPr>
          <w:p w14:paraId="2D119287"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BD6993" w14:paraId="1F51414D" w14:textId="77777777" w:rsidTr="00BD6993">
        <w:trPr>
          <w:trHeight w:val="163"/>
        </w:trPr>
        <w:tc>
          <w:tcPr>
            <w:cnfStyle w:val="001000000000" w:firstRow="0" w:lastRow="0" w:firstColumn="1" w:lastColumn="0" w:oddVBand="0" w:evenVBand="0" w:oddHBand="0" w:evenHBand="0" w:firstRowFirstColumn="0" w:firstRowLastColumn="0" w:lastRowFirstColumn="0" w:lastRowLastColumn="0"/>
            <w:tcW w:w="912" w:type="pct"/>
          </w:tcPr>
          <w:p w14:paraId="259E99DB" w14:textId="77777777" w:rsidR="00BD6993" w:rsidRPr="00BD6993" w:rsidRDefault="00BD6993" w:rsidP="00BD6993">
            <w:pPr>
              <w:rPr>
                <w:rFonts w:asciiTheme="minorHAnsi" w:hAnsiTheme="minorHAnsi"/>
                <w:sz w:val="22"/>
                <w:szCs w:val="22"/>
              </w:rPr>
            </w:pPr>
            <w:r w:rsidRPr="00BD6993">
              <w:rPr>
                <w:rFonts w:asciiTheme="minorHAnsi" w:hAnsiTheme="minorHAnsi"/>
                <w:sz w:val="22"/>
                <w:szCs w:val="22"/>
              </w:rPr>
              <w:t>Climate Regulation</w:t>
            </w:r>
          </w:p>
        </w:tc>
        <w:tc>
          <w:tcPr>
            <w:tcW w:w="1123" w:type="pct"/>
          </w:tcPr>
          <w:p w14:paraId="50813ED3"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1211" w:type="pct"/>
          </w:tcPr>
          <w:p w14:paraId="0953FD72"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eastAsia="Cambria Math" w:hAnsiTheme="minorHAnsi"/>
                <w:sz w:val="22"/>
                <w:szCs w:val="22"/>
                <w:lang w:eastAsia="ja-JP"/>
              </w:rPr>
            </w:pPr>
            <w:r w:rsidRPr="00BD6993">
              <w:rPr>
                <w:rFonts w:asciiTheme="minorHAnsi" w:hAnsiTheme="minorHAnsi"/>
                <w:sz w:val="22"/>
                <w:szCs w:val="22"/>
              </w:rPr>
              <w:t>Mean LST for the block group (</w:t>
            </w:r>
            <w:r w:rsidRPr="00BD6993">
              <w:rPr>
                <w:rFonts w:ascii="Cambria Math" w:eastAsia="Cambria Math" w:hAnsi="Cambria Math" w:cs="Cambria Math"/>
                <w:sz w:val="22"/>
                <w:szCs w:val="22"/>
              </w:rPr>
              <w:t>℃</w:t>
            </w:r>
            <w:r w:rsidRPr="00BD6993">
              <w:rPr>
                <w:rFonts w:asciiTheme="minorHAnsi" w:eastAsia="Cambria Math" w:hAnsiTheme="minorHAnsi"/>
                <w:sz w:val="22"/>
                <w:szCs w:val="22"/>
              </w:rPr>
              <w:t>)</w:t>
            </w:r>
          </w:p>
        </w:tc>
        <w:tc>
          <w:tcPr>
            <w:tcW w:w="699" w:type="pct"/>
          </w:tcPr>
          <w:p w14:paraId="762EBB41"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Landsat 8 Imagery</w:t>
            </w:r>
          </w:p>
        </w:tc>
        <w:tc>
          <w:tcPr>
            <w:tcW w:w="1055" w:type="pct"/>
          </w:tcPr>
          <w:p w14:paraId="79D29955"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Avdan and Jovanovska, 2016</w:t>
            </w:r>
          </w:p>
        </w:tc>
      </w:tr>
      <w:tr w:rsidR="00BD6993" w14:paraId="449C3C9B" w14:textId="77777777" w:rsidTr="00BD6993">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912" w:type="pct"/>
          </w:tcPr>
          <w:p w14:paraId="0B42DE59" w14:textId="77777777" w:rsidR="00BD6993" w:rsidRPr="00BD6993" w:rsidRDefault="00BD6993" w:rsidP="00BD6993">
            <w:pPr>
              <w:rPr>
                <w:rFonts w:asciiTheme="minorHAnsi" w:hAnsiTheme="minorHAnsi"/>
                <w:i/>
                <w:iCs/>
                <w:sz w:val="22"/>
                <w:szCs w:val="22"/>
              </w:rPr>
            </w:pPr>
            <w:r w:rsidRPr="00BD6993">
              <w:rPr>
                <w:rFonts w:asciiTheme="minorHAnsi" w:hAnsiTheme="minorHAnsi"/>
                <w:i/>
                <w:iCs/>
                <w:sz w:val="22"/>
                <w:szCs w:val="22"/>
              </w:rPr>
              <w:t>Cultural Services</w:t>
            </w:r>
          </w:p>
        </w:tc>
        <w:tc>
          <w:tcPr>
            <w:tcW w:w="1123" w:type="pct"/>
          </w:tcPr>
          <w:p w14:paraId="1F58B8BA"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211" w:type="pct"/>
          </w:tcPr>
          <w:p w14:paraId="29B37A7C"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699" w:type="pct"/>
          </w:tcPr>
          <w:p w14:paraId="656EA263"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1055" w:type="pct"/>
          </w:tcPr>
          <w:p w14:paraId="6058AAC5" w14:textId="77777777" w:rsidR="00BD6993" w:rsidRPr="00BD6993" w:rsidRDefault="00BD6993" w:rsidP="00BD6993">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BD6993" w14:paraId="7BAB438B" w14:textId="77777777" w:rsidTr="00BD6993">
        <w:trPr>
          <w:trHeight w:val="309"/>
        </w:trPr>
        <w:tc>
          <w:tcPr>
            <w:cnfStyle w:val="001000000000" w:firstRow="0" w:lastRow="0" w:firstColumn="1" w:lastColumn="0" w:oddVBand="0" w:evenVBand="0" w:oddHBand="0" w:evenHBand="0" w:firstRowFirstColumn="0" w:firstRowLastColumn="0" w:lastRowFirstColumn="0" w:lastRowLastColumn="0"/>
            <w:tcW w:w="912" w:type="pct"/>
          </w:tcPr>
          <w:p w14:paraId="38CDD582" w14:textId="77777777" w:rsidR="00BD6993" w:rsidRPr="00BD6993" w:rsidRDefault="00BD6993" w:rsidP="00BD6993">
            <w:pPr>
              <w:rPr>
                <w:rFonts w:asciiTheme="minorHAnsi" w:hAnsiTheme="minorHAnsi"/>
                <w:sz w:val="22"/>
                <w:szCs w:val="22"/>
              </w:rPr>
            </w:pPr>
            <w:r w:rsidRPr="00BD6993">
              <w:rPr>
                <w:rFonts w:asciiTheme="minorHAnsi" w:hAnsiTheme="minorHAnsi"/>
                <w:sz w:val="22"/>
                <w:szCs w:val="22"/>
              </w:rPr>
              <w:t>Recreation Potential</w:t>
            </w:r>
          </w:p>
        </w:tc>
        <w:tc>
          <w:tcPr>
            <w:tcW w:w="1123" w:type="pct"/>
          </w:tcPr>
          <w:p w14:paraId="4B84B5D7"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1211" w:type="pct"/>
          </w:tcPr>
          <w:p w14:paraId="3D40DC3C"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 acreage from parks accessible to the block group within 0.5 miles (acres) </w:t>
            </w:r>
          </w:p>
        </w:tc>
        <w:tc>
          <w:tcPr>
            <w:tcW w:w="699" w:type="pct"/>
          </w:tcPr>
          <w:p w14:paraId="7C4DCF8C"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BD6993">
              <w:rPr>
                <w:rFonts w:asciiTheme="minorHAnsi" w:hAnsiTheme="minorHAnsi"/>
                <w:sz w:val="22"/>
                <w:szCs w:val="22"/>
              </w:rPr>
              <w:t xml:space="preserve">Monroe County GIS Department Data </w:t>
            </w:r>
          </w:p>
        </w:tc>
        <w:tc>
          <w:tcPr>
            <w:tcW w:w="1055" w:type="pct"/>
          </w:tcPr>
          <w:p w14:paraId="50202153" w14:textId="77777777" w:rsidR="00BD6993" w:rsidRPr="00BD6993" w:rsidRDefault="00BD6993" w:rsidP="00BD6993">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bl>
    <w:p w14:paraId="46181C46" w14:textId="6DD57DD7" w:rsidR="00C472C9" w:rsidRDefault="00C472C9" w:rsidP="002D0252">
      <w:pPr>
        <w:spacing w:line="360" w:lineRule="auto"/>
        <w:rPr>
          <w:rFonts w:asciiTheme="minorHAnsi" w:hAnsiTheme="minorHAnsi"/>
          <w:i/>
        </w:rPr>
      </w:pPr>
    </w:p>
    <w:p w14:paraId="324990C0" w14:textId="3DA83B8E" w:rsidR="00C472C9" w:rsidRDefault="00C472C9" w:rsidP="002D0252">
      <w:pPr>
        <w:spacing w:line="360" w:lineRule="auto"/>
        <w:rPr>
          <w:rFonts w:asciiTheme="minorHAnsi" w:hAnsiTheme="minorHAnsi"/>
          <w:i/>
        </w:rPr>
      </w:pPr>
    </w:p>
    <w:p w14:paraId="3E7AEAEC" w14:textId="38443F71" w:rsidR="009F0295" w:rsidRPr="009F0295" w:rsidRDefault="00D1218E" w:rsidP="009F0295">
      <w:pPr>
        <w:pStyle w:val="NoSpacing"/>
        <w:spacing w:line="360" w:lineRule="auto"/>
        <w:rPr>
          <w:rFonts w:ascii="Cambria" w:hAnsi="Cambria"/>
          <w:i/>
          <w:iCs/>
          <w:sz w:val="24"/>
          <w:szCs w:val="24"/>
        </w:rPr>
      </w:pPr>
      <w:r w:rsidRPr="009F0295">
        <w:rPr>
          <w:rFonts w:ascii="Cambria" w:hAnsi="Cambria"/>
          <w:i/>
          <w:iCs/>
          <w:sz w:val="24"/>
          <w:szCs w:val="24"/>
        </w:rPr>
        <w:lastRenderedPageBreak/>
        <w:t>2.</w:t>
      </w:r>
      <w:r w:rsidR="00775165">
        <w:rPr>
          <w:rFonts w:ascii="Cambria" w:hAnsi="Cambria"/>
          <w:i/>
          <w:iCs/>
          <w:sz w:val="24"/>
          <w:szCs w:val="24"/>
        </w:rPr>
        <w:t>2</w:t>
      </w:r>
      <w:r w:rsidRPr="009F0295">
        <w:rPr>
          <w:rFonts w:ascii="Cambria" w:hAnsi="Cambria"/>
          <w:i/>
          <w:iCs/>
          <w:sz w:val="24"/>
          <w:szCs w:val="24"/>
        </w:rPr>
        <w:t>.</w:t>
      </w:r>
      <w:r w:rsidR="00270CC5" w:rsidRPr="009F0295">
        <w:rPr>
          <w:rFonts w:ascii="Cambria" w:hAnsi="Cambria"/>
          <w:i/>
          <w:iCs/>
          <w:sz w:val="24"/>
          <w:szCs w:val="24"/>
        </w:rPr>
        <w:t>3</w:t>
      </w:r>
      <w:r w:rsidRPr="009F0295">
        <w:rPr>
          <w:rFonts w:ascii="Cambria" w:hAnsi="Cambria"/>
          <w:i/>
          <w:iCs/>
          <w:sz w:val="24"/>
          <w:szCs w:val="24"/>
        </w:rPr>
        <w:t xml:space="preserve"> Local Climate Regulation</w:t>
      </w:r>
    </w:p>
    <w:p w14:paraId="59233B04" w14:textId="4CBD126A" w:rsidR="00AF6474" w:rsidRDefault="00ED6CFA" w:rsidP="009F0295">
      <w:pPr>
        <w:pStyle w:val="NoSpacing"/>
        <w:spacing w:line="360" w:lineRule="auto"/>
        <w:ind w:firstLine="720"/>
        <w:rPr>
          <w:rFonts w:asciiTheme="minorHAnsi" w:hAnsiTheme="minorHAnsi"/>
          <w:sz w:val="24"/>
          <w:szCs w:val="24"/>
        </w:rPr>
      </w:pPr>
      <w:r>
        <w:rPr>
          <w:rFonts w:ascii="Cambria" w:hAnsi="Cambria"/>
          <w:sz w:val="24"/>
          <w:szCs w:val="24"/>
        </w:rPr>
        <w:t xml:space="preserve">We </w:t>
      </w:r>
      <w:r w:rsidR="000C0BF9">
        <w:rPr>
          <w:rFonts w:ascii="Cambria" w:hAnsi="Cambria"/>
          <w:sz w:val="24"/>
          <w:szCs w:val="24"/>
        </w:rPr>
        <w:t>determined t</w:t>
      </w:r>
      <w:r w:rsidR="00D1218E" w:rsidRPr="009F0295">
        <w:rPr>
          <w:rFonts w:ascii="Cambria" w:hAnsi="Cambria"/>
          <w:sz w:val="24"/>
          <w:szCs w:val="24"/>
        </w:rPr>
        <w:t xml:space="preserve">he cooling effects of UGS within the city by calculating the mean land surface temperature (LST) of each block group </w:t>
      </w:r>
      <w:r w:rsidR="00143099">
        <w:rPr>
          <w:rFonts w:ascii="Cambria" w:hAnsi="Cambria"/>
          <w:sz w:val="24"/>
          <w:szCs w:val="24"/>
        </w:rPr>
        <w:t xml:space="preserve">for one day </w:t>
      </w:r>
      <w:r w:rsidR="000C0BF9">
        <w:rPr>
          <w:rFonts w:ascii="Cambria" w:hAnsi="Cambria"/>
          <w:sz w:val="24"/>
          <w:szCs w:val="24"/>
        </w:rPr>
        <w:t>using a literature-based</w:t>
      </w:r>
      <w:r w:rsidR="00D1218E" w:rsidRPr="009F0295">
        <w:rPr>
          <w:rFonts w:ascii="Cambria" w:hAnsi="Cambria"/>
          <w:sz w:val="24"/>
          <w:szCs w:val="24"/>
        </w:rPr>
        <w:t xml:space="preserve"> algorithm </w:t>
      </w:r>
      <w:r w:rsidR="000C0BF9">
        <w:rPr>
          <w:rFonts w:ascii="Cambria" w:hAnsi="Cambria"/>
          <w:sz w:val="24"/>
          <w:szCs w:val="24"/>
        </w:rPr>
        <w:t>(</w:t>
      </w:r>
      <w:r w:rsidR="00D1218E" w:rsidRPr="009F0295">
        <w:rPr>
          <w:rFonts w:ascii="Cambria" w:hAnsi="Cambria"/>
          <w:sz w:val="24"/>
          <w:szCs w:val="24"/>
        </w:rPr>
        <w:t>Avdan and Jovanovska</w:t>
      </w:r>
      <w:r w:rsidR="000C0BF9">
        <w:rPr>
          <w:rFonts w:ascii="Cambria" w:hAnsi="Cambria"/>
          <w:sz w:val="24"/>
          <w:szCs w:val="24"/>
        </w:rPr>
        <w:t xml:space="preserve">, </w:t>
      </w:r>
      <w:r w:rsidR="00D1218E" w:rsidRPr="009F0295">
        <w:rPr>
          <w:rFonts w:ascii="Cambria" w:hAnsi="Cambria"/>
          <w:sz w:val="24"/>
          <w:szCs w:val="24"/>
        </w:rPr>
        <w:t xml:space="preserve">2016) and Landsat 8 imagery courtesy of the U.S. Geological Survey. For the Landsat imagery that </w:t>
      </w:r>
      <w:r>
        <w:rPr>
          <w:rFonts w:ascii="Cambria" w:hAnsi="Cambria"/>
          <w:sz w:val="24"/>
          <w:szCs w:val="24"/>
        </w:rPr>
        <w:t>we</w:t>
      </w:r>
      <w:r w:rsidRPr="009F0295">
        <w:rPr>
          <w:rFonts w:ascii="Cambria" w:hAnsi="Cambria"/>
          <w:sz w:val="24"/>
          <w:szCs w:val="24"/>
        </w:rPr>
        <w:t xml:space="preserve"> </w:t>
      </w:r>
      <w:r w:rsidR="00D1218E" w:rsidRPr="009F0295">
        <w:rPr>
          <w:rFonts w:ascii="Cambria" w:hAnsi="Cambria"/>
          <w:sz w:val="24"/>
          <w:szCs w:val="24"/>
        </w:rPr>
        <w:t xml:space="preserve">used to calculate the mean LST, </w:t>
      </w:r>
      <w:r>
        <w:rPr>
          <w:rFonts w:ascii="Cambria" w:hAnsi="Cambria"/>
          <w:sz w:val="24"/>
          <w:szCs w:val="24"/>
        </w:rPr>
        <w:t>we</w:t>
      </w:r>
      <w:r w:rsidRPr="009F0295">
        <w:rPr>
          <w:rFonts w:ascii="Cambria" w:hAnsi="Cambria"/>
          <w:sz w:val="24"/>
          <w:szCs w:val="24"/>
        </w:rPr>
        <w:t xml:space="preserve"> </w:t>
      </w:r>
      <w:r w:rsidR="00D1218E" w:rsidRPr="009F0295">
        <w:rPr>
          <w:rFonts w:ascii="Cambria" w:hAnsi="Cambria"/>
          <w:sz w:val="24"/>
          <w:szCs w:val="24"/>
        </w:rPr>
        <w:t xml:space="preserve">set parameters of less than 10% cloud cover in the scene and that the imagery had to be located in the northern hemisphere during the summertime (June-August). These parameters were set </w:t>
      </w:r>
      <w:r w:rsidR="00143099" w:rsidRPr="009F0295">
        <w:rPr>
          <w:rFonts w:ascii="Cambria" w:hAnsi="Cambria"/>
          <w:sz w:val="24"/>
          <w:szCs w:val="24"/>
        </w:rPr>
        <w:t>to</w:t>
      </w:r>
      <w:r w:rsidR="00D1218E" w:rsidRPr="009F0295">
        <w:rPr>
          <w:rFonts w:ascii="Cambria" w:hAnsi="Cambria"/>
          <w:sz w:val="24"/>
          <w:szCs w:val="24"/>
        </w:rPr>
        <w:t xml:space="preserve"> reduce any gaps in landcover data created by cloud cover and to accurately represent the consequences of the </w:t>
      </w:r>
      <w:r w:rsidR="00C95366">
        <w:rPr>
          <w:rFonts w:ascii="Cambria" w:hAnsi="Cambria"/>
          <w:sz w:val="24"/>
          <w:szCs w:val="24"/>
        </w:rPr>
        <w:t>UHI</w:t>
      </w:r>
      <w:r w:rsidR="00D1218E" w:rsidRPr="009F0295">
        <w:rPr>
          <w:rFonts w:ascii="Cambria" w:hAnsi="Cambria"/>
          <w:sz w:val="24"/>
          <w:szCs w:val="24"/>
        </w:rPr>
        <w:t xml:space="preserve"> effect on cities (Hoffman et al. 2020). The imagery used for this analysis was taken on </w:t>
      </w:r>
      <w:r w:rsidR="00A6059E" w:rsidRPr="009F0295">
        <w:rPr>
          <w:rFonts w:ascii="Cambria" w:hAnsi="Cambria"/>
          <w:sz w:val="24"/>
          <w:szCs w:val="24"/>
        </w:rPr>
        <w:t>June 23</w:t>
      </w:r>
      <w:r w:rsidR="00A6059E" w:rsidRPr="009F0295">
        <w:rPr>
          <w:rFonts w:ascii="Cambria" w:hAnsi="Cambria"/>
          <w:sz w:val="24"/>
          <w:szCs w:val="24"/>
          <w:vertAlign w:val="superscript"/>
        </w:rPr>
        <w:t>rd</w:t>
      </w:r>
      <w:r w:rsidR="00A6059E" w:rsidRPr="009F0295">
        <w:rPr>
          <w:rFonts w:ascii="Cambria" w:hAnsi="Cambria"/>
          <w:sz w:val="24"/>
          <w:szCs w:val="24"/>
        </w:rPr>
        <w:t>, 2019 and</w:t>
      </w:r>
      <w:r w:rsidR="00D1218E" w:rsidRPr="009F0295">
        <w:rPr>
          <w:rFonts w:ascii="Cambria" w:hAnsi="Cambria"/>
          <w:sz w:val="24"/>
          <w:szCs w:val="24"/>
        </w:rPr>
        <w:t xml:space="preserve"> had a 1.2% cloud cover over the scene. Using ArcGIS, </w:t>
      </w:r>
      <w:r>
        <w:rPr>
          <w:rFonts w:ascii="Cambria" w:hAnsi="Cambria"/>
          <w:sz w:val="24"/>
          <w:szCs w:val="24"/>
        </w:rPr>
        <w:t>we</w:t>
      </w:r>
      <w:r w:rsidRPr="009F0295">
        <w:rPr>
          <w:rFonts w:ascii="Cambria" w:hAnsi="Cambria"/>
          <w:sz w:val="24"/>
          <w:szCs w:val="24"/>
        </w:rPr>
        <w:t xml:space="preserve"> </w:t>
      </w:r>
      <w:r w:rsidR="00D1218E" w:rsidRPr="009F0295">
        <w:rPr>
          <w:rFonts w:ascii="Cambria" w:hAnsi="Cambria"/>
          <w:sz w:val="24"/>
          <w:szCs w:val="24"/>
        </w:rPr>
        <w:t>transform</w:t>
      </w:r>
      <w:r w:rsidR="000C0BF9">
        <w:rPr>
          <w:rFonts w:ascii="Cambria" w:hAnsi="Cambria"/>
          <w:sz w:val="24"/>
          <w:szCs w:val="24"/>
        </w:rPr>
        <w:t>ed</w:t>
      </w:r>
      <w:r w:rsidR="00D1218E" w:rsidRPr="009F0295">
        <w:rPr>
          <w:rFonts w:ascii="Cambria" w:hAnsi="Cambria"/>
          <w:sz w:val="24"/>
          <w:szCs w:val="24"/>
        </w:rPr>
        <w:t xml:space="preserve"> the band 10 information from the</w:t>
      </w:r>
      <w:r w:rsidR="00871CD7">
        <w:rPr>
          <w:rFonts w:ascii="Cambria" w:hAnsi="Cambria"/>
          <w:sz w:val="24"/>
          <w:szCs w:val="24"/>
        </w:rPr>
        <w:t xml:space="preserve"> </w:t>
      </w:r>
      <w:r w:rsidR="00D1218E" w:rsidRPr="009F0295">
        <w:rPr>
          <w:rFonts w:ascii="Cambria" w:hAnsi="Cambria"/>
          <w:sz w:val="24"/>
          <w:szCs w:val="24"/>
        </w:rPr>
        <w:t>imagery into top of atmospheric spectral radiance and then convert</w:t>
      </w:r>
      <w:r w:rsidR="000C0BF9">
        <w:rPr>
          <w:rFonts w:ascii="Cambria" w:hAnsi="Cambria"/>
          <w:sz w:val="24"/>
          <w:szCs w:val="24"/>
        </w:rPr>
        <w:t>ed</w:t>
      </w:r>
      <w:r w:rsidR="00D1218E" w:rsidRPr="009F0295">
        <w:rPr>
          <w:rFonts w:ascii="Cambria" w:hAnsi="Cambria"/>
          <w:sz w:val="24"/>
          <w:szCs w:val="24"/>
        </w:rPr>
        <w:t xml:space="preserve"> the radiance values into at-sensor temperature. Next, using the band 4 and band 5 information</w:t>
      </w:r>
      <w:r w:rsidR="009C542E">
        <w:rPr>
          <w:rFonts w:ascii="Cambria" w:hAnsi="Cambria"/>
          <w:sz w:val="24"/>
          <w:szCs w:val="24"/>
        </w:rPr>
        <w:t>,</w:t>
      </w:r>
      <w:r w:rsidR="00D1218E" w:rsidRPr="009F0295">
        <w:rPr>
          <w:rFonts w:ascii="Cambria" w:hAnsi="Cambria"/>
          <w:sz w:val="24"/>
          <w:szCs w:val="24"/>
        </w:rPr>
        <w:t xml:space="preserve"> </w:t>
      </w:r>
      <w:r>
        <w:rPr>
          <w:rFonts w:ascii="Cambria" w:hAnsi="Cambria"/>
          <w:sz w:val="24"/>
          <w:szCs w:val="24"/>
        </w:rPr>
        <w:t>we</w:t>
      </w:r>
      <w:r w:rsidRPr="009F0295">
        <w:rPr>
          <w:rFonts w:ascii="Cambria" w:hAnsi="Cambria"/>
          <w:sz w:val="24"/>
          <w:szCs w:val="24"/>
        </w:rPr>
        <w:t xml:space="preserve"> </w:t>
      </w:r>
      <w:r w:rsidR="00D1218E" w:rsidRPr="009F0295">
        <w:rPr>
          <w:rFonts w:ascii="Cambria" w:hAnsi="Cambria"/>
          <w:sz w:val="24"/>
          <w:szCs w:val="24"/>
        </w:rPr>
        <w:t xml:space="preserve">calculated the NDVI and proportion of vegetation present for each pixel, which </w:t>
      </w:r>
      <w:r>
        <w:rPr>
          <w:rFonts w:ascii="Cambria" w:hAnsi="Cambria"/>
          <w:sz w:val="24"/>
          <w:szCs w:val="24"/>
        </w:rPr>
        <w:t>we</w:t>
      </w:r>
      <w:r w:rsidRPr="009F0295">
        <w:rPr>
          <w:rFonts w:ascii="Cambria" w:hAnsi="Cambria"/>
          <w:sz w:val="24"/>
          <w:szCs w:val="24"/>
        </w:rPr>
        <w:t xml:space="preserve"> </w:t>
      </w:r>
      <w:r w:rsidR="00D1218E" w:rsidRPr="009F0295">
        <w:rPr>
          <w:rFonts w:ascii="Cambria" w:hAnsi="Cambria"/>
          <w:sz w:val="24"/>
          <w:szCs w:val="24"/>
        </w:rPr>
        <w:t>then used to calculate the land surface emissivity. Calculating the NDVI was essential as vegetation plays a key role in the reduction of the UHI effects through their shading and evapotranspiration abilities (</w:t>
      </w:r>
      <w:r w:rsidR="00916D7F" w:rsidRPr="009F0295">
        <w:rPr>
          <w:rFonts w:ascii="Cambria" w:hAnsi="Cambria"/>
          <w:sz w:val="24"/>
          <w:szCs w:val="24"/>
        </w:rPr>
        <w:t>Skelhorn</w:t>
      </w:r>
      <w:r w:rsidR="00D1218E" w:rsidRPr="009F0295">
        <w:rPr>
          <w:rFonts w:ascii="Cambria" w:hAnsi="Cambria"/>
          <w:sz w:val="24"/>
          <w:szCs w:val="24"/>
        </w:rPr>
        <w:t xml:space="preserve"> et al., 2014; Xie et al., 2013), as well providing information on the general health of the vegetation in the area. Then, by combining the at-sensor temperature and land surface emissivity together, </w:t>
      </w:r>
      <w:r>
        <w:rPr>
          <w:rFonts w:ascii="Cambria" w:hAnsi="Cambria"/>
          <w:sz w:val="24"/>
          <w:szCs w:val="24"/>
        </w:rPr>
        <w:t>we</w:t>
      </w:r>
      <w:r w:rsidRPr="009F0295">
        <w:rPr>
          <w:rFonts w:ascii="Cambria" w:hAnsi="Cambria"/>
          <w:sz w:val="24"/>
          <w:szCs w:val="24"/>
        </w:rPr>
        <w:t xml:space="preserve"> </w:t>
      </w:r>
      <w:r w:rsidR="00D1218E" w:rsidRPr="009F0295">
        <w:rPr>
          <w:rFonts w:ascii="Cambria" w:hAnsi="Cambria"/>
          <w:sz w:val="24"/>
          <w:szCs w:val="24"/>
        </w:rPr>
        <w:t xml:space="preserve">calculated the </w:t>
      </w:r>
      <w:r w:rsidR="0091228C">
        <w:rPr>
          <w:rFonts w:ascii="Cambria" w:hAnsi="Cambria"/>
          <w:sz w:val="24"/>
          <w:szCs w:val="24"/>
        </w:rPr>
        <w:t>LST</w:t>
      </w:r>
      <w:r w:rsidR="00D1218E" w:rsidRPr="009F0295">
        <w:rPr>
          <w:rFonts w:ascii="Cambria" w:hAnsi="Cambria"/>
          <w:sz w:val="24"/>
          <w:szCs w:val="24"/>
        </w:rPr>
        <w:t xml:space="preserve"> for each pixel. Finally, using the zonal statistics tool in ArcGIS</w:t>
      </w:r>
      <w:r w:rsidR="000C0BF9">
        <w:rPr>
          <w:rFonts w:ascii="Cambria" w:hAnsi="Cambria"/>
          <w:sz w:val="24"/>
          <w:szCs w:val="24"/>
        </w:rPr>
        <w:t xml:space="preserve">, </w:t>
      </w:r>
      <w:r>
        <w:rPr>
          <w:rFonts w:ascii="Cambria" w:hAnsi="Cambria"/>
          <w:sz w:val="24"/>
          <w:szCs w:val="24"/>
        </w:rPr>
        <w:t xml:space="preserve">we </w:t>
      </w:r>
      <w:r w:rsidR="000C0BF9">
        <w:rPr>
          <w:rFonts w:ascii="Cambria" w:hAnsi="Cambria"/>
          <w:sz w:val="24"/>
          <w:szCs w:val="24"/>
        </w:rPr>
        <w:t xml:space="preserve">calculated </w:t>
      </w:r>
      <w:r w:rsidR="00D1218E" w:rsidRPr="009F0295">
        <w:rPr>
          <w:rFonts w:ascii="Cambria" w:hAnsi="Cambria"/>
          <w:sz w:val="24"/>
          <w:szCs w:val="24"/>
        </w:rPr>
        <w:t xml:space="preserve">the mean LST for each block </w:t>
      </w:r>
      <w:r w:rsidR="00D1218E" w:rsidRPr="009F0295">
        <w:rPr>
          <w:rFonts w:asciiTheme="minorHAnsi" w:hAnsiTheme="minorHAnsi"/>
          <w:sz w:val="24"/>
          <w:szCs w:val="24"/>
        </w:rPr>
        <w:t xml:space="preserve">group in degrees </w:t>
      </w:r>
      <w:r w:rsidR="000C0BF9">
        <w:rPr>
          <w:rFonts w:asciiTheme="minorHAnsi" w:hAnsiTheme="minorHAnsi"/>
          <w:sz w:val="24"/>
          <w:szCs w:val="24"/>
        </w:rPr>
        <w:t>C</w:t>
      </w:r>
      <w:r w:rsidR="000C0BF9" w:rsidRPr="009F0295">
        <w:rPr>
          <w:rFonts w:asciiTheme="minorHAnsi" w:hAnsiTheme="minorHAnsi"/>
          <w:sz w:val="24"/>
          <w:szCs w:val="24"/>
        </w:rPr>
        <w:t>elsius</w:t>
      </w:r>
      <w:r w:rsidR="00D545B2">
        <w:rPr>
          <w:rFonts w:asciiTheme="minorHAnsi" w:hAnsiTheme="minorHAnsi"/>
          <w:sz w:val="24"/>
          <w:szCs w:val="24"/>
        </w:rPr>
        <w:t xml:space="preserve"> for that day</w:t>
      </w:r>
      <w:r w:rsidR="00D1218E" w:rsidRPr="009F0295">
        <w:rPr>
          <w:rFonts w:asciiTheme="minorHAnsi" w:hAnsiTheme="minorHAnsi"/>
          <w:sz w:val="24"/>
          <w:szCs w:val="24"/>
        </w:rPr>
        <w:t>.</w:t>
      </w:r>
    </w:p>
    <w:p w14:paraId="336E7784" w14:textId="77777777" w:rsidR="00FC706A" w:rsidRDefault="00FC706A" w:rsidP="009F0295">
      <w:pPr>
        <w:pStyle w:val="NoSpacing"/>
        <w:spacing w:line="360" w:lineRule="auto"/>
        <w:rPr>
          <w:rFonts w:asciiTheme="minorHAnsi" w:hAnsiTheme="minorHAnsi"/>
          <w:i/>
          <w:iCs/>
          <w:sz w:val="24"/>
          <w:szCs w:val="24"/>
        </w:rPr>
      </w:pPr>
    </w:p>
    <w:p w14:paraId="4B1ECACB" w14:textId="6838EF6C" w:rsidR="009F0295" w:rsidRPr="009F0295" w:rsidRDefault="00D1218E" w:rsidP="009F0295">
      <w:pPr>
        <w:pStyle w:val="NoSpacing"/>
        <w:spacing w:line="360" w:lineRule="auto"/>
        <w:rPr>
          <w:rFonts w:asciiTheme="minorHAnsi" w:hAnsiTheme="minorHAnsi"/>
          <w:i/>
          <w:iCs/>
          <w:sz w:val="24"/>
          <w:szCs w:val="24"/>
        </w:rPr>
      </w:pPr>
      <w:r w:rsidRPr="009F0295">
        <w:rPr>
          <w:rFonts w:asciiTheme="minorHAnsi" w:hAnsiTheme="minorHAnsi"/>
          <w:i/>
          <w:iCs/>
          <w:sz w:val="24"/>
          <w:szCs w:val="24"/>
        </w:rPr>
        <w:t>2.</w:t>
      </w:r>
      <w:r w:rsidR="00775165">
        <w:rPr>
          <w:rFonts w:asciiTheme="minorHAnsi" w:hAnsiTheme="minorHAnsi"/>
          <w:i/>
          <w:iCs/>
          <w:sz w:val="24"/>
          <w:szCs w:val="24"/>
        </w:rPr>
        <w:t>2</w:t>
      </w:r>
      <w:r w:rsidRPr="009F0295">
        <w:rPr>
          <w:rFonts w:asciiTheme="minorHAnsi" w:hAnsiTheme="minorHAnsi"/>
          <w:i/>
          <w:iCs/>
          <w:sz w:val="24"/>
          <w:szCs w:val="24"/>
        </w:rPr>
        <w:t xml:space="preserve">.4 Recreation Potential </w:t>
      </w:r>
    </w:p>
    <w:p w14:paraId="66652F44" w14:textId="3E791DC8" w:rsidR="00646B01" w:rsidRDefault="00ED6CFA" w:rsidP="00646B01">
      <w:pPr>
        <w:pStyle w:val="NoSpacing"/>
        <w:spacing w:line="360" w:lineRule="auto"/>
        <w:ind w:firstLine="720"/>
      </w:pPr>
      <w:r>
        <w:rPr>
          <w:rFonts w:asciiTheme="minorHAnsi" w:hAnsiTheme="minorHAnsi"/>
          <w:sz w:val="24"/>
          <w:szCs w:val="24"/>
        </w:rPr>
        <w:t>We</w:t>
      </w:r>
      <w:r w:rsidRPr="009F0295">
        <w:rPr>
          <w:rFonts w:asciiTheme="minorHAnsi" w:hAnsiTheme="minorHAnsi"/>
          <w:sz w:val="24"/>
          <w:szCs w:val="24"/>
        </w:rPr>
        <w:t xml:space="preserve"> </w:t>
      </w:r>
      <w:r w:rsidR="00D1218E" w:rsidRPr="009F0295">
        <w:rPr>
          <w:rFonts w:asciiTheme="minorHAnsi" w:hAnsiTheme="minorHAnsi"/>
          <w:sz w:val="24"/>
          <w:szCs w:val="24"/>
        </w:rPr>
        <w:t>calculated the UES value indicator for recreation potential using a dataset of the city’s park locations courtesy of the Monroe County GIS Department</w:t>
      </w:r>
      <w:r w:rsidR="008D50B5">
        <w:rPr>
          <w:rFonts w:asciiTheme="minorHAnsi" w:hAnsiTheme="minorHAnsi"/>
          <w:sz w:val="24"/>
          <w:szCs w:val="24"/>
        </w:rPr>
        <w:t xml:space="preserve"> (2020)</w:t>
      </w:r>
      <w:r w:rsidR="00D1218E" w:rsidRPr="009F0295">
        <w:rPr>
          <w:rFonts w:asciiTheme="minorHAnsi" w:hAnsiTheme="minorHAnsi"/>
          <w:sz w:val="24"/>
          <w:szCs w:val="24"/>
        </w:rPr>
        <w:t xml:space="preserve"> and the service area analysis tool in ArcGIS. </w:t>
      </w:r>
      <w:r w:rsidR="00F90CCA">
        <w:rPr>
          <w:rFonts w:asciiTheme="minorHAnsi" w:hAnsiTheme="minorHAnsi"/>
          <w:sz w:val="24"/>
          <w:szCs w:val="24"/>
        </w:rPr>
        <w:t xml:space="preserve">This dataset provided by the </w:t>
      </w:r>
      <w:r w:rsidR="00F90CCA" w:rsidRPr="009F0295">
        <w:rPr>
          <w:rFonts w:asciiTheme="minorHAnsi" w:hAnsiTheme="minorHAnsi"/>
          <w:sz w:val="24"/>
          <w:szCs w:val="24"/>
        </w:rPr>
        <w:t>Monroe County GIS Department</w:t>
      </w:r>
      <w:r w:rsidR="00F90CCA">
        <w:rPr>
          <w:rFonts w:asciiTheme="minorHAnsi" w:hAnsiTheme="minorHAnsi"/>
          <w:sz w:val="24"/>
          <w:szCs w:val="24"/>
        </w:rPr>
        <w:t xml:space="preserve"> included locations of all the publicly owned parks, playgrounds, and recreation centers in the city. </w:t>
      </w:r>
      <w:r w:rsidR="00D1218E" w:rsidRPr="009F0295">
        <w:rPr>
          <w:rFonts w:asciiTheme="minorHAnsi" w:hAnsiTheme="minorHAnsi"/>
          <w:sz w:val="24"/>
          <w:szCs w:val="24"/>
        </w:rPr>
        <w:t xml:space="preserve">For each park in the city, </w:t>
      </w:r>
      <w:r>
        <w:rPr>
          <w:rFonts w:asciiTheme="minorHAnsi" w:hAnsiTheme="minorHAnsi"/>
          <w:sz w:val="24"/>
          <w:szCs w:val="24"/>
        </w:rPr>
        <w:t xml:space="preserve">we </w:t>
      </w:r>
      <w:r w:rsidR="0026601F">
        <w:rPr>
          <w:rFonts w:asciiTheme="minorHAnsi" w:hAnsiTheme="minorHAnsi"/>
          <w:sz w:val="24"/>
          <w:szCs w:val="24"/>
        </w:rPr>
        <w:t xml:space="preserve">created </w:t>
      </w:r>
      <w:r w:rsidR="00D1218E" w:rsidRPr="009F0295">
        <w:rPr>
          <w:rFonts w:asciiTheme="minorHAnsi" w:hAnsiTheme="minorHAnsi"/>
          <w:sz w:val="24"/>
          <w:szCs w:val="24"/>
        </w:rPr>
        <w:t>an 800m service area walking analysis f</w:t>
      </w:r>
      <w:r w:rsidR="00A4175C">
        <w:rPr>
          <w:rFonts w:asciiTheme="minorHAnsi" w:hAnsiTheme="minorHAnsi"/>
          <w:sz w:val="24"/>
          <w:szCs w:val="24"/>
        </w:rPr>
        <w:t>rom</w:t>
      </w:r>
      <w:r w:rsidR="00D1218E" w:rsidRPr="009F0295">
        <w:rPr>
          <w:rFonts w:asciiTheme="minorHAnsi" w:hAnsiTheme="minorHAnsi"/>
          <w:sz w:val="24"/>
          <w:szCs w:val="24"/>
        </w:rPr>
        <w:t xml:space="preserve"> each of its entryways. </w:t>
      </w:r>
      <w:r>
        <w:rPr>
          <w:rFonts w:asciiTheme="minorHAnsi" w:hAnsiTheme="minorHAnsi"/>
          <w:sz w:val="24"/>
          <w:szCs w:val="24"/>
        </w:rPr>
        <w:t>We</w:t>
      </w:r>
      <w:r w:rsidRPr="009F0295">
        <w:rPr>
          <w:rFonts w:asciiTheme="minorHAnsi" w:hAnsiTheme="minorHAnsi"/>
          <w:sz w:val="24"/>
          <w:szCs w:val="24"/>
        </w:rPr>
        <w:t xml:space="preserve"> </w:t>
      </w:r>
      <w:r w:rsidR="00D1218E" w:rsidRPr="009F0295">
        <w:rPr>
          <w:rFonts w:asciiTheme="minorHAnsi" w:hAnsiTheme="minorHAnsi"/>
          <w:sz w:val="24"/>
          <w:szCs w:val="24"/>
        </w:rPr>
        <w:t xml:space="preserve">selected this buffer size to match the 0.5-mile distance found to be the average distance U.S. urban residents are willing to walk for recreational destinations (Yang and Roux, 2012). </w:t>
      </w:r>
      <w:r>
        <w:rPr>
          <w:rFonts w:asciiTheme="minorHAnsi" w:hAnsiTheme="minorHAnsi"/>
          <w:sz w:val="24"/>
          <w:szCs w:val="24"/>
        </w:rPr>
        <w:t>We</w:t>
      </w:r>
      <w:r w:rsidRPr="009F0295">
        <w:rPr>
          <w:rFonts w:asciiTheme="minorHAnsi" w:hAnsiTheme="minorHAnsi"/>
          <w:sz w:val="24"/>
          <w:szCs w:val="24"/>
        </w:rPr>
        <w:t xml:space="preserve"> </w:t>
      </w:r>
      <w:r w:rsidR="00D1218E" w:rsidRPr="009F0295">
        <w:rPr>
          <w:rFonts w:asciiTheme="minorHAnsi" w:hAnsiTheme="minorHAnsi"/>
          <w:sz w:val="24"/>
          <w:szCs w:val="24"/>
        </w:rPr>
        <w:t xml:space="preserve">considered each block group that these buffers </w:t>
      </w:r>
      <w:r w:rsidR="00D1218E" w:rsidRPr="009F0295">
        <w:rPr>
          <w:rFonts w:asciiTheme="minorHAnsi" w:hAnsiTheme="minorHAnsi"/>
          <w:sz w:val="24"/>
          <w:szCs w:val="24"/>
        </w:rPr>
        <w:lastRenderedPageBreak/>
        <w:t>touched able to access the entirety of the park (Wolch et al., 2005). Therefore, the indicator value for each block group was calculated through the summation of the total area of park acreage that they could access. Park acreage was chosen as the indicator coefficient as it is a common and effective indicator for potential park use (reviewed by Rigolon, 2016).</w:t>
      </w:r>
      <w:r w:rsidR="00D1218E" w:rsidRPr="003C6F05">
        <w:t xml:space="preserve"> </w:t>
      </w:r>
    </w:p>
    <w:p w14:paraId="79E6FD5F" w14:textId="77777777" w:rsidR="005219AA" w:rsidRDefault="005219AA" w:rsidP="009F0295">
      <w:pPr>
        <w:pStyle w:val="NoSpacing"/>
        <w:spacing w:line="360" w:lineRule="auto"/>
        <w:rPr>
          <w:rFonts w:asciiTheme="minorHAnsi" w:hAnsiTheme="minorHAnsi"/>
          <w:i/>
          <w:iCs/>
          <w:sz w:val="24"/>
          <w:szCs w:val="24"/>
        </w:rPr>
      </w:pPr>
    </w:p>
    <w:p w14:paraId="4C93F6A0" w14:textId="363D100D" w:rsidR="009F0295" w:rsidRPr="00FC706A" w:rsidRDefault="00D1218E" w:rsidP="009F0295">
      <w:pPr>
        <w:pStyle w:val="NoSpacing"/>
        <w:spacing w:line="360" w:lineRule="auto"/>
      </w:pPr>
      <w:r w:rsidRPr="009F0295">
        <w:rPr>
          <w:rFonts w:asciiTheme="minorHAnsi" w:hAnsiTheme="minorHAnsi"/>
          <w:i/>
          <w:iCs/>
          <w:sz w:val="24"/>
          <w:szCs w:val="24"/>
        </w:rPr>
        <w:t>2.</w:t>
      </w:r>
      <w:r w:rsidR="00775165">
        <w:rPr>
          <w:rFonts w:asciiTheme="minorHAnsi" w:hAnsiTheme="minorHAnsi"/>
          <w:i/>
          <w:iCs/>
          <w:sz w:val="24"/>
          <w:szCs w:val="24"/>
        </w:rPr>
        <w:t>2</w:t>
      </w:r>
      <w:r w:rsidRPr="009F0295">
        <w:rPr>
          <w:rFonts w:asciiTheme="minorHAnsi" w:hAnsiTheme="minorHAnsi"/>
          <w:i/>
          <w:iCs/>
          <w:sz w:val="24"/>
          <w:szCs w:val="24"/>
        </w:rPr>
        <w:t xml:space="preserve">.5 Normalizing Data for Model Visualization </w:t>
      </w:r>
    </w:p>
    <w:p w14:paraId="55F650F2" w14:textId="33371757" w:rsidR="00AF6474" w:rsidRPr="009F0295" w:rsidRDefault="00D1218E" w:rsidP="009F0295">
      <w:pPr>
        <w:pStyle w:val="NoSpacing"/>
        <w:spacing w:line="360" w:lineRule="auto"/>
        <w:ind w:firstLine="720"/>
        <w:rPr>
          <w:rFonts w:asciiTheme="minorHAnsi" w:hAnsiTheme="minorHAnsi"/>
          <w:sz w:val="24"/>
          <w:szCs w:val="24"/>
        </w:rPr>
      </w:pPr>
      <w:r w:rsidRPr="009F0295">
        <w:rPr>
          <w:rFonts w:asciiTheme="minorHAnsi" w:hAnsiTheme="minorHAnsi"/>
          <w:sz w:val="24"/>
          <w:szCs w:val="24"/>
        </w:rPr>
        <w:t xml:space="preserve">After determining the value for each UES indicator within each block group, </w:t>
      </w:r>
      <w:r w:rsidR="00ED6CFA">
        <w:rPr>
          <w:rFonts w:asciiTheme="minorHAnsi" w:hAnsiTheme="minorHAnsi"/>
          <w:sz w:val="24"/>
          <w:szCs w:val="24"/>
        </w:rPr>
        <w:t>we</w:t>
      </w:r>
      <w:r w:rsidR="00ED6CFA" w:rsidRPr="009F0295">
        <w:rPr>
          <w:rFonts w:asciiTheme="minorHAnsi" w:hAnsiTheme="minorHAnsi"/>
          <w:sz w:val="24"/>
          <w:szCs w:val="24"/>
        </w:rPr>
        <w:t xml:space="preserve"> </w:t>
      </w:r>
      <w:r w:rsidRPr="009F0295">
        <w:rPr>
          <w:rFonts w:asciiTheme="minorHAnsi" w:hAnsiTheme="minorHAnsi"/>
          <w:sz w:val="24"/>
          <w:szCs w:val="24"/>
        </w:rPr>
        <w:t xml:space="preserve">then normalized these values using (eq. 1) </w:t>
      </w:r>
      <w:r w:rsidR="00A6059E" w:rsidRPr="009F0295">
        <w:rPr>
          <w:rFonts w:asciiTheme="minorHAnsi" w:hAnsiTheme="minorHAnsi"/>
          <w:sz w:val="24"/>
          <w:szCs w:val="24"/>
        </w:rPr>
        <w:t>to</w:t>
      </w:r>
      <w:r w:rsidRPr="009F0295">
        <w:rPr>
          <w:rFonts w:asciiTheme="minorHAnsi" w:hAnsiTheme="minorHAnsi"/>
          <w:sz w:val="24"/>
          <w:szCs w:val="24"/>
        </w:rPr>
        <w:t xml:space="preserve"> derive relative values of the same unit on a scale of 0-100 for each indicator. </w:t>
      </w:r>
    </w:p>
    <w:p w14:paraId="658C36F8" w14:textId="5863C3F8" w:rsidR="00AF6474" w:rsidRPr="003C6F05" w:rsidRDefault="00D1218E" w:rsidP="0091228C">
      <w:pPr>
        <w:spacing w:before="240" w:after="240"/>
        <w:jc w:val="center"/>
        <w:rPr>
          <w:rFonts w:asciiTheme="minorHAnsi" w:hAnsiTheme="minorHAnsi"/>
        </w:rPr>
      </w:pPr>
      <w:r w:rsidRPr="003C6F05">
        <w:rPr>
          <w:rFonts w:asciiTheme="minorHAnsi" w:hAnsiTheme="minorHAnsi"/>
        </w:rPr>
        <w:t xml:space="preserve"> </w:t>
      </w:r>
      <m:oMath>
        <m:sSub>
          <m:sSubPr>
            <m:ctrlPr>
              <w:rPr>
                <w:rFonts w:ascii="Cambria Math" w:hAnsi="Cambria Math"/>
              </w:rPr>
            </m:ctrlPr>
          </m:sSubPr>
          <m:e>
            <m:r>
              <w:rPr>
                <w:rFonts w:ascii="Cambria Math" w:hAnsi="Cambria Math"/>
              </w:rPr>
              <m:t>I</m:t>
            </m:r>
          </m:e>
          <m:sub>
            <m:r>
              <w:rPr>
                <w:rFonts w:ascii="Cambria Math" w:hAnsi="Cambria Math"/>
              </w:rPr>
              <m:t>norm</m:t>
            </m:r>
          </m:sub>
        </m:sSub>
        <m:r>
          <w:rPr>
            <w:rFonts w:ascii="Cambria Math" w:hAnsi="Cambria Math"/>
          </w:rPr>
          <m:t>=</m:t>
        </m:r>
        <m:f>
          <m:fPr>
            <m:ctrlPr>
              <w:rPr>
                <w:rFonts w:ascii="Cambria Math" w:hAnsi="Cambria Math"/>
              </w:rPr>
            </m:ctrlPr>
          </m:fPr>
          <m:num>
            <m:r>
              <w:rPr>
                <w:rFonts w:ascii="Cambria Math" w:hAnsi="Cambria Math"/>
              </w:rPr>
              <m:t>(i-</m:t>
            </m:r>
            <m:sSub>
              <m:sSubPr>
                <m:ctrlPr>
                  <w:rPr>
                    <w:rFonts w:ascii="Cambria Math" w:hAnsi="Cambria Math"/>
                  </w:rPr>
                </m:ctrlPr>
              </m:sSubPr>
              <m:e>
                <m:r>
                  <w:rPr>
                    <w:rFonts w:ascii="Cambria Math" w:hAnsi="Cambria Math"/>
                  </w:rPr>
                  <m:t>i</m:t>
                </m:r>
              </m:e>
              <m:sub>
                <m:r>
                  <w:rPr>
                    <w:rFonts w:ascii="Cambria Math" w:hAnsi="Cambria Math"/>
                  </w:rPr>
                  <m:t>min</m:t>
                </m:r>
              </m:sub>
            </m:sSub>
            <m:r>
              <w:rPr>
                <w:rFonts w:ascii="Cambria Math" w:hAnsi="Cambria Math"/>
              </w:rPr>
              <m:t>)</m:t>
            </m:r>
          </m:num>
          <m:den>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max</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min</m:t>
                </m:r>
              </m:sub>
            </m:sSub>
            <m:r>
              <w:rPr>
                <w:rFonts w:ascii="Cambria Math" w:hAnsi="Cambria Math"/>
              </w:rPr>
              <m:t>)</m:t>
            </m:r>
          </m:den>
        </m:f>
        <m:r>
          <w:rPr>
            <w:rFonts w:ascii="Cambria Math" w:hAnsi="Cambria Math"/>
          </w:rPr>
          <m:t xml:space="preserve"> x 100</m:t>
        </m:r>
      </m:oMath>
      <w:r w:rsidRPr="003C6F05">
        <w:rPr>
          <w:rFonts w:asciiTheme="minorHAnsi" w:hAnsiTheme="minorHAnsi"/>
        </w:rPr>
        <w:t xml:space="preserve">  (eq.1) (Kremer et al., 201</w:t>
      </w:r>
      <w:r w:rsidR="00CC19CF">
        <w:rPr>
          <w:rFonts w:asciiTheme="minorHAnsi" w:hAnsiTheme="minorHAnsi"/>
        </w:rPr>
        <w:t>6</w:t>
      </w:r>
      <w:r w:rsidRPr="003C6F05">
        <w:rPr>
          <w:rFonts w:asciiTheme="minorHAnsi" w:hAnsiTheme="minorHAnsi"/>
        </w:rPr>
        <w:t>)</w:t>
      </w:r>
    </w:p>
    <w:p w14:paraId="21760986" w14:textId="0C783CD6" w:rsidR="00A6059E" w:rsidRPr="00D545B2" w:rsidRDefault="00D1218E" w:rsidP="00D545B2">
      <w:pPr>
        <w:spacing w:before="240" w:after="240" w:line="360" w:lineRule="auto"/>
        <w:rPr>
          <w:rFonts w:asciiTheme="minorHAnsi" w:hAnsiTheme="minorHAnsi"/>
        </w:rPr>
      </w:pPr>
      <w:r w:rsidRPr="003C6F05">
        <w:rPr>
          <w:rFonts w:asciiTheme="minorHAnsi" w:hAnsiTheme="minorHAnsi"/>
        </w:rPr>
        <w:t>In the given equation, I</w:t>
      </w:r>
      <w:r w:rsidRPr="003C6F05">
        <w:rPr>
          <w:rFonts w:asciiTheme="minorHAnsi" w:hAnsiTheme="minorHAnsi"/>
          <w:vertAlign w:val="subscript"/>
        </w:rPr>
        <w:t>norm</w:t>
      </w:r>
      <w:r w:rsidRPr="003C6F05">
        <w:rPr>
          <w:rFonts w:asciiTheme="minorHAnsi" w:hAnsiTheme="minorHAnsi"/>
        </w:rPr>
        <w:t xml:space="preserve"> is the normalized value of the UES indicator at any given block group (i), while i</w:t>
      </w:r>
      <w:r w:rsidRPr="003C6F05">
        <w:rPr>
          <w:rFonts w:asciiTheme="minorHAnsi" w:hAnsiTheme="minorHAnsi"/>
          <w:vertAlign w:val="subscript"/>
        </w:rPr>
        <w:t>min</w:t>
      </w:r>
      <w:r w:rsidR="00DF7997" w:rsidRPr="003C6F05">
        <w:rPr>
          <w:rFonts w:asciiTheme="minorHAnsi" w:hAnsiTheme="minorHAnsi"/>
          <w:vertAlign w:val="subscript"/>
        </w:rPr>
        <w:t xml:space="preserve"> </w:t>
      </w:r>
      <w:r w:rsidRPr="003C6F05">
        <w:rPr>
          <w:rFonts w:asciiTheme="minorHAnsi" w:hAnsiTheme="minorHAnsi"/>
        </w:rPr>
        <w:t>and i</w:t>
      </w:r>
      <w:r w:rsidRPr="003C6F05">
        <w:rPr>
          <w:rFonts w:asciiTheme="minorHAnsi" w:hAnsiTheme="minorHAnsi"/>
          <w:vertAlign w:val="subscript"/>
        </w:rPr>
        <w:t>max</w:t>
      </w:r>
      <w:r w:rsidRPr="003C6F05">
        <w:rPr>
          <w:rFonts w:asciiTheme="minorHAnsi" w:hAnsiTheme="minorHAnsi"/>
        </w:rPr>
        <w:t xml:space="preserve"> relate to the minimum and maximum values of a given UES indicator. Furthermore, </w:t>
      </w:r>
      <w:r w:rsidR="00A6059E" w:rsidRPr="003C6F05">
        <w:rPr>
          <w:rFonts w:asciiTheme="minorHAnsi" w:hAnsiTheme="minorHAnsi"/>
        </w:rPr>
        <w:t>to</w:t>
      </w:r>
      <w:r w:rsidRPr="003C6F05">
        <w:rPr>
          <w:rFonts w:asciiTheme="minorHAnsi" w:hAnsiTheme="minorHAnsi"/>
        </w:rPr>
        <w:t xml:space="preserve"> portray the census block groups with the lowest LST values as recipients of the highest local climate regulation values</w:t>
      </w:r>
      <w:r w:rsidR="00645FF9">
        <w:rPr>
          <w:rFonts w:asciiTheme="minorHAnsi" w:hAnsiTheme="minorHAnsi"/>
        </w:rPr>
        <w:t>,</w:t>
      </w:r>
      <w:r w:rsidRPr="003C6F05">
        <w:rPr>
          <w:rFonts w:asciiTheme="minorHAnsi" w:hAnsiTheme="minorHAnsi"/>
        </w:rPr>
        <w:t xml:space="preserve"> </w:t>
      </w:r>
      <w:r w:rsidR="00ED6CFA">
        <w:rPr>
          <w:rFonts w:asciiTheme="minorHAnsi" w:hAnsiTheme="minorHAnsi"/>
        </w:rPr>
        <w:t xml:space="preserve">we </w:t>
      </w:r>
      <w:r w:rsidRPr="003C6F05">
        <w:rPr>
          <w:rFonts w:asciiTheme="minorHAnsi" w:hAnsiTheme="minorHAnsi"/>
        </w:rPr>
        <w:t>subtracted 100 from the normalized value.</w:t>
      </w:r>
    </w:p>
    <w:p w14:paraId="7323B836" w14:textId="3C9B00AF" w:rsidR="009F0295" w:rsidRDefault="00D1218E" w:rsidP="009F0295">
      <w:pPr>
        <w:pStyle w:val="NoSpacing"/>
        <w:spacing w:line="360" w:lineRule="auto"/>
        <w:rPr>
          <w:rFonts w:asciiTheme="minorHAnsi" w:hAnsiTheme="minorHAnsi"/>
          <w:i/>
          <w:sz w:val="24"/>
          <w:szCs w:val="24"/>
        </w:rPr>
      </w:pPr>
      <w:r w:rsidRPr="009F0295">
        <w:rPr>
          <w:rFonts w:asciiTheme="minorHAnsi" w:hAnsiTheme="minorHAnsi"/>
          <w:i/>
          <w:sz w:val="24"/>
          <w:szCs w:val="24"/>
        </w:rPr>
        <w:t>2.</w:t>
      </w:r>
      <w:r w:rsidR="00775165">
        <w:rPr>
          <w:rFonts w:asciiTheme="minorHAnsi" w:hAnsiTheme="minorHAnsi"/>
          <w:i/>
          <w:sz w:val="24"/>
          <w:szCs w:val="24"/>
        </w:rPr>
        <w:t>3</w:t>
      </w:r>
      <w:r w:rsidRPr="009F0295">
        <w:rPr>
          <w:rFonts w:asciiTheme="minorHAnsi" w:hAnsiTheme="minorHAnsi"/>
          <w:i/>
          <w:sz w:val="24"/>
          <w:szCs w:val="24"/>
        </w:rPr>
        <w:t xml:space="preserve"> Assessment of </w:t>
      </w:r>
      <w:r w:rsidR="002F1B26">
        <w:rPr>
          <w:rFonts w:asciiTheme="minorHAnsi" w:hAnsiTheme="minorHAnsi"/>
          <w:i/>
          <w:sz w:val="24"/>
          <w:szCs w:val="24"/>
        </w:rPr>
        <w:t>SES</w:t>
      </w:r>
      <w:r w:rsidR="00FC21E5">
        <w:rPr>
          <w:rFonts w:asciiTheme="minorHAnsi" w:hAnsiTheme="minorHAnsi"/>
          <w:i/>
          <w:sz w:val="24"/>
          <w:szCs w:val="24"/>
        </w:rPr>
        <w:t xml:space="preserve"> </w:t>
      </w:r>
      <w:r w:rsidRPr="009F0295">
        <w:rPr>
          <w:rFonts w:asciiTheme="minorHAnsi" w:hAnsiTheme="minorHAnsi"/>
          <w:i/>
          <w:sz w:val="24"/>
          <w:szCs w:val="24"/>
        </w:rPr>
        <w:t xml:space="preserve">Indicators </w:t>
      </w:r>
    </w:p>
    <w:p w14:paraId="792DD946" w14:textId="1B9C9207" w:rsidR="005E0B28" w:rsidRDefault="00ED6CFA" w:rsidP="005E0B28">
      <w:pPr>
        <w:pStyle w:val="NoSpacing"/>
        <w:spacing w:line="360" w:lineRule="auto"/>
        <w:ind w:firstLine="720"/>
        <w:rPr>
          <w:rFonts w:asciiTheme="minorHAnsi" w:hAnsiTheme="minorHAnsi"/>
          <w:sz w:val="24"/>
          <w:szCs w:val="24"/>
        </w:rPr>
      </w:pPr>
      <w:r>
        <w:rPr>
          <w:rFonts w:asciiTheme="minorHAnsi" w:hAnsiTheme="minorHAnsi"/>
          <w:sz w:val="24"/>
          <w:szCs w:val="24"/>
        </w:rPr>
        <w:t>We</w:t>
      </w:r>
      <w:r w:rsidRPr="009F0295">
        <w:rPr>
          <w:rFonts w:asciiTheme="minorHAnsi" w:hAnsiTheme="minorHAnsi"/>
          <w:sz w:val="24"/>
          <w:szCs w:val="24"/>
        </w:rPr>
        <w:t xml:space="preserve"> </w:t>
      </w:r>
      <w:r w:rsidR="00D1218E" w:rsidRPr="009F0295">
        <w:rPr>
          <w:rFonts w:asciiTheme="minorHAnsi" w:hAnsiTheme="minorHAnsi"/>
          <w:sz w:val="24"/>
          <w:szCs w:val="24"/>
        </w:rPr>
        <w:t>compiled SES data for each census block group through a dataset courtesy of the city of Rochester’s Neighborhood Data Inventory</w:t>
      </w:r>
      <w:r w:rsidR="005219AA">
        <w:rPr>
          <w:rFonts w:asciiTheme="minorHAnsi" w:hAnsiTheme="minorHAnsi"/>
          <w:sz w:val="24"/>
          <w:szCs w:val="24"/>
        </w:rPr>
        <w:t xml:space="preserve"> (</w:t>
      </w:r>
      <w:r w:rsidR="005219AA" w:rsidRPr="009D29FB">
        <w:rPr>
          <w:rFonts w:asciiTheme="minorHAnsi" w:hAnsiTheme="minorHAnsi"/>
          <w:sz w:val="24"/>
          <w:szCs w:val="24"/>
        </w:rPr>
        <w:t>City of Rochester, 2014</w:t>
      </w:r>
      <w:r w:rsidR="005219AA">
        <w:rPr>
          <w:rFonts w:asciiTheme="minorHAnsi" w:hAnsiTheme="minorHAnsi"/>
          <w:sz w:val="24"/>
          <w:szCs w:val="24"/>
        </w:rPr>
        <w:t>)</w:t>
      </w:r>
      <w:r w:rsidR="00D1218E" w:rsidRPr="009F0295">
        <w:rPr>
          <w:rFonts w:asciiTheme="minorHAnsi" w:hAnsiTheme="minorHAnsi"/>
          <w:sz w:val="24"/>
          <w:szCs w:val="24"/>
        </w:rPr>
        <w:t>. This dataset contained data from the 2010 Decennial Census and the 2013 American Community Survey. Any missing data from this data</w:t>
      </w:r>
      <w:r w:rsidR="005E0B28">
        <w:rPr>
          <w:rFonts w:asciiTheme="minorHAnsi" w:hAnsiTheme="minorHAnsi"/>
          <w:sz w:val="24"/>
          <w:szCs w:val="24"/>
        </w:rPr>
        <w:t>s</w:t>
      </w:r>
      <w:r w:rsidR="00D1218E" w:rsidRPr="009F0295">
        <w:rPr>
          <w:rFonts w:asciiTheme="minorHAnsi" w:hAnsiTheme="minorHAnsi"/>
          <w:sz w:val="24"/>
          <w:szCs w:val="24"/>
        </w:rPr>
        <w:t xml:space="preserve">et </w:t>
      </w:r>
      <w:r>
        <w:rPr>
          <w:rFonts w:asciiTheme="minorHAnsi" w:hAnsiTheme="minorHAnsi"/>
          <w:sz w:val="24"/>
          <w:szCs w:val="24"/>
        </w:rPr>
        <w:t>we</w:t>
      </w:r>
      <w:r w:rsidRPr="009F0295">
        <w:rPr>
          <w:rFonts w:asciiTheme="minorHAnsi" w:hAnsiTheme="minorHAnsi"/>
          <w:sz w:val="24"/>
          <w:szCs w:val="24"/>
        </w:rPr>
        <w:t xml:space="preserve"> </w:t>
      </w:r>
      <w:r w:rsidR="00D1218E" w:rsidRPr="009F0295">
        <w:rPr>
          <w:rFonts w:asciiTheme="minorHAnsi" w:hAnsiTheme="minorHAnsi"/>
          <w:sz w:val="24"/>
          <w:szCs w:val="24"/>
        </w:rPr>
        <w:t xml:space="preserve">filled in </w:t>
      </w:r>
      <w:r w:rsidR="00660C97">
        <w:rPr>
          <w:rFonts w:asciiTheme="minorHAnsi" w:hAnsiTheme="minorHAnsi"/>
          <w:sz w:val="24"/>
          <w:szCs w:val="24"/>
        </w:rPr>
        <w:t xml:space="preserve">from </w:t>
      </w:r>
      <w:r w:rsidR="005E0B28">
        <w:rPr>
          <w:rFonts w:asciiTheme="minorHAnsi" w:hAnsiTheme="minorHAnsi"/>
          <w:sz w:val="24"/>
          <w:szCs w:val="24"/>
        </w:rPr>
        <w:t>supplemental sources</w:t>
      </w:r>
      <w:r w:rsidR="00D1218E" w:rsidRPr="009F0295">
        <w:rPr>
          <w:rFonts w:asciiTheme="minorHAnsi" w:hAnsiTheme="minorHAnsi"/>
          <w:sz w:val="24"/>
          <w:szCs w:val="24"/>
        </w:rPr>
        <w:t xml:space="preserve"> (City-Data, 2017).</w:t>
      </w:r>
      <w:r w:rsidR="00645FF9">
        <w:rPr>
          <w:rFonts w:asciiTheme="minorHAnsi" w:hAnsiTheme="minorHAnsi"/>
          <w:sz w:val="24"/>
          <w:szCs w:val="24"/>
        </w:rPr>
        <w:t xml:space="preserve"> </w:t>
      </w:r>
      <w:r>
        <w:rPr>
          <w:rFonts w:asciiTheme="minorHAnsi" w:hAnsiTheme="minorHAnsi"/>
          <w:sz w:val="24"/>
          <w:szCs w:val="24"/>
        </w:rPr>
        <w:t xml:space="preserve">We </w:t>
      </w:r>
      <w:r w:rsidR="005E0B28">
        <w:rPr>
          <w:rFonts w:asciiTheme="minorHAnsi" w:hAnsiTheme="minorHAnsi"/>
          <w:sz w:val="24"/>
          <w:szCs w:val="24"/>
        </w:rPr>
        <w:t>chose f</w:t>
      </w:r>
      <w:r w:rsidR="00645FF9">
        <w:rPr>
          <w:rFonts w:asciiTheme="minorHAnsi" w:hAnsiTheme="minorHAnsi"/>
          <w:sz w:val="24"/>
          <w:szCs w:val="24"/>
        </w:rPr>
        <w:t>ive</w:t>
      </w:r>
      <w:r w:rsidR="00D1218E" w:rsidRPr="009F0295">
        <w:rPr>
          <w:rFonts w:asciiTheme="minorHAnsi" w:hAnsiTheme="minorHAnsi"/>
          <w:sz w:val="24"/>
          <w:szCs w:val="24"/>
        </w:rPr>
        <w:t xml:space="preserve"> SES indicators from this dataset for each block group within the city to compare to the UES indicator distributions: median household income, </w:t>
      </w:r>
      <w:r w:rsidR="00F87C2D">
        <w:rPr>
          <w:rFonts w:asciiTheme="minorHAnsi" w:hAnsiTheme="minorHAnsi"/>
          <w:sz w:val="24"/>
          <w:szCs w:val="24"/>
        </w:rPr>
        <w:t>race percentages (</w:t>
      </w:r>
      <w:r w:rsidR="00F32D56">
        <w:rPr>
          <w:rFonts w:asciiTheme="minorHAnsi" w:hAnsiTheme="minorHAnsi"/>
          <w:sz w:val="24"/>
          <w:szCs w:val="24"/>
        </w:rPr>
        <w:t>B</w:t>
      </w:r>
      <w:r w:rsidR="00D1218E" w:rsidRPr="009F0295">
        <w:rPr>
          <w:rFonts w:asciiTheme="minorHAnsi" w:hAnsiTheme="minorHAnsi"/>
          <w:sz w:val="24"/>
          <w:szCs w:val="24"/>
        </w:rPr>
        <w:t xml:space="preserve">lack and </w:t>
      </w:r>
      <w:r w:rsidR="00C93F2A">
        <w:rPr>
          <w:rFonts w:asciiTheme="minorHAnsi" w:hAnsiTheme="minorHAnsi"/>
          <w:sz w:val="24"/>
          <w:szCs w:val="24"/>
        </w:rPr>
        <w:t>W</w:t>
      </w:r>
      <w:r w:rsidR="00D1218E" w:rsidRPr="009F0295">
        <w:rPr>
          <w:rFonts w:asciiTheme="minorHAnsi" w:hAnsiTheme="minorHAnsi"/>
          <w:sz w:val="24"/>
          <w:szCs w:val="24"/>
        </w:rPr>
        <w:t>hite</w:t>
      </w:r>
      <w:r w:rsidR="00F87C2D">
        <w:rPr>
          <w:rFonts w:asciiTheme="minorHAnsi" w:hAnsiTheme="minorHAnsi"/>
          <w:sz w:val="24"/>
          <w:szCs w:val="24"/>
        </w:rPr>
        <w:t>)</w:t>
      </w:r>
      <w:r w:rsidR="00D1218E" w:rsidRPr="009F0295">
        <w:rPr>
          <w:rFonts w:asciiTheme="minorHAnsi" w:hAnsiTheme="minorHAnsi"/>
          <w:sz w:val="24"/>
          <w:szCs w:val="24"/>
        </w:rPr>
        <w:t xml:space="preserve">, percent of home ownership occupancy, median property value, and population density. </w:t>
      </w:r>
      <w:r>
        <w:rPr>
          <w:rFonts w:asciiTheme="minorHAnsi" w:hAnsiTheme="minorHAnsi"/>
          <w:sz w:val="24"/>
          <w:szCs w:val="24"/>
        </w:rPr>
        <w:t>We</w:t>
      </w:r>
      <w:r w:rsidRPr="009F0295">
        <w:rPr>
          <w:rFonts w:asciiTheme="minorHAnsi" w:hAnsiTheme="minorHAnsi"/>
          <w:sz w:val="24"/>
          <w:szCs w:val="24"/>
        </w:rPr>
        <w:t xml:space="preserve"> </w:t>
      </w:r>
      <w:r w:rsidR="00D1218E" w:rsidRPr="009F0295">
        <w:rPr>
          <w:rFonts w:asciiTheme="minorHAnsi" w:hAnsiTheme="minorHAnsi"/>
          <w:sz w:val="24"/>
          <w:szCs w:val="24"/>
        </w:rPr>
        <w:t xml:space="preserve">selected median household income, race percentages, home ownership occupancy rates, and the median property values as indicators as they are commonly used in studies that have examined correlations between SES and access to </w:t>
      </w:r>
      <w:r w:rsidR="00645FF9">
        <w:rPr>
          <w:rFonts w:asciiTheme="minorHAnsi" w:hAnsiTheme="minorHAnsi"/>
          <w:sz w:val="24"/>
          <w:szCs w:val="24"/>
        </w:rPr>
        <w:t>UGS</w:t>
      </w:r>
      <w:r w:rsidR="00D1218E" w:rsidRPr="009F0295">
        <w:rPr>
          <w:rFonts w:asciiTheme="minorHAnsi" w:hAnsiTheme="minorHAnsi"/>
          <w:sz w:val="24"/>
          <w:szCs w:val="24"/>
        </w:rPr>
        <w:t xml:space="preserve"> (Lockwood and Berland, 2019; Rigolon et al, 2018; Schwartz et al., 2015). </w:t>
      </w:r>
      <w:r>
        <w:rPr>
          <w:rFonts w:asciiTheme="minorHAnsi" w:hAnsiTheme="minorHAnsi"/>
          <w:sz w:val="24"/>
          <w:szCs w:val="24"/>
        </w:rPr>
        <w:t>We</w:t>
      </w:r>
      <w:r w:rsidRPr="009F0295">
        <w:rPr>
          <w:rFonts w:asciiTheme="minorHAnsi" w:hAnsiTheme="minorHAnsi"/>
          <w:sz w:val="24"/>
          <w:szCs w:val="24"/>
        </w:rPr>
        <w:t xml:space="preserve"> </w:t>
      </w:r>
      <w:r w:rsidR="00D1218E" w:rsidRPr="009F0295">
        <w:rPr>
          <w:rFonts w:asciiTheme="minorHAnsi" w:hAnsiTheme="minorHAnsi"/>
          <w:sz w:val="24"/>
          <w:szCs w:val="24"/>
        </w:rPr>
        <w:t>also included population density as a measure of the quantity of the population that potentially benefits from the UES produced by the green spaces (Pham et al., 2012)</w:t>
      </w:r>
      <w:r w:rsidR="005E0B28">
        <w:rPr>
          <w:rFonts w:asciiTheme="minorHAnsi" w:hAnsiTheme="minorHAnsi"/>
          <w:sz w:val="24"/>
          <w:szCs w:val="24"/>
        </w:rPr>
        <w:t xml:space="preserve">. </w:t>
      </w:r>
      <w:r w:rsidR="004065B4">
        <w:rPr>
          <w:rFonts w:asciiTheme="minorHAnsi" w:hAnsiTheme="minorHAnsi"/>
          <w:sz w:val="24"/>
          <w:szCs w:val="24"/>
        </w:rPr>
        <w:t xml:space="preserve">Using the normalization </w:t>
      </w:r>
      <w:r w:rsidR="004065B4">
        <w:rPr>
          <w:rFonts w:asciiTheme="minorHAnsi" w:hAnsiTheme="minorHAnsi"/>
          <w:sz w:val="24"/>
          <w:szCs w:val="24"/>
        </w:rPr>
        <w:lastRenderedPageBreak/>
        <w:t>equation from Kremer et al. (2016), w</w:t>
      </w:r>
      <w:r w:rsidR="00987242">
        <w:rPr>
          <w:rFonts w:asciiTheme="minorHAnsi" w:hAnsiTheme="minorHAnsi"/>
          <w:sz w:val="24"/>
          <w:szCs w:val="24"/>
        </w:rPr>
        <w:t>e</w:t>
      </w:r>
      <w:r>
        <w:rPr>
          <w:rFonts w:asciiTheme="minorHAnsi" w:hAnsiTheme="minorHAnsi"/>
          <w:sz w:val="24"/>
          <w:szCs w:val="24"/>
        </w:rPr>
        <w:t xml:space="preserve"> </w:t>
      </w:r>
      <w:r w:rsidR="00D1218E" w:rsidRPr="009F0295">
        <w:rPr>
          <w:rFonts w:asciiTheme="minorHAnsi" w:hAnsiTheme="minorHAnsi"/>
          <w:sz w:val="24"/>
          <w:szCs w:val="24"/>
        </w:rPr>
        <w:t xml:space="preserve">calculated the normalized value for each </w:t>
      </w:r>
      <w:r w:rsidR="005E0B28">
        <w:rPr>
          <w:rFonts w:asciiTheme="minorHAnsi" w:hAnsiTheme="minorHAnsi"/>
          <w:sz w:val="24"/>
          <w:szCs w:val="24"/>
        </w:rPr>
        <w:t xml:space="preserve">SES </w:t>
      </w:r>
      <w:r w:rsidR="00D1218E" w:rsidRPr="009F0295">
        <w:rPr>
          <w:rFonts w:asciiTheme="minorHAnsi" w:hAnsiTheme="minorHAnsi"/>
          <w:sz w:val="24"/>
          <w:szCs w:val="24"/>
        </w:rPr>
        <w:t xml:space="preserve">indicator. </w:t>
      </w:r>
    </w:p>
    <w:p w14:paraId="066D44E5" w14:textId="72E6D662" w:rsidR="009F0295" w:rsidRPr="00D26704" w:rsidRDefault="005E0B28" w:rsidP="00D26704">
      <w:pPr>
        <w:spacing w:line="360" w:lineRule="auto"/>
        <w:ind w:firstLine="720"/>
        <w:rPr>
          <w:color w:val="000000" w:themeColor="text1"/>
        </w:rPr>
      </w:pPr>
      <w:r w:rsidRPr="00D26704">
        <w:rPr>
          <w:rFonts w:asciiTheme="minorHAnsi" w:hAnsiTheme="minorHAnsi"/>
          <w:color w:val="000000" w:themeColor="text1"/>
        </w:rPr>
        <w:t>Along with the five modern day SES indicators,</w:t>
      </w:r>
      <w:r w:rsidR="00D1218E" w:rsidRPr="00D26704">
        <w:rPr>
          <w:rFonts w:asciiTheme="minorHAnsi" w:hAnsiTheme="minorHAnsi"/>
          <w:color w:val="000000" w:themeColor="text1"/>
        </w:rPr>
        <w:t xml:space="preserve"> </w:t>
      </w:r>
      <w:r w:rsidR="00ED6CFA">
        <w:rPr>
          <w:rFonts w:asciiTheme="minorHAnsi" w:hAnsiTheme="minorHAnsi"/>
          <w:color w:val="000000" w:themeColor="text1"/>
        </w:rPr>
        <w:t xml:space="preserve">we </w:t>
      </w:r>
      <w:r w:rsidR="005219AA">
        <w:rPr>
          <w:rFonts w:asciiTheme="minorHAnsi" w:hAnsiTheme="minorHAnsi"/>
          <w:color w:val="000000" w:themeColor="text1"/>
        </w:rPr>
        <w:t xml:space="preserve">used </w:t>
      </w:r>
      <w:r w:rsidR="00D1218E" w:rsidRPr="00D26704">
        <w:rPr>
          <w:rFonts w:asciiTheme="minorHAnsi" w:hAnsiTheme="minorHAnsi"/>
          <w:color w:val="000000" w:themeColor="text1"/>
        </w:rPr>
        <w:t>one historical socioeconomic indicator</w:t>
      </w:r>
      <w:r w:rsidRPr="00D26704">
        <w:rPr>
          <w:rFonts w:asciiTheme="minorHAnsi" w:hAnsiTheme="minorHAnsi"/>
          <w:color w:val="000000" w:themeColor="text1"/>
        </w:rPr>
        <w:t xml:space="preserve"> to assess</w:t>
      </w:r>
      <w:r w:rsidR="00D1218E" w:rsidRPr="00D26704">
        <w:rPr>
          <w:rFonts w:asciiTheme="minorHAnsi" w:hAnsiTheme="minorHAnsi"/>
          <w:color w:val="000000" w:themeColor="text1"/>
        </w:rPr>
        <w:t xml:space="preserve"> the social need in the city today, HOLC Grades. Since HOLC grades were given to neighborhoods </w:t>
      </w:r>
      <w:r w:rsidR="00D26704" w:rsidRPr="00D26704">
        <w:rPr>
          <w:rFonts w:asciiTheme="minorHAnsi" w:hAnsiTheme="minorHAnsi"/>
          <w:color w:val="000000" w:themeColor="text1"/>
        </w:rPr>
        <w:t>of extents</w:t>
      </w:r>
      <w:r w:rsidR="00D1218E" w:rsidRPr="00D26704">
        <w:rPr>
          <w:rFonts w:asciiTheme="minorHAnsi" w:hAnsiTheme="minorHAnsi"/>
          <w:color w:val="000000" w:themeColor="text1"/>
        </w:rPr>
        <w:t xml:space="preserve"> </w:t>
      </w:r>
      <w:r w:rsidR="00D26704" w:rsidRPr="00D26704">
        <w:rPr>
          <w:rFonts w:asciiTheme="minorHAnsi" w:hAnsiTheme="minorHAnsi"/>
          <w:color w:val="000000" w:themeColor="text1"/>
        </w:rPr>
        <w:t xml:space="preserve">different </w:t>
      </w:r>
      <w:r w:rsidR="00D1218E" w:rsidRPr="00D26704">
        <w:rPr>
          <w:rFonts w:asciiTheme="minorHAnsi" w:hAnsiTheme="minorHAnsi"/>
          <w:color w:val="000000" w:themeColor="text1"/>
        </w:rPr>
        <w:t>than census block group</w:t>
      </w:r>
      <w:r w:rsidR="00D26704" w:rsidRPr="00D26704">
        <w:rPr>
          <w:rFonts w:asciiTheme="minorHAnsi" w:hAnsiTheme="minorHAnsi"/>
          <w:color w:val="000000" w:themeColor="text1"/>
        </w:rPr>
        <w:t>s</w:t>
      </w:r>
      <w:r w:rsidR="00D1218E" w:rsidRPr="00D26704">
        <w:rPr>
          <w:rFonts w:asciiTheme="minorHAnsi" w:hAnsiTheme="minorHAnsi"/>
          <w:color w:val="000000" w:themeColor="text1"/>
        </w:rPr>
        <w:t xml:space="preserve">, </w:t>
      </w:r>
      <w:r w:rsidR="00ED6CFA">
        <w:rPr>
          <w:rFonts w:asciiTheme="minorHAnsi" w:hAnsiTheme="minorHAnsi"/>
          <w:color w:val="000000" w:themeColor="text1"/>
        </w:rPr>
        <w:t>we</w:t>
      </w:r>
      <w:r w:rsidR="00ED6CFA" w:rsidRPr="00D26704">
        <w:rPr>
          <w:rFonts w:asciiTheme="minorHAnsi" w:hAnsiTheme="minorHAnsi"/>
          <w:color w:val="000000" w:themeColor="text1"/>
        </w:rPr>
        <w:t xml:space="preserve"> </w:t>
      </w:r>
      <w:r w:rsidR="00D1218E" w:rsidRPr="00D26704">
        <w:rPr>
          <w:rFonts w:asciiTheme="minorHAnsi" w:hAnsiTheme="minorHAnsi"/>
          <w:color w:val="000000" w:themeColor="text1"/>
        </w:rPr>
        <w:t xml:space="preserve">assigned the HOLC grade for each block group depending on the grade given to the neighborhood that </w:t>
      </w:r>
      <w:r w:rsidR="009D29FB">
        <w:rPr>
          <w:rFonts w:asciiTheme="minorHAnsi" w:hAnsiTheme="minorHAnsi"/>
          <w:color w:val="000000" w:themeColor="text1"/>
        </w:rPr>
        <w:t>the block group</w:t>
      </w:r>
      <w:r w:rsidR="00D1218E" w:rsidRPr="00D26704">
        <w:rPr>
          <w:rFonts w:asciiTheme="minorHAnsi" w:hAnsiTheme="minorHAnsi"/>
          <w:color w:val="000000" w:themeColor="text1"/>
        </w:rPr>
        <w:t xml:space="preserve"> resides in</w:t>
      </w:r>
      <w:r w:rsidR="00D26704" w:rsidRPr="00D26704">
        <w:rPr>
          <w:rFonts w:asciiTheme="minorHAnsi" w:hAnsiTheme="minorHAnsi"/>
          <w:color w:val="000000" w:themeColor="text1"/>
        </w:rPr>
        <w:t>. This was done</w:t>
      </w:r>
      <w:r w:rsidR="00D1218E" w:rsidRPr="00D26704">
        <w:rPr>
          <w:rFonts w:asciiTheme="minorHAnsi" w:hAnsiTheme="minorHAnsi"/>
          <w:color w:val="000000" w:themeColor="text1"/>
        </w:rPr>
        <w:t xml:space="preserve"> using the grades assigned by the HomeOwners Loan Corporation</w:t>
      </w:r>
      <w:r w:rsidR="00CC19CF">
        <w:rPr>
          <w:rFonts w:asciiTheme="minorHAnsi" w:hAnsiTheme="minorHAnsi"/>
          <w:color w:val="000000" w:themeColor="text1"/>
        </w:rPr>
        <w:t xml:space="preserve"> (HOLC)</w:t>
      </w:r>
      <w:r w:rsidR="00D26704" w:rsidRPr="00D26704">
        <w:rPr>
          <w:rFonts w:asciiTheme="minorHAnsi" w:hAnsiTheme="minorHAnsi"/>
          <w:color w:val="000000" w:themeColor="text1"/>
        </w:rPr>
        <w:t xml:space="preserve"> to Rochester neighborhoods in 1939,</w:t>
      </w:r>
      <w:r w:rsidR="00D26704" w:rsidRPr="00D26704">
        <w:rPr>
          <w:rFonts w:ascii="Cambria" w:hAnsi="Cambria"/>
          <w:color w:val="000000" w:themeColor="text1"/>
        </w:rPr>
        <w:t> as accessed through</w:t>
      </w:r>
      <w:r w:rsidR="00352C0A">
        <w:rPr>
          <w:rFonts w:ascii="Cambria" w:hAnsi="Cambria"/>
          <w:color w:val="000000" w:themeColor="text1"/>
        </w:rPr>
        <w:t xml:space="preserve"> the </w:t>
      </w:r>
      <w:r w:rsidR="00D26704" w:rsidRPr="00D26704">
        <w:rPr>
          <w:rFonts w:ascii="Cambria" w:hAnsi="Cambria"/>
          <w:color w:val="000000" w:themeColor="text1"/>
        </w:rPr>
        <w:t>University of Richmond’s Digital Scholarship Lab’s “Mapping Inequality”</w:t>
      </w:r>
      <w:r w:rsidR="00D26704">
        <w:rPr>
          <w:rFonts w:ascii="Cambria" w:hAnsi="Cambria"/>
          <w:color w:val="000000" w:themeColor="text1"/>
        </w:rPr>
        <w:t xml:space="preserve"> </w:t>
      </w:r>
      <w:r w:rsidR="00D26704" w:rsidRPr="00D26704">
        <w:rPr>
          <w:rFonts w:ascii="Cambria" w:hAnsi="Cambria"/>
          <w:color w:val="000000" w:themeColor="text1"/>
        </w:rPr>
        <w:t>database</w:t>
      </w:r>
      <w:r w:rsidR="00D26704">
        <w:rPr>
          <w:rFonts w:ascii="Cambria" w:hAnsi="Cambria"/>
          <w:color w:val="000000" w:themeColor="text1"/>
        </w:rPr>
        <w:t xml:space="preserve"> </w:t>
      </w:r>
      <w:r w:rsidR="00D1218E" w:rsidRPr="00D26704">
        <w:rPr>
          <w:rFonts w:asciiTheme="minorHAnsi" w:hAnsiTheme="minorHAnsi"/>
          <w:color w:val="000000" w:themeColor="text1"/>
        </w:rPr>
        <w:t xml:space="preserve">(Nelson, 2017). If a block group resided in two neighborhoods that were given different HOLC grades, </w:t>
      </w:r>
      <w:r w:rsidR="00ED6CFA">
        <w:rPr>
          <w:rFonts w:asciiTheme="minorHAnsi" w:hAnsiTheme="minorHAnsi"/>
          <w:color w:val="000000" w:themeColor="text1"/>
        </w:rPr>
        <w:t>we</w:t>
      </w:r>
      <w:r w:rsidR="00ED6CFA" w:rsidRPr="00D26704">
        <w:rPr>
          <w:rFonts w:asciiTheme="minorHAnsi" w:hAnsiTheme="minorHAnsi"/>
          <w:color w:val="000000" w:themeColor="text1"/>
        </w:rPr>
        <w:t xml:space="preserve"> </w:t>
      </w:r>
      <w:r w:rsidR="00D26704" w:rsidRPr="00D26704">
        <w:rPr>
          <w:rFonts w:asciiTheme="minorHAnsi" w:hAnsiTheme="minorHAnsi"/>
          <w:color w:val="000000" w:themeColor="text1"/>
        </w:rPr>
        <w:t xml:space="preserve">gave </w:t>
      </w:r>
      <w:r w:rsidR="00D1218E" w:rsidRPr="00D26704">
        <w:rPr>
          <w:rFonts w:asciiTheme="minorHAnsi" w:hAnsiTheme="minorHAnsi"/>
          <w:color w:val="000000" w:themeColor="text1"/>
        </w:rPr>
        <w:t xml:space="preserve">the block </w:t>
      </w:r>
      <w:r w:rsidR="00D26704" w:rsidRPr="00D26704">
        <w:rPr>
          <w:rFonts w:asciiTheme="minorHAnsi" w:hAnsiTheme="minorHAnsi"/>
          <w:color w:val="000000" w:themeColor="text1"/>
        </w:rPr>
        <w:t xml:space="preserve">group </w:t>
      </w:r>
      <w:r w:rsidR="00D1218E" w:rsidRPr="00D26704">
        <w:rPr>
          <w:rFonts w:asciiTheme="minorHAnsi" w:hAnsiTheme="minorHAnsi"/>
          <w:color w:val="000000" w:themeColor="text1"/>
        </w:rPr>
        <w:t xml:space="preserve">the lowest of the available grades. </w:t>
      </w:r>
    </w:p>
    <w:p w14:paraId="2545E935" w14:textId="77777777" w:rsidR="0091228C" w:rsidRDefault="0091228C" w:rsidP="009F0295">
      <w:pPr>
        <w:pStyle w:val="NoSpacing"/>
        <w:spacing w:line="360" w:lineRule="auto"/>
        <w:rPr>
          <w:rFonts w:asciiTheme="minorHAnsi" w:hAnsiTheme="minorHAnsi"/>
          <w:sz w:val="24"/>
          <w:szCs w:val="24"/>
        </w:rPr>
      </w:pPr>
    </w:p>
    <w:p w14:paraId="3F01C4D0" w14:textId="7A04CD53" w:rsidR="009F0295" w:rsidRDefault="00D1218E" w:rsidP="009F0295">
      <w:pPr>
        <w:pStyle w:val="NoSpacing"/>
        <w:spacing w:line="360" w:lineRule="auto"/>
        <w:rPr>
          <w:rFonts w:asciiTheme="minorHAnsi" w:hAnsiTheme="minorHAnsi"/>
          <w:sz w:val="24"/>
          <w:szCs w:val="24"/>
        </w:rPr>
      </w:pPr>
      <w:r w:rsidRPr="009F0295">
        <w:rPr>
          <w:rFonts w:asciiTheme="minorHAnsi" w:hAnsiTheme="minorHAnsi"/>
          <w:i/>
          <w:sz w:val="24"/>
          <w:szCs w:val="24"/>
        </w:rPr>
        <w:t>2.</w:t>
      </w:r>
      <w:r w:rsidR="00775165">
        <w:rPr>
          <w:rFonts w:asciiTheme="minorHAnsi" w:hAnsiTheme="minorHAnsi"/>
          <w:i/>
          <w:sz w:val="24"/>
          <w:szCs w:val="24"/>
        </w:rPr>
        <w:t>4</w:t>
      </w:r>
      <w:r w:rsidRPr="009F0295">
        <w:rPr>
          <w:rFonts w:asciiTheme="minorHAnsi" w:hAnsiTheme="minorHAnsi"/>
          <w:i/>
          <w:sz w:val="24"/>
          <w:szCs w:val="24"/>
        </w:rPr>
        <w:t xml:space="preserve"> Social</w:t>
      </w:r>
      <w:r w:rsidR="00FC21E5">
        <w:rPr>
          <w:rFonts w:asciiTheme="minorHAnsi" w:hAnsiTheme="minorHAnsi"/>
          <w:i/>
          <w:sz w:val="24"/>
          <w:szCs w:val="24"/>
        </w:rPr>
        <w:t>-</w:t>
      </w:r>
      <w:r w:rsidRPr="009F0295">
        <w:rPr>
          <w:rFonts w:asciiTheme="minorHAnsi" w:hAnsiTheme="minorHAnsi"/>
          <w:i/>
          <w:sz w:val="24"/>
          <w:szCs w:val="24"/>
        </w:rPr>
        <w:t>Ecological Matrix</w:t>
      </w:r>
      <w:r w:rsidR="009F0295" w:rsidRPr="009F0295">
        <w:rPr>
          <w:rFonts w:asciiTheme="minorHAnsi" w:hAnsiTheme="minorHAnsi"/>
          <w:sz w:val="24"/>
          <w:szCs w:val="24"/>
        </w:rPr>
        <w:t xml:space="preserve"> </w:t>
      </w:r>
    </w:p>
    <w:p w14:paraId="61E658C7" w14:textId="79A67388" w:rsidR="0074071C" w:rsidRDefault="00A6059E" w:rsidP="00754C83">
      <w:pPr>
        <w:pStyle w:val="NoSpacing"/>
        <w:spacing w:line="360" w:lineRule="auto"/>
        <w:ind w:firstLine="720"/>
        <w:rPr>
          <w:rFonts w:asciiTheme="minorHAnsi" w:hAnsiTheme="minorHAnsi"/>
          <w:sz w:val="24"/>
          <w:szCs w:val="24"/>
        </w:rPr>
      </w:pPr>
      <w:r w:rsidRPr="009F0295">
        <w:rPr>
          <w:rFonts w:asciiTheme="minorHAnsi" w:hAnsiTheme="minorHAnsi"/>
          <w:sz w:val="24"/>
          <w:szCs w:val="24"/>
        </w:rPr>
        <w:t>To</w:t>
      </w:r>
      <w:r w:rsidR="00D1218E" w:rsidRPr="009F0295">
        <w:rPr>
          <w:rFonts w:asciiTheme="minorHAnsi" w:hAnsiTheme="minorHAnsi"/>
          <w:sz w:val="24"/>
          <w:szCs w:val="24"/>
        </w:rPr>
        <w:t xml:space="preserve"> compare the normalized social need and </w:t>
      </w:r>
      <w:r w:rsidR="00645FF9">
        <w:rPr>
          <w:rFonts w:asciiTheme="minorHAnsi" w:hAnsiTheme="minorHAnsi"/>
          <w:sz w:val="24"/>
          <w:szCs w:val="24"/>
        </w:rPr>
        <w:t>UES</w:t>
      </w:r>
      <w:r w:rsidR="00D1218E" w:rsidRPr="009F0295">
        <w:rPr>
          <w:rFonts w:asciiTheme="minorHAnsi" w:hAnsiTheme="minorHAnsi"/>
          <w:sz w:val="24"/>
          <w:szCs w:val="24"/>
        </w:rPr>
        <w:t xml:space="preserve"> value for each census block group, </w:t>
      </w:r>
      <w:r w:rsidR="00ED6CFA">
        <w:rPr>
          <w:rFonts w:asciiTheme="minorHAnsi" w:hAnsiTheme="minorHAnsi"/>
          <w:sz w:val="24"/>
          <w:szCs w:val="24"/>
        </w:rPr>
        <w:t>we</w:t>
      </w:r>
      <w:r w:rsidR="00ED6CFA" w:rsidRPr="009F0295">
        <w:rPr>
          <w:rFonts w:asciiTheme="minorHAnsi" w:hAnsiTheme="minorHAnsi"/>
          <w:sz w:val="24"/>
          <w:szCs w:val="24"/>
        </w:rPr>
        <w:t xml:space="preserve"> </w:t>
      </w:r>
      <w:r w:rsidR="00D1218E" w:rsidRPr="009F0295">
        <w:rPr>
          <w:rFonts w:asciiTheme="minorHAnsi" w:hAnsiTheme="minorHAnsi"/>
          <w:sz w:val="24"/>
          <w:szCs w:val="24"/>
        </w:rPr>
        <w:t xml:space="preserve">constructed a social-ecological matrix using the method from McPhearson et al. (2013). When calculating for the overall UES value, each </w:t>
      </w:r>
      <w:r w:rsidR="00F87C2D">
        <w:rPr>
          <w:rFonts w:asciiTheme="minorHAnsi" w:hAnsiTheme="minorHAnsi"/>
          <w:sz w:val="24"/>
          <w:szCs w:val="24"/>
        </w:rPr>
        <w:t>UES</w:t>
      </w:r>
      <w:r w:rsidR="00D1218E" w:rsidRPr="009F0295">
        <w:rPr>
          <w:rFonts w:asciiTheme="minorHAnsi" w:hAnsiTheme="minorHAnsi"/>
          <w:sz w:val="24"/>
          <w:szCs w:val="24"/>
        </w:rPr>
        <w:t xml:space="preserve"> indicator group was weighted as one. However, if more than one indicator was used to evaluate a given </w:t>
      </w:r>
      <w:r w:rsidR="00645FF9">
        <w:rPr>
          <w:rFonts w:asciiTheme="minorHAnsi" w:hAnsiTheme="minorHAnsi"/>
          <w:sz w:val="24"/>
          <w:szCs w:val="24"/>
        </w:rPr>
        <w:t>UES</w:t>
      </w:r>
      <w:r w:rsidR="00ED6CFA">
        <w:rPr>
          <w:rFonts w:asciiTheme="minorHAnsi" w:hAnsiTheme="minorHAnsi"/>
          <w:sz w:val="24"/>
          <w:szCs w:val="24"/>
        </w:rPr>
        <w:t>,</w:t>
      </w:r>
      <w:r w:rsidR="00D1218E" w:rsidRPr="009F0295">
        <w:rPr>
          <w:rFonts w:asciiTheme="minorHAnsi" w:hAnsiTheme="minorHAnsi"/>
          <w:sz w:val="24"/>
          <w:szCs w:val="24"/>
        </w:rPr>
        <w:t xml:space="preserve"> the weight </w:t>
      </w:r>
      <w:r w:rsidR="00ED6CFA">
        <w:rPr>
          <w:rFonts w:asciiTheme="minorHAnsi" w:hAnsiTheme="minorHAnsi"/>
          <w:sz w:val="24"/>
          <w:szCs w:val="24"/>
        </w:rPr>
        <w:t xml:space="preserve">was distributed equally </w:t>
      </w:r>
      <w:r w:rsidR="00D1218E" w:rsidRPr="009F0295">
        <w:rPr>
          <w:rFonts w:asciiTheme="minorHAnsi" w:hAnsiTheme="minorHAnsi"/>
          <w:sz w:val="24"/>
          <w:szCs w:val="24"/>
        </w:rPr>
        <w:t xml:space="preserve">among the indicators (Table 2). For example, the UES indicator total carbon removal was calculated by equally weighting the value of carbon storage and sequestration each as 0.5. Defining weights for each indicator is important for creating an integrated assessment mechanism for UES; and while there is still much debate on what methods and tools to use for determining weights, there is an understanding within the field of study for their importance (Felix et al., 2011). Some common weighting methods used in previous studies include surveying local stakeholder and community priorities (Meerow and Newell, 2017) or using spatial </w:t>
      </w:r>
      <w:r w:rsidR="0074071C">
        <w:rPr>
          <w:rFonts w:asciiTheme="minorHAnsi" w:hAnsiTheme="minorHAnsi"/>
          <w:sz w:val="24"/>
          <w:szCs w:val="24"/>
        </w:rPr>
        <w:t>multi criteria evaluations</w:t>
      </w:r>
      <w:r w:rsidR="00D1218E" w:rsidRPr="009F0295">
        <w:rPr>
          <w:rFonts w:asciiTheme="minorHAnsi" w:hAnsiTheme="minorHAnsi"/>
          <w:sz w:val="24"/>
          <w:szCs w:val="24"/>
        </w:rPr>
        <w:t xml:space="preserve"> to evaluate different green infrastructure planning priorities (Kremer et al., 2016). However, for simplicity and the purpose of demonstrating a social-ecological matrix, all indicators (UES and SES) were weighted equally. </w:t>
      </w:r>
    </w:p>
    <w:p w14:paraId="283CDE7A" w14:textId="25BDFE41" w:rsidR="00871CD7" w:rsidRDefault="00D1218E" w:rsidP="00754C83">
      <w:pPr>
        <w:pStyle w:val="NoSpacing"/>
        <w:spacing w:line="360" w:lineRule="auto"/>
        <w:ind w:firstLine="720"/>
        <w:rPr>
          <w:rFonts w:asciiTheme="minorHAnsi" w:hAnsiTheme="minorHAnsi"/>
          <w:sz w:val="24"/>
          <w:szCs w:val="24"/>
        </w:rPr>
      </w:pPr>
      <w:r w:rsidRPr="009F0295">
        <w:rPr>
          <w:rFonts w:asciiTheme="minorHAnsi" w:hAnsiTheme="minorHAnsi"/>
          <w:sz w:val="24"/>
          <w:szCs w:val="24"/>
        </w:rPr>
        <w:t>When calculating the overall social need value for each block group</w:t>
      </w:r>
      <w:r w:rsidR="00645FF9">
        <w:rPr>
          <w:rFonts w:asciiTheme="minorHAnsi" w:hAnsiTheme="minorHAnsi"/>
          <w:sz w:val="24"/>
          <w:szCs w:val="24"/>
        </w:rPr>
        <w:t>,</w:t>
      </w:r>
      <w:r w:rsidRPr="009F0295">
        <w:rPr>
          <w:rFonts w:asciiTheme="minorHAnsi" w:hAnsiTheme="minorHAnsi"/>
          <w:sz w:val="24"/>
          <w:szCs w:val="24"/>
        </w:rPr>
        <w:t xml:space="preserve"> </w:t>
      </w:r>
      <w:r w:rsidR="00ED6CFA">
        <w:rPr>
          <w:rFonts w:asciiTheme="minorHAnsi" w:hAnsiTheme="minorHAnsi"/>
          <w:sz w:val="24"/>
          <w:szCs w:val="24"/>
        </w:rPr>
        <w:t>we</w:t>
      </w:r>
      <w:r w:rsidR="00ED6CFA" w:rsidRPr="009F0295">
        <w:rPr>
          <w:rFonts w:asciiTheme="minorHAnsi" w:hAnsiTheme="minorHAnsi"/>
          <w:sz w:val="24"/>
          <w:szCs w:val="24"/>
        </w:rPr>
        <w:t xml:space="preserve"> </w:t>
      </w:r>
      <w:r w:rsidRPr="009F0295">
        <w:rPr>
          <w:rFonts w:asciiTheme="minorHAnsi" w:hAnsiTheme="minorHAnsi"/>
          <w:sz w:val="24"/>
          <w:szCs w:val="24"/>
        </w:rPr>
        <w:t xml:space="preserve">considered low values for median household income, median property value, and percent ownership </w:t>
      </w:r>
      <w:r w:rsidRPr="009F0295">
        <w:rPr>
          <w:rFonts w:asciiTheme="minorHAnsi" w:hAnsiTheme="minorHAnsi"/>
          <w:sz w:val="24"/>
          <w:szCs w:val="24"/>
        </w:rPr>
        <w:lastRenderedPageBreak/>
        <w:t xml:space="preserve">to correspond to high social need. Therefore, 100 was subtracted from each of the normalized values for those three indicators </w:t>
      </w:r>
      <w:r w:rsidR="004065B4" w:rsidRPr="009F0295">
        <w:rPr>
          <w:rFonts w:asciiTheme="minorHAnsi" w:hAnsiTheme="minorHAnsi"/>
          <w:sz w:val="24"/>
          <w:szCs w:val="24"/>
        </w:rPr>
        <w:t>to</w:t>
      </w:r>
      <w:r w:rsidRPr="009F0295">
        <w:rPr>
          <w:rFonts w:asciiTheme="minorHAnsi" w:hAnsiTheme="minorHAnsi"/>
          <w:sz w:val="24"/>
          <w:szCs w:val="24"/>
        </w:rPr>
        <w:t xml:space="preserve"> assign the lowest values the assertion of highest social need. Furthermore, the percentage of the population that is </w:t>
      </w:r>
      <w:r w:rsidR="005C074E">
        <w:rPr>
          <w:rFonts w:asciiTheme="minorHAnsi" w:hAnsiTheme="minorHAnsi"/>
          <w:sz w:val="24"/>
          <w:szCs w:val="24"/>
        </w:rPr>
        <w:t>Black and White</w:t>
      </w:r>
      <w:r w:rsidRPr="009F0295">
        <w:rPr>
          <w:rFonts w:asciiTheme="minorHAnsi" w:hAnsiTheme="minorHAnsi"/>
          <w:sz w:val="24"/>
          <w:szCs w:val="24"/>
        </w:rPr>
        <w:t xml:space="preserve"> was not included in the overall social need model as neither a high nor low value in either should be indicative of an area's </w:t>
      </w:r>
      <w:r w:rsidR="00805854">
        <w:rPr>
          <w:rFonts w:asciiTheme="minorHAnsi" w:hAnsiTheme="minorHAnsi"/>
          <w:sz w:val="24"/>
          <w:szCs w:val="24"/>
        </w:rPr>
        <w:t xml:space="preserve">level of </w:t>
      </w:r>
      <w:r w:rsidR="00660C97">
        <w:rPr>
          <w:rFonts w:asciiTheme="minorHAnsi" w:hAnsiTheme="minorHAnsi"/>
          <w:sz w:val="24"/>
          <w:szCs w:val="24"/>
        </w:rPr>
        <w:t>social need</w:t>
      </w:r>
      <w:r w:rsidRPr="009F0295">
        <w:rPr>
          <w:rFonts w:asciiTheme="minorHAnsi" w:hAnsiTheme="minorHAnsi"/>
          <w:sz w:val="24"/>
          <w:szCs w:val="24"/>
        </w:rPr>
        <w:t xml:space="preserve">. After </w:t>
      </w:r>
      <w:r w:rsidR="00ED6CFA">
        <w:rPr>
          <w:rFonts w:asciiTheme="minorHAnsi" w:hAnsiTheme="minorHAnsi"/>
          <w:sz w:val="24"/>
          <w:szCs w:val="24"/>
        </w:rPr>
        <w:t>we</w:t>
      </w:r>
      <w:r w:rsidR="00ED6CFA" w:rsidRPr="009F0295">
        <w:rPr>
          <w:rFonts w:asciiTheme="minorHAnsi" w:hAnsiTheme="minorHAnsi"/>
          <w:sz w:val="24"/>
          <w:szCs w:val="24"/>
        </w:rPr>
        <w:t xml:space="preserve"> </w:t>
      </w:r>
      <w:r w:rsidRPr="009F0295">
        <w:rPr>
          <w:rFonts w:asciiTheme="minorHAnsi" w:hAnsiTheme="minorHAnsi"/>
          <w:sz w:val="24"/>
          <w:szCs w:val="24"/>
        </w:rPr>
        <w:t xml:space="preserve">calculated the final weighted and summed values for social need and the UES value for each block group, </w:t>
      </w:r>
      <w:r w:rsidR="00ED6CFA">
        <w:rPr>
          <w:rFonts w:asciiTheme="minorHAnsi" w:hAnsiTheme="minorHAnsi"/>
          <w:sz w:val="24"/>
          <w:szCs w:val="24"/>
        </w:rPr>
        <w:t>we</w:t>
      </w:r>
      <w:r w:rsidR="00ED6CFA" w:rsidRPr="009F0295">
        <w:rPr>
          <w:rFonts w:asciiTheme="minorHAnsi" w:hAnsiTheme="minorHAnsi"/>
          <w:sz w:val="24"/>
          <w:szCs w:val="24"/>
        </w:rPr>
        <w:t xml:space="preserve"> </w:t>
      </w:r>
      <w:r w:rsidRPr="009F0295">
        <w:rPr>
          <w:rFonts w:asciiTheme="minorHAnsi" w:hAnsiTheme="minorHAnsi"/>
          <w:sz w:val="24"/>
          <w:szCs w:val="24"/>
        </w:rPr>
        <w:t xml:space="preserve">designated the block group as having either a high or low value, based on whether it was above or below the city’s median indicator group values. The social need for UES and the UES production values were classified into four category groups: High-Low, </w:t>
      </w:r>
      <w:r w:rsidR="00660C97" w:rsidRPr="009F0295">
        <w:rPr>
          <w:rFonts w:asciiTheme="minorHAnsi" w:hAnsiTheme="minorHAnsi"/>
          <w:sz w:val="24"/>
          <w:szCs w:val="24"/>
        </w:rPr>
        <w:t>High-High</w:t>
      </w:r>
      <w:r w:rsidR="00660C97">
        <w:rPr>
          <w:rFonts w:asciiTheme="minorHAnsi" w:hAnsiTheme="minorHAnsi"/>
          <w:sz w:val="24"/>
          <w:szCs w:val="24"/>
        </w:rPr>
        <w:t xml:space="preserve">, </w:t>
      </w:r>
      <w:r w:rsidRPr="009F0295">
        <w:rPr>
          <w:rFonts w:asciiTheme="minorHAnsi" w:hAnsiTheme="minorHAnsi"/>
          <w:sz w:val="24"/>
          <w:szCs w:val="24"/>
        </w:rPr>
        <w:t xml:space="preserve">Low-Low, and Low-High thus creating the </w:t>
      </w:r>
      <w:r w:rsidR="00645FF9">
        <w:rPr>
          <w:rFonts w:asciiTheme="minorHAnsi" w:hAnsiTheme="minorHAnsi"/>
          <w:sz w:val="24"/>
          <w:szCs w:val="24"/>
        </w:rPr>
        <w:t xml:space="preserve">four-level </w:t>
      </w:r>
      <w:r w:rsidRPr="009F0295">
        <w:rPr>
          <w:rFonts w:asciiTheme="minorHAnsi" w:hAnsiTheme="minorHAnsi"/>
          <w:sz w:val="24"/>
          <w:szCs w:val="24"/>
        </w:rPr>
        <w:t xml:space="preserve">social-ecological matrix (Table 3). </w:t>
      </w:r>
    </w:p>
    <w:p w14:paraId="7194C8F3" w14:textId="7189533C" w:rsidR="00FB1618" w:rsidRDefault="00917E78" w:rsidP="003A57A7">
      <w:pPr>
        <w:pStyle w:val="NoSpacing"/>
        <w:spacing w:line="360" w:lineRule="auto"/>
        <w:ind w:firstLine="720"/>
        <w:rPr>
          <w:rFonts w:asciiTheme="minorHAnsi" w:hAnsiTheme="minorHAnsi"/>
          <w:sz w:val="24"/>
          <w:szCs w:val="24"/>
        </w:rPr>
      </w:pPr>
      <w:r>
        <w:rPr>
          <w:rFonts w:asciiTheme="minorHAnsi" w:eastAsia="Arial Unicode MS" w:hAnsiTheme="minorHAnsi"/>
          <w:sz w:val="24"/>
          <w:szCs w:val="24"/>
        </w:rPr>
        <w:t xml:space="preserve">Lastly, </w:t>
      </w:r>
      <w:r w:rsidR="003352EA">
        <w:rPr>
          <w:rFonts w:asciiTheme="minorHAnsi" w:eastAsia="Arial Unicode MS" w:hAnsiTheme="minorHAnsi"/>
          <w:sz w:val="24"/>
          <w:szCs w:val="24"/>
        </w:rPr>
        <w:t>to</w:t>
      </w:r>
      <w:r w:rsidRPr="003C6F05">
        <w:rPr>
          <w:rFonts w:asciiTheme="minorHAnsi" w:eastAsia="Arial Unicode MS" w:hAnsiTheme="minorHAnsi"/>
          <w:sz w:val="24"/>
          <w:szCs w:val="24"/>
        </w:rPr>
        <w:t xml:space="preserve"> examine patterns in the matrix at </w:t>
      </w:r>
      <w:r>
        <w:rPr>
          <w:rFonts w:asciiTheme="minorHAnsi" w:eastAsia="Arial Unicode MS" w:hAnsiTheme="minorHAnsi"/>
          <w:sz w:val="24"/>
          <w:szCs w:val="24"/>
        </w:rPr>
        <w:t xml:space="preserve">a </w:t>
      </w:r>
      <w:r w:rsidRPr="003C6F05">
        <w:rPr>
          <w:rFonts w:asciiTheme="minorHAnsi" w:eastAsia="Arial Unicode MS" w:hAnsiTheme="minorHAnsi"/>
          <w:sz w:val="24"/>
          <w:szCs w:val="24"/>
        </w:rPr>
        <w:t>neighborhood</w:t>
      </w:r>
      <w:r>
        <w:rPr>
          <w:rFonts w:asciiTheme="minorHAnsi" w:eastAsia="Arial Unicode MS" w:hAnsiTheme="minorHAnsi"/>
          <w:sz w:val="24"/>
          <w:szCs w:val="24"/>
        </w:rPr>
        <w:t>-wide scale</w:t>
      </w:r>
      <w:r w:rsidRPr="003C6F05">
        <w:rPr>
          <w:rFonts w:asciiTheme="minorHAnsi" w:eastAsia="Arial Unicode MS" w:hAnsiTheme="minorHAnsi"/>
          <w:sz w:val="24"/>
          <w:szCs w:val="24"/>
        </w:rPr>
        <w:t xml:space="preserve">, </w:t>
      </w:r>
      <w:r w:rsidR="00ED6CFA">
        <w:rPr>
          <w:rFonts w:asciiTheme="minorHAnsi" w:eastAsia="Arial Unicode MS" w:hAnsiTheme="minorHAnsi"/>
          <w:sz w:val="24"/>
          <w:szCs w:val="24"/>
        </w:rPr>
        <w:t>we</w:t>
      </w:r>
      <w:r w:rsidR="00ED6CFA" w:rsidRPr="003C6F05">
        <w:rPr>
          <w:rFonts w:asciiTheme="minorHAnsi" w:eastAsia="Arial Unicode MS" w:hAnsiTheme="minorHAnsi"/>
          <w:sz w:val="24"/>
          <w:szCs w:val="24"/>
        </w:rPr>
        <w:t xml:space="preserve"> </w:t>
      </w:r>
      <w:r w:rsidRPr="003C6F05">
        <w:rPr>
          <w:rFonts w:asciiTheme="minorHAnsi" w:eastAsia="Arial Unicode MS" w:hAnsiTheme="minorHAnsi"/>
          <w:sz w:val="24"/>
          <w:szCs w:val="24"/>
        </w:rPr>
        <w:t xml:space="preserve">calculated spatial hotspots of block groups that share </w:t>
      </w:r>
      <w:r w:rsidR="003352EA" w:rsidRPr="003C6F05">
        <w:rPr>
          <w:rFonts w:asciiTheme="minorHAnsi" w:eastAsia="Arial Unicode MS" w:hAnsiTheme="minorHAnsi"/>
          <w:sz w:val="24"/>
          <w:szCs w:val="24"/>
        </w:rPr>
        <w:t>a proximity</w:t>
      </w:r>
      <w:r w:rsidRPr="003C6F05">
        <w:rPr>
          <w:rFonts w:asciiTheme="minorHAnsi" w:eastAsia="Arial Unicode MS" w:hAnsiTheme="minorHAnsi"/>
          <w:sz w:val="24"/>
          <w:szCs w:val="24"/>
        </w:rPr>
        <w:t xml:space="preserve"> to each other and possess</w:t>
      </w:r>
      <w:r>
        <w:rPr>
          <w:rFonts w:asciiTheme="minorHAnsi" w:eastAsia="Arial Unicode MS" w:hAnsiTheme="minorHAnsi"/>
          <w:sz w:val="24"/>
          <w:szCs w:val="24"/>
        </w:rPr>
        <w:t xml:space="preserve"> statistically similar</w:t>
      </w:r>
      <w:r w:rsidRPr="003C6F05">
        <w:rPr>
          <w:rFonts w:asciiTheme="minorHAnsi" w:eastAsia="Arial Unicode MS" w:hAnsiTheme="minorHAnsi"/>
          <w:sz w:val="24"/>
          <w:szCs w:val="24"/>
        </w:rPr>
        <w:t xml:space="preserve"> social-ecological values. Examining block group class designation hotspot’s is beneficial for examining who </w:t>
      </w:r>
      <w:r>
        <w:rPr>
          <w:rFonts w:asciiTheme="minorHAnsi" w:eastAsia="Arial Unicode MS" w:hAnsiTheme="minorHAnsi"/>
          <w:sz w:val="24"/>
          <w:szCs w:val="24"/>
        </w:rPr>
        <w:t>UGS</w:t>
      </w:r>
      <w:r w:rsidRPr="003C6F05">
        <w:rPr>
          <w:rFonts w:asciiTheme="minorHAnsi" w:eastAsia="Arial Unicode MS" w:hAnsiTheme="minorHAnsi"/>
          <w:sz w:val="24"/>
          <w:szCs w:val="24"/>
        </w:rPr>
        <w:t xml:space="preserve"> development will affect at broader scales. Using the Getis-Ord Gi</w:t>
      </w:r>
      <w:r w:rsidR="00143099">
        <w:rPr>
          <w:rFonts w:ascii="Segoe UI Symbol" w:eastAsia="Arial Unicode MS" w:hAnsi="Segoe UI Symbol" w:cs="Segoe UI Symbol"/>
          <w:sz w:val="24"/>
          <w:szCs w:val="24"/>
        </w:rPr>
        <w:t>*</w:t>
      </w:r>
      <w:r w:rsidRPr="003C6F05">
        <w:rPr>
          <w:rFonts w:asciiTheme="minorHAnsi" w:eastAsia="Arial Unicode MS" w:hAnsiTheme="minorHAnsi"/>
          <w:sz w:val="24"/>
          <w:szCs w:val="24"/>
        </w:rPr>
        <w:t xml:space="preserve"> Hotspot analysis tool in Arc</w:t>
      </w:r>
      <w:r>
        <w:rPr>
          <w:rFonts w:asciiTheme="minorHAnsi" w:eastAsia="Arial Unicode MS" w:hAnsiTheme="minorHAnsi"/>
          <w:sz w:val="24"/>
          <w:szCs w:val="24"/>
        </w:rPr>
        <w:t>GIS</w:t>
      </w:r>
      <w:r w:rsidRPr="003C6F05">
        <w:rPr>
          <w:rFonts w:asciiTheme="minorHAnsi" w:eastAsia="Arial Unicode MS" w:hAnsiTheme="minorHAnsi"/>
          <w:sz w:val="24"/>
          <w:szCs w:val="24"/>
        </w:rPr>
        <w:t xml:space="preserve">, </w:t>
      </w:r>
      <w:r w:rsidR="00ED28E3">
        <w:rPr>
          <w:rFonts w:asciiTheme="minorHAnsi" w:eastAsia="Arial Unicode MS" w:hAnsiTheme="minorHAnsi"/>
          <w:sz w:val="24"/>
          <w:szCs w:val="24"/>
        </w:rPr>
        <w:t>we</w:t>
      </w:r>
      <w:r w:rsidR="00ED28E3" w:rsidRPr="003C6F05">
        <w:rPr>
          <w:rFonts w:asciiTheme="minorHAnsi" w:eastAsia="Arial Unicode MS" w:hAnsiTheme="minorHAnsi"/>
          <w:sz w:val="24"/>
          <w:szCs w:val="24"/>
        </w:rPr>
        <w:t xml:space="preserve"> </w:t>
      </w:r>
      <w:r w:rsidRPr="003C6F05">
        <w:rPr>
          <w:rFonts w:asciiTheme="minorHAnsi" w:eastAsia="Arial Unicode MS" w:hAnsiTheme="minorHAnsi"/>
          <w:sz w:val="24"/>
          <w:szCs w:val="24"/>
        </w:rPr>
        <w:t xml:space="preserve">identified areas with statistically significant high and low </w:t>
      </w:r>
      <w:r w:rsidR="009050C6">
        <w:rPr>
          <w:rFonts w:asciiTheme="minorHAnsi" w:eastAsia="Arial Unicode MS" w:hAnsiTheme="minorHAnsi"/>
          <w:sz w:val="24"/>
          <w:szCs w:val="24"/>
        </w:rPr>
        <w:t>normalized and summed</w:t>
      </w:r>
      <w:r w:rsidR="00F90CCA">
        <w:rPr>
          <w:rFonts w:asciiTheme="minorHAnsi" w:eastAsia="Arial Unicode MS" w:hAnsiTheme="minorHAnsi"/>
          <w:sz w:val="24"/>
          <w:szCs w:val="24"/>
        </w:rPr>
        <w:t xml:space="preserve"> values of </w:t>
      </w:r>
      <w:r w:rsidRPr="003C6F05">
        <w:rPr>
          <w:rFonts w:asciiTheme="minorHAnsi" w:eastAsia="Arial Unicode MS" w:hAnsiTheme="minorHAnsi"/>
          <w:sz w:val="24"/>
          <w:szCs w:val="24"/>
        </w:rPr>
        <w:t xml:space="preserve">social need and </w:t>
      </w:r>
      <w:r w:rsidRPr="003C6F05">
        <w:rPr>
          <w:rFonts w:asciiTheme="minorHAnsi" w:hAnsiTheme="minorHAnsi"/>
          <w:sz w:val="24"/>
          <w:szCs w:val="24"/>
        </w:rPr>
        <w:t xml:space="preserve">UES </w:t>
      </w:r>
      <w:r w:rsidR="00F90CCA">
        <w:rPr>
          <w:rFonts w:asciiTheme="minorHAnsi" w:hAnsiTheme="minorHAnsi"/>
          <w:sz w:val="24"/>
          <w:szCs w:val="24"/>
        </w:rPr>
        <w:t xml:space="preserve">supply </w:t>
      </w:r>
      <w:r w:rsidRPr="003C6F05">
        <w:rPr>
          <w:rFonts w:asciiTheme="minorHAnsi" w:hAnsiTheme="minorHAnsi"/>
          <w:sz w:val="24"/>
          <w:szCs w:val="24"/>
        </w:rPr>
        <w:t>(H-L &amp; L-H)</w:t>
      </w:r>
      <w:r>
        <w:rPr>
          <w:rFonts w:asciiTheme="minorHAnsi" w:hAnsiTheme="minorHAnsi"/>
          <w:sz w:val="24"/>
          <w:szCs w:val="24"/>
        </w:rPr>
        <w:t>.</w:t>
      </w:r>
      <w:r w:rsidRPr="003C6F05">
        <w:rPr>
          <w:rFonts w:asciiTheme="minorHAnsi" w:hAnsiTheme="minorHAnsi"/>
          <w:sz w:val="24"/>
          <w:szCs w:val="24"/>
        </w:rPr>
        <w:t xml:space="preserve"> </w:t>
      </w:r>
      <w:r w:rsidR="00ED6CFA">
        <w:rPr>
          <w:rFonts w:asciiTheme="minorHAnsi" w:hAnsiTheme="minorHAnsi"/>
          <w:sz w:val="24"/>
          <w:szCs w:val="24"/>
        </w:rPr>
        <w:t xml:space="preserve">We </w:t>
      </w:r>
      <w:r w:rsidRPr="003C6F05">
        <w:rPr>
          <w:rFonts w:asciiTheme="minorHAnsi" w:hAnsiTheme="minorHAnsi"/>
          <w:sz w:val="24"/>
          <w:szCs w:val="24"/>
        </w:rPr>
        <w:t xml:space="preserve">then combined the most significant block groups (p &lt; 0.05) to find </w:t>
      </w:r>
      <w:r>
        <w:rPr>
          <w:rFonts w:asciiTheme="minorHAnsi" w:hAnsiTheme="minorHAnsi"/>
          <w:sz w:val="24"/>
          <w:szCs w:val="24"/>
        </w:rPr>
        <w:t>clustering of block groups that are in both the H-L and L-H classes.</w:t>
      </w:r>
    </w:p>
    <w:p w14:paraId="4BEF2804" w14:textId="77777777" w:rsidR="00322D7C" w:rsidRDefault="00322D7C" w:rsidP="003A57A7">
      <w:pPr>
        <w:pStyle w:val="NoSpacing"/>
        <w:spacing w:line="360" w:lineRule="auto"/>
        <w:ind w:firstLine="720"/>
        <w:rPr>
          <w:rFonts w:asciiTheme="minorHAnsi" w:hAnsiTheme="minorHAnsi"/>
          <w:sz w:val="24"/>
          <w:szCs w:val="24"/>
        </w:rPr>
      </w:pPr>
    </w:p>
    <w:p w14:paraId="4B91AE31" w14:textId="77777777" w:rsidR="00ED6CFA" w:rsidRDefault="00ED6CFA">
      <w:pPr>
        <w:rPr>
          <w:rFonts w:asciiTheme="minorHAnsi" w:hAnsiTheme="minorHAnsi"/>
          <w:i/>
          <w:iCs/>
          <w:color w:val="000000" w:themeColor="text1"/>
        </w:rPr>
      </w:pPr>
      <w:r>
        <w:rPr>
          <w:rFonts w:asciiTheme="minorHAnsi" w:hAnsiTheme="minorHAnsi"/>
          <w:i/>
          <w:iCs/>
          <w:color w:val="000000" w:themeColor="text1"/>
        </w:rPr>
        <w:br w:type="page"/>
      </w:r>
    </w:p>
    <w:p w14:paraId="0E6F1DAF" w14:textId="19686E58" w:rsidR="00ED6CFA" w:rsidRPr="004065B4" w:rsidRDefault="00646B01" w:rsidP="004065B4">
      <w:pPr>
        <w:rPr>
          <w:rFonts w:asciiTheme="minorHAnsi" w:hAnsiTheme="minorHAnsi"/>
        </w:rPr>
      </w:pPr>
      <w:r w:rsidRPr="001E5D4B">
        <w:rPr>
          <w:rFonts w:asciiTheme="minorHAnsi" w:hAnsiTheme="minorHAnsi"/>
          <w:i/>
          <w:iCs/>
          <w:color w:val="000000" w:themeColor="text1"/>
        </w:rPr>
        <w:lastRenderedPageBreak/>
        <w:t>Table 2. An explanation of the weighting method used for the social-ecological matrix</w:t>
      </w:r>
      <w:r w:rsidR="00C472C9">
        <w:rPr>
          <w:rFonts w:asciiTheme="minorHAnsi" w:hAnsiTheme="minorHAnsi"/>
          <w:color w:val="000000" w:themeColor="text1"/>
        </w:rPr>
        <w:t xml:space="preserve">. All four UES were equally weighted as one. </w:t>
      </w:r>
      <w:r w:rsidR="00C472C9" w:rsidRPr="009F0295">
        <w:rPr>
          <w:rFonts w:asciiTheme="minorHAnsi" w:hAnsiTheme="minorHAnsi"/>
        </w:rPr>
        <w:t>if more than one indicator was used to evaluate a given</w:t>
      </w:r>
      <w:r w:rsidR="004065B4">
        <w:rPr>
          <w:rFonts w:asciiTheme="minorHAnsi" w:hAnsiTheme="minorHAnsi"/>
        </w:rPr>
        <w:t xml:space="preserve"> </w:t>
      </w:r>
      <w:r w:rsidR="00C472C9">
        <w:rPr>
          <w:rFonts w:asciiTheme="minorHAnsi" w:hAnsiTheme="minorHAnsi"/>
        </w:rPr>
        <w:t>UES</w:t>
      </w:r>
      <w:r w:rsidR="00C472C9" w:rsidRPr="009F0295">
        <w:rPr>
          <w:rFonts w:asciiTheme="minorHAnsi" w:hAnsiTheme="minorHAnsi"/>
        </w:rPr>
        <w:t xml:space="preserve"> I equally distributed the weight among the indicators</w:t>
      </w:r>
      <w:r w:rsidR="00C472C9">
        <w:rPr>
          <w:rFonts w:asciiTheme="minorHAnsi" w:hAnsiTheme="minorHAnsi"/>
        </w:rPr>
        <w:t>.</w:t>
      </w:r>
    </w:p>
    <w:tbl>
      <w:tblPr>
        <w:tblStyle w:val="GridTable3"/>
        <w:tblW w:w="5000" w:type="pct"/>
        <w:tblLook w:val="04A0" w:firstRow="1" w:lastRow="0" w:firstColumn="1" w:lastColumn="0" w:noHBand="0" w:noVBand="1"/>
      </w:tblPr>
      <w:tblGrid>
        <w:gridCol w:w="4675"/>
        <w:gridCol w:w="4675"/>
      </w:tblGrid>
      <w:tr w:rsidR="005219AA" w14:paraId="1D55D189" w14:textId="77777777" w:rsidTr="00C472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00" w:type="pct"/>
            <w:tcBorders>
              <w:top w:val="single" w:sz="4" w:space="0" w:color="auto"/>
              <w:left w:val="single" w:sz="4" w:space="0" w:color="auto"/>
            </w:tcBorders>
          </w:tcPr>
          <w:p w14:paraId="6F81BAA3" w14:textId="03F7F15F" w:rsidR="005219AA" w:rsidRPr="00322D7C" w:rsidRDefault="005219AA" w:rsidP="00646B01">
            <w:pPr>
              <w:jc w:val="center"/>
              <w:rPr>
                <w:rFonts w:asciiTheme="minorHAnsi" w:hAnsiTheme="minorHAnsi"/>
                <w:color w:val="000000" w:themeColor="text1"/>
              </w:rPr>
            </w:pPr>
            <w:r w:rsidRPr="00322D7C">
              <w:rPr>
                <w:rFonts w:asciiTheme="minorHAnsi" w:hAnsiTheme="minorHAnsi"/>
                <w:color w:val="000000" w:themeColor="text1"/>
              </w:rPr>
              <w:t>UES Indicator</w:t>
            </w:r>
          </w:p>
        </w:tc>
        <w:tc>
          <w:tcPr>
            <w:tcW w:w="2500" w:type="pct"/>
            <w:tcBorders>
              <w:top w:val="single" w:sz="4" w:space="0" w:color="auto"/>
              <w:right w:val="single" w:sz="4" w:space="0" w:color="auto"/>
            </w:tcBorders>
          </w:tcPr>
          <w:p w14:paraId="5EE1F3E0" w14:textId="6043778D" w:rsidR="005219AA" w:rsidRPr="00322D7C" w:rsidRDefault="005219AA" w:rsidP="00646B0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i/>
                <w:iCs/>
                <w:color w:val="000000" w:themeColor="text1"/>
              </w:rPr>
            </w:pPr>
            <w:r w:rsidRPr="00322D7C">
              <w:rPr>
                <w:rFonts w:asciiTheme="minorHAnsi" w:hAnsiTheme="minorHAnsi"/>
                <w:i/>
                <w:iCs/>
                <w:color w:val="000000" w:themeColor="text1"/>
              </w:rPr>
              <w:t>Weighting Coefficient</w:t>
            </w:r>
          </w:p>
        </w:tc>
      </w:tr>
      <w:tr w:rsidR="005219AA" w14:paraId="3604A36F" w14:textId="77777777" w:rsidTr="00C47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left w:val="single" w:sz="4" w:space="0" w:color="auto"/>
            </w:tcBorders>
          </w:tcPr>
          <w:p w14:paraId="00544399" w14:textId="000FE434" w:rsidR="005219AA" w:rsidRPr="005219AA" w:rsidRDefault="005219AA" w:rsidP="005219AA">
            <w:pPr>
              <w:jc w:val="left"/>
              <w:rPr>
                <w:rFonts w:asciiTheme="minorHAnsi" w:hAnsiTheme="minorHAnsi"/>
                <w:color w:val="000000" w:themeColor="text1"/>
              </w:rPr>
            </w:pPr>
            <w:r w:rsidRPr="005219AA">
              <w:rPr>
                <w:rFonts w:asciiTheme="minorHAnsi" w:hAnsiTheme="minorHAnsi"/>
                <w:color w:val="000000" w:themeColor="text1"/>
              </w:rPr>
              <w:t>Carbon Storage</w:t>
            </w:r>
          </w:p>
        </w:tc>
        <w:tc>
          <w:tcPr>
            <w:tcW w:w="2500" w:type="pct"/>
            <w:tcBorders>
              <w:right w:val="single" w:sz="4" w:space="0" w:color="auto"/>
            </w:tcBorders>
          </w:tcPr>
          <w:p w14:paraId="3BB1FB5B" w14:textId="6E111348" w:rsidR="005219AA" w:rsidRPr="005219AA" w:rsidRDefault="005219AA" w:rsidP="00646B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5219AA">
              <w:rPr>
                <w:rFonts w:asciiTheme="minorHAnsi" w:hAnsiTheme="minorHAnsi"/>
                <w:color w:val="000000" w:themeColor="text1"/>
              </w:rPr>
              <w:t>0.5</w:t>
            </w:r>
          </w:p>
        </w:tc>
      </w:tr>
      <w:tr w:rsidR="005219AA" w14:paraId="41424B30" w14:textId="77777777" w:rsidTr="00C472C9">
        <w:tc>
          <w:tcPr>
            <w:cnfStyle w:val="001000000000" w:firstRow="0" w:lastRow="0" w:firstColumn="1" w:lastColumn="0" w:oddVBand="0" w:evenVBand="0" w:oddHBand="0" w:evenHBand="0" w:firstRowFirstColumn="0" w:firstRowLastColumn="0" w:lastRowFirstColumn="0" w:lastRowLastColumn="0"/>
            <w:tcW w:w="2500" w:type="pct"/>
            <w:tcBorders>
              <w:left w:val="single" w:sz="4" w:space="0" w:color="auto"/>
            </w:tcBorders>
          </w:tcPr>
          <w:p w14:paraId="6AFEA539" w14:textId="2C802E51" w:rsidR="005219AA" w:rsidRPr="005219AA" w:rsidRDefault="005219AA" w:rsidP="005219AA">
            <w:pPr>
              <w:jc w:val="left"/>
              <w:rPr>
                <w:rFonts w:asciiTheme="minorHAnsi" w:hAnsiTheme="minorHAnsi"/>
                <w:color w:val="000000" w:themeColor="text1"/>
              </w:rPr>
            </w:pPr>
            <w:r w:rsidRPr="005219AA">
              <w:rPr>
                <w:rFonts w:asciiTheme="minorHAnsi" w:hAnsiTheme="minorHAnsi"/>
                <w:color w:val="000000" w:themeColor="text1"/>
              </w:rPr>
              <w:t>Carbon Sequestration</w:t>
            </w:r>
          </w:p>
        </w:tc>
        <w:tc>
          <w:tcPr>
            <w:tcW w:w="2500" w:type="pct"/>
            <w:tcBorders>
              <w:right w:val="single" w:sz="4" w:space="0" w:color="auto"/>
            </w:tcBorders>
          </w:tcPr>
          <w:p w14:paraId="46157BFC" w14:textId="6190689B" w:rsidR="005219AA" w:rsidRPr="005219AA" w:rsidRDefault="005219AA" w:rsidP="00646B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5219AA">
              <w:rPr>
                <w:rFonts w:asciiTheme="minorHAnsi" w:hAnsiTheme="minorHAnsi"/>
                <w:color w:val="000000" w:themeColor="text1"/>
              </w:rPr>
              <w:t>0.5</w:t>
            </w:r>
          </w:p>
        </w:tc>
      </w:tr>
      <w:tr w:rsidR="005219AA" w14:paraId="4CFA0E4A" w14:textId="77777777" w:rsidTr="00C47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left w:val="single" w:sz="4" w:space="0" w:color="auto"/>
            </w:tcBorders>
          </w:tcPr>
          <w:p w14:paraId="274B45B5" w14:textId="741BF295" w:rsidR="005219AA" w:rsidRPr="005219AA" w:rsidRDefault="005219AA" w:rsidP="005219AA">
            <w:pPr>
              <w:jc w:val="left"/>
              <w:rPr>
                <w:rFonts w:asciiTheme="minorHAnsi" w:hAnsiTheme="minorHAnsi"/>
                <w:color w:val="000000" w:themeColor="text1"/>
              </w:rPr>
            </w:pPr>
            <w:r w:rsidRPr="005219AA">
              <w:rPr>
                <w:rFonts w:asciiTheme="minorHAnsi" w:hAnsiTheme="minorHAnsi"/>
                <w:color w:val="000000" w:themeColor="text1"/>
              </w:rPr>
              <w:t>Coarse vegetation Air Pollution Removal</w:t>
            </w:r>
          </w:p>
        </w:tc>
        <w:tc>
          <w:tcPr>
            <w:tcW w:w="2500" w:type="pct"/>
            <w:tcBorders>
              <w:right w:val="single" w:sz="4" w:space="0" w:color="auto"/>
            </w:tcBorders>
          </w:tcPr>
          <w:p w14:paraId="0DBDFF5B" w14:textId="49CB3E07" w:rsidR="005219AA" w:rsidRPr="005219AA" w:rsidRDefault="005219AA" w:rsidP="00646B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5219AA">
              <w:rPr>
                <w:rFonts w:asciiTheme="minorHAnsi" w:hAnsiTheme="minorHAnsi"/>
                <w:color w:val="000000" w:themeColor="text1"/>
              </w:rPr>
              <w:t>0.5</w:t>
            </w:r>
          </w:p>
        </w:tc>
      </w:tr>
      <w:tr w:rsidR="005219AA" w14:paraId="4B7FEB71" w14:textId="77777777" w:rsidTr="00C472C9">
        <w:tc>
          <w:tcPr>
            <w:cnfStyle w:val="001000000000" w:firstRow="0" w:lastRow="0" w:firstColumn="1" w:lastColumn="0" w:oddVBand="0" w:evenVBand="0" w:oddHBand="0" w:evenHBand="0" w:firstRowFirstColumn="0" w:firstRowLastColumn="0" w:lastRowFirstColumn="0" w:lastRowLastColumn="0"/>
            <w:tcW w:w="2500" w:type="pct"/>
            <w:tcBorders>
              <w:left w:val="single" w:sz="4" w:space="0" w:color="auto"/>
            </w:tcBorders>
          </w:tcPr>
          <w:p w14:paraId="30030A9F" w14:textId="6586DDA8" w:rsidR="005219AA" w:rsidRPr="005219AA" w:rsidRDefault="005219AA" w:rsidP="005219AA">
            <w:pPr>
              <w:jc w:val="left"/>
              <w:rPr>
                <w:rFonts w:asciiTheme="minorHAnsi" w:hAnsiTheme="minorHAnsi"/>
                <w:color w:val="000000" w:themeColor="text1"/>
              </w:rPr>
            </w:pPr>
            <w:r w:rsidRPr="005219AA">
              <w:rPr>
                <w:rFonts w:asciiTheme="minorHAnsi" w:hAnsiTheme="minorHAnsi"/>
                <w:color w:val="000000" w:themeColor="text1"/>
              </w:rPr>
              <w:t>Fine Vegetation Air Pollution Removal</w:t>
            </w:r>
          </w:p>
        </w:tc>
        <w:tc>
          <w:tcPr>
            <w:tcW w:w="2500" w:type="pct"/>
            <w:tcBorders>
              <w:right w:val="single" w:sz="4" w:space="0" w:color="auto"/>
            </w:tcBorders>
          </w:tcPr>
          <w:p w14:paraId="7FBB3226" w14:textId="1C57B8C9" w:rsidR="005219AA" w:rsidRPr="005219AA" w:rsidRDefault="005219AA" w:rsidP="00646B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5219AA">
              <w:rPr>
                <w:rFonts w:asciiTheme="minorHAnsi" w:hAnsiTheme="minorHAnsi"/>
                <w:color w:val="000000" w:themeColor="text1"/>
              </w:rPr>
              <w:t>0.5</w:t>
            </w:r>
          </w:p>
        </w:tc>
      </w:tr>
      <w:tr w:rsidR="005219AA" w14:paraId="36E30B4D" w14:textId="77777777" w:rsidTr="00C47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left w:val="single" w:sz="4" w:space="0" w:color="auto"/>
            </w:tcBorders>
          </w:tcPr>
          <w:p w14:paraId="05782FD6" w14:textId="6B2F85BF" w:rsidR="005219AA" w:rsidRPr="005219AA" w:rsidRDefault="005219AA" w:rsidP="005219AA">
            <w:pPr>
              <w:jc w:val="left"/>
              <w:rPr>
                <w:rFonts w:asciiTheme="minorHAnsi" w:hAnsiTheme="minorHAnsi"/>
                <w:color w:val="000000" w:themeColor="text1"/>
              </w:rPr>
            </w:pPr>
            <w:r w:rsidRPr="005219AA">
              <w:rPr>
                <w:rFonts w:asciiTheme="minorHAnsi" w:hAnsiTheme="minorHAnsi"/>
                <w:color w:val="000000" w:themeColor="text1"/>
              </w:rPr>
              <w:t>Local Climate Regulation</w:t>
            </w:r>
          </w:p>
        </w:tc>
        <w:tc>
          <w:tcPr>
            <w:tcW w:w="2500" w:type="pct"/>
            <w:tcBorders>
              <w:right w:val="single" w:sz="4" w:space="0" w:color="auto"/>
            </w:tcBorders>
          </w:tcPr>
          <w:p w14:paraId="6ECFD9CA" w14:textId="5E754D55" w:rsidR="005219AA" w:rsidRPr="005219AA" w:rsidRDefault="005219AA" w:rsidP="00646B0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5219AA">
              <w:rPr>
                <w:rFonts w:asciiTheme="minorHAnsi" w:hAnsiTheme="minorHAnsi"/>
                <w:color w:val="000000" w:themeColor="text1"/>
              </w:rPr>
              <w:t>1.0</w:t>
            </w:r>
          </w:p>
        </w:tc>
      </w:tr>
      <w:tr w:rsidR="005219AA" w14:paraId="147A710F" w14:textId="77777777" w:rsidTr="00C472C9">
        <w:tc>
          <w:tcPr>
            <w:cnfStyle w:val="001000000000" w:firstRow="0" w:lastRow="0" w:firstColumn="1" w:lastColumn="0" w:oddVBand="0" w:evenVBand="0" w:oddHBand="0" w:evenHBand="0" w:firstRowFirstColumn="0" w:firstRowLastColumn="0" w:lastRowFirstColumn="0" w:lastRowLastColumn="0"/>
            <w:tcW w:w="2500" w:type="pct"/>
            <w:tcBorders>
              <w:left w:val="single" w:sz="4" w:space="0" w:color="auto"/>
              <w:bottom w:val="single" w:sz="4" w:space="0" w:color="auto"/>
            </w:tcBorders>
          </w:tcPr>
          <w:p w14:paraId="3F35589F" w14:textId="4C187E19" w:rsidR="005219AA" w:rsidRPr="005219AA" w:rsidRDefault="005219AA" w:rsidP="005219AA">
            <w:pPr>
              <w:jc w:val="left"/>
              <w:rPr>
                <w:rFonts w:asciiTheme="minorHAnsi" w:hAnsiTheme="minorHAnsi"/>
                <w:color w:val="000000" w:themeColor="text1"/>
              </w:rPr>
            </w:pPr>
            <w:r w:rsidRPr="005219AA">
              <w:rPr>
                <w:rFonts w:asciiTheme="minorHAnsi" w:hAnsiTheme="minorHAnsi"/>
                <w:color w:val="000000" w:themeColor="text1"/>
              </w:rPr>
              <w:t>Recreation Potential</w:t>
            </w:r>
          </w:p>
        </w:tc>
        <w:tc>
          <w:tcPr>
            <w:tcW w:w="2500" w:type="pct"/>
            <w:tcBorders>
              <w:bottom w:val="single" w:sz="4" w:space="0" w:color="auto"/>
              <w:right w:val="single" w:sz="4" w:space="0" w:color="auto"/>
            </w:tcBorders>
          </w:tcPr>
          <w:p w14:paraId="7C95A8D2" w14:textId="4C79A12B" w:rsidR="005219AA" w:rsidRPr="005219AA" w:rsidRDefault="005219AA" w:rsidP="00646B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5219AA">
              <w:rPr>
                <w:rFonts w:asciiTheme="minorHAnsi" w:hAnsiTheme="minorHAnsi"/>
                <w:color w:val="000000" w:themeColor="text1"/>
              </w:rPr>
              <w:t>1.0</w:t>
            </w:r>
          </w:p>
        </w:tc>
      </w:tr>
    </w:tbl>
    <w:p w14:paraId="12F3705D" w14:textId="243CDE55" w:rsidR="00FB1618" w:rsidRDefault="00FB1618" w:rsidP="00FB1618">
      <w:pPr>
        <w:pStyle w:val="NoSpacing"/>
        <w:spacing w:line="360" w:lineRule="auto"/>
        <w:rPr>
          <w:rFonts w:asciiTheme="minorHAnsi" w:hAnsiTheme="minorHAnsi"/>
          <w:sz w:val="24"/>
          <w:szCs w:val="24"/>
        </w:rPr>
      </w:pPr>
    </w:p>
    <w:p w14:paraId="2053664C" w14:textId="77777777" w:rsidR="00C472C9" w:rsidRDefault="00C472C9" w:rsidP="00FB1618">
      <w:pPr>
        <w:pStyle w:val="NoSpacing"/>
        <w:spacing w:line="360" w:lineRule="auto"/>
        <w:rPr>
          <w:rFonts w:asciiTheme="minorHAnsi" w:hAnsiTheme="minorHAnsi"/>
          <w:sz w:val="24"/>
          <w:szCs w:val="24"/>
        </w:rPr>
      </w:pPr>
    </w:p>
    <w:p w14:paraId="213582B9" w14:textId="77777777" w:rsidR="00ED6CFA" w:rsidRDefault="00ED6CFA">
      <w:pPr>
        <w:rPr>
          <w:rFonts w:asciiTheme="minorHAnsi" w:hAnsiTheme="minorHAnsi"/>
          <w:i/>
          <w:iCs/>
          <w:color w:val="000000" w:themeColor="text1"/>
        </w:rPr>
      </w:pPr>
      <w:r>
        <w:rPr>
          <w:rFonts w:asciiTheme="minorHAnsi" w:hAnsiTheme="minorHAnsi"/>
          <w:i/>
          <w:iCs/>
          <w:color w:val="000000" w:themeColor="text1"/>
        </w:rPr>
        <w:br w:type="page"/>
      </w:r>
    </w:p>
    <w:p w14:paraId="505C8F96" w14:textId="565DF3BE" w:rsidR="00ED6CFA" w:rsidRPr="004065B4" w:rsidRDefault="00646B01" w:rsidP="00C472C9">
      <w:pPr>
        <w:rPr>
          <w:rFonts w:asciiTheme="minorHAnsi" w:hAnsiTheme="minorHAnsi"/>
        </w:rPr>
      </w:pPr>
      <w:r w:rsidRPr="001E5D4B">
        <w:rPr>
          <w:rFonts w:asciiTheme="minorHAnsi" w:hAnsiTheme="minorHAnsi"/>
          <w:i/>
          <w:iCs/>
          <w:color w:val="000000" w:themeColor="text1"/>
        </w:rPr>
        <w:lastRenderedPageBreak/>
        <w:t xml:space="preserve">Table 3. An explanation of the four categories </w:t>
      </w:r>
      <w:r w:rsidR="008100CF">
        <w:rPr>
          <w:rFonts w:asciiTheme="minorHAnsi" w:hAnsiTheme="minorHAnsi"/>
          <w:i/>
          <w:iCs/>
          <w:color w:val="000000" w:themeColor="text1"/>
        </w:rPr>
        <w:t xml:space="preserve">used to </w:t>
      </w:r>
      <w:r w:rsidRPr="001E5D4B">
        <w:rPr>
          <w:rFonts w:asciiTheme="minorHAnsi" w:hAnsiTheme="minorHAnsi"/>
          <w:i/>
          <w:iCs/>
          <w:color w:val="000000" w:themeColor="text1"/>
        </w:rPr>
        <w:t>create the social-ecological matrix</w:t>
      </w:r>
      <w:r w:rsidR="00C472C9">
        <w:rPr>
          <w:rFonts w:asciiTheme="minorHAnsi" w:hAnsiTheme="minorHAnsi"/>
          <w:color w:val="000000" w:themeColor="text1"/>
        </w:rPr>
        <w:t xml:space="preserve">. </w:t>
      </w:r>
      <w:r w:rsidR="00C472C9" w:rsidRPr="009F0295">
        <w:rPr>
          <w:rFonts w:asciiTheme="minorHAnsi" w:hAnsiTheme="minorHAnsi"/>
        </w:rPr>
        <w:t>I designated the block group as having either a high or low value</w:t>
      </w:r>
      <w:r w:rsidR="00C472C9">
        <w:rPr>
          <w:rFonts w:asciiTheme="minorHAnsi" w:hAnsiTheme="minorHAnsi"/>
        </w:rPr>
        <w:t xml:space="preserve"> for social need and UES supply</w:t>
      </w:r>
      <w:r w:rsidR="00C472C9" w:rsidRPr="009F0295">
        <w:rPr>
          <w:rFonts w:asciiTheme="minorHAnsi" w:hAnsiTheme="minorHAnsi"/>
        </w:rPr>
        <w:t xml:space="preserve"> based on whether it was above or below the city’s median indicator group values.</w:t>
      </w:r>
    </w:p>
    <w:tbl>
      <w:tblPr>
        <w:tblStyle w:val="GridTable3"/>
        <w:tblW w:w="5000" w:type="pct"/>
        <w:jc w:val="center"/>
        <w:tblLook w:val="0480" w:firstRow="0" w:lastRow="0" w:firstColumn="1" w:lastColumn="0" w:noHBand="0" w:noVBand="1"/>
      </w:tblPr>
      <w:tblGrid>
        <w:gridCol w:w="2246"/>
        <w:gridCol w:w="7104"/>
      </w:tblGrid>
      <w:tr w:rsidR="00805854" w14:paraId="0A5E0950" w14:textId="77777777" w:rsidTr="002F00FA">
        <w:trPr>
          <w:cnfStyle w:val="000000100000" w:firstRow="0" w:lastRow="0" w:firstColumn="0" w:lastColumn="0" w:oddVBand="0" w:evenVBand="0" w:oddHBand="1" w:evenHBand="0" w:firstRowFirstColumn="0" w:firstRowLastColumn="0" w:lastRowFirstColumn="0" w:lastRowLastColumn="0"/>
          <w:trHeight w:val="849"/>
          <w:jc w:val="center"/>
        </w:trPr>
        <w:tc>
          <w:tcPr>
            <w:cnfStyle w:val="001000000000" w:firstRow="0" w:lastRow="0" w:firstColumn="1" w:lastColumn="0" w:oddVBand="0" w:evenVBand="0" w:oddHBand="0" w:evenHBand="0" w:firstRowFirstColumn="0" w:firstRowLastColumn="0" w:lastRowFirstColumn="0" w:lastRowLastColumn="0"/>
            <w:tcW w:w="1201" w:type="pct"/>
            <w:tcBorders>
              <w:top w:val="single" w:sz="4" w:space="0" w:color="auto"/>
              <w:left w:val="single" w:sz="4" w:space="0" w:color="auto"/>
            </w:tcBorders>
            <w:vAlign w:val="center"/>
          </w:tcPr>
          <w:p w14:paraId="323EAFAE" w14:textId="540F5FD9" w:rsidR="00805854" w:rsidRPr="00805854" w:rsidRDefault="00805854" w:rsidP="00805854">
            <w:pPr>
              <w:pStyle w:val="NormalWeb"/>
              <w:spacing w:line="276" w:lineRule="auto"/>
              <w:jc w:val="left"/>
              <w:rPr>
                <w:rFonts w:asciiTheme="minorHAnsi" w:hAnsiTheme="minorHAnsi" w:cs="Calibri"/>
                <w:b/>
                <w:bCs/>
                <w:i w:val="0"/>
                <w:iCs w:val="0"/>
              </w:rPr>
            </w:pPr>
            <w:r>
              <w:rPr>
                <w:rFonts w:asciiTheme="minorHAnsi" w:hAnsiTheme="minorHAnsi" w:cs="Calibri"/>
                <w:b/>
                <w:bCs/>
                <w:i w:val="0"/>
                <w:iCs w:val="0"/>
              </w:rPr>
              <w:t>Social-Ecological Matrix C</w:t>
            </w:r>
            <w:r w:rsidR="002F00FA">
              <w:rPr>
                <w:rFonts w:asciiTheme="minorHAnsi" w:hAnsiTheme="minorHAnsi" w:cs="Calibri"/>
                <w:b/>
                <w:bCs/>
                <w:i w:val="0"/>
                <w:iCs w:val="0"/>
              </w:rPr>
              <w:t>ategories</w:t>
            </w:r>
          </w:p>
        </w:tc>
        <w:tc>
          <w:tcPr>
            <w:tcW w:w="3799" w:type="pct"/>
            <w:tcBorders>
              <w:top w:val="single" w:sz="4" w:space="0" w:color="auto"/>
              <w:right w:val="single" w:sz="4" w:space="0" w:color="auto"/>
            </w:tcBorders>
            <w:vAlign w:val="center"/>
          </w:tcPr>
          <w:p w14:paraId="29E67D34" w14:textId="3310A8FC" w:rsidR="00805854" w:rsidRPr="00805854" w:rsidRDefault="00805854" w:rsidP="00805854">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Calibri"/>
                <w:b/>
                <w:bCs/>
              </w:rPr>
            </w:pPr>
            <w:r>
              <w:rPr>
                <w:rFonts w:asciiTheme="minorHAnsi" w:hAnsiTheme="minorHAnsi" w:cs="Calibri"/>
                <w:b/>
                <w:bCs/>
              </w:rPr>
              <w:t>C</w:t>
            </w:r>
            <w:r w:rsidR="002F00FA">
              <w:rPr>
                <w:rFonts w:asciiTheme="minorHAnsi" w:hAnsiTheme="minorHAnsi" w:cs="Calibri"/>
                <w:b/>
                <w:bCs/>
              </w:rPr>
              <w:t>ategory</w:t>
            </w:r>
            <w:r>
              <w:rPr>
                <w:rFonts w:asciiTheme="minorHAnsi" w:hAnsiTheme="minorHAnsi" w:cs="Calibri"/>
                <w:b/>
                <w:bCs/>
              </w:rPr>
              <w:t xml:space="preserve"> Definitions</w:t>
            </w:r>
          </w:p>
        </w:tc>
      </w:tr>
      <w:tr w:rsidR="00322D7C" w14:paraId="6A1ABB56" w14:textId="77777777" w:rsidTr="002F00FA">
        <w:trPr>
          <w:trHeight w:val="849"/>
          <w:jc w:val="center"/>
        </w:trPr>
        <w:tc>
          <w:tcPr>
            <w:cnfStyle w:val="001000000000" w:firstRow="0" w:lastRow="0" w:firstColumn="1" w:lastColumn="0" w:oddVBand="0" w:evenVBand="0" w:oddHBand="0" w:evenHBand="0" w:firstRowFirstColumn="0" w:firstRowLastColumn="0" w:lastRowFirstColumn="0" w:lastRowLastColumn="0"/>
            <w:tcW w:w="1201" w:type="pct"/>
            <w:tcBorders>
              <w:top w:val="single" w:sz="4" w:space="0" w:color="auto"/>
              <w:left w:val="single" w:sz="4" w:space="0" w:color="auto"/>
            </w:tcBorders>
            <w:vAlign w:val="center"/>
          </w:tcPr>
          <w:p w14:paraId="08A5573B" w14:textId="03E4D2F2" w:rsidR="00322D7C" w:rsidRPr="00322D7C" w:rsidRDefault="00322D7C" w:rsidP="00805854">
            <w:pPr>
              <w:pStyle w:val="NormalWeb"/>
              <w:spacing w:line="276" w:lineRule="auto"/>
              <w:jc w:val="left"/>
              <w:rPr>
                <w:rFonts w:asciiTheme="minorHAnsi" w:hAnsiTheme="minorHAnsi" w:cs="Calibri"/>
                <w:i w:val="0"/>
                <w:iCs w:val="0"/>
              </w:rPr>
            </w:pPr>
            <w:r w:rsidRPr="00322D7C">
              <w:rPr>
                <w:rFonts w:asciiTheme="minorHAnsi" w:hAnsiTheme="minorHAnsi" w:cs="Calibri"/>
              </w:rPr>
              <w:t>High-</w:t>
            </w:r>
            <w:r w:rsidR="001E5D4B" w:rsidRPr="00322D7C">
              <w:rPr>
                <w:rFonts w:asciiTheme="minorHAnsi" w:hAnsiTheme="minorHAnsi" w:cs="Calibri"/>
              </w:rPr>
              <w:t>Low</w:t>
            </w:r>
            <w:r w:rsidR="00805854">
              <w:rPr>
                <w:rFonts w:asciiTheme="minorHAnsi" w:hAnsiTheme="minorHAnsi" w:cs="Calibri"/>
              </w:rPr>
              <w:t xml:space="preserve"> </w:t>
            </w:r>
            <w:r w:rsidR="001E5D4B">
              <w:rPr>
                <w:rFonts w:asciiTheme="minorHAnsi" w:hAnsiTheme="minorHAnsi" w:cs="Calibri"/>
                <w:i w:val="0"/>
                <w:iCs w:val="0"/>
              </w:rPr>
              <w:t>(</w:t>
            </w:r>
            <w:r w:rsidRPr="00322D7C">
              <w:rPr>
                <w:rFonts w:asciiTheme="minorHAnsi" w:hAnsiTheme="minorHAnsi" w:cs="Calibri"/>
                <w:i w:val="0"/>
                <w:iCs w:val="0"/>
              </w:rPr>
              <w:t>H-L)</w:t>
            </w:r>
          </w:p>
        </w:tc>
        <w:tc>
          <w:tcPr>
            <w:tcW w:w="3799" w:type="pct"/>
            <w:tcBorders>
              <w:top w:val="single" w:sz="4" w:space="0" w:color="auto"/>
              <w:right w:val="single" w:sz="4" w:space="0" w:color="auto"/>
            </w:tcBorders>
          </w:tcPr>
          <w:p w14:paraId="4A103053" w14:textId="77777777" w:rsidR="00322D7C" w:rsidRPr="00360CE0" w:rsidRDefault="00322D7C" w:rsidP="006E5A45">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noProof/>
              </w:rPr>
            </w:pPr>
            <w:r w:rsidRPr="00360CE0">
              <w:rPr>
                <w:rFonts w:asciiTheme="minorHAnsi" w:hAnsiTheme="minorHAnsi" w:cs="Calibri"/>
              </w:rPr>
              <w:t xml:space="preserve">High social need for urban greening projects and a Low production of UES  </w:t>
            </w:r>
          </w:p>
        </w:tc>
      </w:tr>
      <w:tr w:rsidR="00322D7C" w14:paraId="39B8F136" w14:textId="77777777" w:rsidTr="002F00FA">
        <w:trPr>
          <w:cnfStyle w:val="000000100000" w:firstRow="0" w:lastRow="0" w:firstColumn="0" w:lastColumn="0" w:oddVBand="0" w:evenVBand="0" w:oddHBand="1" w:evenHBand="0" w:firstRowFirstColumn="0" w:firstRowLastColumn="0" w:lastRowFirstColumn="0" w:lastRowLastColumn="0"/>
          <w:trHeight w:val="874"/>
          <w:jc w:val="center"/>
        </w:trPr>
        <w:tc>
          <w:tcPr>
            <w:cnfStyle w:val="001000000000" w:firstRow="0" w:lastRow="0" w:firstColumn="1" w:lastColumn="0" w:oddVBand="0" w:evenVBand="0" w:oddHBand="0" w:evenHBand="0" w:firstRowFirstColumn="0" w:firstRowLastColumn="0" w:lastRowFirstColumn="0" w:lastRowLastColumn="0"/>
            <w:tcW w:w="1201" w:type="pct"/>
            <w:tcBorders>
              <w:left w:val="single" w:sz="4" w:space="0" w:color="auto"/>
            </w:tcBorders>
            <w:vAlign w:val="center"/>
          </w:tcPr>
          <w:p w14:paraId="1E91D49F" w14:textId="7725CE26" w:rsidR="00322D7C" w:rsidRPr="00322D7C" w:rsidRDefault="00322D7C" w:rsidP="00805854">
            <w:pPr>
              <w:pStyle w:val="NormalWeb"/>
              <w:spacing w:line="276" w:lineRule="auto"/>
              <w:jc w:val="left"/>
              <w:rPr>
                <w:rFonts w:asciiTheme="minorHAnsi" w:hAnsiTheme="minorHAnsi" w:cs="Calibri"/>
                <w:i w:val="0"/>
                <w:iCs w:val="0"/>
              </w:rPr>
            </w:pPr>
            <w:r w:rsidRPr="00322D7C">
              <w:rPr>
                <w:rFonts w:asciiTheme="minorHAnsi" w:hAnsiTheme="minorHAnsi" w:cs="Calibri"/>
              </w:rPr>
              <w:t>High-High</w:t>
            </w:r>
            <w:r w:rsidR="00805854">
              <w:rPr>
                <w:rFonts w:asciiTheme="minorHAnsi" w:hAnsiTheme="minorHAnsi" w:cs="Calibri"/>
                <w:i w:val="0"/>
                <w:iCs w:val="0"/>
              </w:rPr>
              <w:t xml:space="preserve"> </w:t>
            </w:r>
            <w:r w:rsidRPr="00322D7C">
              <w:rPr>
                <w:rFonts w:asciiTheme="minorHAnsi" w:hAnsiTheme="minorHAnsi" w:cs="Calibri"/>
                <w:i w:val="0"/>
                <w:iCs w:val="0"/>
              </w:rPr>
              <w:t>(H-H)</w:t>
            </w:r>
          </w:p>
        </w:tc>
        <w:tc>
          <w:tcPr>
            <w:tcW w:w="3799" w:type="pct"/>
            <w:tcBorders>
              <w:right w:val="single" w:sz="4" w:space="0" w:color="auto"/>
            </w:tcBorders>
          </w:tcPr>
          <w:p w14:paraId="5B968D56" w14:textId="77777777" w:rsidR="00322D7C" w:rsidRPr="00360CE0" w:rsidRDefault="00322D7C" w:rsidP="006E5A45">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Calibri"/>
              </w:rPr>
            </w:pPr>
            <w:r w:rsidRPr="00360CE0">
              <w:rPr>
                <w:rFonts w:asciiTheme="minorHAnsi" w:hAnsiTheme="minorHAnsi" w:cs="Calibri"/>
              </w:rPr>
              <w:t xml:space="preserve"> High social need for urban greening projects and a High production of UES</w:t>
            </w:r>
          </w:p>
        </w:tc>
      </w:tr>
      <w:tr w:rsidR="00322D7C" w14:paraId="6FF914D4" w14:textId="77777777" w:rsidTr="002F00FA">
        <w:trPr>
          <w:trHeight w:val="849"/>
          <w:jc w:val="center"/>
        </w:trPr>
        <w:tc>
          <w:tcPr>
            <w:cnfStyle w:val="001000000000" w:firstRow="0" w:lastRow="0" w:firstColumn="1" w:lastColumn="0" w:oddVBand="0" w:evenVBand="0" w:oddHBand="0" w:evenHBand="0" w:firstRowFirstColumn="0" w:firstRowLastColumn="0" w:lastRowFirstColumn="0" w:lastRowLastColumn="0"/>
            <w:tcW w:w="1201" w:type="pct"/>
            <w:tcBorders>
              <w:left w:val="single" w:sz="4" w:space="0" w:color="auto"/>
            </w:tcBorders>
            <w:vAlign w:val="center"/>
          </w:tcPr>
          <w:p w14:paraId="070A7DB6" w14:textId="41D82E42" w:rsidR="00322D7C" w:rsidRPr="00322D7C" w:rsidRDefault="00322D7C" w:rsidP="00805854">
            <w:pPr>
              <w:pStyle w:val="NormalWeb"/>
              <w:spacing w:line="276" w:lineRule="auto"/>
              <w:jc w:val="left"/>
              <w:rPr>
                <w:rFonts w:asciiTheme="minorHAnsi" w:hAnsiTheme="minorHAnsi" w:cs="Calibri"/>
                <w:i w:val="0"/>
                <w:iCs w:val="0"/>
              </w:rPr>
            </w:pPr>
            <w:r w:rsidRPr="00322D7C">
              <w:rPr>
                <w:rFonts w:asciiTheme="minorHAnsi" w:hAnsiTheme="minorHAnsi" w:cs="Calibri"/>
              </w:rPr>
              <w:t>Low-Low</w:t>
            </w:r>
            <w:r w:rsidR="00805854">
              <w:rPr>
                <w:rFonts w:asciiTheme="minorHAnsi" w:hAnsiTheme="minorHAnsi" w:cs="Calibri"/>
                <w:i w:val="0"/>
                <w:iCs w:val="0"/>
              </w:rPr>
              <w:t xml:space="preserve"> </w:t>
            </w:r>
            <w:r w:rsidRPr="00322D7C">
              <w:rPr>
                <w:rFonts w:asciiTheme="minorHAnsi" w:hAnsiTheme="minorHAnsi" w:cs="Calibri"/>
                <w:i w:val="0"/>
                <w:iCs w:val="0"/>
              </w:rPr>
              <w:t>(L-L)</w:t>
            </w:r>
          </w:p>
        </w:tc>
        <w:tc>
          <w:tcPr>
            <w:tcW w:w="3799" w:type="pct"/>
            <w:tcBorders>
              <w:right w:val="single" w:sz="4" w:space="0" w:color="auto"/>
            </w:tcBorders>
          </w:tcPr>
          <w:p w14:paraId="38856178" w14:textId="77777777" w:rsidR="00322D7C" w:rsidRPr="00360CE0" w:rsidRDefault="00322D7C" w:rsidP="006E5A45">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Calibri"/>
              </w:rPr>
            </w:pPr>
            <w:r w:rsidRPr="00360CE0">
              <w:rPr>
                <w:rFonts w:asciiTheme="minorHAnsi" w:hAnsiTheme="minorHAnsi" w:cs="Calibri"/>
              </w:rPr>
              <w:t xml:space="preserve">Low social need for urban greening projects and a Low production of UES </w:t>
            </w:r>
          </w:p>
        </w:tc>
      </w:tr>
      <w:tr w:rsidR="00322D7C" w14:paraId="6B7E15FF" w14:textId="77777777" w:rsidTr="002F00FA">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201" w:type="pct"/>
            <w:tcBorders>
              <w:left w:val="single" w:sz="4" w:space="0" w:color="auto"/>
              <w:bottom w:val="single" w:sz="4" w:space="0" w:color="auto"/>
            </w:tcBorders>
            <w:vAlign w:val="center"/>
          </w:tcPr>
          <w:p w14:paraId="41A0F9DC" w14:textId="6DE7AF03" w:rsidR="00322D7C" w:rsidRPr="00322D7C" w:rsidRDefault="00322D7C" w:rsidP="00805854">
            <w:pPr>
              <w:pStyle w:val="NormalWeb"/>
              <w:spacing w:line="276" w:lineRule="auto"/>
              <w:jc w:val="left"/>
              <w:rPr>
                <w:rFonts w:asciiTheme="minorHAnsi" w:hAnsiTheme="minorHAnsi" w:cs="Calibri"/>
                <w:i w:val="0"/>
                <w:iCs w:val="0"/>
              </w:rPr>
            </w:pPr>
            <w:r w:rsidRPr="00322D7C">
              <w:rPr>
                <w:rFonts w:asciiTheme="minorHAnsi" w:hAnsiTheme="minorHAnsi" w:cs="Calibri"/>
              </w:rPr>
              <w:t>Low-High</w:t>
            </w:r>
            <w:r w:rsidR="00805854">
              <w:rPr>
                <w:rFonts w:asciiTheme="minorHAnsi" w:hAnsiTheme="minorHAnsi" w:cs="Calibri"/>
                <w:i w:val="0"/>
                <w:iCs w:val="0"/>
              </w:rPr>
              <w:t xml:space="preserve"> (</w:t>
            </w:r>
            <w:r w:rsidRPr="00322D7C">
              <w:rPr>
                <w:rFonts w:asciiTheme="minorHAnsi" w:hAnsiTheme="minorHAnsi" w:cs="Calibri"/>
                <w:i w:val="0"/>
                <w:iCs w:val="0"/>
              </w:rPr>
              <w:t>L-H)</w:t>
            </w:r>
          </w:p>
        </w:tc>
        <w:tc>
          <w:tcPr>
            <w:tcW w:w="3799" w:type="pct"/>
            <w:tcBorders>
              <w:bottom w:val="single" w:sz="4" w:space="0" w:color="auto"/>
              <w:right w:val="single" w:sz="4" w:space="0" w:color="auto"/>
            </w:tcBorders>
          </w:tcPr>
          <w:p w14:paraId="579E35AD" w14:textId="77777777" w:rsidR="00322D7C" w:rsidRPr="00360CE0" w:rsidRDefault="00322D7C" w:rsidP="006E5A45">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Calibri"/>
              </w:rPr>
            </w:pPr>
            <w:r w:rsidRPr="00360CE0">
              <w:rPr>
                <w:rFonts w:asciiTheme="minorHAnsi" w:hAnsiTheme="minorHAnsi" w:cs="Calibri"/>
              </w:rPr>
              <w:t xml:space="preserve">Low social need for urban greening projects and a High production of UES  </w:t>
            </w:r>
          </w:p>
        </w:tc>
      </w:tr>
    </w:tbl>
    <w:p w14:paraId="5465C50F" w14:textId="7009EF14" w:rsidR="00917E78" w:rsidRDefault="00917E78" w:rsidP="009F0295">
      <w:pPr>
        <w:pStyle w:val="NoSpacing"/>
        <w:spacing w:line="360" w:lineRule="auto"/>
        <w:rPr>
          <w:rFonts w:asciiTheme="minorHAnsi" w:hAnsiTheme="minorHAnsi"/>
          <w:i/>
          <w:sz w:val="24"/>
          <w:szCs w:val="24"/>
        </w:rPr>
      </w:pPr>
    </w:p>
    <w:p w14:paraId="3742A8FD" w14:textId="77777777" w:rsidR="004B0DD0" w:rsidRDefault="004B0DD0" w:rsidP="009F0295">
      <w:pPr>
        <w:pStyle w:val="NoSpacing"/>
        <w:spacing w:line="360" w:lineRule="auto"/>
        <w:rPr>
          <w:rFonts w:asciiTheme="minorHAnsi" w:hAnsiTheme="minorHAnsi"/>
          <w:i/>
          <w:sz w:val="24"/>
          <w:szCs w:val="24"/>
        </w:rPr>
      </w:pPr>
    </w:p>
    <w:p w14:paraId="0F3BDEA4" w14:textId="77777777" w:rsidR="004B0DD0" w:rsidRDefault="004B0DD0" w:rsidP="009F0295">
      <w:pPr>
        <w:pStyle w:val="NoSpacing"/>
        <w:spacing w:line="360" w:lineRule="auto"/>
        <w:rPr>
          <w:rFonts w:asciiTheme="minorHAnsi" w:hAnsiTheme="minorHAnsi"/>
          <w:i/>
          <w:sz w:val="24"/>
          <w:szCs w:val="24"/>
        </w:rPr>
      </w:pPr>
    </w:p>
    <w:p w14:paraId="674509C8" w14:textId="77777777" w:rsidR="00360CE0" w:rsidRDefault="00360CE0" w:rsidP="009F0295">
      <w:pPr>
        <w:pStyle w:val="NoSpacing"/>
        <w:spacing w:line="360" w:lineRule="auto"/>
        <w:rPr>
          <w:rFonts w:asciiTheme="minorHAnsi" w:hAnsiTheme="minorHAnsi"/>
          <w:i/>
          <w:sz w:val="24"/>
          <w:szCs w:val="24"/>
        </w:rPr>
      </w:pPr>
    </w:p>
    <w:p w14:paraId="0B6ABBB3" w14:textId="77777777" w:rsidR="00ED6CFA" w:rsidRDefault="00ED6CFA">
      <w:pPr>
        <w:rPr>
          <w:rFonts w:asciiTheme="minorHAnsi" w:eastAsia="MS Mincho" w:hAnsiTheme="minorHAnsi" w:cs="Arial"/>
          <w:i/>
          <w:lang w:val="en"/>
        </w:rPr>
      </w:pPr>
      <w:r>
        <w:rPr>
          <w:rFonts w:asciiTheme="minorHAnsi" w:hAnsiTheme="minorHAnsi"/>
          <w:i/>
        </w:rPr>
        <w:br w:type="page"/>
      </w:r>
    </w:p>
    <w:p w14:paraId="50449150" w14:textId="77777777" w:rsidR="00620CFA" w:rsidRDefault="00D1218E" w:rsidP="00620CFA">
      <w:pPr>
        <w:pStyle w:val="NoSpacing"/>
        <w:spacing w:line="360" w:lineRule="auto"/>
        <w:rPr>
          <w:rFonts w:asciiTheme="minorHAnsi" w:hAnsiTheme="minorHAnsi"/>
          <w:i/>
          <w:sz w:val="24"/>
          <w:szCs w:val="24"/>
        </w:rPr>
      </w:pPr>
      <w:r w:rsidRPr="009F0295">
        <w:rPr>
          <w:rFonts w:asciiTheme="minorHAnsi" w:hAnsiTheme="minorHAnsi"/>
          <w:i/>
          <w:sz w:val="24"/>
          <w:szCs w:val="24"/>
        </w:rPr>
        <w:lastRenderedPageBreak/>
        <w:t>2.</w:t>
      </w:r>
      <w:r w:rsidR="00775165">
        <w:rPr>
          <w:rFonts w:asciiTheme="minorHAnsi" w:hAnsiTheme="minorHAnsi"/>
          <w:i/>
          <w:sz w:val="24"/>
          <w:szCs w:val="24"/>
        </w:rPr>
        <w:t>5</w:t>
      </w:r>
      <w:r w:rsidRPr="009F0295">
        <w:rPr>
          <w:rFonts w:asciiTheme="minorHAnsi" w:hAnsiTheme="minorHAnsi"/>
          <w:i/>
          <w:sz w:val="24"/>
          <w:szCs w:val="24"/>
        </w:rPr>
        <w:t xml:space="preserve"> Statistical Analyses</w:t>
      </w:r>
    </w:p>
    <w:p w14:paraId="4DE2E2FB" w14:textId="53C88FE1" w:rsidR="00AF6474" w:rsidRPr="009F0295" w:rsidRDefault="00D1218E" w:rsidP="00620CFA">
      <w:pPr>
        <w:pStyle w:val="NoSpacing"/>
        <w:spacing w:line="360" w:lineRule="auto"/>
        <w:ind w:firstLine="720"/>
        <w:rPr>
          <w:rFonts w:asciiTheme="minorHAnsi" w:hAnsiTheme="minorHAnsi"/>
          <w:i/>
          <w:sz w:val="24"/>
          <w:szCs w:val="24"/>
        </w:rPr>
      </w:pPr>
      <w:r w:rsidRPr="009F0295">
        <w:rPr>
          <w:rFonts w:asciiTheme="minorHAnsi" w:hAnsiTheme="minorHAnsi"/>
          <w:sz w:val="24"/>
          <w:szCs w:val="24"/>
        </w:rPr>
        <w:t xml:space="preserve">To examine the association of a neighborhoods’ past and present </w:t>
      </w:r>
      <w:r w:rsidR="00645FF9">
        <w:rPr>
          <w:rFonts w:asciiTheme="minorHAnsi" w:hAnsiTheme="minorHAnsi"/>
          <w:sz w:val="24"/>
          <w:szCs w:val="24"/>
        </w:rPr>
        <w:t>SES</w:t>
      </w:r>
      <w:r w:rsidRPr="009F0295">
        <w:rPr>
          <w:rFonts w:asciiTheme="minorHAnsi" w:hAnsiTheme="minorHAnsi"/>
          <w:sz w:val="24"/>
          <w:szCs w:val="24"/>
        </w:rPr>
        <w:t xml:space="preserve"> and distribution of </w:t>
      </w:r>
      <w:r w:rsidR="00645FF9">
        <w:rPr>
          <w:rFonts w:asciiTheme="minorHAnsi" w:hAnsiTheme="minorHAnsi"/>
          <w:sz w:val="24"/>
          <w:szCs w:val="24"/>
        </w:rPr>
        <w:t>UES</w:t>
      </w:r>
      <w:r w:rsidRPr="009F0295">
        <w:rPr>
          <w:rFonts w:asciiTheme="minorHAnsi" w:hAnsiTheme="minorHAnsi"/>
          <w:sz w:val="24"/>
          <w:szCs w:val="24"/>
        </w:rPr>
        <w:t xml:space="preserve">, </w:t>
      </w:r>
      <w:r w:rsidR="000F133F">
        <w:rPr>
          <w:rFonts w:asciiTheme="minorHAnsi" w:hAnsiTheme="minorHAnsi"/>
          <w:sz w:val="24"/>
          <w:szCs w:val="24"/>
        </w:rPr>
        <w:t>we</w:t>
      </w:r>
      <w:r w:rsidR="000F133F" w:rsidRPr="009F0295">
        <w:rPr>
          <w:rFonts w:asciiTheme="minorHAnsi" w:hAnsiTheme="minorHAnsi"/>
          <w:sz w:val="24"/>
          <w:szCs w:val="24"/>
        </w:rPr>
        <w:t xml:space="preserve"> </w:t>
      </w:r>
      <w:r w:rsidRPr="009F0295">
        <w:rPr>
          <w:rFonts w:asciiTheme="minorHAnsi" w:hAnsiTheme="minorHAnsi"/>
          <w:sz w:val="24"/>
          <w:szCs w:val="24"/>
        </w:rPr>
        <w:t>used linear regression models</w:t>
      </w:r>
      <w:r w:rsidR="008E6961">
        <w:rPr>
          <w:rFonts w:asciiTheme="minorHAnsi" w:hAnsiTheme="minorHAnsi"/>
          <w:sz w:val="24"/>
          <w:szCs w:val="24"/>
        </w:rPr>
        <w:t xml:space="preserve"> </w:t>
      </w:r>
      <w:r w:rsidR="00904248">
        <w:rPr>
          <w:rFonts w:asciiTheme="minorHAnsi" w:hAnsiTheme="minorHAnsi"/>
          <w:sz w:val="24"/>
          <w:szCs w:val="24"/>
        </w:rPr>
        <w:t>using R</w:t>
      </w:r>
      <w:r w:rsidR="00794F93">
        <w:rPr>
          <w:rFonts w:asciiTheme="minorHAnsi" w:hAnsiTheme="minorHAnsi"/>
          <w:sz w:val="24"/>
          <w:szCs w:val="24"/>
        </w:rPr>
        <w:t xml:space="preserve"> 3.6.3</w:t>
      </w:r>
      <w:r w:rsidR="00904248">
        <w:rPr>
          <w:rFonts w:asciiTheme="minorHAnsi" w:hAnsiTheme="minorHAnsi"/>
          <w:sz w:val="24"/>
          <w:szCs w:val="24"/>
        </w:rPr>
        <w:t xml:space="preserve"> and RStudio 1.3.1093 </w:t>
      </w:r>
      <w:r w:rsidR="008E6961">
        <w:rPr>
          <w:rFonts w:asciiTheme="minorHAnsi" w:hAnsiTheme="minorHAnsi"/>
          <w:sz w:val="24"/>
          <w:szCs w:val="24"/>
        </w:rPr>
        <w:t>(</w:t>
      </w:r>
      <w:r w:rsidR="00904248" w:rsidRPr="0091657B">
        <w:rPr>
          <w:rFonts w:asciiTheme="minorHAnsi" w:hAnsiTheme="minorHAnsi"/>
          <w:sz w:val="24"/>
          <w:szCs w:val="24"/>
        </w:rPr>
        <w:t xml:space="preserve">R Core </w:t>
      </w:r>
      <w:r w:rsidR="006E353C" w:rsidRPr="0091657B">
        <w:rPr>
          <w:rFonts w:asciiTheme="minorHAnsi" w:hAnsiTheme="minorHAnsi"/>
          <w:sz w:val="24"/>
          <w:szCs w:val="24"/>
        </w:rPr>
        <w:t>T</w:t>
      </w:r>
      <w:r w:rsidR="00904248" w:rsidRPr="0091657B">
        <w:rPr>
          <w:rFonts w:asciiTheme="minorHAnsi" w:hAnsiTheme="minorHAnsi"/>
          <w:sz w:val="24"/>
          <w:szCs w:val="24"/>
        </w:rPr>
        <w:t>eam, 2021</w:t>
      </w:r>
      <w:r w:rsidR="00904248">
        <w:rPr>
          <w:rFonts w:asciiTheme="minorHAnsi" w:hAnsiTheme="minorHAnsi"/>
          <w:sz w:val="24"/>
          <w:szCs w:val="24"/>
        </w:rPr>
        <w:t xml:space="preserve">; </w:t>
      </w:r>
      <w:r w:rsidR="00904248" w:rsidRPr="009F0295">
        <w:rPr>
          <w:rFonts w:asciiTheme="minorHAnsi" w:hAnsiTheme="minorHAnsi"/>
          <w:sz w:val="24"/>
          <w:szCs w:val="24"/>
        </w:rPr>
        <w:t>RStudio, 2020</w:t>
      </w:r>
      <w:r w:rsidR="008E6961">
        <w:rPr>
          <w:rFonts w:asciiTheme="minorHAnsi" w:hAnsiTheme="minorHAnsi"/>
          <w:sz w:val="24"/>
          <w:szCs w:val="24"/>
        </w:rPr>
        <w:t>)</w:t>
      </w:r>
      <w:r w:rsidRPr="009F0295">
        <w:rPr>
          <w:rFonts w:asciiTheme="minorHAnsi" w:hAnsiTheme="minorHAnsi"/>
          <w:sz w:val="24"/>
          <w:szCs w:val="24"/>
        </w:rPr>
        <w:t xml:space="preserve">. </w:t>
      </w:r>
      <w:r w:rsidR="000F2FC9">
        <w:rPr>
          <w:rFonts w:asciiTheme="minorHAnsi" w:hAnsiTheme="minorHAnsi"/>
          <w:sz w:val="24"/>
          <w:szCs w:val="24"/>
        </w:rPr>
        <w:t>T</w:t>
      </w:r>
      <w:r w:rsidRPr="009F0295">
        <w:rPr>
          <w:rFonts w:asciiTheme="minorHAnsi" w:hAnsiTheme="minorHAnsi"/>
          <w:sz w:val="24"/>
          <w:szCs w:val="24"/>
        </w:rPr>
        <w:t xml:space="preserve">o compare </w:t>
      </w:r>
      <w:r w:rsidR="00334C37">
        <w:rPr>
          <w:rFonts w:asciiTheme="minorHAnsi" w:hAnsiTheme="minorHAnsi"/>
          <w:sz w:val="24"/>
          <w:szCs w:val="24"/>
        </w:rPr>
        <w:t>the supply of the four UES</w:t>
      </w:r>
      <w:r w:rsidRPr="009F0295">
        <w:rPr>
          <w:rFonts w:asciiTheme="minorHAnsi" w:hAnsiTheme="minorHAnsi"/>
          <w:sz w:val="24"/>
          <w:szCs w:val="24"/>
        </w:rPr>
        <w:t xml:space="preserve"> by block group HOLC grades, </w:t>
      </w:r>
      <w:r w:rsidR="000F133F">
        <w:rPr>
          <w:rFonts w:asciiTheme="minorHAnsi" w:hAnsiTheme="minorHAnsi"/>
          <w:sz w:val="24"/>
          <w:szCs w:val="24"/>
        </w:rPr>
        <w:t>we</w:t>
      </w:r>
      <w:r w:rsidR="000F133F" w:rsidRPr="009F0295">
        <w:rPr>
          <w:rFonts w:asciiTheme="minorHAnsi" w:hAnsiTheme="minorHAnsi"/>
          <w:sz w:val="24"/>
          <w:szCs w:val="24"/>
        </w:rPr>
        <w:t xml:space="preserve"> </w:t>
      </w:r>
      <w:r w:rsidRPr="009F0295">
        <w:rPr>
          <w:rFonts w:asciiTheme="minorHAnsi" w:hAnsiTheme="minorHAnsi"/>
          <w:sz w:val="24"/>
          <w:szCs w:val="24"/>
        </w:rPr>
        <w:t xml:space="preserve">used a one-way ANOVA analysis using the </w:t>
      </w:r>
      <w:r w:rsidRPr="00E74330">
        <w:rPr>
          <w:rFonts w:asciiTheme="minorHAnsi" w:hAnsiTheme="minorHAnsi"/>
          <w:i/>
          <w:iCs/>
          <w:sz w:val="24"/>
          <w:szCs w:val="24"/>
        </w:rPr>
        <w:t>aov</w:t>
      </w:r>
      <w:r w:rsidRPr="009F0295">
        <w:rPr>
          <w:rFonts w:asciiTheme="minorHAnsi" w:hAnsiTheme="minorHAnsi"/>
          <w:sz w:val="24"/>
          <w:szCs w:val="24"/>
        </w:rPr>
        <w:t xml:space="preserve"> function</w:t>
      </w:r>
      <w:r w:rsidR="00904248">
        <w:rPr>
          <w:rFonts w:asciiTheme="minorHAnsi" w:hAnsiTheme="minorHAnsi"/>
          <w:sz w:val="24"/>
          <w:szCs w:val="24"/>
        </w:rPr>
        <w:t xml:space="preserve"> </w:t>
      </w:r>
      <w:r w:rsidR="009C4016">
        <w:rPr>
          <w:rFonts w:asciiTheme="minorHAnsi" w:hAnsiTheme="minorHAnsi"/>
          <w:sz w:val="24"/>
          <w:szCs w:val="24"/>
        </w:rPr>
        <w:t>from</w:t>
      </w:r>
      <w:r w:rsidR="00904248">
        <w:rPr>
          <w:rFonts w:asciiTheme="minorHAnsi" w:hAnsiTheme="minorHAnsi"/>
          <w:sz w:val="24"/>
          <w:szCs w:val="24"/>
        </w:rPr>
        <w:t xml:space="preserve"> the ‘rstatix’ package (</w:t>
      </w:r>
      <w:r w:rsidR="00904248" w:rsidRPr="0091657B">
        <w:rPr>
          <w:rFonts w:asciiTheme="minorHAnsi" w:hAnsiTheme="minorHAnsi"/>
          <w:sz w:val="24"/>
          <w:szCs w:val="24"/>
        </w:rPr>
        <w:t>Kassambara, 2021</w:t>
      </w:r>
      <w:r w:rsidR="00904248">
        <w:rPr>
          <w:rFonts w:asciiTheme="minorHAnsi" w:hAnsiTheme="minorHAnsi"/>
          <w:sz w:val="24"/>
          <w:szCs w:val="24"/>
        </w:rPr>
        <w:t>)</w:t>
      </w:r>
      <w:r w:rsidRPr="009F0295">
        <w:rPr>
          <w:rFonts w:asciiTheme="minorHAnsi" w:hAnsiTheme="minorHAnsi"/>
          <w:sz w:val="24"/>
          <w:szCs w:val="24"/>
        </w:rPr>
        <w:t>.</w:t>
      </w:r>
      <w:r w:rsidR="000F2FC9">
        <w:rPr>
          <w:rFonts w:asciiTheme="minorHAnsi" w:hAnsiTheme="minorHAnsi"/>
          <w:sz w:val="24"/>
          <w:szCs w:val="24"/>
        </w:rPr>
        <w:t xml:space="preserve"> </w:t>
      </w:r>
      <w:r w:rsidR="000F133F">
        <w:rPr>
          <w:rFonts w:asciiTheme="minorHAnsi" w:hAnsiTheme="minorHAnsi"/>
          <w:sz w:val="24"/>
          <w:szCs w:val="24"/>
        </w:rPr>
        <w:t>We log-</w:t>
      </w:r>
      <w:r w:rsidR="000F2FC9">
        <w:rPr>
          <w:rFonts w:asciiTheme="minorHAnsi" w:hAnsiTheme="minorHAnsi"/>
          <w:sz w:val="24"/>
          <w:szCs w:val="24"/>
        </w:rPr>
        <w:t>transformed the</w:t>
      </w:r>
      <w:r w:rsidRPr="009F0295">
        <w:rPr>
          <w:rFonts w:asciiTheme="minorHAnsi" w:hAnsiTheme="minorHAnsi"/>
          <w:sz w:val="24"/>
          <w:szCs w:val="24"/>
        </w:rPr>
        <w:t xml:space="preserve"> UES indicator</w:t>
      </w:r>
      <w:r w:rsidR="000F2FC9">
        <w:rPr>
          <w:rFonts w:asciiTheme="minorHAnsi" w:hAnsiTheme="minorHAnsi"/>
          <w:sz w:val="24"/>
          <w:szCs w:val="24"/>
        </w:rPr>
        <w:t>s</w:t>
      </w:r>
      <w:r w:rsidR="00251589">
        <w:rPr>
          <w:rFonts w:asciiTheme="minorHAnsi" w:hAnsiTheme="minorHAnsi"/>
          <w:sz w:val="24"/>
          <w:szCs w:val="24"/>
        </w:rPr>
        <w:t xml:space="preserve"> </w:t>
      </w:r>
      <w:r w:rsidRPr="009F0295">
        <w:rPr>
          <w:rFonts w:asciiTheme="minorHAnsi" w:hAnsiTheme="minorHAnsi"/>
          <w:sz w:val="24"/>
          <w:szCs w:val="24"/>
        </w:rPr>
        <w:t xml:space="preserve">using the </w:t>
      </w:r>
      <w:r w:rsidRPr="00F41854">
        <w:rPr>
          <w:rFonts w:asciiTheme="minorHAnsi" w:hAnsiTheme="minorHAnsi"/>
          <w:i/>
          <w:iCs/>
          <w:sz w:val="24"/>
          <w:szCs w:val="24"/>
        </w:rPr>
        <w:t>log</w:t>
      </w:r>
      <w:r w:rsidRPr="009F0295">
        <w:rPr>
          <w:rFonts w:asciiTheme="minorHAnsi" w:hAnsiTheme="minorHAnsi"/>
          <w:sz w:val="24"/>
          <w:szCs w:val="24"/>
        </w:rPr>
        <w:t xml:space="preserve"> function</w:t>
      </w:r>
      <w:r w:rsidR="006E353C">
        <w:rPr>
          <w:rFonts w:asciiTheme="minorHAnsi" w:hAnsiTheme="minorHAnsi"/>
          <w:sz w:val="24"/>
          <w:szCs w:val="24"/>
        </w:rPr>
        <w:t xml:space="preserve"> </w:t>
      </w:r>
      <w:r w:rsidRPr="009F0295">
        <w:rPr>
          <w:rFonts w:asciiTheme="minorHAnsi" w:hAnsiTheme="minorHAnsi"/>
          <w:sz w:val="24"/>
          <w:szCs w:val="24"/>
        </w:rPr>
        <w:t xml:space="preserve">to normalize their data if </w:t>
      </w:r>
      <w:r w:rsidR="00143099">
        <w:rPr>
          <w:rFonts w:asciiTheme="minorHAnsi" w:hAnsiTheme="minorHAnsi"/>
          <w:sz w:val="24"/>
          <w:szCs w:val="24"/>
        </w:rPr>
        <w:t>they were</w:t>
      </w:r>
      <w:r w:rsidRPr="009F0295">
        <w:rPr>
          <w:rFonts w:asciiTheme="minorHAnsi" w:hAnsiTheme="minorHAnsi"/>
          <w:sz w:val="24"/>
          <w:szCs w:val="24"/>
        </w:rPr>
        <w:t xml:space="preserve"> skewed. </w:t>
      </w:r>
      <w:r w:rsidR="000F133F">
        <w:rPr>
          <w:rFonts w:asciiTheme="minorHAnsi" w:hAnsiTheme="minorHAnsi"/>
          <w:sz w:val="24"/>
          <w:szCs w:val="24"/>
        </w:rPr>
        <w:t>We</w:t>
      </w:r>
      <w:r w:rsidR="000F133F" w:rsidRPr="009F0295">
        <w:rPr>
          <w:rFonts w:asciiTheme="minorHAnsi" w:hAnsiTheme="minorHAnsi"/>
          <w:sz w:val="24"/>
          <w:szCs w:val="24"/>
        </w:rPr>
        <w:t xml:space="preserve"> </w:t>
      </w:r>
      <w:r w:rsidR="00251589">
        <w:rPr>
          <w:rFonts w:asciiTheme="minorHAnsi" w:hAnsiTheme="minorHAnsi"/>
          <w:sz w:val="24"/>
          <w:szCs w:val="24"/>
        </w:rPr>
        <w:t>then ran</w:t>
      </w:r>
      <w:r w:rsidRPr="009F0295">
        <w:rPr>
          <w:rFonts w:asciiTheme="minorHAnsi" w:hAnsiTheme="minorHAnsi"/>
          <w:sz w:val="24"/>
          <w:szCs w:val="24"/>
        </w:rPr>
        <w:t xml:space="preserve"> a post-hoc ANOVA multiple comparisons test known as </w:t>
      </w:r>
      <w:r w:rsidR="00360CE0">
        <w:rPr>
          <w:rFonts w:asciiTheme="minorHAnsi" w:hAnsiTheme="minorHAnsi"/>
          <w:sz w:val="24"/>
          <w:szCs w:val="24"/>
        </w:rPr>
        <w:t xml:space="preserve">a </w:t>
      </w:r>
      <w:r w:rsidRPr="009F0295">
        <w:rPr>
          <w:rFonts w:asciiTheme="minorHAnsi" w:hAnsiTheme="minorHAnsi"/>
          <w:sz w:val="24"/>
          <w:szCs w:val="24"/>
        </w:rPr>
        <w:t xml:space="preserve">Tukey’s Honest Significant Difference (HSD) Test using the </w:t>
      </w:r>
      <w:r w:rsidRPr="00E74330">
        <w:rPr>
          <w:rFonts w:asciiTheme="minorHAnsi" w:hAnsiTheme="minorHAnsi"/>
          <w:i/>
          <w:iCs/>
          <w:sz w:val="24"/>
          <w:szCs w:val="24"/>
        </w:rPr>
        <w:t>TukeyHSD</w:t>
      </w:r>
      <w:r w:rsidRPr="009F0295">
        <w:rPr>
          <w:rFonts w:asciiTheme="minorHAnsi" w:hAnsiTheme="minorHAnsi"/>
          <w:sz w:val="24"/>
          <w:szCs w:val="24"/>
        </w:rPr>
        <w:t xml:space="preserve"> function</w:t>
      </w:r>
      <w:r w:rsidR="006E353C" w:rsidRPr="006E353C">
        <w:rPr>
          <w:rFonts w:asciiTheme="minorHAnsi" w:hAnsiTheme="minorHAnsi"/>
          <w:sz w:val="24"/>
          <w:szCs w:val="24"/>
        </w:rPr>
        <w:t xml:space="preserve"> </w:t>
      </w:r>
      <w:r w:rsidR="009C4016">
        <w:rPr>
          <w:rFonts w:asciiTheme="minorHAnsi" w:hAnsiTheme="minorHAnsi"/>
          <w:sz w:val="24"/>
          <w:szCs w:val="24"/>
        </w:rPr>
        <w:t xml:space="preserve">from </w:t>
      </w:r>
      <w:r w:rsidR="006E353C">
        <w:rPr>
          <w:rFonts w:asciiTheme="minorHAnsi" w:hAnsiTheme="minorHAnsi"/>
          <w:sz w:val="24"/>
          <w:szCs w:val="24"/>
        </w:rPr>
        <w:t>the ‘rstatix’ package (</w:t>
      </w:r>
      <w:r w:rsidR="006E353C" w:rsidRPr="00A750A9">
        <w:rPr>
          <w:rFonts w:asciiTheme="minorHAnsi" w:hAnsiTheme="minorHAnsi"/>
          <w:sz w:val="24"/>
          <w:szCs w:val="24"/>
        </w:rPr>
        <w:t>Kassambara, 2021</w:t>
      </w:r>
      <w:r w:rsidR="006E353C">
        <w:rPr>
          <w:rFonts w:asciiTheme="minorHAnsi" w:hAnsiTheme="minorHAnsi"/>
          <w:sz w:val="24"/>
          <w:szCs w:val="24"/>
        </w:rPr>
        <w:t>)</w:t>
      </w:r>
      <w:r w:rsidRPr="009F0295">
        <w:rPr>
          <w:rFonts w:asciiTheme="minorHAnsi" w:hAnsiTheme="minorHAnsi"/>
          <w:sz w:val="24"/>
          <w:szCs w:val="24"/>
        </w:rPr>
        <w:t xml:space="preserve">. </w:t>
      </w:r>
      <w:r w:rsidR="000F2FC9">
        <w:rPr>
          <w:rFonts w:asciiTheme="minorHAnsi" w:hAnsiTheme="minorHAnsi"/>
          <w:sz w:val="24"/>
          <w:szCs w:val="24"/>
        </w:rPr>
        <w:t xml:space="preserve">Given the unequal samples size among the four HOLC grades, the TukeyHSD function </w:t>
      </w:r>
      <w:r w:rsidR="00C525CF">
        <w:rPr>
          <w:rFonts w:asciiTheme="minorHAnsi" w:hAnsiTheme="minorHAnsi"/>
          <w:sz w:val="24"/>
          <w:szCs w:val="24"/>
        </w:rPr>
        <w:t xml:space="preserve">accounted for this using the Tukey-Kramer methods. </w:t>
      </w:r>
    </w:p>
    <w:p w14:paraId="4D268E01" w14:textId="77777777" w:rsidR="00143099" w:rsidRDefault="00D1218E" w:rsidP="00E877B0">
      <w:pPr>
        <w:spacing w:line="360" w:lineRule="auto"/>
        <w:ind w:firstLine="720"/>
        <w:rPr>
          <w:rFonts w:asciiTheme="minorHAnsi" w:hAnsiTheme="minorHAnsi"/>
        </w:rPr>
      </w:pPr>
      <w:r w:rsidRPr="003C6F05">
        <w:rPr>
          <w:rFonts w:asciiTheme="minorHAnsi" w:hAnsiTheme="minorHAnsi"/>
        </w:rPr>
        <w:t xml:space="preserve">To examine the associations of current SES status and HOLC grades with UES indicators, </w:t>
      </w:r>
      <w:r w:rsidR="000F133F">
        <w:rPr>
          <w:rFonts w:asciiTheme="minorHAnsi" w:hAnsiTheme="minorHAnsi"/>
        </w:rPr>
        <w:t>we</w:t>
      </w:r>
      <w:r w:rsidR="000F133F" w:rsidRPr="003C6F05">
        <w:rPr>
          <w:rFonts w:asciiTheme="minorHAnsi" w:hAnsiTheme="minorHAnsi"/>
        </w:rPr>
        <w:t xml:space="preserve"> </w:t>
      </w:r>
      <w:r w:rsidRPr="003C6F05">
        <w:rPr>
          <w:rFonts w:asciiTheme="minorHAnsi" w:hAnsiTheme="minorHAnsi"/>
        </w:rPr>
        <w:t>used linear regression models and a two-way ANOVA analysis. The dependent variables for this analysis were the UES indicators. Just as the response variables in the one-way ANOVA, UES indicator values</w:t>
      </w:r>
      <w:r w:rsidR="000F133F">
        <w:rPr>
          <w:rFonts w:asciiTheme="minorHAnsi" w:hAnsiTheme="minorHAnsi"/>
        </w:rPr>
        <w:t xml:space="preserve"> were log-transformed</w:t>
      </w:r>
      <w:r w:rsidRPr="003C6F05">
        <w:rPr>
          <w:rFonts w:asciiTheme="minorHAnsi" w:hAnsiTheme="minorHAnsi"/>
        </w:rPr>
        <w:t xml:space="preserve"> </w:t>
      </w:r>
      <w:r w:rsidR="004065B4" w:rsidRPr="003C6F05">
        <w:rPr>
          <w:rFonts w:asciiTheme="minorHAnsi" w:hAnsiTheme="minorHAnsi"/>
        </w:rPr>
        <w:t>to</w:t>
      </w:r>
      <w:r w:rsidRPr="003C6F05">
        <w:rPr>
          <w:rFonts w:asciiTheme="minorHAnsi" w:hAnsiTheme="minorHAnsi"/>
        </w:rPr>
        <w:t xml:space="preserve"> normalize their </w:t>
      </w:r>
      <w:r w:rsidR="00E877B0">
        <w:rPr>
          <w:rFonts w:asciiTheme="minorHAnsi" w:hAnsiTheme="minorHAnsi"/>
        </w:rPr>
        <w:t>distribution</w:t>
      </w:r>
      <w:r w:rsidRPr="003C6F05">
        <w:rPr>
          <w:rFonts w:asciiTheme="minorHAnsi" w:hAnsiTheme="minorHAnsi"/>
        </w:rPr>
        <w:t>.</w:t>
      </w:r>
      <w:r w:rsidR="00E877B0">
        <w:rPr>
          <w:rFonts w:asciiTheme="minorHAnsi" w:hAnsiTheme="minorHAnsi"/>
        </w:rPr>
        <w:t xml:space="preserve"> All UES indicators e</w:t>
      </w:r>
      <w:r w:rsidR="00143099">
        <w:rPr>
          <w:rFonts w:asciiTheme="minorHAnsi" w:hAnsiTheme="minorHAnsi"/>
        </w:rPr>
        <w:t>xcept</w:t>
      </w:r>
      <w:r w:rsidR="00E877B0">
        <w:rPr>
          <w:rFonts w:asciiTheme="minorHAnsi" w:hAnsiTheme="minorHAnsi"/>
        </w:rPr>
        <w:t xml:space="preserve"> for local climate regulation were log transformed, this </w:t>
      </w:r>
      <w:r w:rsidR="00973CDF">
        <w:rPr>
          <w:rFonts w:asciiTheme="minorHAnsi" w:hAnsiTheme="minorHAnsi"/>
        </w:rPr>
        <w:t>was</w:t>
      </w:r>
      <w:r w:rsidR="00E877B0">
        <w:rPr>
          <w:rFonts w:asciiTheme="minorHAnsi" w:hAnsiTheme="minorHAnsi"/>
        </w:rPr>
        <w:t xml:space="preserve"> because the LST values for the local climate regulation indicator were already normally distributed.</w:t>
      </w:r>
      <w:r w:rsidRPr="003C6F05">
        <w:rPr>
          <w:rFonts w:asciiTheme="minorHAnsi" w:hAnsiTheme="minorHAnsi"/>
        </w:rPr>
        <w:t xml:space="preserve"> The independent variables </w:t>
      </w:r>
      <w:r w:rsidR="00E74330">
        <w:rPr>
          <w:rFonts w:asciiTheme="minorHAnsi" w:hAnsiTheme="minorHAnsi"/>
        </w:rPr>
        <w:t xml:space="preserve">included </w:t>
      </w:r>
      <w:r w:rsidRPr="003C6F05">
        <w:rPr>
          <w:rFonts w:asciiTheme="minorHAnsi" w:hAnsiTheme="minorHAnsi"/>
        </w:rPr>
        <w:t xml:space="preserve">were </w:t>
      </w:r>
      <w:r w:rsidR="00172CBB">
        <w:rPr>
          <w:rFonts w:asciiTheme="minorHAnsi" w:hAnsiTheme="minorHAnsi"/>
        </w:rPr>
        <w:t>f</w:t>
      </w:r>
      <w:r w:rsidR="00691A46">
        <w:rPr>
          <w:rFonts w:asciiTheme="minorHAnsi" w:hAnsiTheme="minorHAnsi"/>
        </w:rPr>
        <w:t>our</w:t>
      </w:r>
      <w:r w:rsidR="00D411C6">
        <w:rPr>
          <w:rFonts w:asciiTheme="minorHAnsi" w:hAnsiTheme="minorHAnsi"/>
        </w:rPr>
        <w:t xml:space="preserve"> of the five</w:t>
      </w:r>
      <w:r w:rsidRPr="003C6F05">
        <w:rPr>
          <w:rFonts w:asciiTheme="minorHAnsi" w:hAnsiTheme="minorHAnsi"/>
        </w:rPr>
        <w:t xml:space="preserve"> SES indicators</w:t>
      </w:r>
      <w:r w:rsidR="00691A46">
        <w:rPr>
          <w:rFonts w:asciiTheme="minorHAnsi" w:hAnsiTheme="minorHAnsi"/>
        </w:rPr>
        <w:t xml:space="preserve"> (</w:t>
      </w:r>
      <w:r w:rsidR="00D411C6">
        <w:rPr>
          <w:rFonts w:asciiTheme="minorHAnsi" w:hAnsiTheme="minorHAnsi"/>
        </w:rPr>
        <w:t>p</w:t>
      </w:r>
      <w:r w:rsidR="00691A46">
        <w:rPr>
          <w:rFonts w:asciiTheme="minorHAnsi" w:hAnsiTheme="minorHAnsi"/>
        </w:rPr>
        <w:t xml:space="preserve">ercent of the population that is Black, </w:t>
      </w:r>
      <w:r w:rsidR="00D411C6">
        <w:rPr>
          <w:rFonts w:asciiTheme="minorHAnsi" w:hAnsiTheme="minorHAnsi"/>
        </w:rPr>
        <w:t>percent homeownership, median property values, and median household income)</w:t>
      </w:r>
      <w:r w:rsidRPr="003C6F05">
        <w:rPr>
          <w:rFonts w:asciiTheme="minorHAnsi" w:hAnsiTheme="minorHAnsi"/>
        </w:rPr>
        <w:t xml:space="preserve"> and the HOLC grades. </w:t>
      </w:r>
    </w:p>
    <w:p w14:paraId="57428D93" w14:textId="77777777" w:rsidR="00143099" w:rsidRDefault="00D1218E" w:rsidP="00E877B0">
      <w:pPr>
        <w:spacing w:line="360" w:lineRule="auto"/>
        <w:ind w:firstLine="720"/>
        <w:rPr>
          <w:rFonts w:asciiTheme="minorHAnsi" w:hAnsiTheme="minorHAnsi"/>
        </w:rPr>
      </w:pPr>
      <w:r w:rsidRPr="003C6F05">
        <w:rPr>
          <w:rFonts w:asciiTheme="minorHAnsi" w:hAnsiTheme="minorHAnsi"/>
        </w:rPr>
        <w:t xml:space="preserve">Prior to analysis, </w:t>
      </w:r>
      <w:r w:rsidR="000F133F">
        <w:rPr>
          <w:rFonts w:asciiTheme="minorHAnsi" w:hAnsiTheme="minorHAnsi"/>
        </w:rPr>
        <w:t>we</w:t>
      </w:r>
      <w:r w:rsidR="00E74330">
        <w:rPr>
          <w:rFonts w:asciiTheme="minorHAnsi" w:hAnsiTheme="minorHAnsi"/>
        </w:rPr>
        <w:t xml:space="preserve"> standardized </w:t>
      </w:r>
      <w:r w:rsidRPr="003C6F05">
        <w:rPr>
          <w:rFonts w:asciiTheme="minorHAnsi" w:hAnsiTheme="minorHAnsi"/>
        </w:rPr>
        <w:t xml:space="preserve">the SES values using the </w:t>
      </w:r>
      <w:r w:rsidRPr="00E74330">
        <w:rPr>
          <w:rFonts w:asciiTheme="minorHAnsi" w:hAnsiTheme="minorHAnsi"/>
          <w:i/>
          <w:iCs/>
        </w:rPr>
        <w:t>scal</w:t>
      </w:r>
      <w:r w:rsidR="00E74330" w:rsidRPr="00E74330">
        <w:rPr>
          <w:rFonts w:asciiTheme="minorHAnsi" w:hAnsiTheme="minorHAnsi"/>
          <w:i/>
          <w:iCs/>
        </w:rPr>
        <w:t>e</w:t>
      </w:r>
      <w:r w:rsidRPr="003C6F05">
        <w:rPr>
          <w:rFonts w:asciiTheme="minorHAnsi" w:hAnsiTheme="minorHAnsi"/>
        </w:rPr>
        <w:t xml:space="preserve"> function </w:t>
      </w:r>
      <w:r w:rsidR="006E353C">
        <w:rPr>
          <w:rFonts w:asciiTheme="minorHAnsi" w:hAnsiTheme="minorHAnsi"/>
        </w:rPr>
        <w:t>using the R ‘base’ package (R Core team, 2021)</w:t>
      </w:r>
      <w:r w:rsidRPr="003C6F05">
        <w:rPr>
          <w:rFonts w:asciiTheme="minorHAnsi" w:hAnsiTheme="minorHAnsi"/>
        </w:rPr>
        <w:t xml:space="preserve">. Furthermore, before performing the linear regression models, </w:t>
      </w:r>
      <w:r w:rsidR="000F133F">
        <w:rPr>
          <w:rFonts w:asciiTheme="minorHAnsi" w:hAnsiTheme="minorHAnsi"/>
        </w:rPr>
        <w:t>we</w:t>
      </w:r>
      <w:r w:rsidR="000F133F" w:rsidRPr="003C6F05">
        <w:rPr>
          <w:rFonts w:asciiTheme="minorHAnsi" w:hAnsiTheme="minorHAnsi"/>
        </w:rPr>
        <w:t xml:space="preserve"> </w:t>
      </w:r>
      <w:r w:rsidR="00E877B0">
        <w:rPr>
          <w:rFonts w:asciiTheme="minorHAnsi" w:hAnsiTheme="minorHAnsi"/>
        </w:rPr>
        <w:t>used the</w:t>
      </w:r>
      <w:r w:rsidRPr="003C6F05">
        <w:rPr>
          <w:rFonts w:asciiTheme="minorHAnsi" w:hAnsiTheme="minorHAnsi"/>
        </w:rPr>
        <w:t xml:space="preserve"> Spearman’s rank-order correlation </w:t>
      </w:r>
      <w:r w:rsidR="00E877B0">
        <w:rPr>
          <w:rFonts w:asciiTheme="minorHAnsi" w:hAnsiTheme="minorHAnsi"/>
        </w:rPr>
        <w:t xml:space="preserve">test </w:t>
      </w:r>
      <w:r w:rsidRPr="003C6F05">
        <w:rPr>
          <w:rFonts w:asciiTheme="minorHAnsi" w:hAnsiTheme="minorHAnsi"/>
        </w:rPr>
        <w:t xml:space="preserve">with the </w:t>
      </w:r>
      <w:r w:rsidRPr="00E74330">
        <w:rPr>
          <w:rFonts w:asciiTheme="minorHAnsi" w:hAnsiTheme="minorHAnsi"/>
          <w:i/>
          <w:iCs/>
        </w:rPr>
        <w:t>cor.test</w:t>
      </w:r>
      <w:r w:rsidRPr="003C6F05">
        <w:rPr>
          <w:rFonts w:asciiTheme="minorHAnsi" w:hAnsiTheme="minorHAnsi"/>
        </w:rPr>
        <w:t xml:space="preserve"> function</w:t>
      </w:r>
      <w:r w:rsidR="00A750A9">
        <w:rPr>
          <w:rFonts w:asciiTheme="minorHAnsi" w:hAnsiTheme="minorHAnsi"/>
        </w:rPr>
        <w:t xml:space="preserve"> in the ‘rstatix’ package</w:t>
      </w:r>
      <w:r w:rsidR="00E877B0">
        <w:rPr>
          <w:rFonts w:asciiTheme="minorHAnsi" w:hAnsiTheme="minorHAnsi"/>
        </w:rPr>
        <w:t xml:space="preserve">, to screen for </w:t>
      </w:r>
      <w:r w:rsidRPr="003C6F05">
        <w:rPr>
          <w:rFonts w:asciiTheme="minorHAnsi" w:hAnsiTheme="minorHAnsi"/>
        </w:rPr>
        <w:t xml:space="preserve">multicollinearity among the </w:t>
      </w:r>
      <w:r w:rsidR="00E877B0">
        <w:rPr>
          <w:rFonts w:asciiTheme="minorHAnsi" w:hAnsiTheme="minorHAnsi"/>
        </w:rPr>
        <w:t xml:space="preserve">potential </w:t>
      </w:r>
      <w:r w:rsidRPr="003C6F05">
        <w:rPr>
          <w:rFonts w:asciiTheme="minorHAnsi" w:hAnsiTheme="minorHAnsi"/>
        </w:rPr>
        <w:t>independent variables</w:t>
      </w:r>
      <w:r w:rsidR="00A750A9">
        <w:rPr>
          <w:rFonts w:asciiTheme="minorHAnsi" w:hAnsiTheme="minorHAnsi"/>
        </w:rPr>
        <w:t xml:space="preserve"> (</w:t>
      </w:r>
      <w:r w:rsidR="00A750A9" w:rsidRPr="00A750A9">
        <w:rPr>
          <w:rFonts w:asciiTheme="minorHAnsi" w:hAnsiTheme="minorHAnsi"/>
        </w:rPr>
        <w:t>Kassambara, 2021</w:t>
      </w:r>
      <w:r w:rsidR="00A750A9">
        <w:rPr>
          <w:rFonts w:asciiTheme="minorHAnsi" w:hAnsiTheme="minorHAnsi"/>
        </w:rPr>
        <w:t>)</w:t>
      </w:r>
      <w:r w:rsidRPr="003C6F05">
        <w:rPr>
          <w:rFonts w:asciiTheme="minorHAnsi" w:hAnsiTheme="minorHAnsi"/>
        </w:rPr>
        <w:t xml:space="preserve">. Using a cut off correlation coefficient greater than 0.7 </w:t>
      </w:r>
      <w:r w:rsidR="00E877B0">
        <w:rPr>
          <w:rFonts w:asciiTheme="minorHAnsi" w:hAnsiTheme="minorHAnsi"/>
        </w:rPr>
        <w:t xml:space="preserve">or less than -0.7 </w:t>
      </w:r>
      <w:r w:rsidRPr="003C6F05">
        <w:rPr>
          <w:rFonts w:asciiTheme="minorHAnsi" w:hAnsiTheme="minorHAnsi"/>
        </w:rPr>
        <w:t xml:space="preserve">and/or a p-value </w:t>
      </w:r>
      <w:r w:rsidR="008100CF">
        <w:rPr>
          <w:rFonts w:asciiTheme="minorHAnsi" w:hAnsiTheme="minorHAnsi"/>
        </w:rPr>
        <w:t>less than or equal to</w:t>
      </w:r>
      <w:r w:rsidRPr="003C6F05">
        <w:rPr>
          <w:rFonts w:asciiTheme="minorHAnsi" w:hAnsiTheme="minorHAnsi"/>
        </w:rPr>
        <w:t xml:space="preserve"> 0.05</w:t>
      </w:r>
      <w:r w:rsidR="00172CBB">
        <w:rPr>
          <w:rFonts w:asciiTheme="minorHAnsi" w:hAnsiTheme="minorHAnsi"/>
        </w:rPr>
        <w:t>,</w:t>
      </w:r>
      <w:r w:rsidRPr="003C6F05">
        <w:rPr>
          <w:rFonts w:asciiTheme="minorHAnsi" w:hAnsiTheme="minorHAnsi"/>
        </w:rPr>
        <w:t xml:space="preserve"> </w:t>
      </w:r>
      <w:r w:rsidR="000F133F">
        <w:rPr>
          <w:rFonts w:asciiTheme="minorHAnsi" w:hAnsiTheme="minorHAnsi"/>
        </w:rPr>
        <w:t>we</w:t>
      </w:r>
      <w:r w:rsidRPr="003C6F05">
        <w:rPr>
          <w:rFonts w:asciiTheme="minorHAnsi" w:hAnsiTheme="minorHAnsi"/>
        </w:rPr>
        <w:t xml:space="preserve"> removed </w:t>
      </w:r>
      <w:r w:rsidR="009B59FE">
        <w:rPr>
          <w:rFonts w:asciiTheme="minorHAnsi" w:hAnsiTheme="minorHAnsi"/>
        </w:rPr>
        <w:t xml:space="preserve">two SES indicators </w:t>
      </w:r>
      <w:r w:rsidRPr="003C6F05">
        <w:rPr>
          <w:rFonts w:asciiTheme="minorHAnsi" w:hAnsiTheme="minorHAnsi"/>
        </w:rPr>
        <w:t xml:space="preserve">from the analysis: population density and the percentage of the population that is </w:t>
      </w:r>
      <w:r w:rsidR="004065B4">
        <w:rPr>
          <w:rFonts w:asciiTheme="minorHAnsi" w:hAnsiTheme="minorHAnsi"/>
        </w:rPr>
        <w:t>W</w:t>
      </w:r>
      <w:r w:rsidR="000F133F" w:rsidRPr="003C6F05">
        <w:rPr>
          <w:rFonts w:asciiTheme="minorHAnsi" w:hAnsiTheme="minorHAnsi"/>
        </w:rPr>
        <w:t>hite</w:t>
      </w:r>
      <w:r w:rsidR="001E3BF2">
        <w:rPr>
          <w:rFonts w:asciiTheme="minorHAnsi" w:hAnsiTheme="minorHAnsi"/>
        </w:rPr>
        <w:t xml:space="preserve">. </w:t>
      </w:r>
      <w:r w:rsidR="007C01A5">
        <w:rPr>
          <w:rFonts w:asciiTheme="minorHAnsi" w:hAnsiTheme="minorHAnsi"/>
        </w:rPr>
        <w:t>We</w:t>
      </w:r>
      <w:r w:rsidR="007C01A5" w:rsidRPr="003C6F05">
        <w:rPr>
          <w:rFonts w:asciiTheme="minorHAnsi" w:hAnsiTheme="minorHAnsi"/>
        </w:rPr>
        <w:t xml:space="preserve"> </w:t>
      </w:r>
      <w:r w:rsidRPr="003C6F05">
        <w:rPr>
          <w:rFonts w:asciiTheme="minorHAnsi" w:hAnsiTheme="minorHAnsi"/>
        </w:rPr>
        <w:t>then created the linear regression models for each UES indicator using the</w:t>
      </w:r>
      <w:r w:rsidRPr="009B59FE">
        <w:rPr>
          <w:rFonts w:asciiTheme="minorHAnsi" w:hAnsiTheme="minorHAnsi"/>
          <w:i/>
          <w:iCs/>
        </w:rPr>
        <w:t xml:space="preserve"> lm</w:t>
      </w:r>
      <w:r w:rsidRPr="003C6F05">
        <w:rPr>
          <w:rFonts w:asciiTheme="minorHAnsi" w:hAnsiTheme="minorHAnsi"/>
        </w:rPr>
        <w:t xml:space="preserve"> function</w:t>
      </w:r>
      <w:r w:rsidR="00A750A9">
        <w:rPr>
          <w:rFonts w:asciiTheme="minorHAnsi" w:hAnsiTheme="minorHAnsi"/>
        </w:rPr>
        <w:t xml:space="preserve"> in the base R ‘stats’ package (R Core team, 2021)</w:t>
      </w:r>
      <w:r w:rsidR="00A750A9" w:rsidRPr="003C6F05">
        <w:rPr>
          <w:rFonts w:asciiTheme="minorHAnsi" w:hAnsiTheme="minorHAnsi"/>
        </w:rPr>
        <w:t xml:space="preserve">. </w:t>
      </w:r>
      <w:r w:rsidRPr="003C6F05">
        <w:rPr>
          <w:rFonts w:asciiTheme="minorHAnsi" w:hAnsiTheme="minorHAnsi"/>
        </w:rPr>
        <w:t>Using the linear regression models for the two-way ANOVA analysis</w:t>
      </w:r>
      <w:r w:rsidR="009B59FE">
        <w:rPr>
          <w:rFonts w:asciiTheme="minorHAnsi" w:hAnsiTheme="minorHAnsi"/>
        </w:rPr>
        <w:t>,</w:t>
      </w:r>
      <w:r w:rsidRPr="003C6F05">
        <w:rPr>
          <w:rFonts w:asciiTheme="minorHAnsi" w:hAnsiTheme="minorHAnsi"/>
        </w:rPr>
        <w:t xml:space="preserve"> </w:t>
      </w:r>
      <w:r w:rsidR="007C01A5">
        <w:rPr>
          <w:rFonts w:asciiTheme="minorHAnsi" w:hAnsiTheme="minorHAnsi"/>
        </w:rPr>
        <w:t>we</w:t>
      </w:r>
      <w:r w:rsidR="007C01A5" w:rsidRPr="003C6F05">
        <w:rPr>
          <w:rFonts w:asciiTheme="minorHAnsi" w:hAnsiTheme="minorHAnsi"/>
        </w:rPr>
        <w:t xml:space="preserve"> </w:t>
      </w:r>
      <w:r w:rsidR="009B59FE">
        <w:rPr>
          <w:rFonts w:asciiTheme="minorHAnsi" w:hAnsiTheme="minorHAnsi"/>
        </w:rPr>
        <w:t xml:space="preserve">then </w:t>
      </w:r>
      <w:r w:rsidRPr="003C6F05">
        <w:rPr>
          <w:rFonts w:asciiTheme="minorHAnsi" w:hAnsiTheme="minorHAnsi"/>
        </w:rPr>
        <w:t xml:space="preserve">calculated model </w:t>
      </w:r>
      <w:r w:rsidR="00C42A83">
        <w:rPr>
          <w:rFonts w:asciiTheme="minorHAnsi" w:hAnsiTheme="minorHAnsi"/>
        </w:rPr>
        <w:t xml:space="preserve">correlation </w:t>
      </w:r>
      <w:r w:rsidRPr="003C6F05">
        <w:rPr>
          <w:rFonts w:asciiTheme="minorHAnsi" w:hAnsiTheme="minorHAnsi"/>
        </w:rPr>
        <w:t xml:space="preserve">coefficients and p-values for each fixed effect, </w:t>
      </w:r>
      <w:r w:rsidR="004065B4" w:rsidRPr="003C6F05">
        <w:rPr>
          <w:rFonts w:asciiTheme="minorHAnsi" w:hAnsiTheme="minorHAnsi"/>
        </w:rPr>
        <w:t>to</w:t>
      </w:r>
      <w:r w:rsidRPr="003C6F05">
        <w:rPr>
          <w:rFonts w:asciiTheme="minorHAnsi" w:hAnsiTheme="minorHAnsi"/>
        </w:rPr>
        <w:t xml:space="preserve"> examine associations between individual SES and UES values and </w:t>
      </w:r>
      <w:r w:rsidRPr="003C6F05">
        <w:rPr>
          <w:rFonts w:asciiTheme="minorHAnsi" w:hAnsiTheme="minorHAnsi"/>
        </w:rPr>
        <w:lastRenderedPageBreak/>
        <w:t xml:space="preserve">whether they are significant, and the pseudo-R-squared values for the model to examine overall model fit. </w:t>
      </w:r>
    </w:p>
    <w:p w14:paraId="227C76A8" w14:textId="4FCB75F1" w:rsidR="00211580" w:rsidRDefault="00691A46" w:rsidP="00E877B0">
      <w:pPr>
        <w:spacing w:line="360" w:lineRule="auto"/>
        <w:ind w:firstLine="720"/>
        <w:rPr>
          <w:rFonts w:asciiTheme="minorHAnsi" w:hAnsiTheme="minorHAnsi"/>
        </w:rPr>
      </w:pPr>
      <w:r>
        <w:rPr>
          <w:rFonts w:asciiTheme="minorHAnsi" w:hAnsiTheme="minorHAnsi"/>
        </w:rPr>
        <w:t xml:space="preserve">After the two-way ANOVA, </w:t>
      </w:r>
      <w:r w:rsidR="007C01A5">
        <w:rPr>
          <w:rFonts w:asciiTheme="minorHAnsi" w:hAnsiTheme="minorHAnsi"/>
        </w:rPr>
        <w:t xml:space="preserve">we </w:t>
      </w:r>
      <w:r w:rsidR="00E877B0">
        <w:rPr>
          <w:rFonts w:asciiTheme="minorHAnsi" w:hAnsiTheme="minorHAnsi"/>
        </w:rPr>
        <w:t>used post-hoc testing to compare group means via</w:t>
      </w:r>
      <w:r>
        <w:rPr>
          <w:rFonts w:asciiTheme="minorHAnsi" w:hAnsiTheme="minorHAnsi"/>
        </w:rPr>
        <w:t xml:space="preserve"> a Tukey’s HSD test </w:t>
      </w:r>
      <w:r w:rsidRPr="009F0295">
        <w:rPr>
          <w:rFonts w:asciiTheme="minorHAnsi" w:hAnsiTheme="minorHAnsi"/>
        </w:rPr>
        <w:t xml:space="preserve">using the </w:t>
      </w:r>
      <w:r w:rsidRPr="00E74330">
        <w:rPr>
          <w:rFonts w:asciiTheme="minorHAnsi" w:hAnsiTheme="minorHAnsi"/>
          <w:i/>
          <w:iCs/>
        </w:rPr>
        <w:t>TukeyHSD</w:t>
      </w:r>
      <w:r w:rsidRPr="009F0295">
        <w:rPr>
          <w:rFonts w:asciiTheme="minorHAnsi" w:hAnsiTheme="minorHAnsi"/>
        </w:rPr>
        <w:t xml:space="preserve"> function</w:t>
      </w:r>
      <w:r w:rsidRPr="006E353C">
        <w:rPr>
          <w:rFonts w:asciiTheme="minorHAnsi" w:hAnsiTheme="minorHAnsi"/>
        </w:rPr>
        <w:t xml:space="preserve"> </w:t>
      </w:r>
      <w:r>
        <w:rPr>
          <w:rFonts w:asciiTheme="minorHAnsi" w:hAnsiTheme="minorHAnsi"/>
        </w:rPr>
        <w:t>from the ‘rstatix’ package (</w:t>
      </w:r>
      <w:r w:rsidRPr="00A750A9">
        <w:rPr>
          <w:rFonts w:asciiTheme="minorHAnsi" w:hAnsiTheme="minorHAnsi"/>
        </w:rPr>
        <w:t>Kassambara, 2021</w:t>
      </w:r>
      <w:r>
        <w:rPr>
          <w:rFonts w:asciiTheme="minorHAnsi" w:hAnsiTheme="minorHAnsi"/>
        </w:rPr>
        <w:t>)</w:t>
      </w:r>
      <w:r w:rsidR="00E877B0">
        <w:rPr>
          <w:rFonts w:asciiTheme="minorHAnsi" w:hAnsiTheme="minorHAnsi"/>
        </w:rPr>
        <w:t xml:space="preserve">, to compare </w:t>
      </w:r>
      <w:r>
        <w:rPr>
          <w:rFonts w:asciiTheme="minorHAnsi" w:hAnsiTheme="minorHAnsi"/>
        </w:rPr>
        <w:t>the supply of each UES</w:t>
      </w:r>
      <w:r w:rsidR="00D411C6">
        <w:rPr>
          <w:rFonts w:asciiTheme="minorHAnsi" w:hAnsiTheme="minorHAnsi"/>
        </w:rPr>
        <w:t xml:space="preserve"> indicator</w:t>
      </w:r>
      <w:r>
        <w:rPr>
          <w:rFonts w:asciiTheme="minorHAnsi" w:hAnsiTheme="minorHAnsi"/>
        </w:rPr>
        <w:t xml:space="preserve"> between the HOLC grades. This was done to show how historic SES indicators impact UES supply today even after accounting for the modern-day SES indicators. </w:t>
      </w:r>
      <w:r w:rsidR="002E5B37">
        <w:rPr>
          <w:rFonts w:asciiTheme="minorHAnsi" w:hAnsiTheme="minorHAnsi"/>
        </w:rPr>
        <w:t xml:space="preserve">Lastly, several residual diagnostics were run </w:t>
      </w:r>
      <w:r w:rsidR="00794F93">
        <w:rPr>
          <w:rFonts w:asciiTheme="minorHAnsi" w:hAnsiTheme="minorHAnsi"/>
        </w:rPr>
        <w:t xml:space="preserve">using the </w:t>
      </w:r>
      <w:r w:rsidR="00794F93">
        <w:rPr>
          <w:rFonts w:asciiTheme="minorHAnsi" w:hAnsiTheme="minorHAnsi"/>
          <w:i/>
          <w:iCs/>
        </w:rPr>
        <w:t xml:space="preserve">plot </w:t>
      </w:r>
      <w:r w:rsidR="00794F93">
        <w:rPr>
          <w:rFonts w:asciiTheme="minorHAnsi" w:hAnsiTheme="minorHAnsi"/>
        </w:rPr>
        <w:t xml:space="preserve">function in the R ‘base” package </w:t>
      </w:r>
      <w:r w:rsidR="002E5B37">
        <w:rPr>
          <w:rFonts w:asciiTheme="minorHAnsi" w:hAnsiTheme="minorHAnsi"/>
        </w:rPr>
        <w:t>to check</w:t>
      </w:r>
      <w:r w:rsidR="00794F93">
        <w:rPr>
          <w:rFonts w:asciiTheme="minorHAnsi" w:hAnsiTheme="minorHAnsi"/>
        </w:rPr>
        <w:t xml:space="preserve"> </w:t>
      </w:r>
      <w:r w:rsidR="002E5B37">
        <w:rPr>
          <w:rFonts w:asciiTheme="minorHAnsi" w:hAnsiTheme="minorHAnsi"/>
        </w:rPr>
        <w:t>for any violations of standard regression assumptions</w:t>
      </w:r>
      <w:r w:rsidR="00794F93">
        <w:rPr>
          <w:rFonts w:asciiTheme="minorHAnsi" w:hAnsiTheme="minorHAnsi"/>
        </w:rPr>
        <w:t xml:space="preserve"> (R Core Team, 2021)</w:t>
      </w:r>
      <w:r w:rsidR="002E5B37">
        <w:rPr>
          <w:rFonts w:asciiTheme="minorHAnsi" w:hAnsiTheme="minorHAnsi"/>
        </w:rPr>
        <w:t xml:space="preserve">. These residual diagnostics included a residuals vs fitted plot, normal QQ plot, scale-location plot, and a residuals vs leverage plot. </w:t>
      </w:r>
    </w:p>
    <w:p w14:paraId="161BE8C8" w14:textId="77777777" w:rsidR="008100CF" w:rsidRDefault="008100CF" w:rsidP="0038185F">
      <w:pPr>
        <w:spacing w:line="360" w:lineRule="auto"/>
        <w:rPr>
          <w:rFonts w:asciiTheme="minorHAnsi" w:hAnsiTheme="minorHAnsi"/>
          <w:b/>
          <w:i/>
        </w:rPr>
      </w:pPr>
    </w:p>
    <w:p w14:paraId="2F0E5684" w14:textId="038811B4" w:rsidR="009F0295" w:rsidRDefault="00D1218E" w:rsidP="0038185F">
      <w:pPr>
        <w:spacing w:line="360" w:lineRule="auto"/>
        <w:rPr>
          <w:rFonts w:asciiTheme="minorHAnsi" w:hAnsiTheme="minorHAnsi"/>
          <w:b/>
          <w:i/>
        </w:rPr>
      </w:pPr>
      <w:r w:rsidRPr="003C6F05">
        <w:rPr>
          <w:rFonts w:asciiTheme="minorHAnsi" w:hAnsiTheme="minorHAnsi"/>
          <w:b/>
          <w:i/>
        </w:rPr>
        <w:t xml:space="preserve">3.0 Results &amp; Discussion </w:t>
      </w:r>
    </w:p>
    <w:p w14:paraId="3C7B64A2" w14:textId="7084BB32" w:rsidR="00AF6474" w:rsidRPr="003C6F05" w:rsidRDefault="00D1218E" w:rsidP="0038185F">
      <w:pPr>
        <w:spacing w:line="360" w:lineRule="auto"/>
        <w:rPr>
          <w:rFonts w:asciiTheme="minorHAnsi" w:hAnsiTheme="minorHAnsi"/>
          <w:b/>
          <w:i/>
        </w:rPr>
      </w:pPr>
      <w:r w:rsidRPr="003C6F05">
        <w:rPr>
          <w:rFonts w:asciiTheme="minorHAnsi" w:hAnsiTheme="minorHAnsi"/>
          <w:b/>
          <w:i/>
        </w:rPr>
        <w:t xml:space="preserve"> </w:t>
      </w:r>
    </w:p>
    <w:p w14:paraId="1896F0BE" w14:textId="0EECFC68" w:rsidR="009F0295" w:rsidRPr="009F0295" w:rsidRDefault="00D1218E" w:rsidP="009F0295">
      <w:pPr>
        <w:pStyle w:val="NoSpacing"/>
        <w:spacing w:line="360" w:lineRule="auto"/>
        <w:rPr>
          <w:rFonts w:asciiTheme="minorHAnsi" w:hAnsiTheme="minorHAnsi"/>
          <w:i/>
          <w:iCs/>
          <w:sz w:val="24"/>
          <w:szCs w:val="24"/>
        </w:rPr>
      </w:pPr>
      <w:r w:rsidRPr="009F0295">
        <w:rPr>
          <w:rFonts w:asciiTheme="minorHAnsi" w:hAnsiTheme="minorHAnsi"/>
          <w:i/>
          <w:iCs/>
          <w:sz w:val="24"/>
          <w:szCs w:val="24"/>
        </w:rPr>
        <w:t xml:space="preserve">3.1 City </w:t>
      </w:r>
      <w:r w:rsidR="00F27125">
        <w:rPr>
          <w:rFonts w:asciiTheme="minorHAnsi" w:hAnsiTheme="minorHAnsi"/>
          <w:i/>
          <w:iCs/>
          <w:sz w:val="24"/>
          <w:szCs w:val="24"/>
        </w:rPr>
        <w:t>L</w:t>
      </w:r>
      <w:r w:rsidRPr="009F0295">
        <w:rPr>
          <w:rFonts w:asciiTheme="minorHAnsi" w:hAnsiTheme="minorHAnsi"/>
          <w:i/>
          <w:iCs/>
          <w:sz w:val="24"/>
          <w:szCs w:val="24"/>
        </w:rPr>
        <w:t xml:space="preserve">andcover </w:t>
      </w:r>
      <w:r w:rsidR="00F27125">
        <w:rPr>
          <w:rFonts w:asciiTheme="minorHAnsi" w:hAnsiTheme="minorHAnsi"/>
          <w:i/>
          <w:iCs/>
          <w:sz w:val="24"/>
          <w:szCs w:val="24"/>
        </w:rPr>
        <w:t>T</w:t>
      </w:r>
      <w:r w:rsidRPr="009F0295">
        <w:rPr>
          <w:rFonts w:asciiTheme="minorHAnsi" w:hAnsiTheme="minorHAnsi"/>
          <w:i/>
          <w:iCs/>
          <w:sz w:val="24"/>
          <w:szCs w:val="24"/>
        </w:rPr>
        <w:t xml:space="preserve">ypology and </w:t>
      </w:r>
      <w:r w:rsidR="00F27125">
        <w:rPr>
          <w:rFonts w:asciiTheme="minorHAnsi" w:hAnsiTheme="minorHAnsi"/>
          <w:i/>
          <w:iCs/>
          <w:sz w:val="24"/>
          <w:szCs w:val="24"/>
        </w:rPr>
        <w:t>A</w:t>
      </w:r>
      <w:r w:rsidRPr="009F0295">
        <w:rPr>
          <w:rFonts w:asciiTheme="minorHAnsi" w:hAnsiTheme="minorHAnsi"/>
          <w:i/>
          <w:iCs/>
          <w:sz w:val="24"/>
          <w:szCs w:val="24"/>
        </w:rPr>
        <w:t xml:space="preserve">ccuracy </w:t>
      </w:r>
      <w:r w:rsidR="00F27125">
        <w:rPr>
          <w:rFonts w:asciiTheme="minorHAnsi" w:hAnsiTheme="minorHAnsi"/>
          <w:i/>
          <w:iCs/>
          <w:sz w:val="24"/>
          <w:szCs w:val="24"/>
        </w:rPr>
        <w:t>A</w:t>
      </w:r>
      <w:r w:rsidRPr="009F0295">
        <w:rPr>
          <w:rFonts w:asciiTheme="minorHAnsi" w:hAnsiTheme="minorHAnsi"/>
          <w:i/>
          <w:iCs/>
          <w:sz w:val="24"/>
          <w:szCs w:val="24"/>
        </w:rPr>
        <w:t xml:space="preserve">ssessment </w:t>
      </w:r>
    </w:p>
    <w:p w14:paraId="2A77E07B" w14:textId="5230D6A2" w:rsidR="008100CF" w:rsidRPr="009F0295" w:rsidRDefault="00107B1E" w:rsidP="008100CF">
      <w:pPr>
        <w:pStyle w:val="NoSpacing"/>
        <w:spacing w:line="360" w:lineRule="auto"/>
        <w:ind w:firstLine="720"/>
        <w:rPr>
          <w:rFonts w:asciiTheme="minorHAnsi" w:hAnsiTheme="minorHAnsi"/>
          <w:sz w:val="24"/>
          <w:szCs w:val="24"/>
        </w:rPr>
      </w:pPr>
      <w:r>
        <w:rPr>
          <w:rFonts w:asciiTheme="minorHAnsi" w:hAnsiTheme="minorHAnsi"/>
          <w:sz w:val="24"/>
          <w:szCs w:val="24"/>
        </w:rPr>
        <w:t>T</w:t>
      </w:r>
      <w:r w:rsidR="00D1218E" w:rsidRPr="009F0295">
        <w:rPr>
          <w:rFonts w:asciiTheme="minorHAnsi" w:hAnsiTheme="minorHAnsi"/>
          <w:sz w:val="24"/>
          <w:szCs w:val="24"/>
        </w:rPr>
        <w:t>he dominant landcover type across all city quadrants, aside from the southeast quadrant, was impervious surfaces (Table 4.</w:t>
      </w:r>
      <w:r w:rsidR="00537217">
        <w:rPr>
          <w:rFonts w:asciiTheme="minorHAnsi" w:hAnsiTheme="minorHAnsi"/>
          <w:sz w:val="24"/>
          <w:szCs w:val="24"/>
        </w:rPr>
        <w:t>, Appendix Fig. 1</w:t>
      </w:r>
      <w:r w:rsidR="00D1218E" w:rsidRPr="009F0295">
        <w:rPr>
          <w:rFonts w:asciiTheme="minorHAnsi" w:hAnsiTheme="minorHAnsi"/>
          <w:sz w:val="24"/>
          <w:szCs w:val="24"/>
        </w:rPr>
        <w:t>).</w:t>
      </w:r>
      <w:r>
        <w:rPr>
          <w:rFonts w:asciiTheme="minorHAnsi" w:hAnsiTheme="minorHAnsi"/>
          <w:sz w:val="24"/>
          <w:szCs w:val="24"/>
        </w:rPr>
        <w:t xml:space="preserve"> In the southeast quadrant,</w:t>
      </w:r>
      <w:r w:rsidR="0025466E">
        <w:rPr>
          <w:rFonts w:asciiTheme="minorHAnsi" w:hAnsiTheme="minorHAnsi"/>
          <w:sz w:val="24"/>
          <w:szCs w:val="24"/>
        </w:rPr>
        <w:t xml:space="preserve"> the dominant landcover type was coarse vegetation</w:t>
      </w:r>
      <w:r w:rsidR="005F546C">
        <w:rPr>
          <w:rFonts w:asciiTheme="minorHAnsi" w:hAnsiTheme="minorHAnsi"/>
          <w:sz w:val="24"/>
          <w:szCs w:val="24"/>
        </w:rPr>
        <w:t xml:space="preserve"> </w:t>
      </w:r>
      <w:r w:rsidR="005F546C" w:rsidRPr="009F0295">
        <w:rPr>
          <w:rFonts w:asciiTheme="minorHAnsi" w:hAnsiTheme="minorHAnsi"/>
          <w:sz w:val="24"/>
          <w:szCs w:val="24"/>
        </w:rPr>
        <w:t>(8</w:t>
      </w:r>
      <w:r w:rsidR="00143099">
        <w:rPr>
          <w:rFonts w:asciiTheme="minorHAnsi" w:hAnsiTheme="minorHAnsi"/>
          <w:sz w:val="24"/>
          <w:szCs w:val="24"/>
        </w:rPr>
        <w:t>.17</w:t>
      </w:r>
      <w:r w:rsidR="005F546C" w:rsidRPr="009F0295">
        <w:rPr>
          <w:rFonts w:asciiTheme="minorHAnsi" w:hAnsiTheme="minorHAnsi"/>
          <w:sz w:val="24"/>
          <w:szCs w:val="24"/>
        </w:rPr>
        <w:t xml:space="preserve"> </w:t>
      </w:r>
      <w:r w:rsidR="00143099">
        <w:rPr>
          <w:rFonts w:asciiTheme="minorHAnsi" w:hAnsiTheme="minorHAnsi"/>
          <w:sz w:val="24"/>
          <w:szCs w:val="24"/>
        </w:rPr>
        <w:t>k</w:t>
      </w:r>
      <w:r w:rsidR="005F546C" w:rsidRPr="009F0295">
        <w:rPr>
          <w:rFonts w:asciiTheme="minorHAnsi" w:hAnsiTheme="minorHAnsi"/>
          <w:sz w:val="24"/>
          <w:szCs w:val="24"/>
        </w:rPr>
        <w:t>m</w:t>
      </w:r>
      <w:r w:rsidR="005F546C" w:rsidRPr="009F0295">
        <w:rPr>
          <w:rFonts w:asciiTheme="minorHAnsi" w:hAnsiTheme="minorHAnsi"/>
          <w:sz w:val="24"/>
          <w:szCs w:val="24"/>
          <w:vertAlign w:val="superscript"/>
        </w:rPr>
        <w:t>2</w:t>
      </w:r>
      <w:r w:rsidR="005F546C" w:rsidRPr="009F0295">
        <w:rPr>
          <w:rFonts w:asciiTheme="minorHAnsi" w:hAnsiTheme="minorHAnsi"/>
          <w:sz w:val="24"/>
          <w:szCs w:val="24"/>
        </w:rPr>
        <w:t>)</w:t>
      </w:r>
      <w:r w:rsidR="0025466E">
        <w:rPr>
          <w:rFonts w:asciiTheme="minorHAnsi" w:hAnsiTheme="minorHAnsi"/>
          <w:sz w:val="24"/>
          <w:szCs w:val="24"/>
        </w:rPr>
        <w:t>.</w:t>
      </w:r>
      <w:r w:rsidR="00D1218E" w:rsidRPr="009F0295">
        <w:rPr>
          <w:rFonts w:asciiTheme="minorHAnsi" w:hAnsiTheme="minorHAnsi"/>
          <w:sz w:val="24"/>
          <w:szCs w:val="24"/>
        </w:rPr>
        <w:t xml:space="preserve"> </w:t>
      </w:r>
      <w:r w:rsidR="0025466E">
        <w:rPr>
          <w:rFonts w:asciiTheme="minorHAnsi" w:hAnsiTheme="minorHAnsi"/>
          <w:sz w:val="24"/>
          <w:szCs w:val="24"/>
        </w:rPr>
        <w:t>C</w:t>
      </w:r>
      <w:r w:rsidR="00D1218E" w:rsidRPr="009F0295">
        <w:rPr>
          <w:rFonts w:asciiTheme="minorHAnsi" w:hAnsiTheme="minorHAnsi"/>
          <w:sz w:val="24"/>
          <w:szCs w:val="24"/>
        </w:rPr>
        <w:t xml:space="preserve">oarse vegetation was the most dominant </w:t>
      </w:r>
      <w:r w:rsidR="0025466E">
        <w:rPr>
          <w:rFonts w:asciiTheme="minorHAnsi" w:hAnsiTheme="minorHAnsi"/>
          <w:sz w:val="24"/>
          <w:szCs w:val="24"/>
        </w:rPr>
        <w:t xml:space="preserve">UGS </w:t>
      </w:r>
      <w:r w:rsidR="00586B53">
        <w:rPr>
          <w:rFonts w:asciiTheme="minorHAnsi" w:hAnsiTheme="minorHAnsi"/>
          <w:sz w:val="24"/>
          <w:szCs w:val="24"/>
        </w:rPr>
        <w:t xml:space="preserve">class </w:t>
      </w:r>
      <w:r w:rsidR="00D1218E" w:rsidRPr="009F0295">
        <w:rPr>
          <w:rFonts w:asciiTheme="minorHAnsi" w:hAnsiTheme="minorHAnsi"/>
          <w:sz w:val="24"/>
          <w:szCs w:val="24"/>
        </w:rPr>
        <w:t xml:space="preserve">across </w:t>
      </w:r>
      <w:r w:rsidR="004065B4" w:rsidRPr="009F0295">
        <w:rPr>
          <w:rFonts w:asciiTheme="minorHAnsi" w:hAnsiTheme="minorHAnsi"/>
          <w:sz w:val="24"/>
          <w:szCs w:val="24"/>
        </w:rPr>
        <w:t>all</w:t>
      </w:r>
      <w:r w:rsidR="00D1218E" w:rsidRPr="009F0295">
        <w:rPr>
          <w:rFonts w:asciiTheme="minorHAnsi" w:hAnsiTheme="minorHAnsi"/>
          <w:sz w:val="24"/>
          <w:szCs w:val="24"/>
        </w:rPr>
        <w:t xml:space="preserve"> </w:t>
      </w:r>
      <w:r w:rsidR="004065B4">
        <w:rPr>
          <w:rFonts w:asciiTheme="minorHAnsi" w:hAnsiTheme="minorHAnsi"/>
          <w:sz w:val="24"/>
          <w:szCs w:val="24"/>
        </w:rPr>
        <w:t xml:space="preserve">of </w:t>
      </w:r>
      <w:r w:rsidR="00D1218E" w:rsidRPr="009F0295">
        <w:rPr>
          <w:rFonts w:asciiTheme="minorHAnsi" w:hAnsiTheme="minorHAnsi"/>
          <w:sz w:val="24"/>
          <w:szCs w:val="24"/>
        </w:rPr>
        <w:t>the city’s quadrants. Even though the northwest quadrant of the city had the greatest total area of impervious surfaces (14</w:t>
      </w:r>
      <w:r w:rsidR="00143099">
        <w:rPr>
          <w:rFonts w:asciiTheme="minorHAnsi" w:hAnsiTheme="minorHAnsi"/>
          <w:sz w:val="24"/>
          <w:szCs w:val="24"/>
        </w:rPr>
        <w:t>.63</w:t>
      </w:r>
      <w:r w:rsidR="00D1218E" w:rsidRPr="009F0295">
        <w:rPr>
          <w:rFonts w:asciiTheme="minorHAnsi" w:hAnsiTheme="minorHAnsi"/>
          <w:sz w:val="24"/>
          <w:szCs w:val="24"/>
        </w:rPr>
        <w:t xml:space="preserve"> </w:t>
      </w:r>
      <w:r w:rsidR="00143099">
        <w:rPr>
          <w:rFonts w:asciiTheme="minorHAnsi" w:hAnsiTheme="minorHAnsi"/>
          <w:sz w:val="24"/>
          <w:szCs w:val="24"/>
        </w:rPr>
        <w:t>k</w:t>
      </w:r>
      <w:r w:rsidR="00D1218E" w:rsidRPr="009F0295">
        <w:rPr>
          <w:rFonts w:asciiTheme="minorHAnsi" w:hAnsiTheme="minorHAnsi"/>
          <w:sz w:val="24"/>
          <w:szCs w:val="24"/>
        </w:rPr>
        <w:t>m</w:t>
      </w:r>
      <w:r w:rsidR="00D1218E" w:rsidRPr="009F0295">
        <w:rPr>
          <w:rFonts w:asciiTheme="minorHAnsi" w:hAnsiTheme="minorHAnsi"/>
          <w:sz w:val="24"/>
          <w:szCs w:val="24"/>
          <w:vertAlign w:val="superscript"/>
        </w:rPr>
        <w:t>2</w:t>
      </w:r>
      <w:r w:rsidR="00D1218E" w:rsidRPr="009F0295">
        <w:rPr>
          <w:rFonts w:asciiTheme="minorHAnsi" w:hAnsiTheme="minorHAnsi"/>
          <w:sz w:val="24"/>
          <w:szCs w:val="24"/>
        </w:rPr>
        <w:t xml:space="preserve">), it still had a 3:4 ratio of area covered in UGS features compared to impervious surfaces. Whereas the </w:t>
      </w:r>
      <w:r w:rsidR="00F248D8">
        <w:rPr>
          <w:rFonts w:asciiTheme="minorHAnsi" w:hAnsiTheme="minorHAnsi"/>
          <w:sz w:val="24"/>
          <w:szCs w:val="24"/>
        </w:rPr>
        <w:t>c</w:t>
      </w:r>
      <w:r w:rsidR="00D1218E" w:rsidRPr="009F0295">
        <w:rPr>
          <w:rFonts w:asciiTheme="minorHAnsi" w:hAnsiTheme="minorHAnsi"/>
          <w:sz w:val="24"/>
          <w:szCs w:val="24"/>
        </w:rPr>
        <w:t xml:space="preserve">ity </w:t>
      </w:r>
      <w:r w:rsidR="00F248D8">
        <w:rPr>
          <w:rFonts w:asciiTheme="minorHAnsi" w:hAnsiTheme="minorHAnsi"/>
          <w:sz w:val="24"/>
          <w:szCs w:val="24"/>
        </w:rPr>
        <w:t>c</w:t>
      </w:r>
      <w:r w:rsidR="00D1218E" w:rsidRPr="009F0295">
        <w:rPr>
          <w:rFonts w:asciiTheme="minorHAnsi" w:hAnsiTheme="minorHAnsi"/>
          <w:sz w:val="24"/>
          <w:szCs w:val="24"/>
        </w:rPr>
        <w:t>enter, the quadrant encompassing Rochester’s downtown area</w:t>
      </w:r>
      <w:r w:rsidR="0025466E">
        <w:rPr>
          <w:rFonts w:asciiTheme="minorHAnsi" w:hAnsiTheme="minorHAnsi"/>
          <w:sz w:val="24"/>
          <w:szCs w:val="24"/>
        </w:rPr>
        <w:t xml:space="preserve"> (Fig. 1)</w:t>
      </w:r>
      <w:r w:rsidR="00D1218E" w:rsidRPr="009F0295">
        <w:rPr>
          <w:rFonts w:asciiTheme="minorHAnsi" w:hAnsiTheme="minorHAnsi"/>
          <w:sz w:val="24"/>
          <w:szCs w:val="24"/>
        </w:rPr>
        <w:t xml:space="preserve">, had the greatest disparity with a less than 1:10 ratio for area covered in UGS features compared to impervious surfaces. </w:t>
      </w:r>
    </w:p>
    <w:p w14:paraId="3FBE1E43" w14:textId="6CD65181" w:rsidR="00916D7F" w:rsidRDefault="00D1218E" w:rsidP="0038185F">
      <w:pPr>
        <w:spacing w:line="360" w:lineRule="auto"/>
        <w:rPr>
          <w:rFonts w:asciiTheme="minorHAnsi" w:hAnsiTheme="minorHAnsi"/>
        </w:rPr>
      </w:pPr>
      <w:r w:rsidRPr="003C6F05">
        <w:rPr>
          <w:rFonts w:asciiTheme="minorHAnsi" w:hAnsiTheme="minorHAnsi"/>
        </w:rPr>
        <w:t xml:space="preserve">            The final accuracy assessment of the classification map indicated an overall accuracy (OA) of 83.2% and a kappa coefficient of 0.75 (</w:t>
      </w:r>
      <w:r w:rsidR="00FB0582">
        <w:rPr>
          <w:rFonts w:asciiTheme="minorHAnsi" w:hAnsiTheme="minorHAnsi"/>
        </w:rPr>
        <w:t>Appendix Table 2</w:t>
      </w:r>
      <w:r w:rsidRPr="003C6F05">
        <w:rPr>
          <w:rFonts w:asciiTheme="minorHAnsi" w:hAnsiTheme="minorHAnsi"/>
        </w:rPr>
        <w:t xml:space="preserve">). As the median range for LULC classification OA is 80%-90% (reviewed by Ye et al. 2018), this LULC classification met the desired OA for its data to be reliably used to calculate the UES indicators present across the city. The primary focus of this classification map was to determine the distribution of UGS features that contribute to the UES indicators measured: coarse vegetation, fine vegetation, and bare soil. The accuracy assessment’s confusion matrix showed user’s or producer’s accuracies for both the coarse and fine vegetation classes </w:t>
      </w:r>
      <w:r w:rsidRPr="003C6F05">
        <w:rPr>
          <w:rFonts w:asciiTheme="minorHAnsi" w:hAnsiTheme="minorHAnsi"/>
        </w:rPr>
        <w:lastRenderedPageBreak/>
        <w:t>exceeding the classifications overall accuracy (</w:t>
      </w:r>
      <w:r w:rsidR="00FB0582">
        <w:rPr>
          <w:rFonts w:asciiTheme="minorHAnsi" w:hAnsiTheme="minorHAnsi"/>
        </w:rPr>
        <w:t>Appendix Table 2</w:t>
      </w:r>
      <w:r w:rsidRPr="003C6F05">
        <w:rPr>
          <w:rFonts w:asciiTheme="minorHAnsi" w:hAnsiTheme="minorHAnsi"/>
        </w:rPr>
        <w:t xml:space="preserve">). This suggests a high degree of similarity between the classification map and the actual landcover distribution for these classes. As for confusion, both the coarse vegetation and fine vegetation classes were </w:t>
      </w:r>
      <w:r w:rsidR="004065B4" w:rsidRPr="003C6F05">
        <w:rPr>
          <w:rFonts w:asciiTheme="minorHAnsi" w:hAnsiTheme="minorHAnsi"/>
        </w:rPr>
        <w:t>most confused</w:t>
      </w:r>
      <w:r w:rsidRPr="003C6F05">
        <w:rPr>
          <w:rFonts w:asciiTheme="minorHAnsi" w:hAnsiTheme="minorHAnsi"/>
        </w:rPr>
        <w:t xml:space="preserve"> with each other and the impervious surfaces class. Confusion between coarse vegetation and the impervious surface class may have been a result of residential street tree canopy cover often obstructing the aerial view of the streets below</w:t>
      </w:r>
      <w:r w:rsidR="00537217">
        <w:rPr>
          <w:rFonts w:asciiTheme="minorHAnsi" w:hAnsiTheme="minorHAnsi"/>
        </w:rPr>
        <w:t xml:space="preserve"> (Appendix Fig. 2)</w:t>
      </w:r>
      <w:r w:rsidRPr="003C6F05">
        <w:rPr>
          <w:rFonts w:asciiTheme="minorHAnsi" w:hAnsiTheme="minorHAnsi"/>
        </w:rPr>
        <w:t>. This high degree of spatial mixture between these two classes created a salt-and-pepper effect along residential street</w:t>
      </w:r>
      <w:r w:rsidR="00586B53">
        <w:rPr>
          <w:rFonts w:asciiTheme="minorHAnsi" w:hAnsiTheme="minorHAnsi"/>
        </w:rPr>
        <w:t>s</w:t>
      </w:r>
      <w:r w:rsidRPr="003C6F05">
        <w:rPr>
          <w:rFonts w:asciiTheme="minorHAnsi" w:hAnsiTheme="minorHAnsi"/>
        </w:rPr>
        <w:t xml:space="preserve">. The bare soil class showed the lowest accuracies across </w:t>
      </w:r>
      <w:r w:rsidR="00E7512C" w:rsidRPr="003C6F05">
        <w:rPr>
          <w:rFonts w:asciiTheme="minorHAnsi" w:hAnsiTheme="minorHAnsi"/>
        </w:rPr>
        <w:t>all</w:t>
      </w:r>
      <w:r w:rsidRPr="003C6F05">
        <w:rPr>
          <w:rFonts w:asciiTheme="minorHAnsi" w:hAnsiTheme="minorHAnsi"/>
        </w:rPr>
        <w:t xml:space="preserve"> the classes measured. This may have been due to the overall miniscule total area of the landcover class across the city, as well as its spectral similarity to brightly paved surfaces. </w:t>
      </w:r>
    </w:p>
    <w:p w14:paraId="6058AA90" w14:textId="77777777" w:rsidR="00FF70CE" w:rsidRDefault="00FF70CE" w:rsidP="0038185F">
      <w:pPr>
        <w:spacing w:line="360" w:lineRule="auto"/>
        <w:rPr>
          <w:rFonts w:asciiTheme="minorHAnsi" w:hAnsiTheme="minorHAnsi"/>
        </w:rPr>
      </w:pPr>
    </w:p>
    <w:p w14:paraId="6D1EB03B" w14:textId="77777777" w:rsidR="007C01A5" w:rsidRDefault="007C01A5">
      <w:pPr>
        <w:rPr>
          <w:rFonts w:ascii="Cambria" w:hAnsi="Cambria"/>
          <w:i/>
          <w:iCs/>
        </w:rPr>
      </w:pPr>
      <w:r>
        <w:rPr>
          <w:rFonts w:ascii="Cambria" w:hAnsi="Cambria"/>
          <w:i/>
          <w:iCs/>
        </w:rPr>
        <w:br w:type="page"/>
      </w:r>
    </w:p>
    <w:p w14:paraId="58232AD0" w14:textId="455E4FBD" w:rsidR="007C01A5" w:rsidRPr="004065B4" w:rsidRDefault="0007791A" w:rsidP="002B5CD8">
      <w:pPr>
        <w:rPr>
          <w:rFonts w:ascii="Cambria" w:hAnsi="Cambria"/>
        </w:rPr>
      </w:pPr>
      <w:r w:rsidRPr="001E5D4B">
        <w:rPr>
          <w:rFonts w:ascii="Cambria" w:hAnsi="Cambria"/>
          <w:i/>
          <w:iCs/>
        </w:rPr>
        <w:lastRenderedPageBreak/>
        <w:t>Table 4. The total area of four LULC classes for each quadrant of Rochester, NY</w:t>
      </w:r>
      <w:r>
        <w:rPr>
          <w:rFonts w:ascii="Cambria" w:hAnsi="Cambria"/>
        </w:rPr>
        <w:t xml:space="preserve">. </w:t>
      </w:r>
      <w:r w:rsidR="008100CF">
        <w:rPr>
          <w:rFonts w:ascii="Cambria" w:hAnsi="Cambria"/>
        </w:rPr>
        <w:t xml:space="preserve">The total for each landcover is given in the units of </w:t>
      </w:r>
      <w:r w:rsidR="0045067D">
        <w:rPr>
          <w:rFonts w:ascii="Cambria" w:hAnsi="Cambria"/>
        </w:rPr>
        <w:t>k</w:t>
      </w:r>
      <w:r w:rsidR="008100CF">
        <w:rPr>
          <w:rFonts w:ascii="Cambria" w:hAnsi="Cambria"/>
        </w:rPr>
        <w:t>m</w:t>
      </w:r>
      <w:r w:rsidR="008100CF">
        <w:rPr>
          <w:rFonts w:ascii="Cambria" w:hAnsi="Cambria"/>
          <w:vertAlign w:val="superscript"/>
        </w:rPr>
        <w:t>2</w:t>
      </w:r>
      <w:r w:rsidR="008100CF">
        <w:rPr>
          <w:rFonts w:ascii="Cambria" w:hAnsi="Cambria"/>
        </w:rPr>
        <w:t xml:space="preserve">. UGS landcovers include coarse vegetation, fine vegetation, and bare soil. Impervious surfaces landcover includes all paved surfaces and buildings. </w:t>
      </w:r>
      <w:r>
        <w:rPr>
          <w:rFonts w:ascii="Cambria" w:hAnsi="Cambria"/>
        </w:rPr>
        <w:t xml:space="preserve">The distribution of each city quadrant and the block groups within them are displayed in </w:t>
      </w:r>
      <w:r w:rsidR="00C93F2A">
        <w:rPr>
          <w:rFonts w:ascii="Cambria" w:hAnsi="Cambria"/>
        </w:rPr>
        <w:t>F</w:t>
      </w:r>
      <w:r>
        <w:rPr>
          <w:rFonts w:ascii="Cambria" w:hAnsi="Cambria"/>
        </w:rPr>
        <w:t xml:space="preserve">ig.1. </w:t>
      </w:r>
      <w:r w:rsidR="00FF70CE">
        <w:rPr>
          <w:rFonts w:ascii="Cambria" w:hAnsi="Cambria"/>
        </w:rPr>
        <w:t>T</w:t>
      </w:r>
      <w:r w:rsidR="00735628">
        <w:rPr>
          <w:rFonts w:ascii="Cambria" w:hAnsi="Cambria"/>
        </w:rPr>
        <w:t xml:space="preserve">he impervious surface class was the dominant class across four of the five quadrants. Coarse vegetation was the dominant UGS class across all quadrants. </w:t>
      </w:r>
    </w:p>
    <w:tbl>
      <w:tblPr>
        <w:tblStyle w:val="PlainTable5"/>
        <w:tblW w:w="5000" w:type="pct"/>
        <w:tblLook w:val="04A0" w:firstRow="1" w:lastRow="0" w:firstColumn="1" w:lastColumn="0" w:noHBand="0" w:noVBand="1"/>
      </w:tblPr>
      <w:tblGrid>
        <w:gridCol w:w="1347"/>
        <w:gridCol w:w="1404"/>
        <w:gridCol w:w="1887"/>
        <w:gridCol w:w="1623"/>
        <w:gridCol w:w="1438"/>
        <w:gridCol w:w="1651"/>
      </w:tblGrid>
      <w:tr w:rsidR="0007791A" w14:paraId="4AFDBBA4" w14:textId="77777777" w:rsidTr="00010D79">
        <w:trPr>
          <w:cnfStyle w:val="100000000000" w:firstRow="1" w:lastRow="0" w:firstColumn="0" w:lastColumn="0" w:oddVBand="0" w:evenVBand="0" w:oddHBand="0" w:evenHBand="0" w:firstRowFirstColumn="0" w:firstRowLastColumn="0" w:lastRowFirstColumn="0" w:lastRowLastColumn="0"/>
          <w:trHeight w:val="782"/>
        </w:trPr>
        <w:tc>
          <w:tcPr>
            <w:cnfStyle w:val="001000000100" w:firstRow="0" w:lastRow="0" w:firstColumn="1" w:lastColumn="0" w:oddVBand="0" w:evenVBand="0" w:oddHBand="0" w:evenHBand="0" w:firstRowFirstColumn="1" w:firstRowLastColumn="0" w:lastRowFirstColumn="0" w:lastRowLastColumn="0"/>
            <w:tcW w:w="720" w:type="pct"/>
            <w:tcBorders>
              <w:top w:val="single" w:sz="4" w:space="0" w:color="auto"/>
              <w:left w:val="single" w:sz="4" w:space="0" w:color="auto"/>
            </w:tcBorders>
            <w:vAlign w:val="bottom"/>
          </w:tcPr>
          <w:p w14:paraId="2E12E8F7" w14:textId="6764817B" w:rsidR="0007791A" w:rsidRPr="0007791A" w:rsidRDefault="0007791A" w:rsidP="00C93F2A">
            <w:pPr>
              <w:jc w:val="left"/>
              <w:rPr>
                <w:rFonts w:asciiTheme="minorHAnsi" w:hAnsiTheme="minorHAnsi"/>
                <w:b/>
                <w:bCs/>
                <w:sz w:val="22"/>
                <w:szCs w:val="22"/>
              </w:rPr>
            </w:pPr>
            <w:r w:rsidRPr="0007791A">
              <w:rPr>
                <w:rFonts w:asciiTheme="minorHAnsi" w:hAnsiTheme="minorHAnsi"/>
                <w:b/>
                <w:bCs/>
                <w:sz w:val="22"/>
                <w:szCs w:val="22"/>
              </w:rPr>
              <w:t>City Quadrant</w:t>
            </w:r>
          </w:p>
        </w:tc>
        <w:tc>
          <w:tcPr>
            <w:tcW w:w="751" w:type="pct"/>
            <w:tcBorders>
              <w:top w:val="single" w:sz="4" w:space="0" w:color="auto"/>
            </w:tcBorders>
            <w:vAlign w:val="bottom"/>
          </w:tcPr>
          <w:p w14:paraId="26800F78" w14:textId="5C0FC34C" w:rsidR="0007791A" w:rsidRPr="0007791A" w:rsidRDefault="0007791A" w:rsidP="00C93F2A">
            <w:pPr>
              <w:cnfStyle w:val="100000000000" w:firstRow="1"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07791A">
              <w:rPr>
                <w:rFonts w:asciiTheme="minorHAnsi" w:hAnsiTheme="minorHAnsi"/>
                <w:b/>
                <w:bCs/>
                <w:sz w:val="22"/>
                <w:szCs w:val="22"/>
              </w:rPr>
              <w:t>Num</w:t>
            </w:r>
            <w:r w:rsidRPr="0007791A">
              <w:rPr>
                <w:b/>
                <w:bCs/>
                <w:sz w:val="22"/>
                <w:szCs w:val="22"/>
              </w:rPr>
              <w:t>ber of Block Groups</w:t>
            </w:r>
          </w:p>
        </w:tc>
        <w:tc>
          <w:tcPr>
            <w:tcW w:w="1009" w:type="pct"/>
            <w:tcBorders>
              <w:top w:val="single" w:sz="4" w:space="0" w:color="auto"/>
            </w:tcBorders>
            <w:vAlign w:val="bottom"/>
          </w:tcPr>
          <w:p w14:paraId="19DE29DD" w14:textId="10540558" w:rsidR="0007791A" w:rsidRPr="0007791A" w:rsidRDefault="0007791A" w:rsidP="00C93F2A">
            <w:pPr>
              <w:cnfStyle w:val="100000000000" w:firstRow="1"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07791A">
              <w:rPr>
                <w:b/>
                <w:bCs/>
                <w:sz w:val="22"/>
                <w:szCs w:val="22"/>
              </w:rPr>
              <w:t>Total Area of Coarse Vegetation (</w:t>
            </w:r>
            <w:r w:rsidR="0045067D">
              <w:rPr>
                <w:b/>
                <w:bCs/>
                <w:sz w:val="22"/>
                <w:szCs w:val="22"/>
              </w:rPr>
              <w:t>k</w:t>
            </w:r>
            <w:r w:rsidRPr="0007791A">
              <w:rPr>
                <w:b/>
                <w:bCs/>
                <w:sz w:val="22"/>
                <w:szCs w:val="22"/>
              </w:rPr>
              <w:t>m</w:t>
            </w:r>
            <w:r w:rsidRPr="0007791A">
              <w:rPr>
                <w:b/>
                <w:bCs/>
                <w:sz w:val="22"/>
                <w:szCs w:val="22"/>
                <w:vertAlign w:val="superscript"/>
              </w:rPr>
              <w:t>2</w:t>
            </w:r>
            <w:r w:rsidRPr="0007791A">
              <w:rPr>
                <w:b/>
                <w:bCs/>
                <w:sz w:val="22"/>
                <w:szCs w:val="22"/>
              </w:rPr>
              <w:t>)</w:t>
            </w:r>
          </w:p>
        </w:tc>
        <w:tc>
          <w:tcPr>
            <w:tcW w:w="868" w:type="pct"/>
            <w:tcBorders>
              <w:top w:val="single" w:sz="4" w:space="0" w:color="auto"/>
            </w:tcBorders>
            <w:vAlign w:val="bottom"/>
          </w:tcPr>
          <w:p w14:paraId="7AF8D0C2" w14:textId="025DC828" w:rsidR="0007791A" w:rsidRPr="0007791A" w:rsidRDefault="0007791A" w:rsidP="00C93F2A">
            <w:pPr>
              <w:cnfStyle w:val="100000000000" w:firstRow="1"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07791A">
              <w:rPr>
                <w:b/>
                <w:bCs/>
                <w:sz w:val="22"/>
                <w:szCs w:val="22"/>
              </w:rPr>
              <w:t>Total Area of Fine Vegetation (</w:t>
            </w:r>
            <w:r w:rsidR="0045067D">
              <w:rPr>
                <w:b/>
                <w:bCs/>
                <w:sz w:val="22"/>
                <w:szCs w:val="22"/>
              </w:rPr>
              <w:t>k</w:t>
            </w:r>
            <w:r w:rsidRPr="0007791A">
              <w:rPr>
                <w:b/>
                <w:bCs/>
                <w:sz w:val="22"/>
                <w:szCs w:val="22"/>
              </w:rPr>
              <w:t>m</w:t>
            </w:r>
            <w:r w:rsidRPr="0007791A">
              <w:rPr>
                <w:b/>
                <w:bCs/>
                <w:sz w:val="22"/>
                <w:szCs w:val="22"/>
                <w:vertAlign w:val="superscript"/>
              </w:rPr>
              <w:t>2</w:t>
            </w:r>
            <w:r w:rsidRPr="0007791A">
              <w:rPr>
                <w:b/>
                <w:bCs/>
                <w:sz w:val="22"/>
                <w:szCs w:val="22"/>
              </w:rPr>
              <w:t>)</w:t>
            </w:r>
          </w:p>
        </w:tc>
        <w:tc>
          <w:tcPr>
            <w:tcW w:w="769" w:type="pct"/>
            <w:tcBorders>
              <w:top w:val="single" w:sz="4" w:space="0" w:color="auto"/>
            </w:tcBorders>
            <w:vAlign w:val="bottom"/>
          </w:tcPr>
          <w:p w14:paraId="366D9BA3" w14:textId="62D46013" w:rsidR="0007791A" w:rsidRPr="0007791A" w:rsidRDefault="0007791A" w:rsidP="00C93F2A">
            <w:pPr>
              <w:cnfStyle w:val="100000000000" w:firstRow="1"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07791A">
              <w:rPr>
                <w:b/>
                <w:bCs/>
                <w:sz w:val="22"/>
                <w:szCs w:val="22"/>
              </w:rPr>
              <w:t>Total Area of Bare Soil (</w:t>
            </w:r>
            <w:r w:rsidR="0045067D">
              <w:rPr>
                <w:b/>
                <w:bCs/>
                <w:sz w:val="22"/>
                <w:szCs w:val="22"/>
              </w:rPr>
              <w:t>k</w:t>
            </w:r>
            <w:r w:rsidRPr="0007791A">
              <w:rPr>
                <w:b/>
                <w:bCs/>
                <w:sz w:val="22"/>
                <w:szCs w:val="22"/>
              </w:rPr>
              <w:t>m</w:t>
            </w:r>
            <w:r w:rsidRPr="0007791A">
              <w:rPr>
                <w:b/>
                <w:bCs/>
                <w:sz w:val="22"/>
                <w:szCs w:val="22"/>
                <w:vertAlign w:val="superscript"/>
              </w:rPr>
              <w:t>2</w:t>
            </w:r>
            <w:r w:rsidRPr="0007791A">
              <w:rPr>
                <w:b/>
                <w:bCs/>
                <w:sz w:val="22"/>
                <w:szCs w:val="22"/>
              </w:rPr>
              <w:t>)</w:t>
            </w:r>
          </w:p>
        </w:tc>
        <w:tc>
          <w:tcPr>
            <w:tcW w:w="883" w:type="pct"/>
            <w:tcBorders>
              <w:top w:val="single" w:sz="4" w:space="0" w:color="auto"/>
              <w:right w:val="single" w:sz="4" w:space="0" w:color="auto"/>
            </w:tcBorders>
            <w:vAlign w:val="bottom"/>
          </w:tcPr>
          <w:p w14:paraId="25F88B1E" w14:textId="0876A5EE" w:rsidR="0007791A" w:rsidRPr="0007791A" w:rsidRDefault="0007791A" w:rsidP="00C93F2A">
            <w:pPr>
              <w:cnfStyle w:val="100000000000" w:firstRow="1"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07791A">
              <w:rPr>
                <w:b/>
                <w:bCs/>
                <w:sz w:val="22"/>
                <w:szCs w:val="22"/>
              </w:rPr>
              <w:t>Total Area of Impervious Surfaces (</w:t>
            </w:r>
            <w:r w:rsidR="0045067D">
              <w:rPr>
                <w:b/>
                <w:bCs/>
                <w:sz w:val="22"/>
                <w:szCs w:val="22"/>
              </w:rPr>
              <w:t>k</w:t>
            </w:r>
            <w:r w:rsidRPr="0007791A">
              <w:rPr>
                <w:b/>
                <w:bCs/>
                <w:sz w:val="22"/>
                <w:szCs w:val="22"/>
              </w:rPr>
              <w:t>m</w:t>
            </w:r>
            <w:r w:rsidRPr="0007791A">
              <w:rPr>
                <w:b/>
                <w:bCs/>
                <w:sz w:val="22"/>
                <w:szCs w:val="22"/>
                <w:vertAlign w:val="superscript"/>
              </w:rPr>
              <w:t>2</w:t>
            </w:r>
            <w:r w:rsidRPr="0007791A">
              <w:rPr>
                <w:b/>
                <w:bCs/>
                <w:sz w:val="22"/>
                <w:szCs w:val="22"/>
              </w:rPr>
              <w:t>)</w:t>
            </w:r>
          </w:p>
        </w:tc>
      </w:tr>
      <w:tr w:rsidR="0007791A" w14:paraId="68AA7CE2" w14:textId="77777777" w:rsidTr="0045067D">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7F7F7F" w:themeColor="text1" w:themeTint="80"/>
              <w:left w:val="single" w:sz="4" w:space="0" w:color="auto"/>
              <w:bottom w:val="single" w:sz="4" w:space="0" w:color="auto"/>
            </w:tcBorders>
            <w:vAlign w:val="center"/>
          </w:tcPr>
          <w:p w14:paraId="03144FD5" w14:textId="533070EA" w:rsidR="0007791A" w:rsidRPr="0007791A" w:rsidRDefault="0007791A" w:rsidP="00735628">
            <w:pPr>
              <w:spacing w:line="360" w:lineRule="auto"/>
              <w:jc w:val="left"/>
              <w:rPr>
                <w:rFonts w:asciiTheme="minorHAnsi" w:hAnsiTheme="minorHAnsi"/>
                <w:sz w:val="22"/>
                <w:szCs w:val="22"/>
              </w:rPr>
            </w:pPr>
            <w:r>
              <w:rPr>
                <w:sz w:val="22"/>
                <w:szCs w:val="22"/>
              </w:rPr>
              <w:t>City Center</w:t>
            </w:r>
          </w:p>
        </w:tc>
        <w:tc>
          <w:tcPr>
            <w:tcW w:w="751" w:type="pct"/>
            <w:vAlign w:val="center"/>
          </w:tcPr>
          <w:p w14:paraId="3D475C45" w14:textId="7770C59D"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4</w:t>
            </w:r>
          </w:p>
        </w:tc>
        <w:tc>
          <w:tcPr>
            <w:tcW w:w="1009" w:type="pct"/>
            <w:vAlign w:val="center"/>
          </w:tcPr>
          <w:p w14:paraId="75AB9E41" w14:textId="75F0961C" w:rsidR="0007791A" w:rsidRPr="0007791A" w:rsidRDefault="0045067D"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0.07</w:t>
            </w:r>
          </w:p>
        </w:tc>
        <w:tc>
          <w:tcPr>
            <w:tcW w:w="868" w:type="pct"/>
            <w:vAlign w:val="center"/>
          </w:tcPr>
          <w:p w14:paraId="53E316A1" w14:textId="6603B67E" w:rsidR="0007791A" w:rsidRPr="0007791A" w:rsidRDefault="0045067D"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0.047</w:t>
            </w:r>
          </w:p>
        </w:tc>
        <w:tc>
          <w:tcPr>
            <w:tcW w:w="769" w:type="pct"/>
            <w:vAlign w:val="center"/>
          </w:tcPr>
          <w:p w14:paraId="49E7F16F" w14:textId="340598C7" w:rsidR="0007791A" w:rsidRPr="0007791A" w:rsidRDefault="0045067D"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0.022</w:t>
            </w:r>
          </w:p>
        </w:tc>
        <w:tc>
          <w:tcPr>
            <w:tcW w:w="883" w:type="pct"/>
            <w:tcBorders>
              <w:right w:val="single" w:sz="4" w:space="0" w:color="auto"/>
            </w:tcBorders>
            <w:vAlign w:val="center"/>
          </w:tcPr>
          <w:p w14:paraId="62260C15" w14:textId="2DFD8497"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1</w:t>
            </w:r>
            <w:r w:rsidR="0045067D">
              <w:rPr>
                <w:sz w:val="22"/>
                <w:szCs w:val="22"/>
              </w:rPr>
              <w:t>.42</w:t>
            </w:r>
          </w:p>
        </w:tc>
      </w:tr>
      <w:tr w:rsidR="0007791A" w14:paraId="45602187" w14:textId="77777777" w:rsidTr="0045067D">
        <w:trPr>
          <w:trHeight w:val="415"/>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auto"/>
              <w:left w:val="single" w:sz="4" w:space="0" w:color="auto"/>
              <w:bottom w:val="single" w:sz="4" w:space="0" w:color="auto"/>
            </w:tcBorders>
            <w:vAlign w:val="center"/>
          </w:tcPr>
          <w:p w14:paraId="6F85E295" w14:textId="6361D73E" w:rsidR="0007791A" w:rsidRPr="0007791A" w:rsidRDefault="0007791A" w:rsidP="00735628">
            <w:pPr>
              <w:spacing w:line="360" w:lineRule="auto"/>
              <w:jc w:val="left"/>
              <w:rPr>
                <w:rFonts w:asciiTheme="minorHAnsi" w:hAnsiTheme="minorHAnsi"/>
                <w:sz w:val="22"/>
                <w:szCs w:val="22"/>
              </w:rPr>
            </w:pPr>
            <w:r>
              <w:rPr>
                <w:sz w:val="22"/>
                <w:szCs w:val="22"/>
              </w:rPr>
              <w:t>Northeast</w:t>
            </w:r>
          </w:p>
        </w:tc>
        <w:tc>
          <w:tcPr>
            <w:tcW w:w="751" w:type="pct"/>
            <w:vAlign w:val="center"/>
          </w:tcPr>
          <w:p w14:paraId="7E527153" w14:textId="6663B949"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53</w:t>
            </w:r>
          </w:p>
        </w:tc>
        <w:tc>
          <w:tcPr>
            <w:tcW w:w="1009" w:type="pct"/>
            <w:vAlign w:val="center"/>
          </w:tcPr>
          <w:p w14:paraId="3BD27F74" w14:textId="3441D1C8"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4</w:t>
            </w:r>
            <w:r w:rsidR="0045067D">
              <w:rPr>
                <w:sz w:val="22"/>
                <w:szCs w:val="22"/>
              </w:rPr>
              <w:t>.43</w:t>
            </w:r>
          </w:p>
        </w:tc>
        <w:tc>
          <w:tcPr>
            <w:tcW w:w="868" w:type="pct"/>
            <w:vAlign w:val="center"/>
          </w:tcPr>
          <w:p w14:paraId="15705A30" w14:textId="21FDA76C"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2</w:t>
            </w:r>
            <w:r w:rsidR="0045067D">
              <w:rPr>
                <w:sz w:val="22"/>
                <w:szCs w:val="22"/>
              </w:rPr>
              <w:t>.18</w:t>
            </w:r>
          </w:p>
        </w:tc>
        <w:tc>
          <w:tcPr>
            <w:tcW w:w="769" w:type="pct"/>
            <w:vAlign w:val="center"/>
          </w:tcPr>
          <w:p w14:paraId="12409D23" w14:textId="1E81F7BD"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2</w:t>
            </w:r>
            <w:r w:rsidR="0045067D">
              <w:rPr>
                <w:sz w:val="22"/>
                <w:szCs w:val="22"/>
              </w:rPr>
              <w:t>.93</w:t>
            </w:r>
          </w:p>
        </w:tc>
        <w:tc>
          <w:tcPr>
            <w:tcW w:w="883" w:type="pct"/>
            <w:tcBorders>
              <w:right w:val="single" w:sz="4" w:space="0" w:color="auto"/>
            </w:tcBorders>
            <w:vAlign w:val="center"/>
          </w:tcPr>
          <w:p w14:paraId="53D8F5F2" w14:textId="13E2B7BB"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7</w:t>
            </w:r>
            <w:r w:rsidR="0045067D">
              <w:rPr>
                <w:sz w:val="22"/>
                <w:szCs w:val="22"/>
              </w:rPr>
              <w:t>.50</w:t>
            </w:r>
          </w:p>
        </w:tc>
      </w:tr>
      <w:tr w:rsidR="0007791A" w14:paraId="5A609098" w14:textId="77777777" w:rsidTr="0045067D">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auto"/>
              <w:left w:val="single" w:sz="4" w:space="0" w:color="auto"/>
              <w:bottom w:val="single" w:sz="4" w:space="0" w:color="auto"/>
            </w:tcBorders>
            <w:vAlign w:val="center"/>
          </w:tcPr>
          <w:p w14:paraId="13F2FF01" w14:textId="2BF08D5B" w:rsidR="0007791A" w:rsidRPr="0007791A" w:rsidRDefault="0007791A" w:rsidP="00735628">
            <w:pPr>
              <w:spacing w:line="360" w:lineRule="auto"/>
              <w:jc w:val="left"/>
              <w:rPr>
                <w:rFonts w:asciiTheme="minorHAnsi" w:hAnsiTheme="minorHAnsi"/>
                <w:sz w:val="22"/>
                <w:szCs w:val="22"/>
              </w:rPr>
            </w:pPr>
            <w:r>
              <w:rPr>
                <w:sz w:val="22"/>
                <w:szCs w:val="22"/>
              </w:rPr>
              <w:t>Northwest</w:t>
            </w:r>
          </w:p>
        </w:tc>
        <w:tc>
          <w:tcPr>
            <w:tcW w:w="751" w:type="pct"/>
            <w:vAlign w:val="center"/>
          </w:tcPr>
          <w:p w14:paraId="6C2D7D5C" w14:textId="093134D8"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55</w:t>
            </w:r>
          </w:p>
        </w:tc>
        <w:tc>
          <w:tcPr>
            <w:tcW w:w="1009" w:type="pct"/>
            <w:vAlign w:val="center"/>
          </w:tcPr>
          <w:p w14:paraId="282F34E0" w14:textId="36EB1F99"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6</w:t>
            </w:r>
            <w:r w:rsidR="0045067D">
              <w:rPr>
                <w:sz w:val="22"/>
                <w:szCs w:val="22"/>
              </w:rPr>
              <w:t>.34</w:t>
            </w:r>
          </w:p>
        </w:tc>
        <w:tc>
          <w:tcPr>
            <w:tcW w:w="868" w:type="pct"/>
            <w:vAlign w:val="center"/>
          </w:tcPr>
          <w:p w14:paraId="360C31FE" w14:textId="55110AE9"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3</w:t>
            </w:r>
            <w:r w:rsidR="0045067D">
              <w:rPr>
                <w:sz w:val="22"/>
                <w:szCs w:val="22"/>
              </w:rPr>
              <w:t>.90</w:t>
            </w:r>
          </w:p>
        </w:tc>
        <w:tc>
          <w:tcPr>
            <w:tcW w:w="769" w:type="pct"/>
            <w:vAlign w:val="center"/>
          </w:tcPr>
          <w:p w14:paraId="0CE6B518" w14:textId="784C93C2"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1</w:t>
            </w:r>
            <w:r w:rsidR="0045067D">
              <w:rPr>
                <w:sz w:val="22"/>
                <w:szCs w:val="22"/>
              </w:rPr>
              <w:t>.05</w:t>
            </w:r>
          </w:p>
        </w:tc>
        <w:tc>
          <w:tcPr>
            <w:tcW w:w="883" w:type="pct"/>
            <w:tcBorders>
              <w:right w:val="single" w:sz="4" w:space="0" w:color="auto"/>
            </w:tcBorders>
            <w:vAlign w:val="center"/>
          </w:tcPr>
          <w:p w14:paraId="09BE08B4" w14:textId="789D9BE8"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14</w:t>
            </w:r>
            <w:r w:rsidR="0045067D">
              <w:rPr>
                <w:sz w:val="22"/>
                <w:szCs w:val="22"/>
              </w:rPr>
              <w:t>.63</w:t>
            </w:r>
          </w:p>
        </w:tc>
      </w:tr>
      <w:tr w:rsidR="0007791A" w14:paraId="49E21F18" w14:textId="77777777" w:rsidTr="0045067D">
        <w:trPr>
          <w:trHeight w:val="415"/>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auto"/>
              <w:left w:val="single" w:sz="4" w:space="0" w:color="auto"/>
              <w:bottom w:val="single" w:sz="4" w:space="0" w:color="auto"/>
            </w:tcBorders>
            <w:vAlign w:val="center"/>
          </w:tcPr>
          <w:p w14:paraId="459801B1" w14:textId="0EE6A678" w:rsidR="0007791A" w:rsidRPr="0007791A" w:rsidRDefault="0007791A" w:rsidP="00735628">
            <w:pPr>
              <w:spacing w:line="360" w:lineRule="auto"/>
              <w:jc w:val="left"/>
              <w:rPr>
                <w:rFonts w:asciiTheme="minorHAnsi" w:hAnsiTheme="minorHAnsi"/>
                <w:sz w:val="22"/>
                <w:szCs w:val="22"/>
              </w:rPr>
            </w:pPr>
            <w:r>
              <w:rPr>
                <w:sz w:val="22"/>
                <w:szCs w:val="22"/>
              </w:rPr>
              <w:t>Southwest</w:t>
            </w:r>
          </w:p>
        </w:tc>
        <w:tc>
          <w:tcPr>
            <w:tcW w:w="751" w:type="pct"/>
            <w:vAlign w:val="center"/>
          </w:tcPr>
          <w:p w14:paraId="7385C168" w14:textId="00810915"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51</w:t>
            </w:r>
          </w:p>
        </w:tc>
        <w:tc>
          <w:tcPr>
            <w:tcW w:w="1009" w:type="pct"/>
            <w:vAlign w:val="center"/>
          </w:tcPr>
          <w:p w14:paraId="6D59B860" w14:textId="17F21DB9"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5</w:t>
            </w:r>
            <w:r w:rsidR="0045067D">
              <w:rPr>
                <w:sz w:val="22"/>
                <w:szCs w:val="22"/>
              </w:rPr>
              <w:t>.72</w:t>
            </w:r>
          </w:p>
        </w:tc>
        <w:tc>
          <w:tcPr>
            <w:tcW w:w="868" w:type="pct"/>
            <w:vAlign w:val="center"/>
          </w:tcPr>
          <w:p w14:paraId="260335FC" w14:textId="015C27E6"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3</w:t>
            </w:r>
            <w:r w:rsidR="0045067D">
              <w:rPr>
                <w:sz w:val="22"/>
                <w:szCs w:val="22"/>
              </w:rPr>
              <w:t>.23</w:t>
            </w:r>
          </w:p>
        </w:tc>
        <w:tc>
          <w:tcPr>
            <w:tcW w:w="769" w:type="pct"/>
            <w:vAlign w:val="center"/>
          </w:tcPr>
          <w:p w14:paraId="643AC8CE" w14:textId="278563E0"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5</w:t>
            </w:r>
            <w:r w:rsidR="0045067D">
              <w:rPr>
                <w:sz w:val="22"/>
                <w:szCs w:val="22"/>
              </w:rPr>
              <w:t>.53</w:t>
            </w:r>
          </w:p>
        </w:tc>
        <w:tc>
          <w:tcPr>
            <w:tcW w:w="883" w:type="pct"/>
            <w:tcBorders>
              <w:right w:val="single" w:sz="4" w:space="0" w:color="auto"/>
            </w:tcBorders>
            <w:vAlign w:val="center"/>
          </w:tcPr>
          <w:p w14:paraId="3E3672E2" w14:textId="49E3C6D8" w:rsidR="0007791A" w:rsidRPr="0007791A" w:rsidRDefault="0007791A" w:rsidP="0045067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11</w:t>
            </w:r>
            <w:r w:rsidR="0045067D">
              <w:rPr>
                <w:sz w:val="22"/>
                <w:szCs w:val="22"/>
              </w:rPr>
              <w:t>.18</w:t>
            </w:r>
          </w:p>
        </w:tc>
      </w:tr>
      <w:tr w:rsidR="0007791A" w14:paraId="16F3288D" w14:textId="77777777" w:rsidTr="0045067D">
        <w:trPr>
          <w:cnfStyle w:val="000000100000" w:firstRow="0" w:lastRow="0" w:firstColumn="0" w:lastColumn="0" w:oddVBand="0" w:evenVBand="0" w:oddHBand="1" w:evenHBand="0" w:firstRowFirstColumn="0" w:firstRowLastColumn="0" w:lastRowFirstColumn="0" w:lastRowLastColumn="0"/>
          <w:trHeight w:val="87"/>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auto"/>
              <w:left w:val="single" w:sz="4" w:space="0" w:color="auto"/>
              <w:bottom w:val="single" w:sz="4" w:space="0" w:color="auto"/>
            </w:tcBorders>
            <w:vAlign w:val="center"/>
          </w:tcPr>
          <w:p w14:paraId="02CFB124" w14:textId="04C96DA5" w:rsidR="0007791A" w:rsidRPr="0007791A" w:rsidRDefault="0007791A" w:rsidP="00735628">
            <w:pPr>
              <w:spacing w:line="360" w:lineRule="auto"/>
              <w:jc w:val="left"/>
              <w:rPr>
                <w:rFonts w:asciiTheme="minorHAnsi" w:hAnsiTheme="minorHAnsi"/>
                <w:sz w:val="22"/>
                <w:szCs w:val="22"/>
              </w:rPr>
            </w:pPr>
            <w:r>
              <w:rPr>
                <w:sz w:val="22"/>
                <w:szCs w:val="22"/>
              </w:rPr>
              <w:t>Southeast</w:t>
            </w:r>
          </w:p>
        </w:tc>
        <w:tc>
          <w:tcPr>
            <w:tcW w:w="751" w:type="pct"/>
            <w:tcBorders>
              <w:bottom w:val="single" w:sz="4" w:space="0" w:color="auto"/>
            </w:tcBorders>
            <w:vAlign w:val="center"/>
          </w:tcPr>
          <w:p w14:paraId="74CB6840" w14:textId="227D351E"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66</w:t>
            </w:r>
          </w:p>
        </w:tc>
        <w:tc>
          <w:tcPr>
            <w:tcW w:w="1009" w:type="pct"/>
            <w:tcBorders>
              <w:bottom w:val="single" w:sz="4" w:space="0" w:color="auto"/>
            </w:tcBorders>
            <w:vAlign w:val="center"/>
          </w:tcPr>
          <w:p w14:paraId="3A6B459B" w14:textId="75FA6546"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8</w:t>
            </w:r>
            <w:r w:rsidR="0045067D">
              <w:rPr>
                <w:sz w:val="22"/>
                <w:szCs w:val="22"/>
              </w:rPr>
              <w:t>.17</w:t>
            </w:r>
          </w:p>
        </w:tc>
        <w:tc>
          <w:tcPr>
            <w:tcW w:w="868" w:type="pct"/>
            <w:tcBorders>
              <w:bottom w:val="single" w:sz="4" w:space="0" w:color="auto"/>
            </w:tcBorders>
            <w:vAlign w:val="center"/>
          </w:tcPr>
          <w:p w14:paraId="405A1A82" w14:textId="5BE166F4"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3</w:t>
            </w:r>
            <w:r w:rsidR="0045067D">
              <w:rPr>
                <w:sz w:val="22"/>
                <w:szCs w:val="22"/>
              </w:rPr>
              <w:t>.10</w:t>
            </w:r>
          </w:p>
        </w:tc>
        <w:tc>
          <w:tcPr>
            <w:tcW w:w="769" w:type="pct"/>
            <w:tcBorders>
              <w:bottom w:val="single" w:sz="4" w:space="0" w:color="auto"/>
            </w:tcBorders>
            <w:vAlign w:val="center"/>
          </w:tcPr>
          <w:p w14:paraId="5BB7C6D7" w14:textId="7C1586F6"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2</w:t>
            </w:r>
            <w:r w:rsidR="0045067D">
              <w:rPr>
                <w:sz w:val="22"/>
                <w:szCs w:val="22"/>
              </w:rPr>
              <w:t>.45</w:t>
            </w:r>
          </w:p>
        </w:tc>
        <w:tc>
          <w:tcPr>
            <w:tcW w:w="883" w:type="pct"/>
            <w:tcBorders>
              <w:bottom w:val="single" w:sz="4" w:space="0" w:color="auto"/>
              <w:right w:val="single" w:sz="4" w:space="0" w:color="auto"/>
            </w:tcBorders>
            <w:vAlign w:val="center"/>
          </w:tcPr>
          <w:p w14:paraId="3454093D" w14:textId="080BBD00" w:rsidR="0007791A" w:rsidRPr="0007791A" w:rsidRDefault="0007791A" w:rsidP="0045067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Pr>
                <w:sz w:val="22"/>
                <w:szCs w:val="22"/>
              </w:rPr>
              <w:t>7</w:t>
            </w:r>
            <w:r w:rsidR="0045067D">
              <w:rPr>
                <w:sz w:val="22"/>
                <w:szCs w:val="22"/>
              </w:rPr>
              <w:t>.72</w:t>
            </w:r>
          </w:p>
        </w:tc>
      </w:tr>
    </w:tbl>
    <w:p w14:paraId="61546F98" w14:textId="77777777" w:rsidR="00D411C6" w:rsidRDefault="00D411C6" w:rsidP="0038185F">
      <w:pPr>
        <w:spacing w:line="360" w:lineRule="auto"/>
        <w:rPr>
          <w:rFonts w:asciiTheme="minorHAnsi" w:hAnsiTheme="minorHAnsi"/>
          <w:i/>
        </w:rPr>
      </w:pPr>
    </w:p>
    <w:p w14:paraId="6810007D" w14:textId="77777777" w:rsidR="007C01A5" w:rsidRDefault="007C01A5">
      <w:pPr>
        <w:rPr>
          <w:rFonts w:asciiTheme="minorHAnsi" w:hAnsiTheme="minorHAnsi"/>
          <w:i/>
        </w:rPr>
      </w:pPr>
      <w:r>
        <w:rPr>
          <w:rFonts w:asciiTheme="minorHAnsi" w:hAnsiTheme="minorHAnsi"/>
          <w:i/>
        </w:rPr>
        <w:br w:type="page"/>
      </w:r>
    </w:p>
    <w:p w14:paraId="14A890B5" w14:textId="27A10A2C" w:rsidR="00AF6474" w:rsidRPr="003C6F05" w:rsidRDefault="00D1218E" w:rsidP="0038185F">
      <w:pPr>
        <w:spacing w:line="360" w:lineRule="auto"/>
        <w:rPr>
          <w:rFonts w:asciiTheme="minorHAnsi" w:hAnsiTheme="minorHAnsi"/>
          <w:i/>
        </w:rPr>
      </w:pPr>
      <w:r w:rsidRPr="003C6F05">
        <w:rPr>
          <w:rFonts w:asciiTheme="minorHAnsi" w:hAnsiTheme="minorHAnsi"/>
          <w:i/>
        </w:rPr>
        <w:lastRenderedPageBreak/>
        <w:t xml:space="preserve">3.2 </w:t>
      </w:r>
      <w:r w:rsidR="00FC21E5">
        <w:rPr>
          <w:rFonts w:asciiTheme="minorHAnsi" w:hAnsiTheme="minorHAnsi"/>
          <w:i/>
        </w:rPr>
        <w:t xml:space="preserve">Urban </w:t>
      </w:r>
      <w:r w:rsidRPr="003C6F05">
        <w:rPr>
          <w:rFonts w:asciiTheme="minorHAnsi" w:hAnsiTheme="minorHAnsi"/>
          <w:i/>
        </w:rPr>
        <w:t xml:space="preserve">Ecosystem Service </w:t>
      </w:r>
      <w:r w:rsidR="00174351">
        <w:rPr>
          <w:rFonts w:asciiTheme="minorHAnsi" w:hAnsiTheme="minorHAnsi"/>
          <w:i/>
        </w:rPr>
        <w:t>Supply</w:t>
      </w:r>
      <w:r w:rsidRPr="003C6F05">
        <w:rPr>
          <w:rFonts w:asciiTheme="minorHAnsi" w:hAnsiTheme="minorHAnsi"/>
          <w:i/>
        </w:rPr>
        <w:t xml:space="preserve"> </w:t>
      </w:r>
    </w:p>
    <w:p w14:paraId="6C204086" w14:textId="77777777" w:rsidR="0075638E" w:rsidRDefault="00D1218E" w:rsidP="0075638E">
      <w:pPr>
        <w:spacing w:line="360" w:lineRule="auto"/>
        <w:ind w:firstLine="720"/>
        <w:rPr>
          <w:rFonts w:asciiTheme="minorHAnsi" w:hAnsiTheme="minorHAnsi"/>
        </w:rPr>
      </w:pPr>
      <w:r w:rsidRPr="003C6F05">
        <w:rPr>
          <w:rFonts w:asciiTheme="minorHAnsi" w:hAnsiTheme="minorHAnsi"/>
        </w:rPr>
        <w:t xml:space="preserve">Based on the literature-based coefficients used and methods outlined in Table 1, </w:t>
      </w:r>
      <w:r w:rsidR="007C01A5">
        <w:rPr>
          <w:rFonts w:asciiTheme="minorHAnsi" w:hAnsiTheme="minorHAnsi"/>
        </w:rPr>
        <w:t>we</w:t>
      </w:r>
      <w:r w:rsidR="007C01A5" w:rsidRPr="003C6F05">
        <w:rPr>
          <w:rFonts w:asciiTheme="minorHAnsi" w:hAnsiTheme="minorHAnsi"/>
        </w:rPr>
        <w:t xml:space="preserve"> </w:t>
      </w:r>
      <w:r w:rsidRPr="003C6F05">
        <w:rPr>
          <w:rFonts w:asciiTheme="minorHAnsi" w:hAnsiTheme="minorHAnsi"/>
        </w:rPr>
        <w:t xml:space="preserve">estimated the total rate of carbon and air pollution removal for the entire city as well as at the census block group level. </w:t>
      </w:r>
      <w:r w:rsidR="007C01A5">
        <w:rPr>
          <w:rFonts w:asciiTheme="minorHAnsi" w:hAnsiTheme="minorHAnsi"/>
        </w:rPr>
        <w:t>We</w:t>
      </w:r>
      <w:r w:rsidR="007C01A5" w:rsidRPr="003C6F05">
        <w:rPr>
          <w:rFonts w:asciiTheme="minorHAnsi" w:hAnsiTheme="minorHAnsi"/>
        </w:rPr>
        <w:t xml:space="preserve"> </w:t>
      </w:r>
      <w:r w:rsidRPr="003C6F05">
        <w:rPr>
          <w:rFonts w:asciiTheme="minorHAnsi" w:hAnsiTheme="minorHAnsi"/>
        </w:rPr>
        <w:t xml:space="preserve">also estimated the average land surface temperature and total amount of park acreage available for each block group. </w:t>
      </w:r>
    </w:p>
    <w:p w14:paraId="48FA5013" w14:textId="30A4E84D" w:rsidR="00C11A34" w:rsidRDefault="00D1218E" w:rsidP="0075638E">
      <w:pPr>
        <w:spacing w:line="360" w:lineRule="auto"/>
        <w:ind w:firstLine="720"/>
        <w:rPr>
          <w:rFonts w:asciiTheme="minorHAnsi" w:hAnsiTheme="minorHAnsi"/>
        </w:rPr>
      </w:pPr>
      <w:r w:rsidRPr="003C6F05">
        <w:rPr>
          <w:rFonts w:asciiTheme="minorHAnsi" w:hAnsiTheme="minorHAnsi"/>
        </w:rPr>
        <w:t>Across the city’s 228 block groups</w:t>
      </w:r>
      <w:r w:rsidR="00586B53">
        <w:rPr>
          <w:rFonts w:asciiTheme="minorHAnsi" w:hAnsiTheme="minorHAnsi"/>
        </w:rPr>
        <w:t>,</w:t>
      </w:r>
      <w:r w:rsidR="006E5A45">
        <w:rPr>
          <w:rFonts w:asciiTheme="minorHAnsi" w:hAnsiTheme="minorHAnsi"/>
        </w:rPr>
        <w:t xml:space="preserve"> </w:t>
      </w:r>
      <w:r w:rsidR="007C01A5">
        <w:rPr>
          <w:rFonts w:asciiTheme="minorHAnsi" w:hAnsiTheme="minorHAnsi"/>
        </w:rPr>
        <w:t xml:space="preserve">we </w:t>
      </w:r>
      <w:r w:rsidR="006E5A45">
        <w:rPr>
          <w:rFonts w:asciiTheme="minorHAnsi" w:hAnsiTheme="minorHAnsi"/>
        </w:rPr>
        <w:t>found</w:t>
      </w:r>
      <w:r w:rsidRPr="003C6F05">
        <w:rPr>
          <w:rFonts w:asciiTheme="minorHAnsi" w:hAnsiTheme="minorHAnsi"/>
        </w:rPr>
        <w:t xml:space="preserve"> the </w:t>
      </w:r>
      <w:r w:rsidR="000C22BD">
        <w:rPr>
          <w:rFonts w:asciiTheme="minorHAnsi" w:hAnsiTheme="minorHAnsi"/>
        </w:rPr>
        <w:t>value</w:t>
      </w:r>
      <w:r w:rsidRPr="003C6F05">
        <w:rPr>
          <w:rFonts w:asciiTheme="minorHAnsi" w:hAnsiTheme="minorHAnsi"/>
        </w:rPr>
        <w:t xml:space="preserve"> of carbon storage ranged from 1</w:t>
      </w:r>
      <w:r w:rsidR="00B51F43">
        <w:rPr>
          <w:rFonts w:asciiTheme="minorHAnsi" w:hAnsiTheme="minorHAnsi"/>
        </w:rPr>
        <w:t>51</w:t>
      </w:r>
      <w:r w:rsidR="0045067D">
        <w:rPr>
          <w:rFonts w:asciiTheme="minorHAnsi" w:hAnsiTheme="minorHAnsi"/>
        </w:rPr>
        <w:t xml:space="preserve"> </w:t>
      </w:r>
      <w:r w:rsidRPr="003C6F05">
        <w:rPr>
          <w:rFonts w:asciiTheme="minorHAnsi" w:hAnsiTheme="minorHAnsi"/>
        </w:rPr>
        <w:t xml:space="preserve">to </w:t>
      </w:r>
      <w:r w:rsidR="00B51F43">
        <w:rPr>
          <w:rFonts w:asciiTheme="minorHAnsi" w:hAnsiTheme="minorHAnsi"/>
        </w:rPr>
        <w:t>14,800</w:t>
      </w:r>
      <w:r w:rsidRPr="003C6F05">
        <w:rPr>
          <w:rFonts w:asciiTheme="minorHAnsi" w:hAnsiTheme="minorHAnsi"/>
        </w:rPr>
        <w:t xml:space="preserve"> </w:t>
      </w:r>
      <w:r w:rsidR="0045067D">
        <w:rPr>
          <w:rFonts w:asciiTheme="minorHAnsi" w:hAnsiTheme="minorHAnsi"/>
        </w:rPr>
        <w:t>metric tons</w:t>
      </w:r>
      <w:r w:rsidRPr="003C6F05">
        <w:rPr>
          <w:rFonts w:asciiTheme="minorHAnsi" w:hAnsiTheme="minorHAnsi"/>
        </w:rPr>
        <w:t xml:space="preserve">, while the </w:t>
      </w:r>
      <w:r w:rsidR="000C22BD">
        <w:rPr>
          <w:rFonts w:asciiTheme="minorHAnsi" w:hAnsiTheme="minorHAnsi"/>
        </w:rPr>
        <w:t xml:space="preserve">rate </w:t>
      </w:r>
      <w:r w:rsidRPr="003C6F05">
        <w:rPr>
          <w:rFonts w:asciiTheme="minorHAnsi" w:hAnsiTheme="minorHAnsi"/>
        </w:rPr>
        <w:t>of carbon sequestration ranged from 2</w:t>
      </w:r>
      <w:r w:rsidR="0045067D">
        <w:rPr>
          <w:rFonts w:asciiTheme="minorHAnsi" w:hAnsiTheme="minorHAnsi"/>
        </w:rPr>
        <w:t>.41</w:t>
      </w:r>
      <w:r w:rsidRPr="003C6F05">
        <w:rPr>
          <w:rFonts w:asciiTheme="minorHAnsi" w:hAnsiTheme="minorHAnsi"/>
        </w:rPr>
        <w:t xml:space="preserve"> to </w:t>
      </w:r>
      <w:r w:rsidR="00B51F43">
        <w:rPr>
          <w:rFonts w:asciiTheme="minorHAnsi" w:hAnsiTheme="minorHAnsi"/>
        </w:rPr>
        <w:t>187</w:t>
      </w:r>
      <w:r w:rsidRPr="003C6F05">
        <w:rPr>
          <w:rFonts w:asciiTheme="minorHAnsi" w:hAnsiTheme="minorHAnsi"/>
        </w:rPr>
        <w:t xml:space="preserve"> </w:t>
      </w:r>
      <w:r w:rsidR="0045067D">
        <w:rPr>
          <w:rFonts w:asciiTheme="minorHAnsi" w:hAnsiTheme="minorHAnsi"/>
        </w:rPr>
        <w:t>metric tons</w:t>
      </w:r>
      <w:r w:rsidRPr="003C6F05">
        <w:rPr>
          <w:rFonts w:asciiTheme="minorHAnsi" w:hAnsiTheme="minorHAnsi"/>
        </w:rPr>
        <w:t>/yr. Looking at the city</w:t>
      </w:r>
      <w:r w:rsidR="008F5FFD" w:rsidRPr="003C6F05">
        <w:rPr>
          <w:rFonts w:asciiTheme="minorHAnsi" w:hAnsiTheme="minorHAnsi"/>
        </w:rPr>
        <w:t>-</w:t>
      </w:r>
      <w:r w:rsidRPr="003C6F05">
        <w:rPr>
          <w:rFonts w:asciiTheme="minorHAnsi" w:hAnsiTheme="minorHAnsi"/>
        </w:rPr>
        <w:t>wide scale</w:t>
      </w:r>
      <w:r w:rsidR="00586B53">
        <w:rPr>
          <w:rFonts w:asciiTheme="minorHAnsi" w:hAnsiTheme="minorHAnsi"/>
        </w:rPr>
        <w:t>,</w:t>
      </w:r>
      <w:r w:rsidRPr="003C6F05">
        <w:rPr>
          <w:rFonts w:asciiTheme="minorHAnsi" w:hAnsiTheme="minorHAnsi"/>
        </w:rPr>
        <w:t xml:space="preserve"> these values summed up to </w:t>
      </w:r>
      <w:r w:rsidR="00B65F15">
        <w:rPr>
          <w:rFonts w:asciiTheme="minorHAnsi" w:hAnsiTheme="minorHAnsi"/>
        </w:rPr>
        <w:t>318,458 metric</w:t>
      </w:r>
      <w:r w:rsidRPr="003C6F05">
        <w:rPr>
          <w:rFonts w:asciiTheme="minorHAnsi" w:hAnsiTheme="minorHAnsi"/>
        </w:rPr>
        <w:t xml:space="preserve"> tons of carbon storage and </w:t>
      </w:r>
      <w:r w:rsidR="00B65F15">
        <w:rPr>
          <w:rFonts w:asciiTheme="minorHAnsi" w:hAnsiTheme="minorHAnsi"/>
        </w:rPr>
        <w:t>4,995 metric</w:t>
      </w:r>
      <w:r w:rsidRPr="003C6F05">
        <w:rPr>
          <w:rFonts w:asciiTheme="minorHAnsi" w:hAnsiTheme="minorHAnsi"/>
        </w:rPr>
        <w:t xml:space="preserve"> tons of carbon sequestration per year. </w:t>
      </w:r>
      <w:r w:rsidR="005F546C" w:rsidRPr="003C6F05">
        <w:rPr>
          <w:rFonts w:asciiTheme="minorHAnsi" w:hAnsiTheme="minorHAnsi"/>
        </w:rPr>
        <w:t xml:space="preserve">For air pollution removal, </w:t>
      </w:r>
      <w:r w:rsidR="007C01A5">
        <w:rPr>
          <w:rFonts w:asciiTheme="minorHAnsi" w:hAnsiTheme="minorHAnsi"/>
        </w:rPr>
        <w:t xml:space="preserve">we </w:t>
      </w:r>
      <w:r w:rsidR="00B20D5B">
        <w:rPr>
          <w:rFonts w:asciiTheme="minorHAnsi" w:hAnsiTheme="minorHAnsi"/>
        </w:rPr>
        <w:t>found</w:t>
      </w:r>
      <w:r w:rsidR="0075638E">
        <w:rPr>
          <w:rFonts w:asciiTheme="minorHAnsi" w:hAnsiTheme="minorHAnsi"/>
        </w:rPr>
        <w:t xml:space="preserve"> that</w:t>
      </w:r>
      <w:r w:rsidR="00B20D5B">
        <w:rPr>
          <w:rFonts w:asciiTheme="minorHAnsi" w:hAnsiTheme="minorHAnsi"/>
        </w:rPr>
        <w:t xml:space="preserve"> the</w:t>
      </w:r>
      <w:r w:rsidR="005F546C" w:rsidRPr="003C6F05">
        <w:rPr>
          <w:rFonts w:asciiTheme="minorHAnsi" w:hAnsiTheme="minorHAnsi"/>
        </w:rPr>
        <w:t xml:space="preserve"> total removal rates of all pollutants examined in this study (SO</w:t>
      </w:r>
      <w:r w:rsidR="005F546C" w:rsidRPr="003C6F05">
        <w:rPr>
          <w:rFonts w:asciiTheme="minorHAnsi" w:hAnsiTheme="minorHAnsi"/>
          <w:vertAlign w:val="subscript"/>
        </w:rPr>
        <w:t>2</w:t>
      </w:r>
      <w:r w:rsidR="005F546C" w:rsidRPr="003C6F05">
        <w:rPr>
          <w:rFonts w:asciiTheme="minorHAnsi" w:hAnsiTheme="minorHAnsi"/>
        </w:rPr>
        <w:t>, NO</w:t>
      </w:r>
      <w:r w:rsidR="005F546C" w:rsidRPr="003C6F05">
        <w:rPr>
          <w:rFonts w:asciiTheme="minorHAnsi" w:hAnsiTheme="minorHAnsi"/>
          <w:vertAlign w:val="subscript"/>
        </w:rPr>
        <w:t>2</w:t>
      </w:r>
      <w:r w:rsidR="005F546C" w:rsidRPr="003C6F05">
        <w:rPr>
          <w:rFonts w:asciiTheme="minorHAnsi" w:hAnsiTheme="minorHAnsi"/>
        </w:rPr>
        <w:t>, PM</w:t>
      </w:r>
      <w:r w:rsidR="005F546C" w:rsidRPr="003C6F05">
        <w:rPr>
          <w:rFonts w:asciiTheme="minorHAnsi" w:hAnsiTheme="minorHAnsi"/>
          <w:vertAlign w:val="subscript"/>
        </w:rPr>
        <w:t>10</w:t>
      </w:r>
      <w:r w:rsidR="005F546C" w:rsidRPr="003C6F05">
        <w:rPr>
          <w:rFonts w:asciiTheme="minorHAnsi" w:hAnsiTheme="minorHAnsi"/>
        </w:rPr>
        <w:t>, O</w:t>
      </w:r>
      <w:r w:rsidR="005F546C" w:rsidRPr="003C6F05">
        <w:rPr>
          <w:rFonts w:asciiTheme="minorHAnsi" w:hAnsiTheme="minorHAnsi"/>
          <w:vertAlign w:val="subscript"/>
        </w:rPr>
        <w:t>3</w:t>
      </w:r>
      <w:r w:rsidR="005F546C" w:rsidRPr="003C6F05">
        <w:rPr>
          <w:rFonts w:asciiTheme="minorHAnsi" w:hAnsiTheme="minorHAnsi"/>
        </w:rPr>
        <w:t xml:space="preserve">, and CO) </w:t>
      </w:r>
      <w:r w:rsidR="0075638E">
        <w:rPr>
          <w:rFonts w:asciiTheme="minorHAnsi" w:hAnsiTheme="minorHAnsi"/>
        </w:rPr>
        <w:t xml:space="preserve">at the block group level </w:t>
      </w:r>
      <w:r w:rsidR="005F546C" w:rsidRPr="003C6F05">
        <w:rPr>
          <w:rFonts w:asciiTheme="minorHAnsi" w:hAnsiTheme="minorHAnsi"/>
        </w:rPr>
        <w:t xml:space="preserve">ranged from </w:t>
      </w:r>
      <w:r w:rsidR="0075638E">
        <w:rPr>
          <w:rFonts w:asciiTheme="minorHAnsi" w:hAnsiTheme="minorHAnsi"/>
        </w:rPr>
        <w:t>0.</w:t>
      </w:r>
      <w:r w:rsidR="005F546C" w:rsidRPr="003C6F05">
        <w:rPr>
          <w:rFonts w:asciiTheme="minorHAnsi" w:hAnsiTheme="minorHAnsi"/>
        </w:rPr>
        <w:t>1</w:t>
      </w:r>
      <w:r w:rsidR="00A30A91">
        <w:rPr>
          <w:rFonts w:asciiTheme="minorHAnsi" w:hAnsiTheme="minorHAnsi"/>
        </w:rPr>
        <w:t>22</w:t>
      </w:r>
      <w:r w:rsidR="005F546C" w:rsidRPr="003C6F05">
        <w:rPr>
          <w:rFonts w:asciiTheme="minorHAnsi" w:hAnsiTheme="minorHAnsi"/>
        </w:rPr>
        <w:t xml:space="preserve"> to </w:t>
      </w:r>
      <w:r w:rsidR="00A30A91">
        <w:rPr>
          <w:rFonts w:asciiTheme="minorHAnsi" w:hAnsiTheme="minorHAnsi"/>
        </w:rPr>
        <w:t>11</w:t>
      </w:r>
      <w:r w:rsidR="0075638E">
        <w:rPr>
          <w:rFonts w:asciiTheme="minorHAnsi" w:hAnsiTheme="minorHAnsi"/>
        </w:rPr>
        <w:t>.4</w:t>
      </w:r>
      <w:r w:rsidR="005F546C" w:rsidRPr="003C6F05">
        <w:rPr>
          <w:rFonts w:asciiTheme="minorHAnsi" w:hAnsiTheme="minorHAnsi"/>
        </w:rPr>
        <w:t xml:space="preserve"> </w:t>
      </w:r>
      <w:r w:rsidR="0075638E">
        <w:rPr>
          <w:rFonts w:asciiTheme="minorHAnsi" w:hAnsiTheme="minorHAnsi"/>
        </w:rPr>
        <w:t>metric tons</w:t>
      </w:r>
      <w:r w:rsidR="005F546C" w:rsidRPr="003C6F05">
        <w:rPr>
          <w:rFonts w:asciiTheme="minorHAnsi" w:hAnsiTheme="minorHAnsi"/>
        </w:rPr>
        <w:t xml:space="preserve">/yr. These </w:t>
      </w:r>
      <w:r w:rsidR="000C22BD">
        <w:rPr>
          <w:rFonts w:asciiTheme="minorHAnsi" w:hAnsiTheme="minorHAnsi"/>
        </w:rPr>
        <w:t>rates</w:t>
      </w:r>
      <w:r w:rsidR="005F546C" w:rsidRPr="003C6F05">
        <w:rPr>
          <w:rFonts w:asciiTheme="minorHAnsi" w:hAnsiTheme="minorHAnsi"/>
        </w:rPr>
        <w:t xml:space="preserve"> summed to a city-wide scale</w:t>
      </w:r>
      <w:r w:rsidR="000C22BD">
        <w:rPr>
          <w:rFonts w:asciiTheme="minorHAnsi" w:hAnsiTheme="minorHAnsi"/>
        </w:rPr>
        <w:t>,</w:t>
      </w:r>
      <w:r w:rsidR="005F546C" w:rsidRPr="003C6F05">
        <w:rPr>
          <w:rFonts w:asciiTheme="minorHAnsi" w:hAnsiTheme="minorHAnsi"/>
        </w:rPr>
        <w:t xml:space="preserve"> produced a removal of 2</w:t>
      </w:r>
      <w:r w:rsidR="00B65F15">
        <w:rPr>
          <w:rFonts w:asciiTheme="minorHAnsi" w:hAnsiTheme="minorHAnsi"/>
        </w:rPr>
        <w:t>61 metric</w:t>
      </w:r>
      <w:r w:rsidR="005F546C" w:rsidRPr="003C6F05">
        <w:rPr>
          <w:rFonts w:asciiTheme="minorHAnsi" w:hAnsiTheme="minorHAnsi"/>
        </w:rPr>
        <w:t xml:space="preserve"> tons of air pollutants per year. </w:t>
      </w:r>
      <w:r w:rsidR="00FB7478" w:rsidRPr="003C6F05">
        <w:rPr>
          <w:rFonts w:asciiTheme="minorHAnsi" w:hAnsiTheme="minorHAnsi"/>
        </w:rPr>
        <w:t xml:space="preserve">As for </w:t>
      </w:r>
      <w:r w:rsidR="00FB7478">
        <w:rPr>
          <w:rFonts w:asciiTheme="minorHAnsi" w:hAnsiTheme="minorHAnsi"/>
        </w:rPr>
        <w:t xml:space="preserve">local climate regulation, </w:t>
      </w:r>
      <w:r w:rsidR="007C01A5">
        <w:rPr>
          <w:rFonts w:asciiTheme="minorHAnsi" w:hAnsiTheme="minorHAnsi"/>
        </w:rPr>
        <w:t xml:space="preserve">we </w:t>
      </w:r>
      <w:r w:rsidR="00FB7478">
        <w:rPr>
          <w:rFonts w:asciiTheme="minorHAnsi" w:hAnsiTheme="minorHAnsi"/>
        </w:rPr>
        <w:t>found that</w:t>
      </w:r>
      <w:r w:rsidR="00FB7478" w:rsidRPr="003C6F05">
        <w:rPr>
          <w:rFonts w:asciiTheme="minorHAnsi" w:hAnsiTheme="minorHAnsi"/>
        </w:rPr>
        <w:t xml:space="preserve"> across the city</w:t>
      </w:r>
      <w:r w:rsidR="00FB7478">
        <w:rPr>
          <w:rFonts w:asciiTheme="minorHAnsi" w:hAnsiTheme="minorHAnsi"/>
        </w:rPr>
        <w:t>’s block groups</w:t>
      </w:r>
      <w:r w:rsidR="00B20D5B">
        <w:rPr>
          <w:rFonts w:asciiTheme="minorHAnsi" w:hAnsiTheme="minorHAnsi"/>
        </w:rPr>
        <w:t>,</w:t>
      </w:r>
      <w:r w:rsidR="00FB7478" w:rsidRPr="003C6F05">
        <w:rPr>
          <w:rFonts w:asciiTheme="minorHAnsi" w:hAnsiTheme="minorHAnsi"/>
        </w:rPr>
        <w:t xml:space="preserve"> </w:t>
      </w:r>
      <w:r w:rsidR="00B20D5B">
        <w:rPr>
          <w:rFonts w:asciiTheme="minorHAnsi" w:hAnsiTheme="minorHAnsi"/>
        </w:rPr>
        <w:t>the</w:t>
      </w:r>
      <w:r w:rsidR="00FB7478" w:rsidRPr="003C6F05">
        <w:rPr>
          <w:rFonts w:asciiTheme="minorHAnsi" w:hAnsiTheme="minorHAnsi"/>
        </w:rPr>
        <w:t xml:space="preserve"> average </w:t>
      </w:r>
      <w:r w:rsidR="00B20D5B">
        <w:rPr>
          <w:rFonts w:asciiTheme="minorHAnsi" w:hAnsiTheme="minorHAnsi"/>
        </w:rPr>
        <w:t xml:space="preserve">LST value </w:t>
      </w:r>
      <w:r w:rsidR="0075638E">
        <w:rPr>
          <w:rFonts w:asciiTheme="minorHAnsi" w:hAnsiTheme="minorHAnsi"/>
        </w:rPr>
        <w:t xml:space="preserve">on June 23, 2019, </w:t>
      </w:r>
      <w:r w:rsidR="00B20D5B">
        <w:rPr>
          <w:rFonts w:asciiTheme="minorHAnsi" w:hAnsiTheme="minorHAnsi"/>
        </w:rPr>
        <w:t xml:space="preserve">was </w:t>
      </w:r>
      <w:r w:rsidR="006E5A45">
        <w:rPr>
          <w:rFonts w:asciiTheme="minorHAnsi" w:hAnsiTheme="minorHAnsi"/>
        </w:rPr>
        <w:t>30</w:t>
      </w:r>
      <w:r w:rsidR="00FB7478" w:rsidRPr="003C6F05">
        <w:rPr>
          <w:rFonts w:ascii="Cambria Math" w:hAnsi="Cambria Math" w:cs="Cambria Math"/>
        </w:rPr>
        <w:t>℃</w:t>
      </w:r>
      <w:r w:rsidR="00FB7478" w:rsidRPr="003C6F05">
        <w:rPr>
          <w:rFonts w:asciiTheme="minorHAnsi" w:hAnsiTheme="minorHAnsi"/>
        </w:rPr>
        <w:t>.</w:t>
      </w:r>
      <w:r w:rsidR="00FB7478">
        <w:rPr>
          <w:rFonts w:asciiTheme="minorHAnsi" w:hAnsiTheme="minorHAnsi"/>
        </w:rPr>
        <w:t xml:space="preserve"> </w:t>
      </w:r>
      <w:r w:rsidR="00FB7478" w:rsidRPr="003C6F05">
        <w:rPr>
          <w:rFonts w:asciiTheme="minorHAnsi" w:hAnsiTheme="minorHAnsi"/>
        </w:rPr>
        <w:t xml:space="preserve">Lastly, </w:t>
      </w:r>
      <w:r w:rsidR="000C22BD">
        <w:rPr>
          <w:rFonts w:asciiTheme="minorHAnsi" w:hAnsiTheme="minorHAnsi"/>
        </w:rPr>
        <w:t xml:space="preserve">of the 13 </w:t>
      </w:r>
      <w:r w:rsidR="0075638E">
        <w:rPr>
          <w:rFonts w:asciiTheme="minorHAnsi" w:hAnsiTheme="minorHAnsi"/>
        </w:rPr>
        <w:t>k</w:t>
      </w:r>
      <w:r w:rsidR="000C22BD">
        <w:rPr>
          <w:rFonts w:asciiTheme="minorHAnsi" w:hAnsiTheme="minorHAnsi"/>
        </w:rPr>
        <w:t>m</w:t>
      </w:r>
      <w:r w:rsidR="000C22BD">
        <w:rPr>
          <w:rFonts w:asciiTheme="minorHAnsi" w:hAnsiTheme="minorHAnsi"/>
          <w:vertAlign w:val="superscript"/>
        </w:rPr>
        <w:t>2</w:t>
      </w:r>
      <w:r w:rsidR="000C22BD">
        <w:rPr>
          <w:rFonts w:asciiTheme="minorHAnsi" w:hAnsiTheme="minorHAnsi"/>
        </w:rPr>
        <w:t xml:space="preserve"> (3212 acres) of total parkland within the city, </w:t>
      </w:r>
      <w:r w:rsidR="00FB7478" w:rsidRPr="003C6F05">
        <w:rPr>
          <w:rFonts w:asciiTheme="minorHAnsi" w:hAnsiTheme="minorHAnsi"/>
        </w:rPr>
        <w:t xml:space="preserve">census block groups had access to </w:t>
      </w:r>
      <w:r w:rsidR="00A30A91">
        <w:rPr>
          <w:rFonts w:asciiTheme="minorHAnsi" w:hAnsiTheme="minorHAnsi"/>
        </w:rPr>
        <w:t>a median value of 24 acres and a mean value of 121 acres of parkland.</w:t>
      </w:r>
    </w:p>
    <w:p w14:paraId="4AC458E7" w14:textId="2E49F35E" w:rsidR="004B3468" w:rsidRDefault="00B20D5B" w:rsidP="00B20D5B">
      <w:pPr>
        <w:spacing w:line="360" w:lineRule="auto"/>
        <w:ind w:firstLine="720"/>
        <w:rPr>
          <w:rFonts w:asciiTheme="minorHAnsi" w:hAnsiTheme="minorHAnsi"/>
        </w:rPr>
      </w:pPr>
      <w:r w:rsidRPr="003C6F05">
        <w:rPr>
          <w:rFonts w:asciiTheme="minorHAnsi" w:hAnsiTheme="minorHAnsi"/>
        </w:rPr>
        <w:t xml:space="preserve">By mapping the normalized values for each of the UES indicators, </w:t>
      </w:r>
      <w:r w:rsidR="007C01A5">
        <w:rPr>
          <w:rFonts w:asciiTheme="minorHAnsi" w:hAnsiTheme="minorHAnsi"/>
        </w:rPr>
        <w:t>we were</w:t>
      </w:r>
      <w:r w:rsidRPr="003C6F05">
        <w:rPr>
          <w:rFonts w:asciiTheme="minorHAnsi" w:hAnsiTheme="minorHAnsi"/>
        </w:rPr>
        <w:t xml:space="preserve"> able to spatially compare and identify areas throughout Rochester that produce the highest</w:t>
      </w:r>
      <w:r>
        <w:rPr>
          <w:rFonts w:asciiTheme="minorHAnsi" w:hAnsiTheme="minorHAnsi"/>
        </w:rPr>
        <w:t xml:space="preserve"> and lowest</w:t>
      </w:r>
      <w:r w:rsidRPr="003C6F05">
        <w:rPr>
          <w:rFonts w:asciiTheme="minorHAnsi" w:hAnsiTheme="minorHAnsi"/>
        </w:rPr>
        <w:t xml:space="preserve"> </w:t>
      </w:r>
      <w:r>
        <w:rPr>
          <w:rFonts w:asciiTheme="minorHAnsi" w:hAnsiTheme="minorHAnsi"/>
        </w:rPr>
        <w:t xml:space="preserve">supplies </w:t>
      </w:r>
      <w:r w:rsidRPr="003C6F05">
        <w:rPr>
          <w:rFonts w:asciiTheme="minorHAnsi" w:hAnsiTheme="minorHAnsi"/>
        </w:rPr>
        <w:t xml:space="preserve">of </w:t>
      </w:r>
      <w:r>
        <w:rPr>
          <w:rFonts w:asciiTheme="minorHAnsi" w:hAnsiTheme="minorHAnsi"/>
        </w:rPr>
        <w:t>UES</w:t>
      </w:r>
      <w:r w:rsidRPr="003C6F05">
        <w:rPr>
          <w:rFonts w:asciiTheme="minorHAnsi" w:hAnsiTheme="minorHAnsi"/>
        </w:rPr>
        <w:t xml:space="preserve">. The spatial distribution of these UES indicators which includes total carbon removal, air pollution removal, local climate regulation, and recreation potential are shown in Fig. 2. Results on these maps are shown on a normalized scale of 0 to 100. Overall, these four indicators reveal the trend that the block groups around the periphery of the city are the largest producers of </w:t>
      </w:r>
      <w:r>
        <w:rPr>
          <w:rFonts w:asciiTheme="minorHAnsi" w:hAnsiTheme="minorHAnsi"/>
        </w:rPr>
        <w:t>UES</w:t>
      </w:r>
      <w:r w:rsidRPr="003C6F05">
        <w:rPr>
          <w:rFonts w:asciiTheme="minorHAnsi" w:hAnsiTheme="minorHAnsi"/>
        </w:rPr>
        <w:t>. Total carbon removal and air pollution removal have near identical model distributions</w:t>
      </w:r>
      <w:r>
        <w:rPr>
          <w:rFonts w:asciiTheme="minorHAnsi" w:hAnsiTheme="minorHAnsi"/>
        </w:rPr>
        <w:t xml:space="preserve"> (Fig. 2A &amp; B)</w:t>
      </w:r>
      <w:r w:rsidRPr="003C6F05">
        <w:rPr>
          <w:rFonts w:asciiTheme="minorHAnsi" w:hAnsiTheme="minorHAnsi"/>
        </w:rPr>
        <w:t xml:space="preserve">; however, this is due to these two services having the same indicator equation (Table 1). </w:t>
      </w:r>
      <w:r>
        <w:rPr>
          <w:rFonts w:asciiTheme="minorHAnsi" w:hAnsiTheme="minorHAnsi"/>
        </w:rPr>
        <w:t>Examining local climate regulation, the average value of LST within the block groups ranged from 24.0-33.6</w:t>
      </w:r>
      <w:r w:rsidRPr="003C6F05">
        <w:rPr>
          <w:rFonts w:ascii="Cambria Math" w:hAnsi="Cambria Math" w:cs="Cambria Math"/>
        </w:rPr>
        <w:t>℃</w:t>
      </w:r>
      <w:r>
        <w:rPr>
          <w:rFonts w:ascii="Cambria Math" w:hAnsi="Cambria Math" w:cs="Cambria Math"/>
        </w:rPr>
        <w:t xml:space="preserve">. </w:t>
      </w:r>
      <w:r>
        <w:rPr>
          <w:rFonts w:asciiTheme="minorHAnsi" w:hAnsiTheme="minorHAnsi"/>
        </w:rPr>
        <w:t xml:space="preserve">Looking at Fig. 2C, the highest LST values </w:t>
      </w:r>
      <w:r w:rsidR="004065B4">
        <w:rPr>
          <w:rFonts w:asciiTheme="minorHAnsi" w:hAnsiTheme="minorHAnsi"/>
        </w:rPr>
        <w:t>are in</w:t>
      </w:r>
      <w:r>
        <w:rPr>
          <w:rFonts w:asciiTheme="minorHAnsi" w:hAnsiTheme="minorHAnsi"/>
        </w:rPr>
        <w:t xml:space="preserve"> the city center and block groups directly eastward, whereas the coolest block groups are around the city’s boarder, especially to the north and the south. Lastly, the most disparate supply in UES can be seen in the UES indicator recreation potential (Fig. 2D). </w:t>
      </w:r>
      <w:r w:rsidR="00A30A91">
        <w:rPr>
          <w:rFonts w:asciiTheme="minorHAnsi" w:hAnsiTheme="minorHAnsi"/>
        </w:rPr>
        <w:t xml:space="preserve">Block groups had access to anywhere from 0 to 945 acres of parkland. </w:t>
      </w:r>
      <w:r w:rsidR="00A30A91">
        <w:rPr>
          <w:rFonts w:asciiTheme="minorHAnsi" w:hAnsiTheme="minorHAnsi"/>
        </w:rPr>
        <w:lastRenderedPageBreak/>
        <w:t xml:space="preserve">Block groups with access to the greatest amount of parkland were located around the </w:t>
      </w:r>
      <w:r w:rsidR="004065B4">
        <w:rPr>
          <w:rFonts w:asciiTheme="minorHAnsi" w:hAnsiTheme="minorHAnsi"/>
        </w:rPr>
        <w:t>Olmsted Park</w:t>
      </w:r>
      <w:r w:rsidR="00A30A91">
        <w:rPr>
          <w:rFonts w:asciiTheme="minorHAnsi" w:hAnsiTheme="minorHAnsi"/>
        </w:rPr>
        <w:t xml:space="preserve"> </w:t>
      </w:r>
      <w:r w:rsidR="004065B4">
        <w:rPr>
          <w:rFonts w:asciiTheme="minorHAnsi" w:hAnsiTheme="minorHAnsi"/>
        </w:rPr>
        <w:t>S</w:t>
      </w:r>
      <w:r w:rsidR="00A30A91">
        <w:rPr>
          <w:rFonts w:asciiTheme="minorHAnsi" w:hAnsiTheme="minorHAnsi"/>
        </w:rPr>
        <w:t xml:space="preserve">ystem: Genesee Valley Park, Highland Park, and Seneca Park. </w:t>
      </w:r>
    </w:p>
    <w:p w14:paraId="70188731" w14:textId="77777777" w:rsidR="004B3468" w:rsidRDefault="004B3468">
      <w:pPr>
        <w:rPr>
          <w:rFonts w:asciiTheme="minorHAnsi" w:hAnsiTheme="minorHAnsi"/>
        </w:rPr>
      </w:pPr>
      <w:r>
        <w:rPr>
          <w:rFonts w:asciiTheme="minorHAnsi" w:hAnsiTheme="minorHAnsi"/>
        </w:rPr>
        <w:br w:type="page"/>
      </w:r>
    </w:p>
    <w:p w14:paraId="79372A56" w14:textId="77777777" w:rsidR="00B65F15" w:rsidRDefault="00B65F15" w:rsidP="00FB0582">
      <w:pPr>
        <w:rPr>
          <w:rFonts w:asciiTheme="minorHAnsi" w:hAnsiTheme="minorHAnsi"/>
          <w:i/>
          <w:iCs/>
        </w:rPr>
      </w:pPr>
    </w:p>
    <w:p w14:paraId="52553386" w14:textId="5FF169FC" w:rsidR="004B3468" w:rsidRDefault="00FB0582" w:rsidP="00B65F15">
      <w:pPr>
        <w:rPr>
          <w:rFonts w:asciiTheme="minorHAnsi" w:hAnsiTheme="minorHAnsi"/>
        </w:rPr>
      </w:pPr>
      <w:r w:rsidRPr="001E5D4B">
        <w:rPr>
          <w:rFonts w:asciiTheme="minorHAnsi" w:hAnsiTheme="minorHAnsi"/>
          <w:i/>
          <w:iCs/>
          <w:noProof/>
        </w:rPr>
        <w:drawing>
          <wp:anchor distT="0" distB="0" distL="114300" distR="114300" simplePos="0" relativeHeight="251718656" behindDoc="0" locked="0" layoutInCell="1" allowOverlap="1" wp14:anchorId="6EEC26E5" wp14:editId="5CE0A351">
            <wp:simplePos x="0" y="0"/>
            <wp:positionH relativeFrom="margin">
              <wp:align>center</wp:align>
            </wp:positionH>
            <wp:positionV relativeFrom="paragraph">
              <wp:posOffset>12700</wp:posOffset>
            </wp:positionV>
            <wp:extent cx="5867205" cy="5760720"/>
            <wp:effectExtent l="12700" t="12700" r="13335" b="17780"/>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14" cstate="print">
                      <a:extLst>
                        <a:ext uri="{28A0092B-C50C-407E-A947-70E740481C1C}">
                          <a14:useLocalDpi xmlns:a14="http://schemas.microsoft.com/office/drawing/2010/main" val="0"/>
                        </a:ext>
                      </a:extLst>
                    </a:blip>
                    <a:srcRect l="8686" r="12609"/>
                    <a:stretch/>
                  </pic:blipFill>
                  <pic:spPr bwMode="auto">
                    <a:xfrm>
                      <a:off x="0" y="0"/>
                      <a:ext cx="5867205" cy="576072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5D4B">
        <w:rPr>
          <w:rFonts w:asciiTheme="minorHAnsi" w:hAnsiTheme="minorHAnsi"/>
          <w:i/>
          <w:iCs/>
        </w:rPr>
        <w:t>Fig. 2. Spatially explicit models showing the normalized distribution of rates of supply (0-100) of four UES in Rochester at the block group level</w:t>
      </w:r>
      <w:r w:rsidRPr="00DA7CA5">
        <w:rPr>
          <w:rFonts w:asciiTheme="minorHAnsi" w:hAnsiTheme="minorHAnsi"/>
        </w:rPr>
        <w:t>. The greener that a given block group is</w:t>
      </w:r>
      <w:r>
        <w:rPr>
          <w:rFonts w:asciiTheme="minorHAnsi" w:hAnsiTheme="minorHAnsi"/>
        </w:rPr>
        <w:t>,</w:t>
      </w:r>
      <w:r w:rsidRPr="00DA7CA5">
        <w:rPr>
          <w:rFonts w:asciiTheme="minorHAnsi" w:hAnsiTheme="minorHAnsi"/>
        </w:rPr>
        <w:t xml:space="preserve"> the </w:t>
      </w:r>
      <w:r>
        <w:rPr>
          <w:rFonts w:asciiTheme="minorHAnsi" w:hAnsiTheme="minorHAnsi"/>
        </w:rPr>
        <w:t>greater the supply of UES that is produced there. (A) – total carbon removal</w:t>
      </w:r>
      <w:r w:rsidR="007F3A8F">
        <w:rPr>
          <w:rFonts w:asciiTheme="minorHAnsi" w:hAnsiTheme="minorHAnsi"/>
        </w:rPr>
        <w:t xml:space="preserve"> (carbon storage and sequestration)</w:t>
      </w:r>
      <w:r>
        <w:rPr>
          <w:rFonts w:asciiTheme="minorHAnsi" w:hAnsiTheme="minorHAnsi"/>
        </w:rPr>
        <w:t>, (B) – total air pollution removal, (C) – local climate regulation, (D)- recreation potential. For all four models, the greatest supplies of UES are seen around the periphery of the city, while the lowest values are seen closer to the city center. Areas in the maps marked with hash marks were not included in the analysis as they are not census block groups</w:t>
      </w:r>
      <w:r w:rsidR="00620CFA">
        <w:rPr>
          <w:rFonts w:asciiTheme="minorHAnsi" w:hAnsiTheme="minorHAnsi"/>
        </w:rPr>
        <w:t xml:space="preserve"> with a population</w:t>
      </w:r>
      <w:r>
        <w:rPr>
          <w:rFonts w:asciiTheme="minorHAnsi" w:hAnsiTheme="minorHAnsi"/>
        </w:rPr>
        <w:t xml:space="preserve">. </w:t>
      </w:r>
    </w:p>
    <w:p w14:paraId="371F8791" w14:textId="7501B9F8" w:rsidR="009842C5" w:rsidRDefault="004B3468" w:rsidP="00E7512C">
      <w:pPr>
        <w:rPr>
          <w:rFonts w:asciiTheme="minorHAnsi" w:hAnsiTheme="minorHAnsi"/>
        </w:rPr>
      </w:pPr>
      <w:r>
        <w:rPr>
          <w:rFonts w:asciiTheme="minorHAnsi" w:hAnsiTheme="minorHAnsi"/>
        </w:rPr>
        <w:br w:type="page"/>
      </w:r>
    </w:p>
    <w:p w14:paraId="1163F64A" w14:textId="3570ABCA" w:rsidR="00CE6B41" w:rsidRDefault="00341980" w:rsidP="00FB0582">
      <w:pPr>
        <w:spacing w:line="360" w:lineRule="auto"/>
        <w:ind w:firstLine="720"/>
        <w:rPr>
          <w:rFonts w:asciiTheme="minorHAnsi" w:hAnsiTheme="minorHAnsi"/>
        </w:rPr>
      </w:pPr>
      <w:r>
        <w:rPr>
          <w:rFonts w:asciiTheme="minorHAnsi" w:hAnsiTheme="minorHAnsi"/>
        </w:rPr>
        <w:lastRenderedPageBreak/>
        <w:t>The trends observed in the models within Fig. 2</w:t>
      </w:r>
      <w:r w:rsidR="005D09BE">
        <w:rPr>
          <w:rFonts w:asciiTheme="minorHAnsi" w:hAnsiTheme="minorHAnsi"/>
        </w:rPr>
        <w:t xml:space="preserve"> show that</w:t>
      </w:r>
      <w:r>
        <w:rPr>
          <w:rFonts w:asciiTheme="minorHAnsi" w:hAnsiTheme="minorHAnsi"/>
        </w:rPr>
        <w:t xml:space="preserve"> the highest production of UES supply</w:t>
      </w:r>
      <w:r w:rsidR="0012227B">
        <w:rPr>
          <w:rFonts w:asciiTheme="minorHAnsi" w:hAnsiTheme="minorHAnsi"/>
        </w:rPr>
        <w:t xml:space="preserve"> in the city</w:t>
      </w:r>
      <w:r>
        <w:rPr>
          <w:rFonts w:asciiTheme="minorHAnsi" w:hAnsiTheme="minorHAnsi"/>
        </w:rPr>
        <w:t xml:space="preserve"> </w:t>
      </w:r>
      <w:r w:rsidR="009143E6">
        <w:rPr>
          <w:rFonts w:asciiTheme="minorHAnsi" w:hAnsiTheme="minorHAnsi"/>
        </w:rPr>
        <w:t xml:space="preserve">primarily </w:t>
      </w:r>
      <w:r>
        <w:rPr>
          <w:rFonts w:asciiTheme="minorHAnsi" w:hAnsiTheme="minorHAnsi"/>
        </w:rPr>
        <w:t>occur</w:t>
      </w:r>
      <w:r w:rsidR="005D09BE">
        <w:rPr>
          <w:rFonts w:asciiTheme="minorHAnsi" w:hAnsiTheme="minorHAnsi"/>
        </w:rPr>
        <w:t>s</w:t>
      </w:r>
      <w:r>
        <w:rPr>
          <w:rFonts w:asciiTheme="minorHAnsi" w:hAnsiTheme="minorHAnsi"/>
        </w:rPr>
        <w:t xml:space="preserve"> in block groups around the periphery</w:t>
      </w:r>
      <w:r w:rsidR="005D09BE">
        <w:rPr>
          <w:rFonts w:asciiTheme="minorHAnsi" w:hAnsiTheme="minorHAnsi"/>
        </w:rPr>
        <w:t>, and this</w:t>
      </w:r>
      <w:r>
        <w:rPr>
          <w:rFonts w:asciiTheme="minorHAnsi" w:hAnsiTheme="minorHAnsi"/>
        </w:rPr>
        <w:t xml:space="preserve"> may be attributed to </w:t>
      </w:r>
      <w:r w:rsidR="00EC39A0">
        <w:rPr>
          <w:rFonts w:asciiTheme="minorHAnsi" w:hAnsiTheme="minorHAnsi"/>
        </w:rPr>
        <w:t>the</w:t>
      </w:r>
      <w:r>
        <w:rPr>
          <w:rFonts w:asciiTheme="minorHAnsi" w:hAnsiTheme="minorHAnsi"/>
        </w:rPr>
        <w:t xml:space="preserve"> synergies</w:t>
      </w:r>
      <w:r w:rsidR="00836D71">
        <w:rPr>
          <w:rFonts w:asciiTheme="minorHAnsi" w:hAnsiTheme="minorHAnsi"/>
        </w:rPr>
        <w:t xml:space="preserve"> and trade-offs</w:t>
      </w:r>
      <w:r w:rsidR="00EC39A0">
        <w:rPr>
          <w:rFonts w:asciiTheme="minorHAnsi" w:hAnsiTheme="minorHAnsi"/>
        </w:rPr>
        <w:t xml:space="preserve"> </w:t>
      </w:r>
      <w:r w:rsidR="00056F04">
        <w:rPr>
          <w:rFonts w:asciiTheme="minorHAnsi" w:hAnsiTheme="minorHAnsi"/>
        </w:rPr>
        <w:t xml:space="preserve">that occur </w:t>
      </w:r>
      <w:r w:rsidR="00EC39A0">
        <w:rPr>
          <w:rFonts w:asciiTheme="minorHAnsi" w:hAnsiTheme="minorHAnsi"/>
        </w:rPr>
        <w:t>between the various UES</w:t>
      </w:r>
      <w:r>
        <w:rPr>
          <w:rFonts w:asciiTheme="minorHAnsi" w:hAnsiTheme="minorHAnsi"/>
        </w:rPr>
        <w:t xml:space="preserve">. </w:t>
      </w:r>
      <w:r w:rsidR="00836D71">
        <w:rPr>
          <w:rFonts w:asciiTheme="minorHAnsi" w:hAnsiTheme="minorHAnsi"/>
        </w:rPr>
        <w:t>S</w:t>
      </w:r>
      <w:r>
        <w:rPr>
          <w:rFonts w:asciiTheme="minorHAnsi" w:hAnsiTheme="minorHAnsi"/>
        </w:rPr>
        <w:t>ynergies occur when the provisioning of two services increase o</w:t>
      </w:r>
      <w:r w:rsidR="009143E6">
        <w:rPr>
          <w:rFonts w:asciiTheme="minorHAnsi" w:hAnsiTheme="minorHAnsi"/>
        </w:rPr>
        <w:t>r</w:t>
      </w:r>
      <w:r>
        <w:rPr>
          <w:rFonts w:asciiTheme="minorHAnsi" w:hAnsiTheme="minorHAnsi"/>
        </w:rPr>
        <w:t xml:space="preserve"> decrease in unison</w:t>
      </w:r>
      <w:r w:rsidR="00836D71">
        <w:rPr>
          <w:rFonts w:asciiTheme="minorHAnsi" w:hAnsiTheme="minorHAnsi"/>
        </w:rPr>
        <w:t>, while trade-offs occur when the provisioning of one service increases as the service of another decreases</w:t>
      </w:r>
      <w:r w:rsidR="008D1639">
        <w:rPr>
          <w:rFonts w:asciiTheme="minorHAnsi" w:hAnsiTheme="minorHAnsi"/>
        </w:rPr>
        <w:t xml:space="preserve"> </w:t>
      </w:r>
      <w:r>
        <w:rPr>
          <w:rFonts w:asciiTheme="minorHAnsi" w:hAnsiTheme="minorHAnsi"/>
        </w:rPr>
        <w:t>(</w:t>
      </w:r>
      <w:r w:rsidRPr="00FC06CA">
        <w:rPr>
          <w:rFonts w:asciiTheme="minorHAnsi" w:hAnsiTheme="minorHAnsi"/>
        </w:rPr>
        <w:t>Rodriguez et al., 2006</w:t>
      </w:r>
      <w:r>
        <w:rPr>
          <w:rFonts w:asciiTheme="minorHAnsi" w:hAnsiTheme="minorHAnsi"/>
        </w:rPr>
        <w:t xml:space="preserve">). </w:t>
      </w:r>
      <w:r w:rsidR="009143E6">
        <w:rPr>
          <w:rFonts w:asciiTheme="minorHAnsi" w:hAnsiTheme="minorHAnsi"/>
        </w:rPr>
        <w:t xml:space="preserve">Derkzen et al. (2015) was able to observe </w:t>
      </w:r>
      <w:r w:rsidR="00C37C24">
        <w:rPr>
          <w:rFonts w:asciiTheme="minorHAnsi" w:hAnsiTheme="minorHAnsi"/>
        </w:rPr>
        <w:t xml:space="preserve">these </w:t>
      </w:r>
      <w:r w:rsidR="009143E6">
        <w:rPr>
          <w:rFonts w:asciiTheme="minorHAnsi" w:hAnsiTheme="minorHAnsi"/>
        </w:rPr>
        <w:t xml:space="preserve">synergies by bundling the production of </w:t>
      </w:r>
      <w:r w:rsidR="00836D71">
        <w:rPr>
          <w:rFonts w:asciiTheme="minorHAnsi" w:hAnsiTheme="minorHAnsi"/>
        </w:rPr>
        <w:t xml:space="preserve">six </w:t>
      </w:r>
      <w:r w:rsidR="009143E6">
        <w:rPr>
          <w:rFonts w:asciiTheme="minorHAnsi" w:hAnsiTheme="minorHAnsi"/>
        </w:rPr>
        <w:t>UES at the neighborhood level</w:t>
      </w:r>
      <w:r w:rsidR="00E3588D">
        <w:rPr>
          <w:rFonts w:asciiTheme="minorHAnsi" w:hAnsiTheme="minorHAnsi"/>
        </w:rPr>
        <w:t xml:space="preserve"> in Rotterdam, Netherlands</w:t>
      </w:r>
      <w:r w:rsidR="009143E6">
        <w:rPr>
          <w:rFonts w:asciiTheme="minorHAnsi" w:hAnsiTheme="minorHAnsi"/>
        </w:rPr>
        <w:t xml:space="preserve">. </w:t>
      </w:r>
      <w:r w:rsidR="00E3588D">
        <w:rPr>
          <w:rFonts w:asciiTheme="minorHAnsi" w:hAnsiTheme="minorHAnsi"/>
        </w:rPr>
        <w:t>Results from this study showed synergies</w:t>
      </w:r>
      <w:r w:rsidR="008D1639">
        <w:rPr>
          <w:rFonts w:asciiTheme="minorHAnsi" w:hAnsiTheme="minorHAnsi"/>
        </w:rPr>
        <w:t xml:space="preserve"> similar to </w:t>
      </w:r>
      <w:r w:rsidR="0005422E">
        <w:rPr>
          <w:rFonts w:asciiTheme="minorHAnsi" w:hAnsiTheme="minorHAnsi"/>
        </w:rPr>
        <w:t xml:space="preserve">our </w:t>
      </w:r>
      <w:r w:rsidR="008D1639">
        <w:rPr>
          <w:rFonts w:asciiTheme="minorHAnsi" w:hAnsiTheme="minorHAnsi"/>
        </w:rPr>
        <w:t>results</w:t>
      </w:r>
      <w:r w:rsidR="00E3588D">
        <w:rPr>
          <w:rFonts w:asciiTheme="minorHAnsi" w:hAnsiTheme="minorHAnsi"/>
        </w:rPr>
        <w:t xml:space="preserve"> between the production of local climate regulation, carbon storage, and air purification as they are supplied by the same types of UGS (Derkzen et al., 2015). Furthermore, th</w:t>
      </w:r>
      <w:r w:rsidR="00C37C24">
        <w:rPr>
          <w:rFonts w:asciiTheme="minorHAnsi" w:hAnsiTheme="minorHAnsi"/>
        </w:rPr>
        <w:t>is study</w:t>
      </w:r>
      <w:r w:rsidR="00E3588D">
        <w:rPr>
          <w:rFonts w:asciiTheme="minorHAnsi" w:hAnsiTheme="minorHAnsi"/>
        </w:rPr>
        <w:t xml:space="preserve"> also found synergies between recreation potential and run-off retention in neighborhoods closest to the city’s bodies of water (Derkzen et al., 2015).</w:t>
      </w:r>
      <w:r w:rsidR="00C37C24">
        <w:rPr>
          <w:rFonts w:asciiTheme="minorHAnsi" w:hAnsiTheme="minorHAnsi"/>
        </w:rPr>
        <w:t xml:space="preserve"> Conversely, trade-offs were observed in a study that quantified the production of </w:t>
      </w:r>
      <w:r w:rsidR="00836D71">
        <w:rPr>
          <w:rFonts w:asciiTheme="minorHAnsi" w:hAnsiTheme="minorHAnsi"/>
        </w:rPr>
        <w:t xml:space="preserve">various </w:t>
      </w:r>
      <w:r w:rsidR="00C37C24">
        <w:rPr>
          <w:rFonts w:asciiTheme="minorHAnsi" w:hAnsiTheme="minorHAnsi"/>
        </w:rPr>
        <w:t>UES while modeling potential developments for an urban floodplain in Vienna, Austria (</w:t>
      </w:r>
      <w:r w:rsidR="00C37C24" w:rsidRPr="00FC06CA">
        <w:rPr>
          <w:rFonts w:asciiTheme="minorHAnsi" w:hAnsiTheme="minorHAnsi"/>
        </w:rPr>
        <w:t>Sanon et al., 2012</w:t>
      </w:r>
      <w:r w:rsidR="00C37C24">
        <w:rPr>
          <w:rFonts w:asciiTheme="minorHAnsi" w:hAnsiTheme="minorHAnsi"/>
        </w:rPr>
        <w:t xml:space="preserve">). </w:t>
      </w:r>
      <w:r w:rsidR="00836D71">
        <w:rPr>
          <w:rFonts w:asciiTheme="minorHAnsi" w:hAnsiTheme="minorHAnsi"/>
        </w:rPr>
        <w:t>This study</w:t>
      </w:r>
      <w:r w:rsidR="00C37C24">
        <w:rPr>
          <w:rFonts w:asciiTheme="minorHAnsi" w:hAnsiTheme="minorHAnsi"/>
        </w:rPr>
        <w:t xml:space="preserve"> found that trade-offs occurred largely due to differences in stakeholder development preferences; the largest trade-off occurred between scenarios where the floodplain would be developed as a fishery as opposed to a source of drinking water for the city (Sanon et al., 2012). </w:t>
      </w:r>
      <w:r w:rsidR="00836D71">
        <w:rPr>
          <w:rFonts w:asciiTheme="minorHAnsi" w:hAnsiTheme="minorHAnsi"/>
        </w:rPr>
        <w:t xml:space="preserve">As seen with the results from the studies by Derkzen et al. (2015) and Sanon et al. (2012), there are different </w:t>
      </w:r>
      <w:r w:rsidR="00B50F84">
        <w:rPr>
          <w:rFonts w:asciiTheme="minorHAnsi" w:hAnsiTheme="minorHAnsi"/>
        </w:rPr>
        <w:t xml:space="preserve">forms of </w:t>
      </w:r>
      <w:r w:rsidR="00836D71">
        <w:rPr>
          <w:rFonts w:asciiTheme="minorHAnsi" w:hAnsiTheme="minorHAnsi"/>
        </w:rPr>
        <w:t xml:space="preserve">drivers that can influence the synergies and trade-offs between UES. In a literature review of drivers that cause ecosystem service synergies and trade-offs, </w:t>
      </w:r>
      <w:r w:rsidR="00836D71" w:rsidRPr="00FC06CA">
        <w:rPr>
          <w:rFonts w:asciiTheme="minorHAnsi" w:hAnsiTheme="minorHAnsi"/>
        </w:rPr>
        <w:t>Dade et al. (2018)</w:t>
      </w:r>
      <w:r w:rsidR="00836D71">
        <w:rPr>
          <w:rFonts w:asciiTheme="minorHAnsi" w:hAnsiTheme="minorHAnsi"/>
        </w:rPr>
        <w:t xml:space="preserve"> found that some of the </w:t>
      </w:r>
      <w:r w:rsidR="00B50F84">
        <w:rPr>
          <w:rFonts w:asciiTheme="minorHAnsi" w:hAnsiTheme="minorHAnsi"/>
        </w:rPr>
        <w:t xml:space="preserve">primary </w:t>
      </w:r>
      <w:r w:rsidR="00836D71">
        <w:rPr>
          <w:rFonts w:asciiTheme="minorHAnsi" w:hAnsiTheme="minorHAnsi"/>
        </w:rPr>
        <w:t>drivers include land use</w:t>
      </w:r>
      <w:r w:rsidR="008D1639">
        <w:rPr>
          <w:rFonts w:asciiTheme="minorHAnsi" w:hAnsiTheme="minorHAnsi"/>
        </w:rPr>
        <w:t xml:space="preserve"> and </w:t>
      </w:r>
      <w:r w:rsidR="00836D71">
        <w:rPr>
          <w:rFonts w:asciiTheme="minorHAnsi" w:hAnsiTheme="minorHAnsi"/>
        </w:rPr>
        <w:t>land cover changes, biological</w:t>
      </w:r>
      <w:r w:rsidR="008D1639">
        <w:rPr>
          <w:rFonts w:asciiTheme="minorHAnsi" w:hAnsiTheme="minorHAnsi"/>
        </w:rPr>
        <w:t xml:space="preserve"> and </w:t>
      </w:r>
      <w:r w:rsidR="00836D71">
        <w:rPr>
          <w:rFonts w:asciiTheme="minorHAnsi" w:hAnsiTheme="minorHAnsi"/>
        </w:rPr>
        <w:t xml:space="preserve">physical characteristics, policy instruments, climate change, and </w:t>
      </w:r>
      <w:r w:rsidR="001B4580">
        <w:rPr>
          <w:rFonts w:asciiTheme="minorHAnsi" w:hAnsiTheme="minorHAnsi"/>
        </w:rPr>
        <w:t>SES indicators</w:t>
      </w:r>
      <w:r w:rsidR="00836D71">
        <w:rPr>
          <w:rFonts w:asciiTheme="minorHAnsi" w:hAnsiTheme="minorHAnsi"/>
        </w:rPr>
        <w:t>.</w:t>
      </w:r>
      <w:r w:rsidR="00B50F84">
        <w:rPr>
          <w:rFonts w:asciiTheme="minorHAnsi" w:hAnsiTheme="minorHAnsi"/>
        </w:rPr>
        <w:t xml:space="preserve"> </w:t>
      </w:r>
      <w:r w:rsidR="008D1639">
        <w:rPr>
          <w:rFonts w:asciiTheme="minorHAnsi" w:hAnsiTheme="minorHAnsi"/>
        </w:rPr>
        <w:t>By i</w:t>
      </w:r>
      <w:r w:rsidR="00B50F84">
        <w:rPr>
          <w:rFonts w:asciiTheme="minorHAnsi" w:hAnsiTheme="minorHAnsi"/>
        </w:rPr>
        <w:t xml:space="preserve">ncreasing our understanding of the synergies and trade-offs between UES and the drivers that </w:t>
      </w:r>
      <w:r w:rsidR="005D09BE">
        <w:rPr>
          <w:rFonts w:asciiTheme="minorHAnsi" w:hAnsiTheme="minorHAnsi"/>
        </w:rPr>
        <w:t>cause</w:t>
      </w:r>
      <w:r w:rsidR="00B50F84">
        <w:rPr>
          <w:rFonts w:asciiTheme="minorHAnsi" w:hAnsiTheme="minorHAnsi"/>
        </w:rPr>
        <w:t xml:space="preserve"> them</w:t>
      </w:r>
      <w:r w:rsidR="008D1639">
        <w:rPr>
          <w:rFonts w:asciiTheme="minorHAnsi" w:hAnsiTheme="minorHAnsi"/>
        </w:rPr>
        <w:t>,</w:t>
      </w:r>
      <w:r w:rsidR="00B50F84">
        <w:rPr>
          <w:rFonts w:asciiTheme="minorHAnsi" w:hAnsiTheme="minorHAnsi"/>
        </w:rPr>
        <w:t xml:space="preserve"> </w:t>
      </w:r>
      <w:r w:rsidR="005D09BE">
        <w:rPr>
          <w:rFonts w:asciiTheme="minorHAnsi" w:hAnsiTheme="minorHAnsi"/>
        </w:rPr>
        <w:t xml:space="preserve">we can </w:t>
      </w:r>
      <w:r w:rsidR="00B50F84">
        <w:rPr>
          <w:rFonts w:asciiTheme="minorHAnsi" w:hAnsiTheme="minorHAnsi"/>
        </w:rPr>
        <w:t xml:space="preserve">help </w:t>
      </w:r>
      <w:r w:rsidR="005D09BE">
        <w:rPr>
          <w:rFonts w:asciiTheme="minorHAnsi" w:hAnsiTheme="minorHAnsi"/>
        </w:rPr>
        <w:t xml:space="preserve">to </w:t>
      </w:r>
      <w:r w:rsidR="00B50F84">
        <w:rPr>
          <w:rFonts w:asciiTheme="minorHAnsi" w:hAnsiTheme="minorHAnsi"/>
        </w:rPr>
        <w:t xml:space="preserve">improve policy decisions and </w:t>
      </w:r>
      <w:r w:rsidR="008D1639">
        <w:rPr>
          <w:rFonts w:asciiTheme="minorHAnsi" w:hAnsiTheme="minorHAnsi"/>
        </w:rPr>
        <w:t xml:space="preserve">the management of UGS (Dade et al., 2018). </w:t>
      </w:r>
      <w:r w:rsidR="005D09BE">
        <w:rPr>
          <w:rFonts w:asciiTheme="minorHAnsi" w:hAnsiTheme="minorHAnsi"/>
        </w:rPr>
        <w:t>These improved policy decisions and management practices</w:t>
      </w:r>
      <w:r w:rsidR="008D1639">
        <w:rPr>
          <w:rFonts w:asciiTheme="minorHAnsi" w:hAnsiTheme="minorHAnsi"/>
        </w:rPr>
        <w:t xml:space="preserve"> can </w:t>
      </w:r>
      <w:r w:rsidR="005D09BE">
        <w:rPr>
          <w:rFonts w:asciiTheme="minorHAnsi" w:hAnsiTheme="minorHAnsi"/>
        </w:rPr>
        <w:t xml:space="preserve">help </w:t>
      </w:r>
      <w:r w:rsidR="008D1639">
        <w:rPr>
          <w:rFonts w:asciiTheme="minorHAnsi" w:hAnsiTheme="minorHAnsi"/>
        </w:rPr>
        <w:t xml:space="preserve">improve the supply of </w:t>
      </w:r>
      <w:r w:rsidR="0012227B">
        <w:rPr>
          <w:rFonts w:asciiTheme="minorHAnsi" w:hAnsiTheme="minorHAnsi"/>
        </w:rPr>
        <w:t>multiple</w:t>
      </w:r>
      <w:r w:rsidR="008D1639">
        <w:rPr>
          <w:rFonts w:asciiTheme="minorHAnsi" w:hAnsiTheme="minorHAnsi"/>
        </w:rPr>
        <w:t xml:space="preserve"> UES </w:t>
      </w:r>
      <w:r w:rsidR="0012227B">
        <w:rPr>
          <w:rFonts w:asciiTheme="minorHAnsi" w:hAnsiTheme="minorHAnsi"/>
        </w:rPr>
        <w:t>in areas of Rochester where they are deficient</w:t>
      </w:r>
      <w:r w:rsidR="008D1639">
        <w:rPr>
          <w:rFonts w:asciiTheme="minorHAnsi" w:hAnsiTheme="minorHAnsi"/>
        </w:rPr>
        <w:t xml:space="preserve"> and identify which </w:t>
      </w:r>
      <w:r w:rsidR="005D09BE">
        <w:rPr>
          <w:rFonts w:asciiTheme="minorHAnsi" w:hAnsiTheme="minorHAnsi"/>
        </w:rPr>
        <w:t xml:space="preserve">type of UGS </w:t>
      </w:r>
      <w:r w:rsidR="008D1639">
        <w:rPr>
          <w:rFonts w:asciiTheme="minorHAnsi" w:hAnsiTheme="minorHAnsi"/>
        </w:rPr>
        <w:t>are most needed there</w:t>
      </w:r>
      <w:r w:rsidR="0012227B">
        <w:rPr>
          <w:rFonts w:asciiTheme="minorHAnsi" w:hAnsiTheme="minorHAnsi"/>
        </w:rPr>
        <w:t xml:space="preserve"> to </w:t>
      </w:r>
      <w:r w:rsidR="001B4580">
        <w:rPr>
          <w:rFonts w:asciiTheme="minorHAnsi" w:hAnsiTheme="minorHAnsi"/>
        </w:rPr>
        <w:t xml:space="preserve">synergistically </w:t>
      </w:r>
      <w:r w:rsidR="0012227B">
        <w:rPr>
          <w:rFonts w:asciiTheme="minorHAnsi" w:hAnsiTheme="minorHAnsi"/>
        </w:rPr>
        <w:t>improve their supply</w:t>
      </w:r>
      <w:r w:rsidR="008D1639">
        <w:rPr>
          <w:rFonts w:asciiTheme="minorHAnsi" w:hAnsiTheme="minorHAnsi"/>
        </w:rPr>
        <w:t xml:space="preserve">. </w:t>
      </w:r>
    </w:p>
    <w:p w14:paraId="4F29A7F5" w14:textId="2F73CA86" w:rsidR="00FB0582" w:rsidRPr="00FB0582" w:rsidRDefault="00FB0582" w:rsidP="00FB0582">
      <w:pPr>
        <w:spacing w:line="360" w:lineRule="auto"/>
        <w:ind w:firstLine="720"/>
        <w:rPr>
          <w:rFonts w:asciiTheme="minorHAnsi" w:hAnsiTheme="minorHAnsi"/>
        </w:rPr>
      </w:pPr>
      <w:r>
        <w:rPr>
          <w:rFonts w:asciiTheme="minorHAnsi" w:hAnsiTheme="minorHAnsi"/>
        </w:rPr>
        <w:t>Compared to other cities, there is an overall high value of UES supply in Rochester. I</w:t>
      </w:r>
      <w:r w:rsidRPr="003C6F05">
        <w:rPr>
          <w:rFonts w:asciiTheme="minorHAnsi" w:hAnsiTheme="minorHAnsi"/>
        </w:rPr>
        <w:t>n Syracuse, NY</w:t>
      </w:r>
      <w:r>
        <w:rPr>
          <w:rFonts w:asciiTheme="minorHAnsi" w:hAnsiTheme="minorHAnsi"/>
        </w:rPr>
        <w:t>, a central New York city with a population of more than 140,000 and just 28 Km</w:t>
      </w:r>
      <w:r>
        <w:rPr>
          <w:rFonts w:asciiTheme="minorHAnsi" w:hAnsiTheme="minorHAnsi"/>
          <w:vertAlign w:val="superscript"/>
        </w:rPr>
        <w:t>2</w:t>
      </w:r>
      <w:r>
        <w:rPr>
          <w:rFonts w:asciiTheme="minorHAnsi" w:hAnsiTheme="minorHAnsi"/>
        </w:rPr>
        <w:t xml:space="preserve"> smaller than </w:t>
      </w:r>
      <w:r w:rsidRPr="00E04FA6">
        <w:rPr>
          <w:rFonts w:asciiTheme="minorHAnsi" w:hAnsiTheme="minorHAnsi"/>
        </w:rPr>
        <w:t>Rochester (World Population Review, 2020</w:t>
      </w:r>
      <w:r>
        <w:rPr>
          <w:rFonts w:asciiTheme="minorHAnsi" w:hAnsiTheme="minorHAnsi"/>
        </w:rPr>
        <w:t xml:space="preserve">; World Population </w:t>
      </w:r>
      <w:r>
        <w:rPr>
          <w:rFonts w:asciiTheme="minorHAnsi" w:hAnsiTheme="minorHAnsi"/>
        </w:rPr>
        <w:lastRenderedPageBreak/>
        <w:t>Review, 2021</w:t>
      </w:r>
      <w:r>
        <w:rPr>
          <w:rFonts w:asciiTheme="minorHAnsi" w:hAnsiTheme="minorHAnsi"/>
          <w:vertAlign w:val="subscript"/>
        </w:rPr>
        <w:t>a</w:t>
      </w:r>
      <w:r w:rsidRPr="00E04FA6">
        <w:rPr>
          <w:rFonts w:asciiTheme="minorHAnsi" w:hAnsiTheme="minorHAnsi"/>
        </w:rPr>
        <w:t>),</w:t>
      </w:r>
      <w:r>
        <w:rPr>
          <w:rFonts w:asciiTheme="minorHAnsi" w:hAnsiTheme="minorHAnsi"/>
        </w:rPr>
        <w:t xml:space="preserve"> urban trees </w:t>
      </w:r>
      <w:r w:rsidRPr="003C6F05">
        <w:rPr>
          <w:rFonts w:asciiTheme="minorHAnsi" w:hAnsiTheme="minorHAnsi"/>
        </w:rPr>
        <w:t>can store 1</w:t>
      </w:r>
      <w:r w:rsidR="00270995">
        <w:rPr>
          <w:rFonts w:asciiTheme="minorHAnsi" w:hAnsiTheme="minorHAnsi"/>
        </w:rPr>
        <w:t>48</w:t>
      </w:r>
      <w:r w:rsidRPr="003C6F05">
        <w:rPr>
          <w:rFonts w:asciiTheme="minorHAnsi" w:hAnsiTheme="minorHAnsi"/>
        </w:rPr>
        <w:t>,</w:t>
      </w:r>
      <w:r w:rsidR="00270995">
        <w:rPr>
          <w:rFonts w:asciiTheme="minorHAnsi" w:hAnsiTheme="minorHAnsi"/>
        </w:rPr>
        <w:t>3</w:t>
      </w:r>
      <w:r w:rsidRPr="003C6F05">
        <w:rPr>
          <w:rFonts w:asciiTheme="minorHAnsi" w:hAnsiTheme="minorHAnsi"/>
        </w:rPr>
        <w:t xml:space="preserve">00 </w:t>
      </w:r>
      <w:r w:rsidR="00270995">
        <w:rPr>
          <w:rFonts w:asciiTheme="minorHAnsi" w:hAnsiTheme="minorHAnsi"/>
        </w:rPr>
        <w:t xml:space="preserve">metric </w:t>
      </w:r>
      <w:r w:rsidRPr="003C6F05">
        <w:rPr>
          <w:rFonts w:asciiTheme="minorHAnsi" w:hAnsiTheme="minorHAnsi"/>
        </w:rPr>
        <w:t xml:space="preserve">tons of carbon and sequester 4,700 </w:t>
      </w:r>
      <w:r w:rsidR="00270995">
        <w:rPr>
          <w:rFonts w:asciiTheme="minorHAnsi" w:hAnsiTheme="minorHAnsi"/>
        </w:rPr>
        <w:t xml:space="preserve">metric </w:t>
      </w:r>
      <w:r w:rsidRPr="003C6F05">
        <w:rPr>
          <w:rFonts w:asciiTheme="minorHAnsi" w:hAnsiTheme="minorHAnsi"/>
        </w:rPr>
        <w:t>tons per year</w:t>
      </w:r>
      <w:r>
        <w:rPr>
          <w:rFonts w:asciiTheme="minorHAnsi" w:hAnsiTheme="minorHAnsi"/>
        </w:rPr>
        <w:t xml:space="preserve"> (</w:t>
      </w:r>
      <w:r w:rsidRPr="00DE42D3">
        <w:rPr>
          <w:rFonts w:asciiTheme="minorHAnsi" w:hAnsiTheme="minorHAnsi"/>
        </w:rPr>
        <w:t>Nowak et al., 2002</w:t>
      </w:r>
      <w:r>
        <w:rPr>
          <w:rFonts w:asciiTheme="minorHAnsi" w:hAnsiTheme="minorHAnsi"/>
        </w:rPr>
        <w:t xml:space="preserve">). While </w:t>
      </w:r>
      <w:r w:rsidR="0005422E">
        <w:rPr>
          <w:rFonts w:asciiTheme="minorHAnsi" w:hAnsiTheme="minorHAnsi"/>
        </w:rPr>
        <w:t xml:space="preserve">our </w:t>
      </w:r>
      <w:r>
        <w:rPr>
          <w:rFonts w:asciiTheme="minorHAnsi" w:hAnsiTheme="minorHAnsi"/>
        </w:rPr>
        <w:t xml:space="preserve">calculations determined that UGS in Rochester can store </w:t>
      </w:r>
      <w:r w:rsidR="00FC06CA">
        <w:rPr>
          <w:rFonts w:asciiTheme="minorHAnsi" w:hAnsiTheme="minorHAnsi"/>
        </w:rPr>
        <w:t>nearly</w:t>
      </w:r>
      <w:r>
        <w:rPr>
          <w:rFonts w:asciiTheme="minorHAnsi" w:hAnsiTheme="minorHAnsi"/>
        </w:rPr>
        <w:t xml:space="preserve"> double the amount of carbon than Syracuse, </w:t>
      </w:r>
      <w:r w:rsidR="0005422E">
        <w:rPr>
          <w:rFonts w:asciiTheme="minorHAnsi" w:hAnsiTheme="minorHAnsi"/>
        </w:rPr>
        <w:t xml:space="preserve">our </w:t>
      </w:r>
      <w:r>
        <w:rPr>
          <w:rFonts w:asciiTheme="minorHAnsi" w:hAnsiTheme="minorHAnsi"/>
        </w:rPr>
        <w:t>analysis also took into consideration the storage abilities of fine vegetation and urban bare soil. Whereas in the study by Nowak et al. (2002), they only calculated the carbon storage abilities of urban trees. Similarly, Rochester also had a higher value of air pollution removal compared to other New York cities. In Buffalo, NY, a western New York city with a population of 254,000 and an area 12 Km</w:t>
      </w:r>
      <w:r>
        <w:rPr>
          <w:rFonts w:asciiTheme="minorHAnsi" w:hAnsiTheme="minorHAnsi"/>
          <w:vertAlign w:val="superscript"/>
        </w:rPr>
        <w:t>2</w:t>
      </w:r>
      <w:r>
        <w:rPr>
          <w:rFonts w:asciiTheme="minorHAnsi" w:hAnsiTheme="minorHAnsi"/>
        </w:rPr>
        <w:t xml:space="preserve"> larger than Rochester (</w:t>
      </w:r>
      <w:r w:rsidRPr="00DE42D3">
        <w:rPr>
          <w:rFonts w:asciiTheme="minorHAnsi" w:hAnsiTheme="minorHAnsi"/>
        </w:rPr>
        <w:t>World Population Review, 2020</w:t>
      </w:r>
      <w:r>
        <w:rPr>
          <w:rFonts w:asciiTheme="minorHAnsi" w:hAnsiTheme="minorHAnsi"/>
        </w:rPr>
        <w:t>; World Population Review, 2021</w:t>
      </w:r>
      <w:r>
        <w:rPr>
          <w:rFonts w:asciiTheme="minorHAnsi" w:hAnsiTheme="minorHAnsi"/>
          <w:vertAlign w:val="subscript"/>
        </w:rPr>
        <w:t>b</w:t>
      </w:r>
      <w:r>
        <w:rPr>
          <w:rFonts w:asciiTheme="minorHAnsi" w:hAnsiTheme="minorHAnsi"/>
        </w:rPr>
        <w:t xml:space="preserve">), urban trees are estimated to </w:t>
      </w:r>
      <w:r w:rsidRPr="003C6F05">
        <w:rPr>
          <w:rFonts w:asciiTheme="minorHAnsi" w:hAnsiTheme="minorHAnsi"/>
        </w:rPr>
        <w:t xml:space="preserve">remove 165 </w:t>
      </w:r>
      <w:r w:rsidR="00270995">
        <w:rPr>
          <w:rFonts w:asciiTheme="minorHAnsi" w:hAnsiTheme="minorHAnsi"/>
        </w:rPr>
        <w:t xml:space="preserve">metric </w:t>
      </w:r>
      <w:r w:rsidRPr="003C6F05">
        <w:rPr>
          <w:rFonts w:asciiTheme="minorHAnsi" w:hAnsiTheme="minorHAnsi"/>
        </w:rPr>
        <w:t xml:space="preserve">tons of pollutants per year (Nowak et al., 2006). However, the </w:t>
      </w:r>
      <w:r>
        <w:rPr>
          <w:rFonts w:asciiTheme="minorHAnsi" w:hAnsiTheme="minorHAnsi"/>
        </w:rPr>
        <w:t>calculations</w:t>
      </w:r>
      <w:r w:rsidRPr="003C6F05">
        <w:rPr>
          <w:rFonts w:asciiTheme="minorHAnsi" w:hAnsiTheme="minorHAnsi"/>
        </w:rPr>
        <w:t xml:space="preserve"> from that study only </w:t>
      </w:r>
      <w:r w:rsidR="004065B4" w:rsidRPr="003C6F05">
        <w:rPr>
          <w:rFonts w:asciiTheme="minorHAnsi" w:hAnsiTheme="minorHAnsi"/>
        </w:rPr>
        <w:t>considered</w:t>
      </w:r>
      <w:r w:rsidRPr="003C6F05">
        <w:rPr>
          <w:rFonts w:asciiTheme="minorHAnsi" w:hAnsiTheme="minorHAnsi"/>
        </w:rPr>
        <w:t xml:space="preserve"> the storage abilities of Buffalo’s urban trees, </w:t>
      </w:r>
      <w:r>
        <w:rPr>
          <w:rFonts w:asciiTheme="minorHAnsi" w:hAnsiTheme="minorHAnsi"/>
        </w:rPr>
        <w:t xml:space="preserve">while </w:t>
      </w:r>
      <w:r w:rsidR="0005422E">
        <w:rPr>
          <w:rFonts w:asciiTheme="minorHAnsi" w:hAnsiTheme="minorHAnsi"/>
        </w:rPr>
        <w:t xml:space="preserve">our </w:t>
      </w:r>
      <w:r>
        <w:rPr>
          <w:rFonts w:asciiTheme="minorHAnsi" w:hAnsiTheme="minorHAnsi"/>
        </w:rPr>
        <w:t xml:space="preserve">study analyzed the air pollution removal abilities of </w:t>
      </w:r>
      <w:r w:rsidR="00735628">
        <w:rPr>
          <w:rFonts w:asciiTheme="minorHAnsi" w:hAnsiTheme="minorHAnsi"/>
        </w:rPr>
        <w:t xml:space="preserve">the </w:t>
      </w:r>
      <w:r>
        <w:rPr>
          <w:rFonts w:asciiTheme="minorHAnsi" w:hAnsiTheme="minorHAnsi"/>
        </w:rPr>
        <w:t xml:space="preserve">coarse and fine vegetation. Urban soils and fine vegetation can both be significant contributors of carbon and air pollution removal in cities. Urban soils are estimated to store 1.9 billion </w:t>
      </w:r>
      <w:r w:rsidR="00270995">
        <w:rPr>
          <w:rFonts w:asciiTheme="minorHAnsi" w:hAnsiTheme="minorHAnsi"/>
        </w:rPr>
        <w:t xml:space="preserve">metric </w:t>
      </w:r>
      <w:r>
        <w:rPr>
          <w:rFonts w:asciiTheme="minorHAnsi" w:hAnsiTheme="minorHAnsi"/>
        </w:rPr>
        <w:t xml:space="preserve">tons of carbon in the United States (Pouyat et al., 2006), that is three times the storage abilities of U.S. urban trees (Nowak et al., 2013). However, studies that have estimated the carbon and air pollution removal of urban soils and fine vegetation both note that more natural areas such as parks remove much greater amounts of pollutants compared to more managed areas like residential lawns (Jo and McPhearson, 1995; Pouyat et al., 2006). </w:t>
      </w:r>
    </w:p>
    <w:p w14:paraId="0C9BBF91" w14:textId="6089C2F7" w:rsidR="006E5A45" w:rsidRDefault="006E5A45" w:rsidP="00B20D5B">
      <w:pPr>
        <w:spacing w:line="360" w:lineRule="auto"/>
        <w:ind w:firstLine="720"/>
        <w:rPr>
          <w:rFonts w:asciiTheme="minorHAnsi" w:hAnsiTheme="minorHAnsi"/>
        </w:rPr>
      </w:pPr>
      <w:r>
        <w:rPr>
          <w:rFonts w:ascii="Cambria Math" w:hAnsi="Cambria Math" w:cs="Cambria Math"/>
        </w:rPr>
        <w:t xml:space="preserve">Comparing the values from the local climate regulation analysis to </w:t>
      </w:r>
      <w:r w:rsidR="00B20D5B">
        <w:rPr>
          <w:rFonts w:ascii="Cambria Math" w:hAnsi="Cambria Math" w:cs="Cambria Math"/>
        </w:rPr>
        <w:t>another study</w:t>
      </w:r>
      <w:r>
        <w:rPr>
          <w:rFonts w:ascii="Cambria Math" w:hAnsi="Cambria Math" w:cs="Cambria Math"/>
        </w:rPr>
        <w:t xml:space="preserve">, </w:t>
      </w:r>
      <w:r w:rsidR="00B20D5B">
        <w:rPr>
          <w:rFonts w:ascii="Cambria Math" w:hAnsi="Cambria Math" w:cs="Cambria Math"/>
        </w:rPr>
        <w:t xml:space="preserve">these </w:t>
      </w:r>
      <w:r w:rsidR="00B20D5B" w:rsidRPr="003C6F05">
        <w:rPr>
          <w:rFonts w:asciiTheme="minorHAnsi" w:hAnsiTheme="minorHAnsi"/>
        </w:rPr>
        <w:t>values</w:t>
      </w:r>
      <w:r>
        <w:rPr>
          <w:rFonts w:asciiTheme="minorHAnsi" w:hAnsiTheme="minorHAnsi"/>
        </w:rPr>
        <w:t xml:space="preserve"> </w:t>
      </w:r>
      <w:r w:rsidRPr="003C6F05">
        <w:rPr>
          <w:rFonts w:asciiTheme="minorHAnsi" w:hAnsiTheme="minorHAnsi"/>
        </w:rPr>
        <w:t>f</w:t>
      </w:r>
      <w:r w:rsidR="00B20D5B">
        <w:rPr>
          <w:rFonts w:asciiTheme="minorHAnsi" w:hAnsiTheme="minorHAnsi"/>
        </w:rPr>
        <w:t>ell</w:t>
      </w:r>
      <w:r w:rsidRPr="003C6F05">
        <w:rPr>
          <w:rFonts w:asciiTheme="minorHAnsi" w:hAnsiTheme="minorHAnsi"/>
        </w:rPr>
        <w:t xml:space="preserve"> within the range of average LST for urban areas </w:t>
      </w:r>
      <w:r>
        <w:rPr>
          <w:rFonts w:asciiTheme="minorHAnsi" w:hAnsiTheme="minorHAnsi"/>
        </w:rPr>
        <w:t xml:space="preserve">that have 25% or more impervious surface area </w:t>
      </w:r>
      <w:r w:rsidRPr="003C6F05">
        <w:rPr>
          <w:rFonts w:asciiTheme="minorHAnsi" w:hAnsiTheme="minorHAnsi"/>
        </w:rPr>
        <w:t xml:space="preserve">(ISA) </w:t>
      </w:r>
      <w:r>
        <w:rPr>
          <w:rFonts w:asciiTheme="minorHAnsi" w:hAnsiTheme="minorHAnsi"/>
        </w:rPr>
        <w:t>and</w:t>
      </w:r>
      <w:r w:rsidRPr="003C6F05">
        <w:rPr>
          <w:rFonts w:asciiTheme="minorHAnsi" w:hAnsiTheme="minorHAnsi"/>
        </w:rPr>
        <w:t xml:space="preserve"> have </w:t>
      </w:r>
      <w:r>
        <w:rPr>
          <w:rFonts w:asciiTheme="minorHAnsi" w:hAnsiTheme="minorHAnsi"/>
        </w:rPr>
        <w:t xml:space="preserve">a </w:t>
      </w:r>
      <w:r w:rsidRPr="003C6F05">
        <w:rPr>
          <w:rFonts w:asciiTheme="minorHAnsi" w:hAnsiTheme="minorHAnsi"/>
        </w:rPr>
        <w:t>temperate broadleaf and mixed forest biomes (Imhoff et al., 2010).</w:t>
      </w:r>
      <w:r>
        <w:rPr>
          <w:rFonts w:asciiTheme="minorHAnsi" w:hAnsiTheme="minorHAnsi"/>
        </w:rPr>
        <w:t xml:space="preserve"> The block groups which had the highest LST (Fig. 2C) also have the highest proportions of impervious surfaces compared to anywhere else in the city (Table 4). These results are supported by the fact that the warmest areas of cities are found in the inner-most contour and that ISA controls for 70% of the variance that is observed in urban LST (Imhoff et al., 2010). </w:t>
      </w:r>
      <w:r w:rsidR="00B20D5B">
        <w:rPr>
          <w:rFonts w:asciiTheme="minorHAnsi" w:hAnsiTheme="minorHAnsi"/>
        </w:rPr>
        <w:t>For the recreation potential indicator, residents in Rochester had better access to parks than residents in New York City. In New York City,</w:t>
      </w:r>
      <w:r>
        <w:rPr>
          <w:rFonts w:asciiTheme="minorHAnsi" w:hAnsiTheme="minorHAnsi"/>
        </w:rPr>
        <w:t xml:space="preserve"> </w:t>
      </w:r>
      <w:r w:rsidRPr="003C6F05">
        <w:rPr>
          <w:rFonts w:asciiTheme="minorHAnsi" w:hAnsiTheme="minorHAnsi"/>
        </w:rPr>
        <w:t xml:space="preserve">census tract groups (a demographic subdivision one level above block groups) were within a 0.25 mi walk from a median value of 5.2 and a mean of 60 acres of parkland (Weiss et al., 2011). </w:t>
      </w:r>
      <w:r w:rsidR="00B20D5B">
        <w:rPr>
          <w:rFonts w:asciiTheme="minorHAnsi" w:hAnsiTheme="minorHAnsi"/>
        </w:rPr>
        <w:lastRenderedPageBreak/>
        <w:t>Rochester residents had access to a mean value of parkland double that of New York City residents</w:t>
      </w:r>
      <w:r w:rsidR="008523D5">
        <w:rPr>
          <w:rFonts w:asciiTheme="minorHAnsi" w:hAnsiTheme="minorHAnsi"/>
        </w:rPr>
        <w:t xml:space="preserve"> (121 acres)</w:t>
      </w:r>
      <w:r w:rsidR="00B20D5B">
        <w:rPr>
          <w:rFonts w:asciiTheme="minorHAnsi" w:hAnsiTheme="minorHAnsi"/>
        </w:rPr>
        <w:t xml:space="preserve">. </w:t>
      </w:r>
    </w:p>
    <w:p w14:paraId="655696E5" w14:textId="604D4D41" w:rsidR="005F392D" w:rsidRDefault="00EF5359" w:rsidP="00E3588D">
      <w:pPr>
        <w:spacing w:line="360" w:lineRule="auto"/>
        <w:ind w:firstLine="720"/>
        <w:rPr>
          <w:rFonts w:asciiTheme="minorHAnsi" w:hAnsiTheme="minorHAnsi"/>
        </w:rPr>
      </w:pPr>
      <w:r>
        <w:rPr>
          <w:rFonts w:asciiTheme="minorHAnsi" w:hAnsiTheme="minorHAnsi"/>
        </w:rPr>
        <w:t>Through the two-way ANOVA,</w:t>
      </w:r>
      <w:r w:rsidR="00FB0582">
        <w:rPr>
          <w:rFonts w:asciiTheme="minorHAnsi" w:hAnsiTheme="minorHAnsi"/>
        </w:rPr>
        <w:t xml:space="preserve"> </w:t>
      </w:r>
      <w:r w:rsidR="004B3468">
        <w:rPr>
          <w:rFonts w:asciiTheme="minorHAnsi" w:hAnsiTheme="minorHAnsi"/>
        </w:rPr>
        <w:t xml:space="preserve">we </w:t>
      </w:r>
      <w:r>
        <w:rPr>
          <w:rFonts w:asciiTheme="minorHAnsi" w:hAnsiTheme="minorHAnsi"/>
        </w:rPr>
        <w:t>found</w:t>
      </w:r>
      <w:r w:rsidR="00FB0582">
        <w:rPr>
          <w:rFonts w:asciiTheme="minorHAnsi" w:hAnsiTheme="minorHAnsi"/>
        </w:rPr>
        <w:t xml:space="preserve"> that</w:t>
      </w:r>
      <w:r w:rsidR="00D1218E" w:rsidRPr="003C6F05">
        <w:rPr>
          <w:rFonts w:asciiTheme="minorHAnsi" w:hAnsiTheme="minorHAnsi"/>
        </w:rPr>
        <w:t xml:space="preserve"> the distribution of </w:t>
      </w:r>
      <w:r w:rsidR="00735628">
        <w:rPr>
          <w:rFonts w:asciiTheme="minorHAnsi" w:hAnsiTheme="minorHAnsi"/>
        </w:rPr>
        <w:t>three</w:t>
      </w:r>
      <w:r w:rsidR="00D1218E" w:rsidRPr="003C6F05">
        <w:rPr>
          <w:rFonts w:asciiTheme="minorHAnsi" w:hAnsiTheme="minorHAnsi"/>
        </w:rPr>
        <w:t xml:space="preserve"> of the</w:t>
      </w:r>
      <w:r>
        <w:rPr>
          <w:rFonts w:asciiTheme="minorHAnsi" w:hAnsiTheme="minorHAnsi"/>
        </w:rPr>
        <w:t xml:space="preserve"> four</w:t>
      </w:r>
      <w:r w:rsidR="00D1218E" w:rsidRPr="003C6F05">
        <w:rPr>
          <w:rFonts w:asciiTheme="minorHAnsi" w:hAnsiTheme="minorHAnsi"/>
        </w:rPr>
        <w:t xml:space="preserve"> UES indicators </w:t>
      </w:r>
      <w:r w:rsidR="00735628">
        <w:rPr>
          <w:rFonts w:asciiTheme="minorHAnsi" w:hAnsiTheme="minorHAnsi"/>
        </w:rPr>
        <w:t>are</w:t>
      </w:r>
      <w:r w:rsidR="00D1218E" w:rsidRPr="003C6F05">
        <w:rPr>
          <w:rFonts w:asciiTheme="minorHAnsi" w:hAnsiTheme="minorHAnsi"/>
        </w:rPr>
        <w:t xml:space="preserve"> significantly correlated with at least one </w:t>
      </w:r>
      <w:r>
        <w:rPr>
          <w:rFonts w:asciiTheme="minorHAnsi" w:hAnsiTheme="minorHAnsi"/>
        </w:rPr>
        <w:t xml:space="preserve">modern-day </w:t>
      </w:r>
      <w:r w:rsidR="00D1218E" w:rsidRPr="003C6F05">
        <w:rPr>
          <w:rFonts w:asciiTheme="minorHAnsi" w:hAnsiTheme="minorHAnsi"/>
        </w:rPr>
        <w:t>SES</w:t>
      </w:r>
      <w:r>
        <w:rPr>
          <w:rFonts w:asciiTheme="minorHAnsi" w:hAnsiTheme="minorHAnsi"/>
        </w:rPr>
        <w:t xml:space="preserve"> indicator</w:t>
      </w:r>
      <w:r w:rsidR="00D1218E" w:rsidRPr="003C6F05">
        <w:rPr>
          <w:rFonts w:asciiTheme="minorHAnsi" w:hAnsiTheme="minorHAnsi"/>
        </w:rPr>
        <w:t xml:space="preserve"> (Table </w:t>
      </w:r>
      <w:r w:rsidR="009B6B08">
        <w:rPr>
          <w:rFonts w:asciiTheme="minorHAnsi" w:hAnsiTheme="minorHAnsi"/>
        </w:rPr>
        <w:t>5</w:t>
      </w:r>
      <w:r w:rsidR="00D1218E" w:rsidRPr="003C6F05">
        <w:rPr>
          <w:rFonts w:asciiTheme="minorHAnsi" w:hAnsiTheme="minorHAnsi"/>
        </w:rPr>
        <w:t>). For both total carbon removal and air pollution removal</w:t>
      </w:r>
      <w:r w:rsidR="00F95E6E">
        <w:rPr>
          <w:rFonts w:asciiTheme="minorHAnsi" w:hAnsiTheme="minorHAnsi"/>
        </w:rPr>
        <w:t>,</w:t>
      </w:r>
      <w:r w:rsidR="00D1218E" w:rsidRPr="003C6F05">
        <w:rPr>
          <w:rFonts w:asciiTheme="minorHAnsi" w:hAnsiTheme="minorHAnsi"/>
        </w:rPr>
        <w:t xml:space="preserve"> there </w:t>
      </w:r>
      <w:r w:rsidR="0051607F">
        <w:rPr>
          <w:rFonts w:asciiTheme="minorHAnsi" w:hAnsiTheme="minorHAnsi"/>
        </w:rPr>
        <w:t xml:space="preserve">is </w:t>
      </w:r>
      <w:r w:rsidR="00D1218E" w:rsidRPr="003C6F05">
        <w:rPr>
          <w:rFonts w:asciiTheme="minorHAnsi" w:hAnsiTheme="minorHAnsi"/>
        </w:rPr>
        <w:t xml:space="preserve">a significantly negative correlation with the percentage of a block group’s population that </w:t>
      </w:r>
      <w:r w:rsidR="00BB20E3">
        <w:rPr>
          <w:rFonts w:asciiTheme="minorHAnsi" w:hAnsiTheme="minorHAnsi"/>
        </w:rPr>
        <w:t>identifies as</w:t>
      </w:r>
      <w:r w:rsidR="00D1218E" w:rsidRPr="003C6F05">
        <w:rPr>
          <w:rFonts w:asciiTheme="minorHAnsi" w:hAnsiTheme="minorHAnsi"/>
        </w:rPr>
        <w:t xml:space="preserve"> </w:t>
      </w:r>
      <w:r w:rsidR="00F32D56">
        <w:rPr>
          <w:rFonts w:asciiTheme="minorHAnsi" w:hAnsiTheme="minorHAnsi"/>
        </w:rPr>
        <w:t>B</w:t>
      </w:r>
      <w:r w:rsidR="00D1218E" w:rsidRPr="003C6F05">
        <w:rPr>
          <w:rFonts w:asciiTheme="minorHAnsi" w:hAnsiTheme="minorHAnsi"/>
        </w:rPr>
        <w:t>lack</w:t>
      </w:r>
      <w:r w:rsidR="00202E24">
        <w:rPr>
          <w:rFonts w:asciiTheme="minorHAnsi" w:hAnsiTheme="minorHAnsi"/>
        </w:rPr>
        <w:t xml:space="preserve"> (</w:t>
      </w:r>
      <w:r w:rsidR="00A30A91">
        <w:rPr>
          <w:rFonts w:asciiTheme="minorHAnsi" w:hAnsiTheme="minorHAnsi"/>
        </w:rPr>
        <w:t>Correlation coefficient</w:t>
      </w:r>
      <w:r w:rsidR="00AF3FF8">
        <w:rPr>
          <w:rFonts w:asciiTheme="minorHAnsi" w:hAnsiTheme="minorHAnsi"/>
        </w:rPr>
        <w:t xml:space="preserve">: </w:t>
      </w:r>
      <w:r w:rsidR="00202E24">
        <w:rPr>
          <w:rFonts w:asciiTheme="minorHAnsi" w:hAnsiTheme="minorHAnsi"/>
        </w:rPr>
        <w:t>-0.14, p-value</w:t>
      </w:r>
      <w:r w:rsidR="00AF3FF8">
        <w:rPr>
          <w:rFonts w:asciiTheme="minorHAnsi" w:hAnsiTheme="minorHAnsi"/>
        </w:rPr>
        <w:t>:</w:t>
      </w:r>
      <w:r w:rsidR="00202E24">
        <w:rPr>
          <w:rFonts w:asciiTheme="minorHAnsi" w:hAnsiTheme="minorHAnsi"/>
        </w:rPr>
        <w:t xml:space="preserve"> 0.00</w:t>
      </w:r>
      <w:r w:rsidR="00BB20E3">
        <w:rPr>
          <w:rFonts w:asciiTheme="minorHAnsi" w:hAnsiTheme="minorHAnsi"/>
        </w:rPr>
        <w:t>9</w:t>
      </w:r>
      <w:r w:rsidR="00202E24">
        <w:rPr>
          <w:rFonts w:asciiTheme="minorHAnsi" w:hAnsiTheme="minorHAnsi"/>
        </w:rPr>
        <w:t xml:space="preserve">; </w:t>
      </w:r>
      <w:r w:rsidR="00A30A91">
        <w:rPr>
          <w:rFonts w:asciiTheme="minorHAnsi" w:hAnsiTheme="minorHAnsi"/>
        </w:rPr>
        <w:t>Correlation coefficient</w:t>
      </w:r>
      <w:r w:rsidR="00AF3FF8">
        <w:rPr>
          <w:rFonts w:asciiTheme="minorHAnsi" w:hAnsiTheme="minorHAnsi"/>
        </w:rPr>
        <w:t xml:space="preserve">: </w:t>
      </w:r>
      <w:r w:rsidR="00202E24">
        <w:rPr>
          <w:rFonts w:asciiTheme="minorHAnsi" w:hAnsiTheme="minorHAnsi"/>
        </w:rPr>
        <w:t>-0.11, p-value</w:t>
      </w:r>
      <w:r w:rsidR="00AF3FF8">
        <w:rPr>
          <w:rFonts w:asciiTheme="minorHAnsi" w:hAnsiTheme="minorHAnsi"/>
        </w:rPr>
        <w:t>:</w:t>
      </w:r>
      <w:r w:rsidR="00202E24">
        <w:rPr>
          <w:rFonts w:asciiTheme="minorHAnsi" w:hAnsiTheme="minorHAnsi"/>
        </w:rPr>
        <w:t xml:space="preserve"> 0.0</w:t>
      </w:r>
      <w:r w:rsidR="00BB20E3">
        <w:rPr>
          <w:rFonts w:asciiTheme="minorHAnsi" w:hAnsiTheme="minorHAnsi"/>
        </w:rPr>
        <w:t>2</w:t>
      </w:r>
      <w:r w:rsidR="00202E24">
        <w:rPr>
          <w:rFonts w:asciiTheme="minorHAnsi" w:hAnsiTheme="minorHAnsi"/>
        </w:rPr>
        <w:t xml:space="preserve">) (Table </w:t>
      </w:r>
      <w:r w:rsidR="009B6B08">
        <w:rPr>
          <w:rFonts w:asciiTheme="minorHAnsi" w:hAnsiTheme="minorHAnsi"/>
        </w:rPr>
        <w:t>5</w:t>
      </w:r>
      <w:r w:rsidR="00202E24">
        <w:rPr>
          <w:rFonts w:asciiTheme="minorHAnsi" w:hAnsiTheme="minorHAnsi"/>
        </w:rPr>
        <w:t>)</w:t>
      </w:r>
      <w:r w:rsidR="00D1218E" w:rsidRPr="003C6F05">
        <w:rPr>
          <w:rFonts w:asciiTheme="minorHAnsi" w:hAnsiTheme="minorHAnsi"/>
        </w:rPr>
        <w:t xml:space="preserve">. </w:t>
      </w:r>
      <w:r w:rsidR="00A30A91">
        <w:rPr>
          <w:rFonts w:asciiTheme="minorHAnsi" w:hAnsiTheme="minorHAnsi"/>
        </w:rPr>
        <w:t>T</w:t>
      </w:r>
      <w:r w:rsidR="00D1218E" w:rsidRPr="003C6F05">
        <w:rPr>
          <w:rFonts w:asciiTheme="minorHAnsi" w:hAnsiTheme="minorHAnsi"/>
        </w:rPr>
        <w:t xml:space="preserve">hese two services </w:t>
      </w:r>
      <w:r w:rsidR="0051607F">
        <w:rPr>
          <w:rFonts w:asciiTheme="minorHAnsi" w:hAnsiTheme="minorHAnsi"/>
        </w:rPr>
        <w:t>are</w:t>
      </w:r>
      <w:r w:rsidR="00D1218E" w:rsidRPr="003C6F05">
        <w:rPr>
          <w:rFonts w:asciiTheme="minorHAnsi" w:hAnsiTheme="minorHAnsi"/>
        </w:rPr>
        <w:t xml:space="preserve"> also positively correlated with the percentage of a block group’s home ownership </w:t>
      </w:r>
      <w:r w:rsidR="00BB20E3">
        <w:rPr>
          <w:rFonts w:asciiTheme="minorHAnsi" w:hAnsiTheme="minorHAnsi"/>
        </w:rPr>
        <w:t>percentages</w:t>
      </w:r>
      <w:r w:rsidR="00202E24">
        <w:rPr>
          <w:rFonts w:asciiTheme="minorHAnsi" w:hAnsiTheme="minorHAnsi"/>
        </w:rPr>
        <w:t xml:space="preserve"> (</w:t>
      </w:r>
      <w:r w:rsidR="00A30A91">
        <w:rPr>
          <w:rFonts w:asciiTheme="minorHAnsi" w:hAnsiTheme="minorHAnsi"/>
        </w:rPr>
        <w:t>Correlation coefficient</w:t>
      </w:r>
      <w:r w:rsidR="00AF3FF8">
        <w:rPr>
          <w:rFonts w:asciiTheme="minorHAnsi" w:hAnsiTheme="minorHAnsi"/>
        </w:rPr>
        <w:t xml:space="preserve">: </w:t>
      </w:r>
      <w:r w:rsidR="00202E24">
        <w:rPr>
          <w:rFonts w:asciiTheme="minorHAnsi" w:hAnsiTheme="minorHAnsi"/>
        </w:rPr>
        <w:t>0.32, p-value &lt; 0</w:t>
      </w:r>
      <w:r w:rsidR="00AF3FF8">
        <w:rPr>
          <w:rFonts w:asciiTheme="minorHAnsi" w:hAnsiTheme="minorHAnsi"/>
        </w:rPr>
        <w:t>.0000002</w:t>
      </w:r>
      <w:r w:rsidR="00BB20E3">
        <w:rPr>
          <w:rFonts w:asciiTheme="minorHAnsi" w:hAnsiTheme="minorHAnsi"/>
        </w:rPr>
        <w:t>7</w:t>
      </w:r>
      <w:r w:rsidR="00202E24">
        <w:rPr>
          <w:rFonts w:asciiTheme="minorHAnsi" w:hAnsiTheme="minorHAnsi"/>
        </w:rPr>
        <w:t>;</w:t>
      </w:r>
      <w:r w:rsidR="00AF3FF8">
        <w:rPr>
          <w:rFonts w:asciiTheme="minorHAnsi" w:hAnsiTheme="minorHAnsi"/>
        </w:rPr>
        <w:t xml:space="preserve"> </w:t>
      </w:r>
      <w:r w:rsidR="00A30A91">
        <w:rPr>
          <w:rFonts w:asciiTheme="minorHAnsi" w:hAnsiTheme="minorHAnsi"/>
        </w:rPr>
        <w:t>Correlation coefficient</w:t>
      </w:r>
      <w:r w:rsidR="00AF3FF8">
        <w:rPr>
          <w:rFonts w:asciiTheme="minorHAnsi" w:hAnsiTheme="minorHAnsi"/>
        </w:rPr>
        <w:t>:</w:t>
      </w:r>
      <w:r w:rsidR="00202E24">
        <w:rPr>
          <w:rFonts w:asciiTheme="minorHAnsi" w:hAnsiTheme="minorHAnsi"/>
        </w:rPr>
        <w:t xml:space="preserve"> 0.31, p-value</w:t>
      </w:r>
      <w:r w:rsidR="003B600D">
        <w:rPr>
          <w:rFonts w:asciiTheme="minorHAnsi" w:hAnsiTheme="minorHAnsi"/>
        </w:rPr>
        <w:t>:</w:t>
      </w:r>
      <w:r w:rsidR="00202E24">
        <w:rPr>
          <w:rFonts w:asciiTheme="minorHAnsi" w:hAnsiTheme="minorHAnsi"/>
        </w:rPr>
        <w:t xml:space="preserve"> 0</w:t>
      </w:r>
      <w:r w:rsidR="003B600D">
        <w:rPr>
          <w:rFonts w:asciiTheme="minorHAnsi" w:hAnsiTheme="minorHAnsi"/>
        </w:rPr>
        <w:t>.00000009</w:t>
      </w:r>
      <w:r w:rsidR="00BB20E3">
        <w:rPr>
          <w:rFonts w:asciiTheme="minorHAnsi" w:hAnsiTheme="minorHAnsi"/>
        </w:rPr>
        <w:t>3</w:t>
      </w:r>
      <w:r w:rsidR="00202E24">
        <w:rPr>
          <w:rFonts w:asciiTheme="minorHAnsi" w:hAnsiTheme="minorHAnsi"/>
        </w:rPr>
        <w:t>)</w:t>
      </w:r>
      <w:r w:rsidR="00D1218E" w:rsidRPr="003C6F05">
        <w:rPr>
          <w:rFonts w:asciiTheme="minorHAnsi" w:hAnsiTheme="minorHAnsi"/>
        </w:rPr>
        <w:t xml:space="preserve"> </w:t>
      </w:r>
      <w:r w:rsidR="00F95E6E">
        <w:rPr>
          <w:rFonts w:asciiTheme="minorHAnsi" w:hAnsiTheme="minorHAnsi"/>
        </w:rPr>
        <w:t xml:space="preserve">(Table </w:t>
      </w:r>
      <w:r w:rsidR="009B6B08">
        <w:rPr>
          <w:rFonts w:asciiTheme="minorHAnsi" w:hAnsiTheme="minorHAnsi"/>
        </w:rPr>
        <w:t>5</w:t>
      </w:r>
      <w:r w:rsidR="00F95E6E">
        <w:rPr>
          <w:rFonts w:asciiTheme="minorHAnsi" w:hAnsiTheme="minorHAnsi"/>
        </w:rPr>
        <w:t>)</w:t>
      </w:r>
      <w:r w:rsidR="00D1218E" w:rsidRPr="003C6F05">
        <w:rPr>
          <w:rFonts w:asciiTheme="minorHAnsi" w:hAnsiTheme="minorHAnsi"/>
        </w:rPr>
        <w:t xml:space="preserve">. These correlations denote that there is a decrease in the rate of </w:t>
      </w:r>
      <w:r w:rsidR="00D44938" w:rsidRPr="003C6F05">
        <w:rPr>
          <w:rFonts w:asciiTheme="minorHAnsi" w:hAnsiTheme="minorHAnsi"/>
        </w:rPr>
        <w:t xml:space="preserve">total </w:t>
      </w:r>
      <w:r w:rsidR="00D1218E" w:rsidRPr="003C6F05">
        <w:rPr>
          <w:rFonts w:asciiTheme="minorHAnsi" w:hAnsiTheme="minorHAnsi"/>
        </w:rPr>
        <w:t xml:space="preserve">carbon and air pollution removal as the percentage of a given block group's </w:t>
      </w:r>
      <w:r w:rsidR="00F32D56">
        <w:rPr>
          <w:rFonts w:asciiTheme="minorHAnsi" w:hAnsiTheme="minorHAnsi"/>
        </w:rPr>
        <w:t>B</w:t>
      </w:r>
      <w:r w:rsidR="00D1218E" w:rsidRPr="003C6F05">
        <w:rPr>
          <w:rFonts w:asciiTheme="minorHAnsi" w:hAnsiTheme="minorHAnsi"/>
        </w:rPr>
        <w:t xml:space="preserve">lack population increases. </w:t>
      </w:r>
      <w:r w:rsidR="008713E5" w:rsidRPr="003C6F05">
        <w:rPr>
          <w:rFonts w:asciiTheme="minorHAnsi" w:hAnsiTheme="minorHAnsi"/>
        </w:rPr>
        <w:t xml:space="preserve">Conversely, </w:t>
      </w:r>
      <w:r w:rsidR="00D1218E" w:rsidRPr="003C6F05">
        <w:rPr>
          <w:rFonts w:asciiTheme="minorHAnsi" w:hAnsiTheme="minorHAnsi"/>
        </w:rPr>
        <w:t xml:space="preserve">the </w:t>
      </w:r>
      <w:r>
        <w:rPr>
          <w:rFonts w:asciiTheme="minorHAnsi" w:hAnsiTheme="minorHAnsi"/>
        </w:rPr>
        <w:t xml:space="preserve">value of these </w:t>
      </w:r>
      <w:r w:rsidR="00D1218E" w:rsidRPr="003C6F05">
        <w:rPr>
          <w:rFonts w:asciiTheme="minorHAnsi" w:hAnsiTheme="minorHAnsi"/>
        </w:rPr>
        <w:t xml:space="preserve">UES </w:t>
      </w:r>
      <w:r>
        <w:rPr>
          <w:rFonts w:asciiTheme="minorHAnsi" w:hAnsiTheme="minorHAnsi"/>
        </w:rPr>
        <w:t>indicators</w:t>
      </w:r>
      <w:r w:rsidR="00D1218E" w:rsidRPr="003C6F05">
        <w:rPr>
          <w:rFonts w:asciiTheme="minorHAnsi" w:hAnsiTheme="minorHAnsi"/>
        </w:rPr>
        <w:t xml:space="preserve"> increase as the number of homes in a block group are owned by their tenants</w:t>
      </w:r>
      <w:r w:rsidR="00BB20E3">
        <w:rPr>
          <w:rFonts w:asciiTheme="minorHAnsi" w:hAnsiTheme="minorHAnsi"/>
        </w:rPr>
        <w:t>.</w:t>
      </w:r>
      <w:r w:rsidR="00D1218E" w:rsidRPr="003C6F05">
        <w:rPr>
          <w:rFonts w:asciiTheme="minorHAnsi" w:hAnsiTheme="minorHAnsi"/>
        </w:rPr>
        <w:t xml:space="preserve"> As for local climate regulation, the </w:t>
      </w:r>
      <w:r w:rsidR="0051607F">
        <w:rPr>
          <w:rFonts w:asciiTheme="minorHAnsi" w:hAnsiTheme="minorHAnsi"/>
        </w:rPr>
        <w:t>two-way ANOVA</w:t>
      </w:r>
      <w:r w:rsidR="00D1218E" w:rsidRPr="003C6F05">
        <w:rPr>
          <w:rFonts w:asciiTheme="minorHAnsi" w:hAnsiTheme="minorHAnsi"/>
        </w:rPr>
        <w:t xml:space="preserve"> </w:t>
      </w:r>
      <w:r w:rsidR="00BB20E3">
        <w:rPr>
          <w:rFonts w:asciiTheme="minorHAnsi" w:hAnsiTheme="minorHAnsi"/>
        </w:rPr>
        <w:t xml:space="preserve">also </w:t>
      </w:r>
      <w:r w:rsidR="00D1218E" w:rsidRPr="003C6F05">
        <w:rPr>
          <w:rFonts w:asciiTheme="minorHAnsi" w:hAnsiTheme="minorHAnsi"/>
        </w:rPr>
        <w:t xml:space="preserve">found that </w:t>
      </w:r>
      <w:r w:rsidR="00735628">
        <w:rPr>
          <w:rFonts w:asciiTheme="minorHAnsi" w:hAnsiTheme="minorHAnsi"/>
        </w:rPr>
        <w:t xml:space="preserve">the LST of block groups is correlated with the percentage of the homes </w:t>
      </w:r>
      <w:r w:rsidR="00E20E1F">
        <w:rPr>
          <w:rFonts w:asciiTheme="minorHAnsi" w:hAnsiTheme="minorHAnsi"/>
        </w:rPr>
        <w:t>in the block group that are owned by their tenants. B</w:t>
      </w:r>
      <w:r w:rsidR="00D1218E" w:rsidRPr="003C6F05">
        <w:rPr>
          <w:rFonts w:asciiTheme="minorHAnsi" w:hAnsiTheme="minorHAnsi"/>
        </w:rPr>
        <w:t xml:space="preserve">lock groups with higher percentages of the homeownership have significantly lower average </w:t>
      </w:r>
      <w:r w:rsidR="0071286F">
        <w:rPr>
          <w:rFonts w:asciiTheme="minorHAnsi" w:hAnsiTheme="minorHAnsi"/>
        </w:rPr>
        <w:t>LST</w:t>
      </w:r>
      <w:r w:rsidR="00F95E6E">
        <w:rPr>
          <w:rFonts w:asciiTheme="minorHAnsi" w:hAnsiTheme="minorHAnsi"/>
        </w:rPr>
        <w:t xml:space="preserve"> (</w:t>
      </w:r>
      <w:r w:rsidR="00A30A91">
        <w:rPr>
          <w:rFonts w:asciiTheme="minorHAnsi" w:hAnsiTheme="minorHAnsi"/>
        </w:rPr>
        <w:t xml:space="preserve">Correlation coefficient </w:t>
      </w:r>
      <w:r w:rsidR="00F95E6E">
        <w:rPr>
          <w:rFonts w:asciiTheme="minorHAnsi" w:hAnsiTheme="minorHAnsi"/>
        </w:rPr>
        <w:t>-0.5, p-value</w:t>
      </w:r>
      <w:r w:rsidR="003B600D">
        <w:rPr>
          <w:rFonts w:asciiTheme="minorHAnsi" w:hAnsiTheme="minorHAnsi"/>
        </w:rPr>
        <w:t>: 0.0001</w:t>
      </w:r>
      <w:r w:rsidR="00BB20E3">
        <w:rPr>
          <w:rFonts w:asciiTheme="minorHAnsi" w:hAnsiTheme="minorHAnsi"/>
        </w:rPr>
        <w:t>7</w:t>
      </w:r>
      <w:r w:rsidR="00F95E6E">
        <w:rPr>
          <w:rFonts w:asciiTheme="minorHAnsi" w:hAnsiTheme="minorHAnsi"/>
        </w:rPr>
        <w:t xml:space="preserve">) (Table </w:t>
      </w:r>
      <w:r w:rsidR="009B6B08">
        <w:rPr>
          <w:rFonts w:asciiTheme="minorHAnsi" w:hAnsiTheme="minorHAnsi"/>
        </w:rPr>
        <w:t>5</w:t>
      </w:r>
      <w:r w:rsidR="00F95E6E">
        <w:rPr>
          <w:rFonts w:asciiTheme="minorHAnsi" w:hAnsiTheme="minorHAnsi"/>
        </w:rPr>
        <w:t>)</w:t>
      </w:r>
      <w:r w:rsidR="00D1218E" w:rsidRPr="003C6F05">
        <w:rPr>
          <w:rFonts w:asciiTheme="minorHAnsi" w:hAnsiTheme="minorHAnsi"/>
        </w:rPr>
        <w:t>.</w:t>
      </w:r>
    </w:p>
    <w:p w14:paraId="054601CD" w14:textId="440B4E51" w:rsidR="00E53AEF" w:rsidRDefault="005F392D" w:rsidP="001326D8">
      <w:pPr>
        <w:spacing w:line="360" w:lineRule="auto"/>
        <w:ind w:firstLine="720"/>
        <w:rPr>
          <w:rFonts w:asciiTheme="minorHAnsi" w:hAnsiTheme="minorHAnsi"/>
        </w:rPr>
      </w:pPr>
      <w:r>
        <w:rPr>
          <w:rFonts w:asciiTheme="minorHAnsi" w:hAnsiTheme="minorHAnsi"/>
        </w:rPr>
        <w:t>D</w:t>
      </w:r>
      <w:r w:rsidR="00FC06CA">
        <w:rPr>
          <w:rFonts w:asciiTheme="minorHAnsi" w:hAnsiTheme="minorHAnsi"/>
        </w:rPr>
        <w:t xml:space="preserve">espite accounting for </w:t>
      </w:r>
      <w:r w:rsidR="00FD1352">
        <w:rPr>
          <w:rFonts w:asciiTheme="minorHAnsi" w:hAnsiTheme="minorHAnsi"/>
        </w:rPr>
        <w:t xml:space="preserve">the </w:t>
      </w:r>
      <w:r w:rsidR="00FC06CA">
        <w:rPr>
          <w:rFonts w:asciiTheme="minorHAnsi" w:hAnsiTheme="minorHAnsi"/>
        </w:rPr>
        <w:t xml:space="preserve">four modern-day SES indicators (percent black population, percent homeownership, median property value, and median household income), </w:t>
      </w:r>
      <w:r w:rsidR="00EF5359">
        <w:rPr>
          <w:rFonts w:asciiTheme="minorHAnsi" w:hAnsiTheme="minorHAnsi"/>
        </w:rPr>
        <w:t xml:space="preserve">the </w:t>
      </w:r>
      <w:r w:rsidR="00D411C6">
        <w:rPr>
          <w:rFonts w:asciiTheme="minorHAnsi" w:hAnsiTheme="minorHAnsi"/>
        </w:rPr>
        <w:t xml:space="preserve">HOLC grades </w:t>
      </w:r>
      <w:r w:rsidR="00EF5359">
        <w:rPr>
          <w:rFonts w:asciiTheme="minorHAnsi" w:hAnsiTheme="minorHAnsi"/>
        </w:rPr>
        <w:t>of the block groups are</w:t>
      </w:r>
      <w:r w:rsidR="00D411C6">
        <w:rPr>
          <w:rFonts w:asciiTheme="minorHAnsi" w:hAnsiTheme="minorHAnsi"/>
        </w:rPr>
        <w:t xml:space="preserve"> still significantly correlated with the supply of each of the</w:t>
      </w:r>
      <w:r w:rsidR="00EF5359">
        <w:rPr>
          <w:rFonts w:asciiTheme="minorHAnsi" w:hAnsiTheme="minorHAnsi"/>
        </w:rPr>
        <w:t xml:space="preserve"> four</w:t>
      </w:r>
      <w:r w:rsidR="00D411C6">
        <w:rPr>
          <w:rFonts w:asciiTheme="minorHAnsi" w:hAnsiTheme="minorHAnsi"/>
        </w:rPr>
        <w:t xml:space="preserve"> UES indicators. For total carbon removal, </w:t>
      </w:r>
      <w:r w:rsidR="00EF5359">
        <w:rPr>
          <w:rFonts w:asciiTheme="minorHAnsi" w:hAnsiTheme="minorHAnsi"/>
        </w:rPr>
        <w:t>“</w:t>
      </w:r>
      <w:r w:rsidR="00D411C6">
        <w:rPr>
          <w:rFonts w:asciiTheme="minorHAnsi" w:hAnsiTheme="minorHAnsi"/>
        </w:rPr>
        <w:t>A</w:t>
      </w:r>
      <w:r w:rsidR="00EF5359">
        <w:rPr>
          <w:rFonts w:asciiTheme="minorHAnsi" w:hAnsiTheme="minorHAnsi"/>
        </w:rPr>
        <w:t>”</w:t>
      </w:r>
      <w:r w:rsidR="00D411C6">
        <w:rPr>
          <w:rFonts w:asciiTheme="minorHAnsi" w:hAnsiTheme="minorHAnsi"/>
        </w:rPr>
        <w:t xml:space="preserve"> graded block groups have a significantly higher supply </w:t>
      </w:r>
      <w:r>
        <w:rPr>
          <w:rFonts w:asciiTheme="minorHAnsi" w:hAnsiTheme="minorHAnsi"/>
        </w:rPr>
        <w:t xml:space="preserve">than </w:t>
      </w:r>
      <w:r w:rsidR="00EF5359">
        <w:rPr>
          <w:rFonts w:asciiTheme="minorHAnsi" w:hAnsiTheme="minorHAnsi"/>
        </w:rPr>
        <w:t>“</w:t>
      </w:r>
      <w:r>
        <w:rPr>
          <w:rFonts w:asciiTheme="minorHAnsi" w:hAnsiTheme="minorHAnsi"/>
        </w:rPr>
        <w:t>B</w:t>
      </w:r>
      <w:r w:rsidR="00EF5359">
        <w:rPr>
          <w:rFonts w:asciiTheme="minorHAnsi" w:hAnsiTheme="minorHAnsi"/>
        </w:rPr>
        <w:t>”</w:t>
      </w:r>
      <w:r>
        <w:rPr>
          <w:rFonts w:asciiTheme="minorHAnsi" w:hAnsiTheme="minorHAnsi"/>
        </w:rPr>
        <w:t xml:space="preserve"> and </w:t>
      </w:r>
      <w:r w:rsidR="00EF5359">
        <w:rPr>
          <w:rFonts w:asciiTheme="minorHAnsi" w:hAnsiTheme="minorHAnsi"/>
        </w:rPr>
        <w:t>“</w:t>
      </w:r>
      <w:r>
        <w:rPr>
          <w:rFonts w:asciiTheme="minorHAnsi" w:hAnsiTheme="minorHAnsi"/>
        </w:rPr>
        <w:t>C</w:t>
      </w:r>
      <w:r w:rsidR="00EF5359">
        <w:rPr>
          <w:rFonts w:asciiTheme="minorHAnsi" w:hAnsiTheme="minorHAnsi"/>
        </w:rPr>
        <w:t>”</w:t>
      </w:r>
      <w:r>
        <w:rPr>
          <w:rFonts w:asciiTheme="minorHAnsi" w:hAnsiTheme="minorHAnsi"/>
        </w:rPr>
        <w:t xml:space="preserve"> graded block groups (Correlation coefficient: 0.915, p-value: 0.058; Correlation coefficient: 0.888, p-value: 0.0604) (Table 6). For total air pollution removal, </w:t>
      </w:r>
      <w:r w:rsidR="00EF5359">
        <w:rPr>
          <w:rFonts w:asciiTheme="minorHAnsi" w:hAnsiTheme="minorHAnsi"/>
        </w:rPr>
        <w:t>“</w:t>
      </w:r>
      <w:r>
        <w:rPr>
          <w:rFonts w:asciiTheme="minorHAnsi" w:hAnsiTheme="minorHAnsi"/>
        </w:rPr>
        <w:t>A</w:t>
      </w:r>
      <w:r w:rsidR="00EF5359">
        <w:rPr>
          <w:rFonts w:asciiTheme="minorHAnsi" w:hAnsiTheme="minorHAnsi"/>
        </w:rPr>
        <w:t>”</w:t>
      </w:r>
      <w:r>
        <w:rPr>
          <w:rFonts w:asciiTheme="minorHAnsi" w:hAnsiTheme="minorHAnsi"/>
        </w:rPr>
        <w:t xml:space="preserve"> graded block groups also have a significantly higher supply than </w:t>
      </w:r>
      <w:r w:rsidR="00EF5359">
        <w:rPr>
          <w:rFonts w:asciiTheme="minorHAnsi" w:hAnsiTheme="minorHAnsi"/>
        </w:rPr>
        <w:t>“</w:t>
      </w:r>
      <w:r>
        <w:rPr>
          <w:rFonts w:asciiTheme="minorHAnsi" w:hAnsiTheme="minorHAnsi"/>
        </w:rPr>
        <w:t>B</w:t>
      </w:r>
      <w:r w:rsidR="00EF5359">
        <w:rPr>
          <w:rFonts w:asciiTheme="minorHAnsi" w:hAnsiTheme="minorHAnsi"/>
        </w:rPr>
        <w:t>”</w:t>
      </w:r>
      <w:r>
        <w:rPr>
          <w:rFonts w:asciiTheme="minorHAnsi" w:hAnsiTheme="minorHAnsi"/>
        </w:rPr>
        <w:t xml:space="preserve"> and </w:t>
      </w:r>
      <w:r w:rsidR="00EF5359">
        <w:rPr>
          <w:rFonts w:asciiTheme="minorHAnsi" w:hAnsiTheme="minorHAnsi"/>
        </w:rPr>
        <w:t>“</w:t>
      </w:r>
      <w:r>
        <w:rPr>
          <w:rFonts w:asciiTheme="minorHAnsi" w:hAnsiTheme="minorHAnsi"/>
        </w:rPr>
        <w:t>C</w:t>
      </w:r>
      <w:r w:rsidR="00EF5359">
        <w:rPr>
          <w:rFonts w:asciiTheme="minorHAnsi" w:hAnsiTheme="minorHAnsi"/>
        </w:rPr>
        <w:t>”</w:t>
      </w:r>
      <w:r>
        <w:rPr>
          <w:rFonts w:asciiTheme="minorHAnsi" w:hAnsiTheme="minorHAnsi"/>
        </w:rPr>
        <w:t xml:space="preserve"> graded block groups (Correlation coefficient: 0.924, p-value: 0.045; Correlation coefficient: 0.880, p-value: 0.05) (Table 6). Looking </w:t>
      </w:r>
      <w:r w:rsidR="00EF5359">
        <w:rPr>
          <w:rFonts w:asciiTheme="minorHAnsi" w:hAnsiTheme="minorHAnsi"/>
        </w:rPr>
        <w:t xml:space="preserve">at </w:t>
      </w:r>
      <w:r>
        <w:rPr>
          <w:rFonts w:asciiTheme="minorHAnsi" w:hAnsiTheme="minorHAnsi"/>
        </w:rPr>
        <w:t xml:space="preserve">local climate regulation, </w:t>
      </w:r>
      <w:r w:rsidR="00EF5359">
        <w:rPr>
          <w:rFonts w:asciiTheme="minorHAnsi" w:hAnsiTheme="minorHAnsi"/>
        </w:rPr>
        <w:t>“</w:t>
      </w:r>
      <w:r>
        <w:rPr>
          <w:rFonts w:asciiTheme="minorHAnsi" w:hAnsiTheme="minorHAnsi"/>
        </w:rPr>
        <w:t>B</w:t>
      </w:r>
      <w:r w:rsidR="00EF5359">
        <w:rPr>
          <w:rFonts w:asciiTheme="minorHAnsi" w:hAnsiTheme="minorHAnsi"/>
        </w:rPr>
        <w:t>”</w:t>
      </w:r>
      <w:r>
        <w:rPr>
          <w:rFonts w:asciiTheme="minorHAnsi" w:hAnsiTheme="minorHAnsi"/>
        </w:rPr>
        <w:t xml:space="preserve"> graded block groups </w:t>
      </w:r>
      <w:r w:rsidR="00EF5359">
        <w:rPr>
          <w:rFonts w:asciiTheme="minorHAnsi" w:hAnsiTheme="minorHAnsi"/>
        </w:rPr>
        <w:t>have</w:t>
      </w:r>
      <w:r>
        <w:rPr>
          <w:rFonts w:asciiTheme="minorHAnsi" w:hAnsiTheme="minorHAnsi"/>
        </w:rPr>
        <w:t xml:space="preserve"> significantly </w:t>
      </w:r>
      <w:r w:rsidR="00EF5359">
        <w:rPr>
          <w:rFonts w:asciiTheme="minorHAnsi" w:hAnsiTheme="minorHAnsi"/>
        </w:rPr>
        <w:t>lower LST compared</w:t>
      </w:r>
      <w:r>
        <w:rPr>
          <w:rFonts w:asciiTheme="minorHAnsi" w:hAnsiTheme="minorHAnsi"/>
        </w:rPr>
        <w:t xml:space="preserve"> </w:t>
      </w:r>
      <w:r w:rsidR="00EF5359">
        <w:rPr>
          <w:rFonts w:asciiTheme="minorHAnsi" w:hAnsiTheme="minorHAnsi"/>
        </w:rPr>
        <w:t>to</w:t>
      </w:r>
      <w:r>
        <w:rPr>
          <w:rFonts w:asciiTheme="minorHAnsi" w:hAnsiTheme="minorHAnsi"/>
        </w:rPr>
        <w:t xml:space="preserve"> </w:t>
      </w:r>
      <w:r w:rsidR="00EF5359">
        <w:rPr>
          <w:rFonts w:asciiTheme="minorHAnsi" w:hAnsiTheme="minorHAnsi"/>
        </w:rPr>
        <w:t>“</w:t>
      </w:r>
      <w:r>
        <w:rPr>
          <w:rFonts w:asciiTheme="minorHAnsi" w:hAnsiTheme="minorHAnsi"/>
        </w:rPr>
        <w:t>C</w:t>
      </w:r>
      <w:r w:rsidR="00EF5359">
        <w:rPr>
          <w:rFonts w:asciiTheme="minorHAnsi" w:hAnsiTheme="minorHAnsi"/>
        </w:rPr>
        <w:t>”</w:t>
      </w:r>
      <w:r>
        <w:rPr>
          <w:rFonts w:asciiTheme="minorHAnsi" w:hAnsiTheme="minorHAnsi"/>
        </w:rPr>
        <w:t xml:space="preserve"> and </w:t>
      </w:r>
      <w:r w:rsidR="00EF5359">
        <w:rPr>
          <w:rFonts w:asciiTheme="minorHAnsi" w:hAnsiTheme="minorHAnsi"/>
        </w:rPr>
        <w:t>“</w:t>
      </w:r>
      <w:r>
        <w:rPr>
          <w:rFonts w:asciiTheme="minorHAnsi" w:hAnsiTheme="minorHAnsi"/>
        </w:rPr>
        <w:t>D</w:t>
      </w:r>
      <w:r w:rsidR="00EF5359">
        <w:rPr>
          <w:rFonts w:asciiTheme="minorHAnsi" w:hAnsiTheme="minorHAnsi"/>
        </w:rPr>
        <w:t>”</w:t>
      </w:r>
      <w:r>
        <w:rPr>
          <w:rFonts w:asciiTheme="minorHAnsi" w:hAnsiTheme="minorHAnsi"/>
        </w:rPr>
        <w:t xml:space="preserve"> graded block groups (Correlation coefficient: -0.821, p-value: 0.00895; Correlation coefficient: -1.02, p-value: 0.00323) (Table 6). Lastly, as for recreation potential, </w:t>
      </w:r>
      <w:r w:rsidR="00EF5359">
        <w:rPr>
          <w:rFonts w:asciiTheme="minorHAnsi" w:hAnsiTheme="minorHAnsi"/>
        </w:rPr>
        <w:t>“</w:t>
      </w:r>
      <w:r>
        <w:rPr>
          <w:rFonts w:asciiTheme="minorHAnsi" w:hAnsiTheme="minorHAnsi"/>
        </w:rPr>
        <w:t>B</w:t>
      </w:r>
      <w:r w:rsidR="00EF5359">
        <w:rPr>
          <w:rFonts w:asciiTheme="minorHAnsi" w:hAnsiTheme="minorHAnsi"/>
        </w:rPr>
        <w:t>”</w:t>
      </w:r>
      <w:r>
        <w:rPr>
          <w:rFonts w:asciiTheme="minorHAnsi" w:hAnsiTheme="minorHAnsi"/>
        </w:rPr>
        <w:t xml:space="preserve"> graded block groups ha</w:t>
      </w:r>
      <w:r w:rsidR="00EF5359">
        <w:rPr>
          <w:rFonts w:asciiTheme="minorHAnsi" w:hAnsiTheme="minorHAnsi"/>
        </w:rPr>
        <w:t>ve</w:t>
      </w:r>
      <w:r>
        <w:rPr>
          <w:rFonts w:asciiTheme="minorHAnsi" w:hAnsiTheme="minorHAnsi"/>
        </w:rPr>
        <w:t xml:space="preserve"> significantly more available parkland compared to </w:t>
      </w:r>
      <w:r w:rsidR="00EF5359">
        <w:rPr>
          <w:rFonts w:asciiTheme="minorHAnsi" w:hAnsiTheme="minorHAnsi"/>
        </w:rPr>
        <w:t>“</w:t>
      </w:r>
      <w:r>
        <w:rPr>
          <w:rFonts w:asciiTheme="minorHAnsi" w:hAnsiTheme="minorHAnsi"/>
        </w:rPr>
        <w:t>C</w:t>
      </w:r>
      <w:r w:rsidR="00EF5359">
        <w:rPr>
          <w:rFonts w:asciiTheme="minorHAnsi" w:hAnsiTheme="minorHAnsi"/>
        </w:rPr>
        <w:t>”</w:t>
      </w:r>
      <w:r>
        <w:rPr>
          <w:rFonts w:asciiTheme="minorHAnsi" w:hAnsiTheme="minorHAnsi"/>
        </w:rPr>
        <w:t xml:space="preserve"> and </w:t>
      </w:r>
      <w:r w:rsidR="00EF5359">
        <w:rPr>
          <w:rFonts w:asciiTheme="minorHAnsi" w:hAnsiTheme="minorHAnsi"/>
        </w:rPr>
        <w:t>“</w:t>
      </w:r>
      <w:r>
        <w:rPr>
          <w:rFonts w:asciiTheme="minorHAnsi" w:hAnsiTheme="minorHAnsi"/>
        </w:rPr>
        <w:t>D</w:t>
      </w:r>
      <w:r w:rsidR="00EF5359">
        <w:rPr>
          <w:rFonts w:asciiTheme="minorHAnsi" w:hAnsiTheme="minorHAnsi"/>
        </w:rPr>
        <w:t>”</w:t>
      </w:r>
      <w:r>
        <w:rPr>
          <w:rFonts w:asciiTheme="minorHAnsi" w:hAnsiTheme="minorHAnsi"/>
        </w:rPr>
        <w:t xml:space="preserve"> graded block groups </w:t>
      </w:r>
      <w:r>
        <w:rPr>
          <w:rFonts w:asciiTheme="minorHAnsi" w:hAnsiTheme="minorHAnsi"/>
        </w:rPr>
        <w:lastRenderedPageBreak/>
        <w:t xml:space="preserve">(Correlation coefficient: 1.42, p-value: 0.0000136; Correlation coefficient: 1.36, p-value: 0.000319) (Table 6). </w:t>
      </w:r>
    </w:p>
    <w:p w14:paraId="00C8487B" w14:textId="77777777" w:rsidR="00F60490" w:rsidRDefault="00F60490" w:rsidP="001326D8">
      <w:pPr>
        <w:spacing w:line="360" w:lineRule="auto"/>
        <w:ind w:firstLine="720"/>
        <w:rPr>
          <w:rFonts w:asciiTheme="minorHAnsi" w:hAnsiTheme="minorHAnsi"/>
        </w:rPr>
      </w:pPr>
    </w:p>
    <w:p w14:paraId="5240BD84" w14:textId="77777777" w:rsidR="004B3468" w:rsidRDefault="004B3468">
      <w:pPr>
        <w:rPr>
          <w:rFonts w:asciiTheme="minorHAnsi" w:hAnsiTheme="minorHAnsi"/>
          <w:i/>
          <w:iCs/>
        </w:rPr>
      </w:pPr>
      <w:r>
        <w:rPr>
          <w:rFonts w:asciiTheme="minorHAnsi" w:hAnsiTheme="minorHAnsi"/>
          <w:i/>
          <w:iCs/>
        </w:rPr>
        <w:br w:type="page"/>
      </w:r>
    </w:p>
    <w:p w14:paraId="4F2DC03A" w14:textId="0660DA01" w:rsidR="004B3468" w:rsidRPr="004065B4" w:rsidRDefault="00BA2D08" w:rsidP="002F406A">
      <w:pPr>
        <w:rPr>
          <w:rFonts w:asciiTheme="minorHAnsi" w:hAnsiTheme="minorHAnsi"/>
        </w:rPr>
      </w:pPr>
      <w:r w:rsidRPr="001E5D4B">
        <w:rPr>
          <w:rFonts w:asciiTheme="minorHAnsi" w:hAnsiTheme="minorHAnsi"/>
          <w:i/>
          <w:iCs/>
        </w:rPr>
        <w:lastRenderedPageBreak/>
        <w:t xml:space="preserve">Table </w:t>
      </w:r>
      <w:r w:rsidR="00421D77">
        <w:rPr>
          <w:rFonts w:asciiTheme="minorHAnsi" w:hAnsiTheme="minorHAnsi"/>
          <w:i/>
          <w:iCs/>
        </w:rPr>
        <w:t>5</w:t>
      </w:r>
      <w:r w:rsidRPr="001E5D4B">
        <w:rPr>
          <w:rFonts w:asciiTheme="minorHAnsi" w:hAnsiTheme="minorHAnsi"/>
          <w:i/>
          <w:iCs/>
        </w:rPr>
        <w:t>. Statistical correlations between UES indicators and SES indicators through a linear regression model and two-way ANOVA analysis</w:t>
      </w:r>
      <w:r w:rsidRPr="001E5D4B">
        <w:rPr>
          <w:rFonts w:asciiTheme="minorHAnsi" w:hAnsiTheme="minorHAnsi"/>
        </w:rPr>
        <w:t>.</w:t>
      </w:r>
      <w:r w:rsidR="001E5D4B">
        <w:rPr>
          <w:rFonts w:asciiTheme="minorHAnsi" w:hAnsiTheme="minorHAnsi"/>
        </w:rPr>
        <w:t xml:space="preserve"> </w:t>
      </w:r>
      <w:r w:rsidR="00BB20E3">
        <w:rPr>
          <w:rFonts w:asciiTheme="minorHAnsi" w:hAnsiTheme="minorHAnsi"/>
        </w:rPr>
        <w:t>Results show that as the percentage of a block groups population that identifies as Black increases, the supply of total carbon removal</w:t>
      </w:r>
      <w:r w:rsidR="007F3A8F">
        <w:rPr>
          <w:rFonts w:asciiTheme="minorHAnsi" w:hAnsiTheme="minorHAnsi"/>
        </w:rPr>
        <w:t xml:space="preserve"> (carbon storage and sequestration)</w:t>
      </w:r>
      <w:r w:rsidR="00BB20E3">
        <w:rPr>
          <w:rFonts w:asciiTheme="minorHAnsi" w:hAnsiTheme="minorHAnsi"/>
        </w:rPr>
        <w:t xml:space="preserve"> and total air pollution removal decrease. Conversely, as the percentage of homeownership in a block group increases, the supply of total carbon removal, total air pollution removal, and local climate regulation all increase. Low adjusted R-squared values for all four </w:t>
      </w:r>
      <w:r w:rsidR="00FF70CE">
        <w:rPr>
          <w:rFonts w:asciiTheme="minorHAnsi" w:hAnsiTheme="minorHAnsi"/>
        </w:rPr>
        <w:t>models</w:t>
      </w:r>
      <w:r w:rsidR="00BB20E3">
        <w:rPr>
          <w:rFonts w:asciiTheme="minorHAnsi" w:hAnsiTheme="minorHAnsi"/>
        </w:rPr>
        <w:t xml:space="preserve"> indicates that other factors </w:t>
      </w:r>
      <w:r w:rsidR="00BB20E3" w:rsidRPr="003C6F05">
        <w:rPr>
          <w:rFonts w:asciiTheme="minorHAnsi" w:hAnsiTheme="minorHAnsi"/>
        </w:rPr>
        <w:t>account for a significant role in the distribution and production of UES</w:t>
      </w:r>
      <w:r w:rsidR="00BB20E3">
        <w:rPr>
          <w:rFonts w:asciiTheme="minorHAnsi" w:hAnsiTheme="minorHAnsi"/>
        </w:rPr>
        <w:t xml:space="preserve"> in Rochester. </w:t>
      </w:r>
    </w:p>
    <w:tbl>
      <w:tblPr>
        <w:tblW w:w="5000" w:type="pct"/>
        <w:tblCellMar>
          <w:left w:w="0" w:type="dxa"/>
          <w:right w:w="0" w:type="dxa"/>
        </w:tblCellMar>
        <w:tblLook w:val="04A0" w:firstRow="1" w:lastRow="0" w:firstColumn="1" w:lastColumn="0" w:noHBand="0" w:noVBand="1"/>
      </w:tblPr>
      <w:tblGrid>
        <w:gridCol w:w="2054"/>
        <w:gridCol w:w="1910"/>
        <w:gridCol w:w="1910"/>
        <w:gridCol w:w="1753"/>
        <w:gridCol w:w="1717"/>
      </w:tblGrid>
      <w:tr w:rsidR="001E5D4B" w14:paraId="3D1BC3ED" w14:textId="77777777" w:rsidTr="003352EA">
        <w:trPr>
          <w:trHeight w:val="584"/>
        </w:trPr>
        <w:tc>
          <w:tcPr>
            <w:tcW w:w="1099" w:type="pct"/>
            <w:tcBorders>
              <w:top w:val="single" w:sz="6" w:space="0" w:color="000000"/>
              <w:left w:val="single" w:sz="6" w:space="0" w:color="000000"/>
              <w:bottom w:val="single" w:sz="6" w:space="0" w:color="000000"/>
              <w:right w:val="single" w:sz="6" w:space="0" w:color="000000"/>
            </w:tcBorders>
            <w:shd w:val="clear" w:color="auto" w:fill="000000" w:themeFill="text1"/>
            <w:tcMar>
              <w:top w:w="60" w:type="dxa"/>
              <w:left w:w="60" w:type="dxa"/>
              <w:bottom w:w="60" w:type="dxa"/>
              <w:right w:w="60" w:type="dxa"/>
            </w:tcMar>
            <w:hideMark/>
          </w:tcPr>
          <w:p w14:paraId="0BEBF097" w14:textId="5288FD15" w:rsidR="001E5D4B" w:rsidRPr="001E5D4B" w:rsidRDefault="001E5D4B">
            <w:pPr>
              <w:pStyle w:val="NormalWeb"/>
              <w:spacing w:before="0" w:beforeAutospacing="0" w:after="0" w:afterAutospacing="0"/>
              <w:rPr>
                <w:rFonts w:asciiTheme="minorHAnsi" w:hAnsiTheme="minorHAnsi"/>
                <w:sz w:val="22"/>
                <w:szCs w:val="22"/>
              </w:rPr>
            </w:pP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5798347" w14:textId="77777777" w:rsidR="001E5D4B" w:rsidRPr="001E5D4B" w:rsidRDefault="001E5D4B" w:rsidP="003352EA">
            <w:pPr>
              <w:pStyle w:val="NormalWeb"/>
              <w:spacing w:before="0" w:beforeAutospacing="0" w:after="0" w:afterAutospacing="0"/>
              <w:jc w:val="center"/>
              <w:rPr>
                <w:rFonts w:asciiTheme="minorHAnsi" w:hAnsiTheme="minorHAnsi"/>
                <w:sz w:val="22"/>
                <w:szCs w:val="22"/>
              </w:rPr>
            </w:pPr>
            <w:r w:rsidRPr="001E5D4B">
              <w:rPr>
                <w:rFonts w:asciiTheme="minorHAnsi" w:hAnsiTheme="minorHAnsi"/>
                <w:b/>
                <w:bCs/>
                <w:color w:val="000000"/>
                <w:sz w:val="22"/>
                <w:szCs w:val="22"/>
              </w:rPr>
              <w:t>Total Carbon Removal</w:t>
            </w: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bottom"/>
            <w:hideMark/>
          </w:tcPr>
          <w:p w14:paraId="51AE445C" w14:textId="77777777" w:rsidR="001E5D4B" w:rsidRPr="001E5D4B" w:rsidRDefault="001E5D4B" w:rsidP="00334C37">
            <w:pPr>
              <w:pStyle w:val="NormalWeb"/>
              <w:spacing w:before="0" w:beforeAutospacing="0" w:after="0" w:afterAutospacing="0"/>
              <w:jc w:val="center"/>
              <w:rPr>
                <w:rFonts w:asciiTheme="minorHAnsi" w:hAnsiTheme="minorHAnsi"/>
                <w:sz w:val="22"/>
                <w:szCs w:val="22"/>
              </w:rPr>
            </w:pPr>
            <w:r w:rsidRPr="001E5D4B">
              <w:rPr>
                <w:rFonts w:asciiTheme="minorHAnsi" w:hAnsiTheme="minorHAnsi"/>
                <w:b/>
                <w:bCs/>
                <w:color w:val="000000"/>
                <w:sz w:val="22"/>
                <w:szCs w:val="22"/>
              </w:rPr>
              <w:t>Total Air Pollution Removal</w:t>
            </w:r>
          </w:p>
        </w:tc>
        <w:tc>
          <w:tcPr>
            <w:tcW w:w="93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5816A25" w14:textId="77777777" w:rsidR="001E5D4B" w:rsidRPr="001E5D4B" w:rsidRDefault="001E5D4B" w:rsidP="003352EA">
            <w:pPr>
              <w:pStyle w:val="NormalWeb"/>
              <w:spacing w:before="0" w:beforeAutospacing="0" w:after="0" w:afterAutospacing="0"/>
              <w:jc w:val="center"/>
              <w:rPr>
                <w:rFonts w:asciiTheme="minorHAnsi" w:hAnsiTheme="minorHAnsi"/>
                <w:sz w:val="22"/>
                <w:szCs w:val="22"/>
              </w:rPr>
            </w:pPr>
            <w:r w:rsidRPr="001E5D4B">
              <w:rPr>
                <w:rFonts w:asciiTheme="minorHAnsi" w:hAnsiTheme="minorHAnsi"/>
                <w:b/>
                <w:bCs/>
                <w:color w:val="000000"/>
                <w:sz w:val="22"/>
                <w:szCs w:val="22"/>
              </w:rPr>
              <w:t>Local Climate Regulation</w:t>
            </w:r>
          </w:p>
        </w:tc>
        <w:tc>
          <w:tcPr>
            <w:tcW w:w="91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0D1D66B" w14:textId="77777777" w:rsidR="001E5D4B" w:rsidRPr="001E5D4B" w:rsidRDefault="001E5D4B" w:rsidP="003352EA">
            <w:pPr>
              <w:pStyle w:val="NormalWeb"/>
              <w:spacing w:before="0" w:beforeAutospacing="0" w:after="0" w:afterAutospacing="0"/>
              <w:jc w:val="center"/>
              <w:rPr>
                <w:rFonts w:asciiTheme="minorHAnsi" w:hAnsiTheme="minorHAnsi"/>
                <w:sz w:val="22"/>
                <w:szCs w:val="22"/>
              </w:rPr>
            </w:pPr>
            <w:r w:rsidRPr="001E5D4B">
              <w:rPr>
                <w:rFonts w:asciiTheme="minorHAnsi" w:hAnsiTheme="minorHAnsi"/>
                <w:b/>
                <w:bCs/>
                <w:color w:val="000000"/>
                <w:sz w:val="22"/>
                <w:szCs w:val="22"/>
              </w:rPr>
              <w:t>Recreation Potential</w:t>
            </w:r>
          </w:p>
        </w:tc>
      </w:tr>
      <w:tr w:rsidR="00BB20E3" w14:paraId="6F1A5B01" w14:textId="77777777" w:rsidTr="00FF70CE">
        <w:trPr>
          <w:trHeight w:val="334"/>
        </w:trPr>
        <w:tc>
          <w:tcPr>
            <w:tcW w:w="1099" w:type="pct"/>
            <w:tcBorders>
              <w:top w:val="single" w:sz="6" w:space="0" w:color="000000"/>
              <w:left w:val="single" w:sz="6" w:space="0" w:color="000000"/>
              <w:bottom w:val="single" w:sz="6" w:space="0" w:color="000000"/>
              <w:right w:val="single" w:sz="6" w:space="0" w:color="000000"/>
            </w:tcBorders>
            <w:shd w:val="clear" w:color="auto" w:fill="000000" w:themeFill="text1"/>
            <w:tcMar>
              <w:top w:w="60" w:type="dxa"/>
              <w:left w:w="60" w:type="dxa"/>
              <w:bottom w:w="60" w:type="dxa"/>
              <w:right w:w="60" w:type="dxa"/>
            </w:tcMar>
          </w:tcPr>
          <w:p w14:paraId="659FE941" w14:textId="59D025A9" w:rsidR="00BB20E3" w:rsidRPr="001E5D4B" w:rsidRDefault="00BB20E3">
            <w:pPr>
              <w:pStyle w:val="NormalWeb"/>
              <w:spacing w:before="0" w:beforeAutospacing="0" w:after="0" w:afterAutospacing="0"/>
              <w:rPr>
                <w:rFonts w:asciiTheme="minorHAnsi" w:hAnsiTheme="minorHAnsi"/>
                <w:sz w:val="22"/>
                <w:szCs w:val="22"/>
              </w:rPr>
            </w:pPr>
          </w:p>
        </w:tc>
        <w:tc>
          <w:tcPr>
            <w:tcW w:w="3901" w:type="pct"/>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CDBEB8" w14:textId="0F5C78ED" w:rsidR="00BB20E3" w:rsidRPr="001E5D4B" w:rsidRDefault="00BB20E3" w:rsidP="00C93F2A">
            <w:pPr>
              <w:pStyle w:val="NormalWeb"/>
              <w:spacing w:before="0" w:beforeAutospacing="0" w:after="0" w:afterAutospacing="0"/>
              <w:jc w:val="center"/>
              <w:rPr>
                <w:rFonts w:asciiTheme="minorHAnsi" w:hAnsiTheme="minorHAnsi"/>
                <w:b/>
                <w:bCs/>
                <w:color w:val="000000"/>
                <w:sz w:val="22"/>
                <w:szCs w:val="22"/>
              </w:rPr>
            </w:pPr>
            <w:r w:rsidRPr="001E5D4B">
              <w:rPr>
                <w:rFonts w:ascii="Cambria" w:hAnsi="Cambria"/>
              </w:rPr>
              <w:t>Correlation coefficient</w:t>
            </w:r>
            <w:r w:rsidRPr="001E5D4B">
              <w:rPr>
                <w:rFonts w:ascii="Cambria" w:hAnsi="Cambria"/>
                <w:vertAlign w:val="superscript"/>
              </w:rPr>
              <w:t>p-value</w:t>
            </w:r>
            <w:r w:rsidRPr="001E5D4B">
              <w:rPr>
                <w:rFonts w:ascii="Cambria" w:hAnsi="Cambria"/>
              </w:rPr>
              <w:t xml:space="preserve"> (standard error)</w:t>
            </w:r>
          </w:p>
        </w:tc>
      </w:tr>
      <w:tr w:rsidR="001E5D4B" w14:paraId="5D26A585" w14:textId="77777777" w:rsidTr="00FF70CE">
        <w:trPr>
          <w:trHeight w:val="238"/>
        </w:trPr>
        <w:tc>
          <w:tcPr>
            <w:tcW w:w="1099"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6D383B14" w14:textId="1CB0B117" w:rsidR="001E5D4B" w:rsidRPr="001E5D4B" w:rsidRDefault="001E5D4B" w:rsidP="00A06738">
            <w:pPr>
              <w:pStyle w:val="NormalWeb"/>
              <w:spacing w:before="0" w:beforeAutospacing="0" w:after="0" w:afterAutospacing="0"/>
              <w:rPr>
                <w:rFonts w:asciiTheme="minorHAnsi" w:hAnsiTheme="minorHAnsi"/>
                <w:sz w:val="22"/>
                <w:szCs w:val="22"/>
              </w:rPr>
            </w:pPr>
            <w:r w:rsidRPr="001E5D4B">
              <w:rPr>
                <w:rFonts w:asciiTheme="minorHAnsi" w:hAnsiTheme="minorHAnsi"/>
                <w:b/>
                <w:bCs/>
                <w:color w:val="000000"/>
                <w:sz w:val="22"/>
                <w:szCs w:val="22"/>
              </w:rPr>
              <w:t>Percent Black Pop.</w:t>
            </w:r>
          </w:p>
        </w:tc>
        <w:tc>
          <w:tcPr>
            <w:tcW w:w="1022"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213F6242"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-0.14** (0.05)</w:t>
            </w:r>
          </w:p>
        </w:tc>
        <w:tc>
          <w:tcPr>
            <w:tcW w:w="1022"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17A93859"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-0.11* (0.05)</w:t>
            </w:r>
          </w:p>
        </w:tc>
        <w:tc>
          <w:tcPr>
            <w:tcW w:w="938"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51E374EA"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-0.06 (0.11)</w:t>
            </w:r>
          </w:p>
        </w:tc>
        <w:tc>
          <w:tcPr>
            <w:tcW w:w="919"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1E0912E5"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-0.14 (0.13)</w:t>
            </w:r>
          </w:p>
        </w:tc>
      </w:tr>
      <w:tr w:rsidR="001E5D4B" w14:paraId="1F11D60E" w14:textId="77777777" w:rsidTr="00FF70CE">
        <w:trPr>
          <w:trHeight w:val="238"/>
        </w:trPr>
        <w:tc>
          <w:tcPr>
            <w:tcW w:w="109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EA8C05A" w14:textId="53993F99" w:rsidR="001E5D4B" w:rsidRPr="001E5D4B" w:rsidRDefault="001E5D4B" w:rsidP="00A06738">
            <w:pPr>
              <w:pStyle w:val="NormalWeb"/>
              <w:spacing w:before="0" w:beforeAutospacing="0" w:after="0" w:afterAutospacing="0"/>
              <w:rPr>
                <w:rFonts w:asciiTheme="minorHAnsi" w:hAnsiTheme="minorHAnsi"/>
                <w:sz w:val="22"/>
                <w:szCs w:val="22"/>
              </w:rPr>
            </w:pPr>
            <w:r w:rsidRPr="001E5D4B">
              <w:rPr>
                <w:rFonts w:asciiTheme="minorHAnsi" w:hAnsiTheme="minorHAnsi"/>
                <w:b/>
                <w:bCs/>
                <w:color w:val="000000"/>
                <w:sz w:val="22"/>
                <w:szCs w:val="22"/>
              </w:rPr>
              <w:t>Percent Home Ownership</w:t>
            </w: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AE7F8CA" w14:textId="5253C91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0.32***</w:t>
            </w:r>
            <w:r w:rsidR="00ED636B">
              <w:rPr>
                <w:rFonts w:asciiTheme="minorHAnsi" w:hAnsiTheme="minorHAnsi"/>
                <w:color w:val="000000"/>
                <w:sz w:val="22"/>
                <w:szCs w:val="22"/>
              </w:rPr>
              <w:t>*</w:t>
            </w:r>
            <w:r w:rsidRPr="001E5D4B">
              <w:rPr>
                <w:rFonts w:asciiTheme="minorHAnsi" w:hAnsiTheme="minorHAnsi"/>
                <w:color w:val="000000"/>
                <w:sz w:val="22"/>
                <w:szCs w:val="22"/>
              </w:rPr>
              <w:t>(0.06)</w:t>
            </w: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0402AC8" w14:textId="0AD17A8E"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0.31***</w:t>
            </w:r>
            <w:r w:rsidR="00ED636B">
              <w:rPr>
                <w:rFonts w:asciiTheme="minorHAnsi" w:hAnsiTheme="minorHAnsi"/>
                <w:color w:val="000000"/>
                <w:sz w:val="22"/>
                <w:szCs w:val="22"/>
              </w:rPr>
              <w:t>*</w:t>
            </w:r>
            <w:r w:rsidRPr="001E5D4B">
              <w:rPr>
                <w:rFonts w:asciiTheme="minorHAnsi" w:hAnsiTheme="minorHAnsi"/>
                <w:color w:val="000000"/>
                <w:sz w:val="22"/>
                <w:szCs w:val="22"/>
              </w:rPr>
              <w:t xml:space="preserve"> (0.06)</w:t>
            </w:r>
          </w:p>
        </w:tc>
        <w:tc>
          <w:tcPr>
            <w:tcW w:w="93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8B62CD9" w14:textId="6E528F9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-0.5***</w:t>
            </w:r>
            <w:r w:rsidR="00ED636B">
              <w:rPr>
                <w:rFonts w:asciiTheme="minorHAnsi" w:hAnsiTheme="minorHAnsi"/>
                <w:color w:val="000000"/>
                <w:sz w:val="22"/>
                <w:szCs w:val="22"/>
              </w:rPr>
              <w:t>*</w:t>
            </w:r>
            <w:r w:rsidRPr="001E5D4B">
              <w:rPr>
                <w:rFonts w:asciiTheme="minorHAnsi" w:hAnsiTheme="minorHAnsi"/>
                <w:color w:val="000000"/>
                <w:sz w:val="22"/>
                <w:szCs w:val="22"/>
              </w:rPr>
              <w:t xml:space="preserve"> (0.13)</w:t>
            </w:r>
          </w:p>
        </w:tc>
        <w:tc>
          <w:tcPr>
            <w:tcW w:w="91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FE353C8"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-0.06 (0.15)</w:t>
            </w:r>
          </w:p>
        </w:tc>
      </w:tr>
      <w:tr w:rsidR="001E5D4B" w14:paraId="38F54C55" w14:textId="77777777" w:rsidTr="00FF70CE">
        <w:trPr>
          <w:trHeight w:val="238"/>
        </w:trPr>
        <w:tc>
          <w:tcPr>
            <w:tcW w:w="1099"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0A4DABFC" w14:textId="67327F53" w:rsidR="001E5D4B" w:rsidRPr="001E5D4B" w:rsidRDefault="001E5D4B" w:rsidP="00A06738">
            <w:pPr>
              <w:pStyle w:val="NormalWeb"/>
              <w:spacing w:before="0" w:beforeAutospacing="0" w:after="0" w:afterAutospacing="0"/>
              <w:rPr>
                <w:rFonts w:asciiTheme="minorHAnsi" w:hAnsiTheme="minorHAnsi"/>
                <w:sz w:val="22"/>
                <w:szCs w:val="22"/>
              </w:rPr>
            </w:pPr>
            <w:r w:rsidRPr="001E5D4B">
              <w:rPr>
                <w:rFonts w:asciiTheme="minorHAnsi" w:hAnsiTheme="minorHAnsi"/>
                <w:b/>
                <w:bCs/>
                <w:color w:val="000000"/>
                <w:sz w:val="22"/>
                <w:szCs w:val="22"/>
              </w:rPr>
              <w:t>Median Property Value</w:t>
            </w:r>
          </w:p>
        </w:tc>
        <w:tc>
          <w:tcPr>
            <w:tcW w:w="1022"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60CB8E4E"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0.04 (0.06)</w:t>
            </w:r>
          </w:p>
        </w:tc>
        <w:tc>
          <w:tcPr>
            <w:tcW w:w="1022"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7C1F232B"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0.03 (0.05)</w:t>
            </w:r>
          </w:p>
        </w:tc>
        <w:tc>
          <w:tcPr>
            <w:tcW w:w="938"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51952AD9"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0.04 (0.11)</w:t>
            </w:r>
          </w:p>
        </w:tc>
        <w:tc>
          <w:tcPr>
            <w:tcW w:w="919"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629994FB"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0.04 (0.13)</w:t>
            </w:r>
          </w:p>
        </w:tc>
      </w:tr>
      <w:tr w:rsidR="001E5D4B" w14:paraId="7D97CF40" w14:textId="77777777" w:rsidTr="00FF70CE">
        <w:trPr>
          <w:trHeight w:val="238"/>
        </w:trPr>
        <w:tc>
          <w:tcPr>
            <w:tcW w:w="109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57E28FA" w14:textId="396D79C7" w:rsidR="001E5D4B" w:rsidRPr="001E5D4B" w:rsidRDefault="001E5D4B" w:rsidP="00A06738">
            <w:pPr>
              <w:pStyle w:val="NormalWeb"/>
              <w:spacing w:before="0" w:beforeAutospacing="0" w:after="0" w:afterAutospacing="0"/>
              <w:rPr>
                <w:rFonts w:asciiTheme="minorHAnsi" w:hAnsiTheme="minorHAnsi"/>
                <w:sz w:val="22"/>
                <w:szCs w:val="22"/>
              </w:rPr>
            </w:pPr>
            <w:r w:rsidRPr="001E5D4B">
              <w:rPr>
                <w:rFonts w:asciiTheme="minorHAnsi" w:hAnsiTheme="minorHAnsi"/>
                <w:b/>
                <w:bCs/>
                <w:color w:val="000000"/>
                <w:sz w:val="22"/>
                <w:szCs w:val="22"/>
              </w:rPr>
              <w:t>Household Median Income</w:t>
            </w: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3F6DF54" w14:textId="1DC2461D"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-0.05 (0.06)</w:t>
            </w: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0E2718E"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-0.02 (0.06)</w:t>
            </w:r>
          </w:p>
        </w:tc>
        <w:tc>
          <w:tcPr>
            <w:tcW w:w="93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A2B3ED6"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0.08 (0.13)</w:t>
            </w:r>
          </w:p>
        </w:tc>
        <w:tc>
          <w:tcPr>
            <w:tcW w:w="91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8166119"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-0.21 (0.15)</w:t>
            </w:r>
          </w:p>
        </w:tc>
      </w:tr>
      <w:tr w:rsidR="001E5D4B" w14:paraId="2A0F7F99" w14:textId="77777777" w:rsidTr="00FF70CE">
        <w:trPr>
          <w:trHeight w:val="113"/>
        </w:trPr>
        <w:tc>
          <w:tcPr>
            <w:tcW w:w="1099" w:type="pct"/>
            <w:vMerge w:val="restar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2543C709" w14:textId="76E89D93" w:rsidR="001E5D4B" w:rsidRPr="001E5D4B" w:rsidRDefault="00FF70CE" w:rsidP="00A06738">
            <w:pPr>
              <w:pStyle w:val="NormalWeb"/>
              <w:spacing w:before="0" w:beforeAutospacing="0" w:after="0" w:afterAutospacing="0"/>
              <w:rPr>
                <w:rFonts w:asciiTheme="minorHAnsi" w:hAnsiTheme="minorHAnsi"/>
                <w:sz w:val="22"/>
                <w:szCs w:val="22"/>
              </w:rPr>
            </w:pPr>
            <w:r>
              <w:rPr>
                <w:rFonts w:asciiTheme="minorHAnsi" w:hAnsiTheme="minorHAnsi"/>
                <w:noProof/>
                <w:sz w:val="22"/>
                <w:szCs w:val="22"/>
              </w:rPr>
              <mc:AlternateContent>
                <mc:Choice Requires="wpg">
                  <w:drawing>
                    <wp:anchor distT="0" distB="0" distL="114300" distR="114300" simplePos="0" relativeHeight="251744256" behindDoc="0" locked="0" layoutInCell="1" allowOverlap="1" wp14:anchorId="62344F92" wp14:editId="2AFEB4BB">
                      <wp:simplePos x="0" y="0"/>
                      <wp:positionH relativeFrom="column">
                        <wp:posOffset>-93345</wp:posOffset>
                      </wp:positionH>
                      <wp:positionV relativeFrom="paragraph">
                        <wp:posOffset>-61595</wp:posOffset>
                      </wp:positionV>
                      <wp:extent cx="1318260" cy="758825"/>
                      <wp:effectExtent l="0" t="0" r="0" b="0"/>
                      <wp:wrapNone/>
                      <wp:docPr id="23" name="Group 23"/>
                      <wp:cNvGraphicFramePr/>
                      <a:graphic xmlns:a="http://schemas.openxmlformats.org/drawingml/2006/main">
                        <a:graphicData uri="http://schemas.microsoft.com/office/word/2010/wordprocessingGroup">
                          <wpg:wgp>
                            <wpg:cNvGrpSpPr/>
                            <wpg:grpSpPr>
                              <a:xfrm>
                                <a:off x="0" y="0"/>
                                <a:ext cx="1318260" cy="758825"/>
                                <a:chOff x="0" y="0"/>
                                <a:chExt cx="1318836" cy="758825"/>
                              </a:xfrm>
                            </wpg:grpSpPr>
                            <wpg:grpSp>
                              <wpg:cNvPr id="20" name="Group 20"/>
                              <wpg:cNvGrpSpPr/>
                              <wpg:grpSpPr>
                                <a:xfrm>
                                  <a:off x="1084521" y="0"/>
                                  <a:ext cx="234315" cy="758825"/>
                                  <a:chOff x="0" y="0"/>
                                  <a:chExt cx="234315" cy="758825"/>
                                </a:xfrm>
                              </wpg:grpSpPr>
                              <wps:wsp>
                                <wps:cNvPr id="17" name="Text Box 17"/>
                                <wps:cNvSpPr txBox="1">
                                  <a:spLocks noChangeAspect="1"/>
                                </wps:cNvSpPr>
                                <wps:spPr>
                                  <a:xfrm>
                                    <a:off x="0" y="0"/>
                                    <a:ext cx="228600" cy="255905"/>
                                  </a:xfrm>
                                  <a:prstGeom prst="rect">
                                    <a:avLst/>
                                  </a:prstGeom>
                                  <a:noFill/>
                                  <a:ln w="6350">
                                    <a:noFill/>
                                  </a:ln>
                                </wps:spPr>
                                <wps:txbx>
                                  <w:txbxContent>
                                    <w:p w14:paraId="744EDCCC" w14:textId="65F7DC17" w:rsidR="00A06738" w:rsidRDefault="00A06738" w:rsidP="00A06738">
                                      <w:pPr>
                                        <w:jc w:val="center"/>
                                        <w:rPr>
                                          <w:rFonts w:ascii="Cambria" w:hAnsi="Cambria"/>
                                          <w:b/>
                                          <w:bCs/>
                                          <w:sz w:val="22"/>
                                          <w:szCs w:val="22"/>
                                        </w:rPr>
                                      </w:pPr>
                                      <w:r>
                                        <w:rPr>
                                          <w:rFonts w:ascii="Cambria" w:hAnsi="Cambria"/>
                                          <w:b/>
                                          <w:bCs/>
                                          <w:sz w:val="22"/>
                                          <w:szCs w:val="22"/>
                                        </w:rPr>
                                        <w:t>A</w:t>
                                      </w:r>
                                    </w:p>
                                    <w:p w14:paraId="70C34D2C" w14:textId="03EA67AC" w:rsidR="00A06738" w:rsidRPr="00A06738" w:rsidRDefault="00A06738" w:rsidP="00A06738">
                                      <w:pPr>
                                        <w:jc w:val="center"/>
                                        <w:rPr>
                                          <w:rFonts w:ascii="Cambria" w:hAnsi="Cambria"/>
                                          <w:b/>
                                          <w:b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a:spLocks noChangeAspect="1"/>
                                </wps:cNvSpPr>
                                <wps:spPr>
                                  <a:xfrm>
                                    <a:off x="5715" y="257175"/>
                                    <a:ext cx="228600" cy="255905"/>
                                  </a:xfrm>
                                  <a:prstGeom prst="rect">
                                    <a:avLst/>
                                  </a:prstGeom>
                                  <a:noFill/>
                                  <a:ln w="6350">
                                    <a:noFill/>
                                  </a:ln>
                                </wps:spPr>
                                <wps:txbx>
                                  <w:txbxContent>
                                    <w:p w14:paraId="0EB11516" w14:textId="275DD01C" w:rsidR="00A06738" w:rsidRPr="00A06738" w:rsidRDefault="00A06738">
                                      <w:pPr>
                                        <w:rPr>
                                          <w:rFonts w:ascii="Cambria" w:hAnsi="Cambria"/>
                                          <w:b/>
                                          <w:bCs/>
                                          <w:sz w:val="22"/>
                                          <w:szCs w:val="22"/>
                                        </w:rPr>
                                      </w:pPr>
                                      <w:r>
                                        <w:rPr>
                                          <w:rFonts w:ascii="Cambria" w:hAnsi="Cambria"/>
                                          <w:b/>
                                          <w:bCs/>
                                          <w:sz w:val="22"/>
                                          <w:szCs w:val="22"/>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a:spLocks noChangeAspect="1"/>
                                </wps:cNvSpPr>
                                <wps:spPr>
                                  <a:xfrm>
                                    <a:off x="11430" y="502920"/>
                                    <a:ext cx="217805" cy="255905"/>
                                  </a:xfrm>
                                  <a:prstGeom prst="rect">
                                    <a:avLst/>
                                  </a:prstGeom>
                                  <a:noFill/>
                                  <a:ln w="6350">
                                    <a:noFill/>
                                  </a:ln>
                                </wps:spPr>
                                <wps:txbx>
                                  <w:txbxContent>
                                    <w:p w14:paraId="69968DBD" w14:textId="14BB6D86" w:rsidR="00A06738" w:rsidRPr="00A06738" w:rsidRDefault="00A06738" w:rsidP="00A06738">
                                      <w:pPr>
                                        <w:jc w:val="center"/>
                                        <w:rPr>
                                          <w:rFonts w:asciiTheme="minorHAnsi" w:hAnsiTheme="minorHAnsi"/>
                                          <w:b/>
                                          <w:bCs/>
                                          <w:sz w:val="22"/>
                                          <w:szCs w:val="22"/>
                                        </w:rPr>
                                      </w:pPr>
                                      <w:r>
                                        <w:rPr>
                                          <w:rFonts w:asciiTheme="minorHAnsi" w:hAnsiTheme="minorHAnsi"/>
                                          <w:b/>
                                          <w:bCs/>
                                          <w:sz w:val="22"/>
                                          <w:szCs w:val="22"/>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2" name="Text Box 22"/>
                              <wps:cNvSpPr txBox="1"/>
                              <wps:spPr>
                                <a:xfrm>
                                  <a:off x="0" y="287080"/>
                                  <a:ext cx="977265" cy="377190"/>
                                </a:xfrm>
                                <a:prstGeom prst="rect">
                                  <a:avLst/>
                                </a:prstGeom>
                                <a:noFill/>
                                <a:ln w="6350">
                                  <a:noFill/>
                                </a:ln>
                              </wps:spPr>
                              <wps:txbx>
                                <w:txbxContent>
                                  <w:p w14:paraId="003083FA" w14:textId="22A24A28" w:rsidR="00E52950" w:rsidRPr="00E52950" w:rsidRDefault="00E52950">
                                    <w:pPr>
                                      <w:rPr>
                                        <w:rFonts w:ascii="Cambria" w:hAnsi="Cambria"/>
                                        <w:b/>
                                        <w:bCs/>
                                        <w:sz w:val="22"/>
                                        <w:szCs w:val="22"/>
                                      </w:rPr>
                                    </w:pPr>
                                    <w:r>
                                      <w:rPr>
                                        <w:rFonts w:ascii="Cambria" w:hAnsi="Cambria"/>
                                        <w:b/>
                                        <w:bCs/>
                                        <w:sz w:val="22"/>
                                        <w:szCs w:val="22"/>
                                      </w:rPr>
                                      <w:t>HOLC Grade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344F92" id="Group 23" o:spid="_x0000_s1026" style="position:absolute;margin-left:-7.35pt;margin-top:-4.85pt;width:103.8pt;height:59.75pt;z-index:251744256;mso-width-relative:margin;mso-height-relative:margin" coordsize="13188,7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">
                      <v:group id="Group 20" o:spid="_x0000_s1027" style="position:absolute;left:10845;width:2343;height:7588" coordsize="2343,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">
                        <v:shapetype id="_x0000_t202" coordsize="21600,21600" o:spt="202" path="m,l,21600r21600,l21600,xe">
                          <v:stroke joinstyle="miter"/>
                          <v:path gradientshapeok="t" o:connecttype="rect"/>
                        </v:shapetype>
                        <v:shape id="Text Box 17" o:spid="_x0000_s1028" type="#_x0000_t202" style="position:absolute;width:2286;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" filled="f" stroked="f" strokeweight=".5pt">
                          <o:lock v:ext="edit" aspectratio="t"/>
                          <v:textbox>
                            <w:txbxContent>
                              <w:p w14:paraId="744EDCCC" w14:textId="65F7DC17" w:rsidR="00A06738" w:rsidRDefault="00A06738" w:rsidP="00A06738">
                                <w:pPr>
                                  <w:jc w:val="center"/>
                                  <w:rPr>
                                    <w:rFonts w:ascii="Cambria" w:hAnsi="Cambria"/>
                                    <w:b/>
                                    <w:bCs/>
                                    <w:sz w:val="22"/>
                                    <w:szCs w:val="22"/>
                                  </w:rPr>
                                </w:pPr>
                                <w:r>
                                  <w:rPr>
                                    <w:rFonts w:ascii="Cambria" w:hAnsi="Cambria"/>
                                    <w:b/>
                                    <w:bCs/>
                                    <w:sz w:val="22"/>
                                    <w:szCs w:val="22"/>
                                  </w:rPr>
                                  <w:t>A</w:t>
                                </w:r>
                              </w:p>
                              <w:p w14:paraId="70C34D2C" w14:textId="03EA67AC" w:rsidR="00A06738" w:rsidRPr="00A06738" w:rsidRDefault="00A06738" w:rsidP="00A06738">
                                <w:pPr>
                                  <w:jc w:val="center"/>
                                  <w:rPr>
                                    <w:rFonts w:ascii="Cambria" w:hAnsi="Cambria"/>
                                    <w:b/>
                                    <w:bCs/>
                                    <w:sz w:val="22"/>
                                    <w:szCs w:val="22"/>
                                  </w:rPr>
                                </w:pPr>
                              </w:p>
                            </w:txbxContent>
                          </v:textbox>
                        </v:shape>
                        <v:shape id="Text Box 18" o:spid="_x0000_s1029" type="#_x0000_t202" style="position:absolute;left:57;top:2571;width:2286;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" filled="f" stroked="f" strokeweight=".5pt">
                          <o:lock v:ext="edit" aspectratio="t"/>
                          <v:textbox>
                            <w:txbxContent>
                              <w:p w14:paraId="0EB11516" w14:textId="275DD01C" w:rsidR="00A06738" w:rsidRPr="00A06738" w:rsidRDefault="00A06738">
                                <w:pPr>
                                  <w:rPr>
                                    <w:rFonts w:ascii="Cambria" w:hAnsi="Cambria"/>
                                    <w:b/>
                                    <w:bCs/>
                                    <w:sz w:val="22"/>
                                    <w:szCs w:val="22"/>
                                  </w:rPr>
                                </w:pPr>
                                <w:r>
                                  <w:rPr>
                                    <w:rFonts w:ascii="Cambria" w:hAnsi="Cambria"/>
                                    <w:b/>
                                    <w:bCs/>
                                    <w:sz w:val="22"/>
                                    <w:szCs w:val="22"/>
                                  </w:rPr>
                                  <w:t>B</w:t>
                                </w:r>
                              </w:p>
                            </w:txbxContent>
                          </v:textbox>
                        </v:shape>
                        <v:shape id="Text Box 19" o:spid="_x0000_s1030" type="#_x0000_t202" style="position:absolute;left:114;top:5029;width:2178;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" filled="f" stroked="f" strokeweight=".5pt">
                          <o:lock v:ext="edit" aspectratio="t"/>
                          <v:textbox>
                            <w:txbxContent>
                              <w:p w14:paraId="69968DBD" w14:textId="14BB6D86" w:rsidR="00A06738" w:rsidRPr="00A06738" w:rsidRDefault="00A06738" w:rsidP="00A06738">
                                <w:pPr>
                                  <w:jc w:val="center"/>
                                  <w:rPr>
                                    <w:rFonts w:asciiTheme="minorHAnsi" w:hAnsiTheme="minorHAnsi"/>
                                    <w:b/>
                                    <w:bCs/>
                                    <w:sz w:val="22"/>
                                    <w:szCs w:val="22"/>
                                  </w:rPr>
                                </w:pPr>
                                <w:r>
                                  <w:rPr>
                                    <w:rFonts w:asciiTheme="minorHAnsi" w:hAnsiTheme="minorHAnsi"/>
                                    <w:b/>
                                    <w:bCs/>
                                    <w:sz w:val="22"/>
                                    <w:szCs w:val="22"/>
                                  </w:rPr>
                                  <w:t>C</w:t>
                                </w:r>
                              </w:p>
                            </w:txbxContent>
                          </v:textbox>
                        </v:shape>
                      </v:group>
                      <v:shape id="Text Box 22" o:spid="_x0000_s1031" type="#_x0000_t202" style="position:absolute;top:2870;width:9772;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" filled="f" stroked="f" strokeweight=".5pt">
                        <v:textbox>
                          <w:txbxContent>
                            <w:p w14:paraId="003083FA" w14:textId="22A24A28" w:rsidR="00E52950" w:rsidRPr="00E52950" w:rsidRDefault="00E52950">
                              <w:pPr>
                                <w:rPr>
                                  <w:rFonts w:ascii="Cambria" w:hAnsi="Cambria"/>
                                  <w:b/>
                                  <w:bCs/>
                                  <w:sz w:val="22"/>
                                  <w:szCs w:val="22"/>
                                </w:rPr>
                              </w:pPr>
                              <w:r>
                                <w:rPr>
                                  <w:rFonts w:ascii="Cambria" w:hAnsi="Cambria"/>
                                  <w:b/>
                                  <w:bCs/>
                                  <w:sz w:val="22"/>
                                  <w:szCs w:val="22"/>
                                </w:rPr>
                                <w:t>HOLC Grade</w:t>
                              </w:r>
                            </w:p>
                          </w:txbxContent>
                        </v:textbox>
                      </v:shape>
                    </v:group>
                  </w:pict>
                </mc:Fallback>
              </mc:AlternateContent>
            </w:r>
            <w:r>
              <w:rPr>
                <w:rFonts w:asciiTheme="minorHAnsi" w:hAnsiTheme="minorHAnsi"/>
                <w:b/>
                <w:bCs/>
                <w:noProof/>
                <w:color w:val="000000"/>
                <w:sz w:val="22"/>
                <w:szCs w:val="22"/>
              </w:rPr>
              <mc:AlternateContent>
                <mc:Choice Requires="wps">
                  <w:drawing>
                    <wp:anchor distT="0" distB="0" distL="114300" distR="114300" simplePos="0" relativeHeight="251742208" behindDoc="0" locked="0" layoutInCell="1" allowOverlap="1" wp14:anchorId="0B53E4F7" wp14:editId="08683A43">
                      <wp:simplePos x="0" y="0"/>
                      <wp:positionH relativeFrom="column">
                        <wp:posOffset>963930</wp:posOffset>
                      </wp:positionH>
                      <wp:positionV relativeFrom="paragraph">
                        <wp:posOffset>-36830</wp:posOffset>
                      </wp:positionV>
                      <wp:extent cx="0" cy="740410"/>
                      <wp:effectExtent l="0" t="0" r="12700" b="8890"/>
                      <wp:wrapNone/>
                      <wp:docPr id="21" name="Straight Connector 21"/>
                      <wp:cNvGraphicFramePr/>
                      <a:graphic xmlns:a="http://schemas.openxmlformats.org/drawingml/2006/main">
                        <a:graphicData uri="http://schemas.microsoft.com/office/word/2010/wordprocessingShape">
                          <wps:wsp>
                            <wps:cNvCnPr/>
                            <wps:spPr>
                              <a:xfrm>
                                <a:off x="0" y="0"/>
                                <a:ext cx="0" cy="740410"/>
                              </a:xfrm>
                              <a:prstGeom prst="line">
                                <a:avLst/>
                              </a:prstGeom>
                              <a:ln w="127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16DCD7" id="Straight Connector 21"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9pt,-2.9pt" to="75.9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" strokecolor="black [3213]" strokeweight="1pt"/>
                  </w:pict>
                </mc:Fallback>
              </mc:AlternateContent>
            </w:r>
          </w:p>
          <w:p w14:paraId="3437726C" w14:textId="61E8204E" w:rsidR="001E5D4B" w:rsidRPr="001E5D4B" w:rsidRDefault="001E5D4B" w:rsidP="00A06738">
            <w:pPr>
              <w:pStyle w:val="NormalWeb"/>
              <w:spacing w:before="0" w:beforeAutospacing="0" w:after="0" w:afterAutospacing="0"/>
              <w:rPr>
                <w:rFonts w:asciiTheme="minorHAnsi" w:hAnsiTheme="minorHAnsi"/>
                <w:sz w:val="22"/>
                <w:szCs w:val="22"/>
              </w:rPr>
            </w:pPr>
          </w:p>
        </w:tc>
        <w:tc>
          <w:tcPr>
            <w:tcW w:w="1022"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4E2D5E05" w14:textId="1F36534B" w:rsidR="001E5D4B" w:rsidRPr="001E5D4B" w:rsidRDefault="00334C37" w:rsidP="00C93F2A">
            <w:pPr>
              <w:pStyle w:val="NormalWeb"/>
              <w:spacing w:before="0" w:beforeAutospacing="0" w:after="0" w:afterAutospacing="0"/>
              <w:jc w:val="center"/>
              <w:rPr>
                <w:rFonts w:asciiTheme="minorHAnsi" w:hAnsiTheme="minorHAnsi"/>
                <w:sz w:val="22"/>
                <w:szCs w:val="22"/>
              </w:rPr>
            </w:pPr>
            <w:r>
              <w:rPr>
                <w:rStyle w:val="apple-converted-space"/>
                <w:rFonts w:asciiTheme="minorHAnsi" w:hAnsiTheme="minorHAnsi"/>
                <w:color w:val="000000"/>
                <w:sz w:val="22"/>
                <w:szCs w:val="22"/>
              </w:rPr>
              <w:t xml:space="preserve"> </w:t>
            </w:r>
            <w:r w:rsidR="001E5D4B" w:rsidRPr="001E5D4B">
              <w:rPr>
                <w:rStyle w:val="apple-converted-space"/>
                <w:rFonts w:asciiTheme="minorHAnsi" w:hAnsiTheme="minorHAnsi"/>
                <w:color w:val="000000"/>
                <w:sz w:val="22"/>
                <w:szCs w:val="22"/>
              </w:rPr>
              <w:t>0.84</w:t>
            </w:r>
            <w:r w:rsidR="001E5D4B" w:rsidRPr="001E5D4B">
              <w:rPr>
                <w:rFonts w:asciiTheme="minorHAnsi" w:hAnsiTheme="minorHAnsi"/>
                <w:color w:val="000000"/>
                <w:sz w:val="22"/>
                <w:szCs w:val="22"/>
              </w:rPr>
              <w:t>* (0.38)</w:t>
            </w:r>
          </w:p>
        </w:tc>
        <w:tc>
          <w:tcPr>
            <w:tcW w:w="1022"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3D7CB5EA"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0.83* (0.37)</w:t>
            </w:r>
          </w:p>
        </w:tc>
        <w:tc>
          <w:tcPr>
            <w:tcW w:w="938"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745BB283"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-1.04 (0.83)</w:t>
            </w:r>
          </w:p>
        </w:tc>
        <w:tc>
          <w:tcPr>
            <w:tcW w:w="919"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7CDC49FE"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1.43 (0.94)</w:t>
            </w:r>
          </w:p>
        </w:tc>
      </w:tr>
      <w:tr w:rsidR="001E5D4B" w14:paraId="243220BA" w14:textId="77777777" w:rsidTr="00FF70CE">
        <w:trPr>
          <w:trHeight w:val="113"/>
        </w:trPr>
        <w:tc>
          <w:tcPr>
            <w:tcW w:w="1099" w:type="pct"/>
            <w:vMerge/>
            <w:tcBorders>
              <w:top w:val="single" w:sz="6" w:space="0" w:color="000000"/>
              <w:left w:val="single" w:sz="6" w:space="0" w:color="000000"/>
              <w:bottom w:val="single" w:sz="6" w:space="0" w:color="000000"/>
              <w:right w:val="single" w:sz="6" w:space="0" w:color="000000"/>
            </w:tcBorders>
            <w:vAlign w:val="center"/>
            <w:hideMark/>
          </w:tcPr>
          <w:p w14:paraId="2F9EE0D5" w14:textId="77777777" w:rsidR="001E5D4B" w:rsidRPr="001E5D4B" w:rsidRDefault="001E5D4B" w:rsidP="00A06738">
            <w:pPr>
              <w:rPr>
                <w:rFonts w:asciiTheme="minorHAnsi" w:hAnsiTheme="minorHAnsi"/>
                <w:sz w:val="22"/>
                <w:szCs w:val="22"/>
              </w:rPr>
            </w:pP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D241375" w14:textId="47FB20B1"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-0.12 (0.15)</w:t>
            </w: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C0B65AA"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-0.13 (0.15)</w:t>
            </w:r>
          </w:p>
        </w:tc>
        <w:tc>
          <w:tcPr>
            <w:tcW w:w="93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C4815D5"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-1.32*** (0.33)</w:t>
            </w:r>
          </w:p>
        </w:tc>
        <w:tc>
          <w:tcPr>
            <w:tcW w:w="91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47A5595" w14:textId="01FBAFD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1.73***</w:t>
            </w:r>
            <w:r w:rsidR="00ED636B">
              <w:rPr>
                <w:rFonts w:asciiTheme="minorHAnsi" w:hAnsiTheme="minorHAnsi"/>
                <w:color w:val="000000"/>
                <w:sz w:val="22"/>
                <w:szCs w:val="22"/>
              </w:rPr>
              <w:t>*</w:t>
            </w:r>
            <w:r w:rsidRPr="001E5D4B">
              <w:rPr>
                <w:rFonts w:asciiTheme="minorHAnsi" w:hAnsiTheme="minorHAnsi"/>
                <w:color w:val="000000"/>
                <w:sz w:val="22"/>
                <w:szCs w:val="22"/>
              </w:rPr>
              <w:t xml:space="preserve"> (0.38)</w:t>
            </w:r>
          </w:p>
        </w:tc>
      </w:tr>
      <w:tr w:rsidR="001E5D4B" w14:paraId="39EDE312" w14:textId="77777777" w:rsidTr="00FF70CE">
        <w:trPr>
          <w:trHeight w:val="128"/>
        </w:trPr>
        <w:tc>
          <w:tcPr>
            <w:tcW w:w="1099" w:type="pct"/>
            <w:vMerge/>
            <w:tcBorders>
              <w:top w:val="single" w:sz="6" w:space="0" w:color="000000"/>
              <w:left w:val="single" w:sz="6" w:space="0" w:color="000000"/>
              <w:bottom w:val="single" w:sz="6" w:space="0" w:color="000000"/>
              <w:right w:val="single" w:sz="6" w:space="0" w:color="000000"/>
            </w:tcBorders>
            <w:vAlign w:val="center"/>
            <w:hideMark/>
          </w:tcPr>
          <w:p w14:paraId="321E531E" w14:textId="77777777" w:rsidR="001E5D4B" w:rsidRPr="001E5D4B" w:rsidRDefault="001E5D4B" w:rsidP="00A06738">
            <w:pPr>
              <w:rPr>
                <w:rFonts w:asciiTheme="minorHAnsi" w:hAnsiTheme="minorHAnsi"/>
                <w:sz w:val="22"/>
                <w:szCs w:val="22"/>
              </w:rPr>
            </w:pPr>
          </w:p>
        </w:tc>
        <w:tc>
          <w:tcPr>
            <w:tcW w:w="1022"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50676DAE" w14:textId="08F01B3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-0.09 (0.11)</w:t>
            </w:r>
          </w:p>
        </w:tc>
        <w:tc>
          <w:tcPr>
            <w:tcW w:w="1022"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2AE78680"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-0.08 (0.10)</w:t>
            </w:r>
          </w:p>
        </w:tc>
        <w:tc>
          <w:tcPr>
            <w:tcW w:w="938"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0F1FB19F"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-0.34 (0.23)</w:t>
            </w:r>
          </w:p>
        </w:tc>
        <w:tc>
          <w:tcPr>
            <w:tcW w:w="919" w:type="pct"/>
            <w:tcBorders>
              <w:top w:val="single" w:sz="6" w:space="0" w:color="000000"/>
              <w:left w:val="single" w:sz="6" w:space="0" w:color="000000"/>
              <w:bottom w:val="single" w:sz="6" w:space="0" w:color="000000"/>
              <w:right w:val="single" w:sz="6" w:space="0" w:color="000000"/>
            </w:tcBorders>
            <w:shd w:val="clear" w:color="auto" w:fill="F2F2F2"/>
            <w:tcMar>
              <w:top w:w="60" w:type="dxa"/>
              <w:left w:w="60" w:type="dxa"/>
              <w:bottom w:w="60" w:type="dxa"/>
              <w:right w:w="60" w:type="dxa"/>
            </w:tcMar>
            <w:vAlign w:val="center"/>
            <w:hideMark/>
          </w:tcPr>
          <w:p w14:paraId="4DEDE16D"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0.09 (0.27)</w:t>
            </w:r>
          </w:p>
        </w:tc>
      </w:tr>
      <w:tr w:rsidR="001E5D4B" w14:paraId="21384BE1" w14:textId="77777777" w:rsidTr="00FF70CE">
        <w:trPr>
          <w:trHeight w:val="234"/>
        </w:trPr>
        <w:tc>
          <w:tcPr>
            <w:tcW w:w="109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62D0686" w14:textId="52B6DD12" w:rsidR="001E5D4B" w:rsidRPr="001E5D4B" w:rsidRDefault="001E5D4B" w:rsidP="00A06738">
            <w:pPr>
              <w:pStyle w:val="NormalWeb"/>
              <w:spacing w:before="0" w:beforeAutospacing="0" w:after="0" w:afterAutospacing="0"/>
              <w:rPr>
                <w:rFonts w:asciiTheme="minorHAnsi" w:hAnsiTheme="minorHAnsi"/>
                <w:sz w:val="22"/>
                <w:szCs w:val="22"/>
              </w:rPr>
            </w:pPr>
            <w:r w:rsidRPr="001E5D4B">
              <w:rPr>
                <w:rFonts w:asciiTheme="minorHAnsi" w:hAnsiTheme="minorHAnsi"/>
                <w:b/>
                <w:bCs/>
                <w:color w:val="000000"/>
                <w:sz w:val="22"/>
                <w:szCs w:val="22"/>
              </w:rPr>
              <w:t>Adjusted R-Squared</w:t>
            </w: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8602C7B" w14:textId="429E83D2"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0.27</w:t>
            </w:r>
          </w:p>
        </w:tc>
        <w:tc>
          <w:tcPr>
            <w:tcW w:w="102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C973071"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0.29</w:t>
            </w:r>
          </w:p>
        </w:tc>
        <w:tc>
          <w:tcPr>
            <w:tcW w:w="93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F2A3D03"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0.20</w:t>
            </w:r>
          </w:p>
        </w:tc>
        <w:tc>
          <w:tcPr>
            <w:tcW w:w="91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2736D64" w14:textId="77777777" w:rsidR="001E5D4B" w:rsidRPr="001E5D4B" w:rsidRDefault="001E5D4B" w:rsidP="00C93F2A">
            <w:pPr>
              <w:pStyle w:val="NormalWeb"/>
              <w:spacing w:before="0" w:beforeAutospacing="0" w:after="0" w:afterAutospacing="0"/>
              <w:jc w:val="center"/>
              <w:rPr>
                <w:rFonts w:asciiTheme="minorHAnsi" w:hAnsiTheme="minorHAnsi"/>
                <w:sz w:val="22"/>
                <w:szCs w:val="22"/>
              </w:rPr>
            </w:pPr>
            <w:r w:rsidRPr="001E5D4B">
              <w:rPr>
                <w:rFonts w:asciiTheme="minorHAnsi" w:hAnsiTheme="minorHAnsi"/>
                <w:color w:val="000000"/>
                <w:sz w:val="22"/>
                <w:szCs w:val="22"/>
              </w:rPr>
              <w:t>0.11</w:t>
            </w:r>
          </w:p>
        </w:tc>
      </w:tr>
    </w:tbl>
    <w:p w14:paraId="14FF75D7" w14:textId="06AA477D" w:rsidR="00612BB0" w:rsidRPr="00612BB0" w:rsidRDefault="00FF70CE" w:rsidP="00FB0582">
      <w:pPr>
        <w:rPr>
          <w:rFonts w:ascii="Cambria" w:hAnsi="Cambria"/>
          <w:sz w:val="22"/>
          <w:szCs w:val="22"/>
        </w:rPr>
      </w:pPr>
      <w:r>
        <w:rPr>
          <w:rFonts w:ascii="Cambria" w:hAnsi="Cambria"/>
          <w:sz w:val="22"/>
          <w:szCs w:val="22"/>
        </w:rPr>
        <w:t>P-value s</w:t>
      </w:r>
      <w:r w:rsidR="00BA2D08" w:rsidRPr="00612BB0">
        <w:rPr>
          <w:rFonts w:ascii="Cambria" w:hAnsi="Cambria"/>
          <w:sz w:val="22"/>
          <w:szCs w:val="22"/>
        </w:rPr>
        <w:t>ignif. codes:  0</w:t>
      </w:r>
      <w:r w:rsidR="00ED636B">
        <w:rPr>
          <w:rFonts w:ascii="Cambria" w:hAnsi="Cambria"/>
          <w:sz w:val="22"/>
          <w:szCs w:val="22"/>
        </w:rPr>
        <w:t>.0001</w:t>
      </w:r>
      <w:r w:rsidR="00BA2D08" w:rsidRPr="00612BB0">
        <w:rPr>
          <w:rFonts w:ascii="Cambria" w:hAnsi="Cambria"/>
          <w:sz w:val="22"/>
          <w:szCs w:val="22"/>
        </w:rPr>
        <w:t xml:space="preserve"> ‘***</w:t>
      </w:r>
      <w:r w:rsidR="00882D60">
        <w:rPr>
          <w:rFonts w:ascii="Cambria" w:hAnsi="Cambria"/>
          <w:sz w:val="22"/>
          <w:szCs w:val="22"/>
        </w:rPr>
        <w:t>*</w:t>
      </w:r>
      <w:r w:rsidR="00BA2D08" w:rsidRPr="00612BB0">
        <w:rPr>
          <w:rFonts w:ascii="Cambria" w:hAnsi="Cambria"/>
          <w:sz w:val="22"/>
          <w:szCs w:val="22"/>
        </w:rPr>
        <w:t>’, 0.001 ‘**</w:t>
      </w:r>
      <w:r w:rsidR="00882D60">
        <w:rPr>
          <w:rFonts w:ascii="Cambria" w:hAnsi="Cambria"/>
          <w:sz w:val="22"/>
          <w:szCs w:val="22"/>
        </w:rPr>
        <w:t>*</w:t>
      </w:r>
      <w:r w:rsidR="00BA2D08" w:rsidRPr="00612BB0">
        <w:rPr>
          <w:rFonts w:ascii="Cambria" w:hAnsi="Cambria"/>
          <w:sz w:val="22"/>
          <w:szCs w:val="22"/>
        </w:rPr>
        <w:t>’, 0.01 ‘*</w:t>
      </w:r>
      <w:r w:rsidR="00882D60">
        <w:rPr>
          <w:rFonts w:ascii="Cambria" w:hAnsi="Cambria"/>
          <w:sz w:val="22"/>
          <w:szCs w:val="22"/>
        </w:rPr>
        <w:t>*</w:t>
      </w:r>
      <w:r w:rsidR="00BA2D08" w:rsidRPr="00612BB0">
        <w:rPr>
          <w:rFonts w:ascii="Cambria" w:hAnsi="Cambria"/>
          <w:sz w:val="22"/>
          <w:szCs w:val="22"/>
        </w:rPr>
        <w:t>’, 0.05 ‘</w:t>
      </w:r>
      <w:r w:rsidR="00882D60">
        <w:rPr>
          <w:rFonts w:ascii="Cambria" w:hAnsi="Cambria"/>
          <w:sz w:val="22"/>
          <w:szCs w:val="22"/>
        </w:rPr>
        <w:t>*</w:t>
      </w:r>
      <w:r w:rsidR="00BA2D08" w:rsidRPr="00612BB0">
        <w:rPr>
          <w:rFonts w:ascii="Cambria" w:hAnsi="Cambria"/>
          <w:sz w:val="22"/>
          <w:szCs w:val="22"/>
        </w:rPr>
        <w:t>’, 0.1 ‘</w:t>
      </w:r>
      <w:r w:rsidR="00882D60">
        <w:rPr>
          <w:iCs/>
          <w:sz w:val="22"/>
          <w:szCs w:val="22"/>
          <w:vertAlign w:val="superscript"/>
        </w:rPr>
        <w:t>●</w:t>
      </w:r>
      <w:r w:rsidR="00BA2D08" w:rsidRPr="00612BB0">
        <w:rPr>
          <w:rFonts w:ascii="Cambria" w:hAnsi="Cambria"/>
          <w:sz w:val="22"/>
          <w:szCs w:val="22"/>
        </w:rPr>
        <w:t xml:space="preserve">’ </w:t>
      </w:r>
    </w:p>
    <w:p w14:paraId="3E113F7C" w14:textId="3584619D" w:rsidR="00FB0582" w:rsidRPr="00612BB0" w:rsidRDefault="00FB0582" w:rsidP="00FB0582">
      <w:pPr>
        <w:rPr>
          <w:rFonts w:ascii="Cambria" w:hAnsi="Cambria"/>
          <w:sz w:val="22"/>
          <w:szCs w:val="22"/>
        </w:rPr>
      </w:pPr>
      <w:r w:rsidRPr="00612BB0">
        <w:rPr>
          <w:rFonts w:ascii="Cambria" w:hAnsi="Cambria"/>
          <w:sz w:val="22"/>
          <w:szCs w:val="22"/>
        </w:rPr>
        <w:t xml:space="preserve">The HOLC grade correlation coefficient values are those compared to “D” graded HOLC values  </w:t>
      </w:r>
    </w:p>
    <w:p w14:paraId="534152A7" w14:textId="3F10B3EC" w:rsidR="0056166D" w:rsidRDefault="0056166D" w:rsidP="0056166D">
      <w:pPr>
        <w:spacing w:line="360" w:lineRule="auto"/>
        <w:rPr>
          <w:rFonts w:asciiTheme="minorHAnsi" w:hAnsiTheme="minorHAnsi"/>
          <w:i/>
        </w:rPr>
      </w:pPr>
    </w:p>
    <w:p w14:paraId="7ED3429E" w14:textId="09AF9818" w:rsidR="00D87B0C" w:rsidRDefault="00D87B0C" w:rsidP="0056166D">
      <w:pPr>
        <w:spacing w:line="360" w:lineRule="auto"/>
        <w:rPr>
          <w:rFonts w:asciiTheme="minorHAnsi" w:hAnsiTheme="minorHAnsi"/>
          <w:i/>
        </w:rPr>
      </w:pPr>
    </w:p>
    <w:p w14:paraId="306A8B64" w14:textId="0272376D" w:rsidR="00D87B0C" w:rsidRDefault="00D87B0C" w:rsidP="0056166D">
      <w:pPr>
        <w:spacing w:line="360" w:lineRule="auto"/>
        <w:rPr>
          <w:rFonts w:asciiTheme="minorHAnsi" w:hAnsiTheme="minorHAnsi"/>
          <w:i/>
        </w:rPr>
      </w:pPr>
    </w:p>
    <w:p w14:paraId="72C4F7A2" w14:textId="095CF40C" w:rsidR="00D87B0C" w:rsidRDefault="00D87B0C" w:rsidP="0056166D">
      <w:pPr>
        <w:spacing w:line="360" w:lineRule="auto"/>
        <w:rPr>
          <w:rFonts w:asciiTheme="minorHAnsi" w:hAnsiTheme="minorHAnsi"/>
          <w:i/>
        </w:rPr>
      </w:pPr>
    </w:p>
    <w:p w14:paraId="4E0B3405" w14:textId="1ED77E7B" w:rsidR="00D87B0C" w:rsidRDefault="00D87B0C" w:rsidP="0056166D">
      <w:pPr>
        <w:spacing w:line="360" w:lineRule="auto"/>
        <w:rPr>
          <w:rFonts w:asciiTheme="minorHAnsi" w:hAnsiTheme="minorHAnsi"/>
          <w:i/>
        </w:rPr>
      </w:pPr>
    </w:p>
    <w:p w14:paraId="4C1C0648" w14:textId="6A29CA93" w:rsidR="00D87B0C" w:rsidRDefault="00D87B0C" w:rsidP="0056166D">
      <w:pPr>
        <w:spacing w:line="360" w:lineRule="auto"/>
        <w:rPr>
          <w:rFonts w:asciiTheme="minorHAnsi" w:hAnsiTheme="minorHAnsi"/>
          <w:i/>
        </w:rPr>
      </w:pPr>
    </w:p>
    <w:p w14:paraId="604D621C" w14:textId="13B9BDEB" w:rsidR="00D87B0C" w:rsidRDefault="00D87B0C" w:rsidP="0056166D">
      <w:pPr>
        <w:spacing w:line="360" w:lineRule="auto"/>
        <w:rPr>
          <w:rFonts w:asciiTheme="minorHAnsi" w:hAnsiTheme="minorHAnsi"/>
          <w:i/>
        </w:rPr>
      </w:pPr>
    </w:p>
    <w:p w14:paraId="31F45D95" w14:textId="77777777" w:rsidR="001326D8" w:rsidRDefault="001326D8" w:rsidP="00ED636B">
      <w:pPr>
        <w:rPr>
          <w:rFonts w:asciiTheme="minorHAnsi" w:hAnsiTheme="minorHAnsi"/>
          <w:i/>
        </w:rPr>
      </w:pPr>
    </w:p>
    <w:p w14:paraId="74AB3C71" w14:textId="77777777" w:rsidR="004B3468" w:rsidRDefault="004B3468">
      <w:pPr>
        <w:rPr>
          <w:rFonts w:asciiTheme="minorHAnsi" w:hAnsiTheme="minorHAnsi"/>
          <w:i/>
        </w:rPr>
      </w:pPr>
      <w:r>
        <w:rPr>
          <w:rFonts w:asciiTheme="minorHAnsi" w:hAnsiTheme="minorHAnsi"/>
          <w:i/>
        </w:rPr>
        <w:br w:type="page"/>
      </w:r>
    </w:p>
    <w:p w14:paraId="52C4A4EA" w14:textId="3CB9E0C4" w:rsidR="004B3468" w:rsidRPr="004065B4" w:rsidRDefault="00ED636B" w:rsidP="00ED636B">
      <w:pPr>
        <w:rPr>
          <w:rFonts w:ascii="Cambria" w:hAnsi="Cambria"/>
        </w:rPr>
      </w:pPr>
      <w:r>
        <w:rPr>
          <w:rFonts w:asciiTheme="minorHAnsi" w:hAnsiTheme="minorHAnsi"/>
          <w:i/>
        </w:rPr>
        <w:lastRenderedPageBreak/>
        <w:t xml:space="preserve">Table 6. </w:t>
      </w:r>
      <w:r w:rsidRPr="00171EBA">
        <w:rPr>
          <w:rFonts w:ascii="Cambria" w:hAnsi="Cambria"/>
          <w:i/>
          <w:iCs/>
        </w:rPr>
        <w:t>Statistical co</w:t>
      </w:r>
      <w:r w:rsidR="005B5198">
        <w:rPr>
          <w:rFonts w:ascii="Cambria" w:hAnsi="Cambria"/>
          <w:i/>
          <w:iCs/>
        </w:rPr>
        <w:t>rrelations</w:t>
      </w:r>
      <w:r w:rsidRPr="00171EBA">
        <w:rPr>
          <w:rFonts w:ascii="Cambria" w:hAnsi="Cambria"/>
          <w:i/>
          <w:iCs/>
        </w:rPr>
        <w:t xml:space="preserve"> </w:t>
      </w:r>
      <w:r w:rsidR="005B5198">
        <w:rPr>
          <w:rFonts w:ascii="Cambria" w:hAnsi="Cambria"/>
          <w:i/>
          <w:iCs/>
        </w:rPr>
        <w:t xml:space="preserve">for </w:t>
      </w:r>
      <w:r w:rsidRPr="00171EBA">
        <w:rPr>
          <w:rFonts w:ascii="Cambria" w:hAnsi="Cambria"/>
          <w:i/>
          <w:iCs/>
        </w:rPr>
        <w:t xml:space="preserve">UES indicator values </w:t>
      </w:r>
      <w:r w:rsidR="005B5198">
        <w:rPr>
          <w:rFonts w:ascii="Cambria" w:hAnsi="Cambria"/>
          <w:i/>
          <w:iCs/>
        </w:rPr>
        <w:t xml:space="preserve">between each of the </w:t>
      </w:r>
      <w:r w:rsidRPr="00171EBA">
        <w:rPr>
          <w:rFonts w:ascii="Cambria" w:hAnsi="Cambria"/>
          <w:i/>
          <w:iCs/>
        </w:rPr>
        <w:t xml:space="preserve">four HOLC grades (A-D) from </w:t>
      </w:r>
      <w:r w:rsidR="00EF5359">
        <w:rPr>
          <w:rFonts w:ascii="Cambria" w:hAnsi="Cambria"/>
          <w:i/>
          <w:iCs/>
        </w:rPr>
        <w:t>the</w:t>
      </w:r>
      <w:r w:rsidRPr="00171EBA">
        <w:rPr>
          <w:rFonts w:ascii="Cambria" w:hAnsi="Cambria"/>
          <w:i/>
          <w:iCs/>
        </w:rPr>
        <w:t xml:space="preserve"> </w:t>
      </w:r>
      <w:r w:rsidR="005B5198">
        <w:rPr>
          <w:rFonts w:ascii="Cambria" w:hAnsi="Cambria"/>
          <w:i/>
          <w:iCs/>
        </w:rPr>
        <w:t>two</w:t>
      </w:r>
      <w:r w:rsidRPr="00171EBA">
        <w:rPr>
          <w:rFonts w:ascii="Cambria" w:hAnsi="Cambria"/>
          <w:i/>
          <w:iCs/>
        </w:rPr>
        <w:t>-way ANOVA analysis</w:t>
      </w:r>
      <w:r w:rsidR="005B5198">
        <w:rPr>
          <w:rFonts w:ascii="Cambria" w:hAnsi="Cambria"/>
          <w:i/>
          <w:iCs/>
        </w:rPr>
        <w:t xml:space="preserve">. </w:t>
      </w:r>
      <w:r w:rsidR="005B5198">
        <w:rPr>
          <w:rFonts w:ascii="Cambria" w:hAnsi="Cambria"/>
        </w:rPr>
        <w:t xml:space="preserve">Results from this analysis show the correlation in the production of each UES supply between values for each of the four HOLC grades. </w:t>
      </w:r>
      <w:r w:rsidR="00D12F4F">
        <w:rPr>
          <w:rFonts w:ascii="Cambria" w:hAnsi="Cambria"/>
        </w:rPr>
        <w:t xml:space="preserve">For total carbon removal </w:t>
      </w:r>
      <w:r w:rsidR="007F3A8F">
        <w:rPr>
          <w:rFonts w:ascii="Cambria" w:hAnsi="Cambria"/>
        </w:rPr>
        <w:t xml:space="preserve">(carbon storage and sequestration) </w:t>
      </w:r>
      <w:r w:rsidR="00D12F4F">
        <w:rPr>
          <w:rFonts w:ascii="Cambria" w:hAnsi="Cambria"/>
        </w:rPr>
        <w:t xml:space="preserve">and air pollution removal, there is a significant increase in the supply between block groups with a HOLC grade of </w:t>
      </w:r>
      <w:r w:rsidR="00EF5359">
        <w:rPr>
          <w:rFonts w:ascii="Cambria" w:hAnsi="Cambria"/>
        </w:rPr>
        <w:t>“</w:t>
      </w:r>
      <w:r w:rsidR="00D12F4F">
        <w:rPr>
          <w:rFonts w:ascii="Cambria" w:hAnsi="Cambria"/>
        </w:rPr>
        <w:t>A</w:t>
      </w:r>
      <w:r w:rsidR="00EF5359">
        <w:rPr>
          <w:rFonts w:ascii="Cambria" w:hAnsi="Cambria"/>
        </w:rPr>
        <w:t>”</w:t>
      </w:r>
      <w:r w:rsidR="00D12F4F">
        <w:rPr>
          <w:rFonts w:ascii="Cambria" w:hAnsi="Cambria"/>
        </w:rPr>
        <w:t xml:space="preserve"> compared to </w:t>
      </w:r>
      <w:r w:rsidR="00EF5359">
        <w:rPr>
          <w:rFonts w:ascii="Cambria" w:hAnsi="Cambria"/>
        </w:rPr>
        <w:t>“</w:t>
      </w:r>
      <w:r w:rsidR="00D12F4F">
        <w:rPr>
          <w:rFonts w:ascii="Cambria" w:hAnsi="Cambria"/>
        </w:rPr>
        <w:t>B</w:t>
      </w:r>
      <w:r w:rsidR="00EF5359">
        <w:rPr>
          <w:rFonts w:ascii="Cambria" w:hAnsi="Cambria"/>
        </w:rPr>
        <w:t>”</w:t>
      </w:r>
      <w:r w:rsidR="00D12F4F">
        <w:rPr>
          <w:rFonts w:ascii="Cambria" w:hAnsi="Cambria"/>
        </w:rPr>
        <w:t xml:space="preserve"> and </w:t>
      </w:r>
      <w:r w:rsidR="00EF5359">
        <w:rPr>
          <w:rFonts w:ascii="Cambria" w:hAnsi="Cambria"/>
        </w:rPr>
        <w:t>“</w:t>
      </w:r>
      <w:r w:rsidR="00D12F4F">
        <w:rPr>
          <w:rFonts w:ascii="Cambria" w:hAnsi="Cambria"/>
        </w:rPr>
        <w:t>C</w:t>
      </w:r>
      <w:r w:rsidR="00EF5359">
        <w:rPr>
          <w:rFonts w:ascii="Cambria" w:hAnsi="Cambria"/>
        </w:rPr>
        <w:t>”</w:t>
      </w:r>
      <w:r w:rsidR="00D12F4F">
        <w:rPr>
          <w:rFonts w:ascii="Cambria" w:hAnsi="Cambria"/>
        </w:rPr>
        <w:t xml:space="preserve">. For local climate regulation, block groups with a HOLC grade of </w:t>
      </w:r>
      <w:r w:rsidR="00EF5359">
        <w:rPr>
          <w:rFonts w:ascii="Cambria" w:hAnsi="Cambria"/>
        </w:rPr>
        <w:t>“</w:t>
      </w:r>
      <w:r w:rsidR="00D12F4F">
        <w:rPr>
          <w:rFonts w:ascii="Cambria" w:hAnsi="Cambria"/>
        </w:rPr>
        <w:t>B</w:t>
      </w:r>
      <w:r w:rsidR="00EF5359">
        <w:rPr>
          <w:rFonts w:ascii="Cambria" w:hAnsi="Cambria"/>
        </w:rPr>
        <w:t>”</w:t>
      </w:r>
      <w:r w:rsidR="00D12F4F">
        <w:rPr>
          <w:rFonts w:ascii="Cambria" w:hAnsi="Cambria"/>
        </w:rPr>
        <w:t xml:space="preserve"> </w:t>
      </w:r>
      <w:r w:rsidR="00EF5359">
        <w:rPr>
          <w:rFonts w:ascii="Cambria" w:hAnsi="Cambria"/>
        </w:rPr>
        <w:t>have significantly lower LST compared to</w:t>
      </w:r>
      <w:r w:rsidR="00D12F4F">
        <w:rPr>
          <w:rFonts w:ascii="Cambria" w:hAnsi="Cambria"/>
        </w:rPr>
        <w:t xml:space="preserve"> </w:t>
      </w:r>
      <w:r w:rsidR="00EF5359">
        <w:rPr>
          <w:rFonts w:ascii="Cambria" w:hAnsi="Cambria"/>
        </w:rPr>
        <w:t>“</w:t>
      </w:r>
      <w:r w:rsidR="00D12F4F">
        <w:rPr>
          <w:rFonts w:ascii="Cambria" w:hAnsi="Cambria"/>
        </w:rPr>
        <w:t>C</w:t>
      </w:r>
      <w:r w:rsidR="00EF5359">
        <w:rPr>
          <w:rFonts w:ascii="Cambria" w:hAnsi="Cambria"/>
        </w:rPr>
        <w:t>”</w:t>
      </w:r>
      <w:r w:rsidR="00D12F4F">
        <w:rPr>
          <w:rFonts w:ascii="Cambria" w:hAnsi="Cambria"/>
        </w:rPr>
        <w:t xml:space="preserve"> and </w:t>
      </w:r>
      <w:r w:rsidR="00EF5359">
        <w:rPr>
          <w:rFonts w:ascii="Cambria" w:hAnsi="Cambria"/>
        </w:rPr>
        <w:t>“</w:t>
      </w:r>
      <w:r w:rsidR="00D12F4F">
        <w:rPr>
          <w:rFonts w:ascii="Cambria" w:hAnsi="Cambria"/>
        </w:rPr>
        <w:t>D</w:t>
      </w:r>
      <w:r w:rsidR="00EF5359">
        <w:rPr>
          <w:rFonts w:ascii="Cambria" w:hAnsi="Cambria"/>
        </w:rPr>
        <w:t>”</w:t>
      </w:r>
      <w:r w:rsidR="00D12F4F">
        <w:rPr>
          <w:rFonts w:ascii="Cambria" w:hAnsi="Cambria"/>
        </w:rPr>
        <w:t xml:space="preserve"> graded block groups. Lastly, for recreation potential, there is significantly more accessible parkland for resident</w:t>
      </w:r>
      <w:r w:rsidR="00EF5359">
        <w:rPr>
          <w:rFonts w:ascii="Cambria" w:hAnsi="Cambria"/>
        </w:rPr>
        <w:t>s</w:t>
      </w:r>
      <w:r w:rsidR="00D12F4F">
        <w:rPr>
          <w:rFonts w:ascii="Cambria" w:hAnsi="Cambria"/>
        </w:rPr>
        <w:t xml:space="preserve"> that live in </w:t>
      </w:r>
      <w:r w:rsidR="00EF5359">
        <w:rPr>
          <w:rFonts w:ascii="Cambria" w:hAnsi="Cambria"/>
        </w:rPr>
        <w:t>“</w:t>
      </w:r>
      <w:r w:rsidR="00D12F4F">
        <w:rPr>
          <w:rFonts w:ascii="Cambria" w:hAnsi="Cambria"/>
        </w:rPr>
        <w:t>B</w:t>
      </w:r>
      <w:r w:rsidR="00EF5359">
        <w:rPr>
          <w:rFonts w:ascii="Cambria" w:hAnsi="Cambria"/>
        </w:rPr>
        <w:t>”</w:t>
      </w:r>
      <w:r w:rsidR="00D12F4F">
        <w:rPr>
          <w:rFonts w:ascii="Cambria" w:hAnsi="Cambria"/>
        </w:rPr>
        <w:t xml:space="preserve"> graded block groups compared to </w:t>
      </w:r>
      <w:r w:rsidR="00EF5359">
        <w:rPr>
          <w:rFonts w:ascii="Cambria" w:hAnsi="Cambria"/>
        </w:rPr>
        <w:t>“</w:t>
      </w:r>
      <w:r w:rsidR="00D12F4F">
        <w:rPr>
          <w:rFonts w:ascii="Cambria" w:hAnsi="Cambria"/>
        </w:rPr>
        <w:t>C</w:t>
      </w:r>
      <w:r w:rsidR="00EF5359">
        <w:rPr>
          <w:rFonts w:ascii="Cambria" w:hAnsi="Cambria"/>
        </w:rPr>
        <w:t>”</w:t>
      </w:r>
      <w:r w:rsidR="00D12F4F">
        <w:rPr>
          <w:rFonts w:ascii="Cambria" w:hAnsi="Cambria"/>
        </w:rPr>
        <w:t xml:space="preserve"> and </w:t>
      </w:r>
      <w:r w:rsidR="00EF5359">
        <w:rPr>
          <w:rFonts w:ascii="Cambria" w:hAnsi="Cambria"/>
        </w:rPr>
        <w:t>“</w:t>
      </w:r>
      <w:r w:rsidR="00D12F4F">
        <w:rPr>
          <w:rFonts w:ascii="Cambria" w:hAnsi="Cambria"/>
        </w:rPr>
        <w:t>D</w:t>
      </w:r>
      <w:r w:rsidR="00EF5359">
        <w:rPr>
          <w:rFonts w:ascii="Cambria" w:hAnsi="Cambria"/>
        </w:rPr>
        <w:t>”</w:t>
      </w:r>
      <w:r w:rsidR="00D12F4F">
        <w:rPr>
          <w:rFonts w:ascii="Cambria" w:hAnsi="Cambria"/>
        </w:rPr>
        <w:t xml:space="preserve"> graded block groups. </w:t>
      </w:r>
    </w:p>
    <w:tbl>
      <w:tblPr>
        <w:tblStyle w:val="TableGrid"/>
        <w:tblW w:w="5000" w:type="pct"/>
        <w:tblLook w:val="04A0" w:firstRow="1" w:lastRow="0" w:firstColumn="1" w:lastColumn="0" w:noHBand="0" w:noVBand="1"/>
      </w:tblPr>
      <w:tblGrid>
        <w:gridCol w:w="1870"/>
        <w:gridCol w:w="1870"/>
        <w:gridCol w:w="1870"/>
        <w:gridCol w:w="1870"/>
        <w:gridCol w:w="1870"/>
      </w:tblGrid>
      <w:tr w:rsidR="001E3F4C" w:rsidRPr="00B77D9C" w14:paraId="050728B7" w14:textId="77777777" w:rsidTr="00C21899">
        <w:trPr>
          <w:trHeight w:val="431"/>
        </w:trPr>
        <w:tc>
          <w:tcPr>
            <w:tcW w:w="1000" w:type="pct"/>
            <w:shd w:val="clear" w:color="auto" w:fill="000000" w:themeFill="text1"/>
          </w:tcPr>
          <w:p w14:paraId="11BD34E7" w14:textId="77777777" w:rsidR="001E3F4C" w:rsidRPr="00B77D9C" w:rsidRDefault="001E3F4C" w:rsidP="0056166D">
            <w:pPr>
              <w:spacing w:line="360" w:lineRule="auto"/>
              <w:rPr>
                <w:rFonts w:asciiTheme="minorHAnsi" w:hAnsiTheme="minorHAnsi"/>
                <w:iCs/>
              </w:rPr>
            </w:pPr>
          </w:p>
        </w:tc>
        <w:tc>
          <w:tcPr>
            <w:tcW w:w="1000" w:type="pct"/>
            <w:vAlign w:val="center"/>
          </w:tcPr>
          <w:p w14:paraId="22A342BC" w14:textId="208FCFD9" w:rsidR="001E3F4C" w:rsidRPr="00B77D9C" w:rsidRDefault="001E3F4C" w:rsidP="00B77D9C">
            <w:pPr>
              <w:jc w:val="center"/>
              <w:rPr>
                <w:rFonts w:asciiTheme="minorHAnsi" w:hAnsiTheme="minorHAnsi"/>
                <w:b/>
                <w:bCs/>
                <w:iCs/>
                <w:sz w:val="22"/>
                <w:szCs w:val="22"/>
              </w:rPr>
            </w:pPr>
            <w:r w:rsidRPr="00B77D9C">
              <w:rPr>
                <w:rFonts w:asciiTheme="minorHAnsi" w:hAnsiTheme="minorHAnsi"/>
                <w:b/>
                <w:bCs/>
                <w:iCs/>
                <w:sz w:val="22"/>
                <w:szCs w:val="22"/>
              </w:rPr>
              <w:t>Total Carbon Removal</w:t>
            </w:r>
          </w:p>
        </w:tc>
        <w:tc>
          <w:tcPr>
            <w:tcW w:w="1000" w:type="pct"/>
            <w:vAlign w:val="center"/>
          </w:tcPr>
          <w:p w14:paraId="6C43DE57" w14:textId="1160C5D4" w:rsidR="001E3F4C" w:rsidRPr="00B77D9C" w:rsidRDefault="001E3F4C" w:rsidP="00B77D9C">
            <w:pPr>
              <w:jc w:val="center"/>
              <w:rPr>
                <w:rFonts w:asciiTheme="minorHAnsi" w:hAnsiTheme="minorHAnsi"/>
                <w:b/>
                <w:bCs/>
                <w:iCs/>
                <w:sz w:val="22"/>
                <w:szCs w:val="22"/>
              </w:rPr>
            </w:pPr>
            <w:r w:rsidRPr="00B77D9C">
              <w:rPr>
                <w:rFonts w:asciiTheme="minorHAnsi" w:hAnsiTheme="minorHAnsi"/>
                <w:b/>
                <w:bCs/>
                <w:iCs/>
                <w:sz w:val="22"/>
                <w:szCs w:val="22"/>
              </w:rPr>
              <w:t>Total Air Pollution Removal</w:t>
            </w:r>
          </w:p>
        </w:tc>
        <w:tc>
          <w:tcPr>
            <w:tcW w:w="1000" w:type="pct"/>
            <w:vAlign w:val="center"/>
          </w:tcPr>
          <w:p w14:paraId="02B5AAB7" w14:textId="2C293B49" w:rsidR="001E3F4C" w:rsidRPr="00B77D9C" w:rsidRDefault="001E3F4C" w:rsidP="00B77D9C">
            <w:pPr>
              <w:jc w:val="center"/>
              <w:rPr>
                <w:rFonts w:asciiTheme="minorHAnsi" w:hAnsiTheme="minorHAnsi"/>
                <w:b/>
                <w:bCs/>
                <w:iCs/>
                <w:sz w:val="22"/>
                <w:szCs w:val="22"/>
              </w:rPr>
            </w:pPr>
            <w:r w:rsidRPr="00B77D9C">
              <w:rPr>
                <w:rFonts w:asciiTheme="minorHAnsi" w:hAnsiTheme="minorHAnsi"/>
                <w:b/>
                <w:bCs/>
                <w:iCs/>
                <w:sz w:val="22"/>
                <w:szCs w:val="22"/>
              </w:rPr>
              <w:t>Local Climate Regulation</w:t>
            </w:r>
          </w:p>
        </w:tc>
        <w:tc>
          <w:tcPr>
            <w:tcW w:w="1000" w:type="pct"/>
            <w:vAlign w:val="center"/>
          </w:tcPr>
          <w:p w14:paraId="0E62F2BE" w14:textId="1D4489F7" w:rsidR="001E3F4C" w:rsidRPr="00B77D9C" w:rsidRDefault="001E3F4C" w:rsidP="00B77D9C">
            <w:pPr>
              <w:jc w:val="center"/>
              <w:rPr>
                <w:rFonts w:asciiTheme="minorHAnsi" w:hAnsiTheme="minorHAnsi"/>
                <w:b/>
                <w:bCs/>
                <w:iCs/>
                <w:sz w:val="22"/>
                <w:szCs w:val="22"/>
              </w:rPr>
            </w:pPr>
            <w:r w:rsidRPr="00B77D9C">
              <w:rPr>
                <w:rFonts w:asciiTheme="minorHAnsi" w:hAnsiTheme="minorHAnsi"/>
                <w:b/>
                <w:bCs/>
                <w:iCs/>
                <w:sz w:val="22"/>
                <w:szCs w:val="22"/>
              </w:rPr>
              <w:t>Recreation Potential</w:t>
            </w:r>
          </w:p>
        </w:tc>
      </w:tr>
      <w:tr w:rsidR="001E3F4C" w:rsidRPr="00B77D9C" w14:paraId="353396A6" w14:textId="77777777" w:rsidTr="00C21899">
        <w:trPr>
          <w:trHeight w:val="89"/>
        </w:trPr>
        <w:tc>
          <w:tcPr>
            <w:tcW w:w="1000" w:type="pct"/>
            <w:shd w:val="clear" w:color="auto" w:fill="000000" w:themeFill="text1"/>
          </w:tcPr>
          <w:p w14:paraId="7EB195BF" w14:textId="77777777" w:rsidR="001E3F4C" w:rsidRPr="00B77D9C" w:rsidRDefault="001E3F4C" w:rsidP="0056166D">
            <w:pPr>
              <w:spacing w:line="360" w:lineRule="auto"/>
              <w:rPr>
                <w:rFonts w:asciiTheme="minorHAnsi" w:hAnsiTheme="minorHAnsi"/>
                <w:iCs/>
              </w:rPr>
            </w:pPr>
          </w:p>
        </w:tc>
        <w:tc>
          <w:tcPr>
            <w:tcW w:w="4000" w:type="pct"/>
            <w:gridSpan w:val="4"/>
            <w:vAlign w:val="center"/>
          </w:tcPr>
          <w:p w14:paraId="1EAEDBD1" w14:textId="7DE81449" w:rsidR="001E3F4C" w:rsidRPr="00B77D9C" w:rsidRDefault="001E3F4C" w:rsidP="00B77D9C">
            <w:pPr>
              <w:spacing w:line="360" w:lineRule="auto"/>
              <w:jc w:val="center"/>
              <w:rPr>
                <w:rFonts w:asciiTheme="minorHAnsi" w:hAnsiTheme="minorHAnsi"/>
                <w:iCs/>
                <w:sz w:val="22"/>
                <w:szCs w:val="22"/>
                <w:vertAlign w:val="superscript"/>
              </w:rPr>
            </w:pPr>
            <w:r w:rsidRPr="00B77D9C">
              <w:rPr>
                <w:rFonts w:asciiTheme="minorHAnsi" w:hAnsiTheme="minorHAnsi"/>
                <w:iCs/>
                <w:sz w:val="22"/>
                <w:szCs w:val="22"/>
              </w:rPr>
              <w:t>Correlation coeffcient</w:t>
            </w:r>
            <w:r w:rsidRPr="00B77D9C">
              <w:rPr>
                <w:rFonts w:asciiTheme="minorHAnsi" w:hAnsiTheme="minorHAnsi"/>
                <w:iCs/>
                <w:sz w:val="22"/>
                <w:szCs w:val="22"/>
                <w:vertAlign w:val="superscript"/>
              </w:rPr>
              <w:t>p-value</w:t>
            </w:r>
          </w:p>
        </w:tc>
      </w:tr>
      <w:tr w:rsidR="001E3F4C" w:rsidRPr="00B77D9C" w14:paraId="6061BAF0" w14:textId="77777777" w:rsidTr="00C21899">
        <w:trPr>
          <w:trHeight w:val="364"/>
        </w:trPr>
        <w:tc>
          <w:tcPr>
            <w:tcW w:w="1000" w:type="pct"/>
            <w:shd w:val="clear" w:color="auto" w:fill="F2F2F2" w:themeFill="background1" w:themeFillShade="F2"/>
          </w:tcPr>
          <w:p w14:paraId="17274136" w14:textId="15483E47" w:rsidR="001E3F4C" w:rsidRPr="00D12F4F" w:rsidRDefault="001E3F4C" w:rsidP="0056166D">
            <w:pPr>
              <w:spacing w:line="360" w:lineRule="auto"/>
              <w:rPr>
                <w:rFonts w:asciiTheme="minorHAnsi" w:hAnsiTheme="minorHAnsi"/>
                <w:b/>
                <w:bCs/>
                <w:iCs/>
                <w:sz w:val="22"/>
                <w:szCs w:val="22"/>
              </w:rPr>
            </w:pPr>
            <w:r w:rsidRPr="00D12F4F">
              <w:rPr>
                <w:rFonts w:asciiTheme="minorHAnsi" w:hAnsiTheme="minorHAnsi"/>
                <w:b/>
                <w:bCs/>
                <w:iCs/>
                <w:sz w:val="22"/>
                <w:szCs w:val="22"/>
              </w:rPr>
              <w:t>HOLC Grade A-B</w:t>
            </w:r>
          </w:p>
        </w:tc>
        <w:tc>
          <w:tcPr>
            <w:tcW w:w="1000" w:type="pct"/>
            <w:shd w:val="clear" w:color="auto" w:fill="F2F2F2" w:themeFill="background1" w:themeFillShade="F2"/>
            <w:vAlign w:val="center"/>
          </w:tcPr>
          <w:p w14:paraId="57FD8577" w14:textId="295CC39D" w:rsidR="001E3F4C" w:rsidRPr="00B77D9C" w:rsidRDefault="001E3F4C" w:rsidP="00691A46">
            <w:pPr>
              <w:spacing w:line="360" w:lineRule="auto"/>
              <w:jc w:val="center"/>
              <w:rPr>
                <w:iCs/>
                <w:sz w:val="22"/>
                <w:szCs w:val="22"/>
                <w:vertAlign w:val="superscript"/>
                <w:lang w:eastAsia="ja-JP"/>
              </w:rPr>
            </w:pPr>
            <w:r w:rsidRPr="00B77D9C">
              <w:rPr>
                <w:rFonts w:asciiTheme="minorHAnsi" w:hAnsiTheme="minorHAnsi"/>
                <w:iCs/>
                <w:sz w:val="22"/>
                <w:szCs w:val="22"/>
              </w:rPr>
              <w:t>0.915</w:t>
            </w:r>
            <w:r w:rsidR="00B77D9C">
              <w:rPr>
                <w:iCs/>
                <w:sz w:val="22"/>
                <w:szCs w:val="22"/>
                <w:vertAlign w:val="superscript"/>
              </w:rPr>
              <w:t>●</w:t>
            </w:r>
          </w:p>
        </w:tc>
        <w:tc>
          <w:tcPr>
            <w:tcW w:w="1000" w:type="pct"/>
            <w:shd w:val="clear" w:color="auto" w:fill="F2F2F2" w:themeFill="background1" w:themeFillShade="F2"/>
            <w:vAlign w:val="center"/>
          </w:tcPr>
          <w:p w14:paraId="33F5FFB2" w14:textId="189BF0F5" w:rsidR="001E3F4C" w:rsidRPr="00B77D9C" w:rsidRDefault="001E3F4C" w:rsidP="00691A46">
            <w:pPr>
              <w:spacing w:line="360" w:lineRule="auto"/>
              <w:jc w:val="center"/>
              <w:rPr>
                <w:rFonts w:asciiTheme="minorHAnsi" w:hAnsiTheme="minorHAnsi"/>
                <w:iCs/>
                <w:sz w:val="22"/>
                <w:szCs w:val="22"/>
                <w:vertAlign w:val="superscript"/>
              </w:rPr>
            </w:pPr>
            <w:r w:rsidRPr="00B77D9C">
              <w:rPr>
                <w:rFonts w:asciiTheme="minorHAnsi" w:hAnsiTheme="minorHAnsi"/>
                <w:iCs/>
                <w:sz w:val="22"/>
                <w:szCs w:val="22"/>
              </w:rPr>
              <w:t>0.924</w:t>
            </w:r>
            <w:r w:rsidR="00B77D9C" w:rsidRPr="00B77D9C">
              <w:rPr>
                <w:rFonts w:asciiTheme="minorHAnsi" w:hAnsiTheme="minorHAnsi"/>
                <w:color w:val="000000"/>
                <w:sz w:val="22"/>
                <w:szCs w:val="22"/>
              </w:rPr>
              <w:t>*</w:t>
            </w:r>
          </w:p>
        </w:tc>
        <w:tc>
          <w:tcPr>
            <w:tcW w:w="1000" w:type="pct"/>
            <w:shd w:val="clear" w:color="auto" w:fill="F2F2F2" w:themeFill="background1" w:themeFillShade="F2"/>
            <w:vAlign w:val="center"/>
          </w:tcPr>
          <w:p w14:paraId="7F5F24DB" w14:textId="309B7D4A"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0.428</w:t>
            </w:r>
          </w:p>
        </w:tc>
        <w:tc>
          <w:tcPr>
            <w:tcW w:w="1000" w:type="pct"/>
            <w:shd w:val="clear" w:color="auto" w:fill="F2F2F2" w:themeFill="background1" w:themeFillShade="F2"/>
            <w:vAlign w:val="center"/>
          </w:tcPr>
          <w:p w14:paraId="0015D38F" w14:textId="6FC9D757"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-0.491</w:t>
            </w:r>
          </w:p>
        </w:tc>
      </w:tr>
      <w:tr w:rsidR="001E3F4C" w:rsidRPr="00B77D9C" w14:paraId="309B2C3F" w14:textId="77777777" w:rsidTr="00C21899">
        <w:trPr>
          <w:trHeight w:val="381"/>
        </w:trPr>
        <w:tc>
          <w:tcPr>
            <w:tcW w:w="1000" w:type="pct"/>
          </w:tcPr>
          <w:p w14:paraId="204D668D" w14:textId="5415226B" w:rsidR="001E3F4C" w:rsidRPr="00D12F4F" w:rsidRDefault="001E3F4C" w:rsidP="0056166D">
            <w:pPr>
              <w:spacing w:line="360" w:lineRule="auto"/>
              <w:rPr>
                <w:rFonts w:asciiTheme="minorHAnsi" w:hAnsiTheme="minorHAnsi"/>
                <w:b/>
                <w:bCs/>
                <w:iCs/>
                <w:sz w:val="22"/>
                <w:szCs w:val="22"/>
              </w:rPr>
            </w:pPr>
            <w:r w:rsidRPr="00D12F4F">
              <w:rPr>
                <w:rFonts w:asciiTheme="minorHAnsi" w:hAnsiTheme="minorHAnsi"/>
                <w:b/>
                <w:bCs/>
                <w:iCs/>
                <w:sz w:val="22"/>
                <w:szCs w:val="22"/>
              </w:rPr>
              <w:t>HOLC Grade A-C</w:t>
            </w:r>
          </w:p>
        </w:tc>
        <w:tc>
          <w:tcPr>
            <w:tcW w:w="1000" w:type="pct"/>
            <w:vAlign w:val="center"/>
          </w:tcPr>
          <w:p w14:paraId="5463FCC6" w14:textId="66C929A3" w:rsidR="001E3F4C" w:rsidRPr="00B77D9C" w:rsidRDefault="001E3F4C" w:rsidP="00691A46">
            <w:pPr>
              <w:spacing w:line="360" w:lineRule="auto"/>
              <w:jc w:val="center"/>
              <w:rPr>
                <w:rFonts w:asciiTheme="minorHAnsi" w:hAnsiTheme="minorHAnsi"/>
                <w:iCs/>
                <w:sz w:val="22"/>
                <w:szCs w:val="22"/>
                <w:vertAlign w:val="superscript"/>
              </w:rPr>
            </w:pPr>
            <w:r w:rsidRPr="00B77D9C">
              <w:rPr>
                <w:rFonts w:asciiTheme="minorHAnsi" w:hAnsiTheme="minorHAnsi"/>
                <w:iCs/>
                <w:sz w:val="22"/>
                <w:szCs w:val="22"/>
              </w:rPr>
              <w:t>0.888</w:t>
            </w:r>
            <w:r w:rsidR="00B77D9C">
              <w:rPr>
                <w:iCs/>
                <w:sz w:val="22"/>
                <w:szCs w:val="22"/>
                <w:vertAlign w:val="superscript"/>
              </w:rPr>
              <w:t>●</w:t>
            </w:r>
          </w:p>
        </w:tc>
        <w:tc>
          <w:tcPr>
            <w:tcW w:w="1000" w:type="pct"/>
            <w:vAlign w:val="center"/>
          </w:tcPr>
          <w:p w14:paraId="1AE511B2" w14:textId="5E5B4428" w:rsidR="001E3F4C" w:rsidRPr="00B77D9C" w:rsidRDefault="00B77D9C" w:rsidP="00691A46">
            <w:pPr>
              <w:spacing w:line="360" w:lineRule="auto"/>
              <w:jc w:val="center"/>
              <w:rPr>
                <w:rFonts w:ascii="Cambria" w:hAnsi="Cambria"/>
                <w:iCs/>
                <w:sz w:val="22"/>
                <w:szCs w:val="22"/>
                <w:vertAlign w:val="superscript"/>
              </w:rPr>
            </w:pPr>
            <w:r w:rsidRPr="00B77D9C">
              <w:rPr>
                <w:rFonts w:asciiTheme="minorHAnsi" w:hAnsiTheme="minorHAnsi"/>
                <w:iCs/>
                <w:sz w:val="22"/>
                <w:szCs w:val="22"/>
              </w:rPr>
              <w:t>0.880</w:t>
            </w:r>
            <w:r w:rsidR="00ED636B" w:rsidRPr="00B77D9C">
              <w:rPr>
                <w:rFonts w:asciiTheme="minorHAnsi" w:hAnsiTheme="minorHAnsi"/>
                <w:color w:val="000000"/>
                <w:sz w:val="22"/>
                <w:szCs w:val="22"/>
              </w:rPr>
              <w:t>*</w:t>
            </w:r>
          </w:p>
        </w:tc>
        <w:tc>
          <w:tcPr>
            <w:tcW w:w="1000" w:type="pct"/>
            <w:vAlign w:val="center"/>
          </w:tcPr>
          <w:p w14:paraId="60E4A45E" w14:textId="4AC4767E"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-0.392</w:t>
            </w:r>
          </w:p>
        </w:tc>
        <w:tc>
          <w:tcPr>
            <w:tcW w:w="1000" w:type="pct"/>
            <w:vAlign w:val="center"/>
          </w:tcPr>
          <w:p w14:paraId="3E8287A9" w14:textId="0E3085BA"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0.930</w:t>
            </w:r>
          </w:p>
        </w:tc>
      </w:tr>
      <w:tr w:rsidR="001E3F4C" w:rsidRPr="00B77D9C" w14:paraId="22E02D65" w14:textId="77777777" w:rsidTr="00C21899">
        <w:trPr>
          <w:trHeight w:val="381"/>
        </w:trPr>
        <w:tc>
          <w:tcPr>
            <w:tcW w:w="1000" w:type="pct"/>
            <w:shd w:val="clear" w:color="auto" w:fill="F2F2F2" w:themeFill="background1" w:themeFillShade="F2"/>
          </w:tcPr>
          <w:p w14:paraId="4BFD3C29" w14:textId="47908BB1" w:rsidR="001E3F4C" w:rsidRPr="00D12F4F" w:rsidRDefault="001E3F4C" w:rsidP="0056166D">
            <w:pPr>
              <w:spacing w:line="360" w:lineRule="auto"/>
              <w:rPr>
                <w:rFonts w:asciiTheme="minorHAnsi" w:hAnsiTheme="minorHAnsi"/>
                <w:b/>
                <w:bCs/>
                <w:iCs/>
                <w:sz w:val="22"/>
                <w:szCs w:val="22"/>
              </w:rPr>
            </w:pPr>
            <w:r w:rsidRPr="00D12F4F">
              <w:rPr>
                <w:rFonts w:asciiTheme="minorHAnsi" w:hAnsiTheme="minorHAnsi"/>
                <w:b/>
                <w:bCs/>
                <w:iCs/>
                <w:sz w:val="22"/>
                <w:szCs w:val="22"/>
              </w:rPr>
              <w:t>HOLC Grade A-D</w:t>
            </w:r>
          </w:p>
        </w:tc>
        <w:tc>
          <w:tcPr>
            <w:tcW w:w="1000" w:type="pct"/>
            <w:shd w:val="clear" w:color="auto" w:fill="F2F2F2" w:themeFill="background1" w:themeFillShade="F2"/>
            <w:vAlign w:val="center"/>
          </w:tcPr>
          <w:p w14:paraId="4CF9D17A" w14:textId="4E4F369E" w:rsidR="001E3F4C" w:rsidRPr="00B77D9C" w:rsidRDefault="001E3F4C" w:rsidP="00691A46">
            <w:pPr>
              <w:spacing w:line="360" w:lineRule="auto"/>
              <w:jc w:val="center"/>
              <w:rPr>
                <w:rFonts w:asciiTheme="minorHAnsi" w:hAnsiTheme="minorHAnsi"/>
                <w:iCs/>
                <w:sz w:val="22"/>
                <w:szCs w:val="22"/>
              </w:rPr>
            </w:pPr>
            <w:r w:rsidRPr="00B77D9C">
              <w:rPr>
                <w:rFonts w:asciiTheme="minorHAnsi" w:hAnsiTheme="minorHAnsi"/>
                <w:iCs/>
                <w:sz w:val="22"/>
                <w:szCs w:val="22"/>
              </w:rPr>
              <w:t>0.803</w:t>
            </w:r>
          </w:p>
        </w:tc>
        <w:tc>
          <w:tcPr>
            <w:tcW w:w="1000" w:type="pct"/>
            <w:shd w:val="clear" w:color="auto" w:fill="F2F2F2" w:themeFill="background1" w:themeFillShade="F2"/>
            <w:vAlign w:val="center"/>
          </w:tcPr>
          <w:p w14:paraId="26E61455" w14:textId="409E8240"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0.803</w:t>
            </w:r>
          </w:p>
        </w:tc>
        <w:tc>
          <w:tcPr>
            <w:tcW w:w="1000" w:type="pct"/>
            <w:shd w:val="clear" w:color="auto" w:fill="F2F2F2" w:themeFill="background1" w:themeFillShade="F2"/>
            <w:vAlign w:val="center"/>
          </w:tcPr>
          <w:p w14:paraId="63A6C0A4" w14:textId="4DD7E9D0"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-0.587</w:t>
            </w:r>
          </w:p>
        </w:tc>
        <w:tc>
          <w:tcPr>
            <w:tcW w:w="1000" w:type="pct"/>
            <w:shd w:val="clear" w:color="auto" w:fill="F2F2F2" w:themeFill="background1" w:themeFillShade="F2"/>
            <w:vAlign w:val="center"/>
          </w:tcPr>
          <w:p w14:paraId="0F394386" w14:textId="5CCBFD07"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0.868</w:t>
            </w:r>
          </w:p>
        </w:tc>
      </w:tr>
      <w:tr w:rsidR="001E3F4C" w:rsidRPr="00B77D9C" w14:paraId="16353080" w14:textId="77777777" w:rsidTr="00C21899">
        <w:trPr>
          <w:trHeight w:val="364"/>
        </w:trPr>
        <w:tc>
          <w:tcPr>
            <w:tcW w:w="1000" w:type="pct"/>
          </w:tcPr>
          <w:p w14:paraId="0D3A3AA2" w14:textId="275681F5" w:rsidR="001E3F4C" w:rsidRPr="00D12F4F" w:rsidRDefault="001E3F4C" w:rsidP="0056166D">
            <w:pPr>
              <w:spacing w:line="360" w:lineRule="auto"/>
              <w:rPr>
                <w:rFonts w:asciiTheme="minorHAnsi" w:hAnsiTheme="minorHAnsi"/>
                <w:b/>
                <w:bCs/>
                <w:iCs/>
                <w:sz w:val="22"/>
                <w:szCs w:val="22"/>
              </w:rPr>
            </w:pPr>
            <w:r w:rsidRPr="00D12F4F">
              <w:rPr>
                <w:rFonts w:asciiTheme="minorHAnsi" w:hAnsiTheme="minorHAnsi"/>
                <w:b/>
                <w:bCs/>
                <w:iCs/>
                <w:sz w:val="22"/>
                <w:szCs w:val="22"/>
              </w:rPr>
              <w:t>HOLC Grade B-C</w:t>
            </w:r>
          </w:p>
        </w:tc>
        <w:tc>
          <w:tcPr>
            <w:tcW w:w="1000" w:type="pct"/>
            <w:vAlign w:val="center"/>
          </w:tcPr>
          <w:p w14:paraId="0DE82282" w14:textId="4FEF3486" w:rsidR="001E3F4C" w:rsidRPr="00B77D9C" w:rsidRDefault="00D72218" w:rsidP="00691A46">
            <w:pPr>
              <w:spacing w:line="360" w:lineRule="auto"/>
              <w:jc w:val="center"/>
              <w:rPr>
                <w:rFonts w:asciiTheme="minorHAnsi" w:hAnsiTheme="minorHAnsi"/>
                <w:iCs/>
                <w:sz w:val="22"/>
                <w:szCs w:val="22"/>
              </w:rPr>
            </w:pPr>
            <w:r>
              <w:rPr>
                <w:rFonts w:asciiTheme="minorHAnsi" w:hAnsiTheme="minorHAnsi"/>
                <w:iCs/>
                <w:sz w:val="22"/>
                <w:szCs w:val="22"/>
              </w:rPr>
              <w:t>-</w:t>
            </w:r>
            <w:r w:rsidR="001E3F4C" w:rsidRPr="00B77D9C">
              <w:rPr>
                <w:rFonts w:asciiTheme="minorHAnsi" w:hAnsiTheme="minorHAnsi"/>
                <w:iCs/>
                <w:sz w:val="22"/>
                <w:szCs w:val="22"/>
              </w:rPr>
              <w:t>0.0267</w:t>
            </w:r>
          </w:p>
        </w:tc>
        <w:tc>
          <w:tcPr>
            <w:tcW w:w="1000" w:type="pct"/>
            <w:vAlign w:val="center"/>
          </w:tcPr>
          <w:p w14:paraId="1D809DE9" w14:textId="4ADBC60D"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-0.0442</w:t>
            </w:r>
          </w:p>
        </w:tc>
        <w:tc>
          <w:tcPr>
            <w:tcW w:w="1000" w:type="pct"/>
            <w:vAlign w:val="center"/>
          </w:tcPr>
          <w:p w14:paraId="6A36AE76" w14:textId="7B2E94FE" w:rsidR="001E3F4C" w:rsidRPr="00B77D9C" w:rsidRDefault="00B77D9C" w:rsidP="00691A46">
            <w:pPr>
              <w:spacing w:line="360" w:lineRule="auto"/>
              <w:jc w:val="center"/>
              <w:rPr>
                <w:rFonts w:asciiTheme="minorHAnsi" w:hAnsiTheme="minorHAnsi"/>
                <w:iCs/>
                <w:sz w:val="22"/>
                <w:szCs w:val="22"/>
                <w:vertAlign w:val="superscript"/>
              </w:rPr>
            </w:pPr>
            <w:r w:rsidRPr="00B77D9C">
              <w:rPr>
                <w:rFonts w:asciiTheme="minorHAnsi" w:hAnsiTheme="minorHAnsi"/>
                <w:iCs/>
                <w:sz w:val="22"/>
                <w:szCs w:val="22"/>
              </w:rPr>
              <w:t>-0.821</w:t>
            </w:r>
            <w:r w:rsidRPr="00B77D9C">
              <w:rPr>
                <w:rFonts w:asciiTheme="minorHAnsi" w:hAnsiTheme="minorHAnsi"/>
                <w:color w:val="000000"/>
                <w:sz w:val="22"/>
                <w:szCs w:val="22"/>
              </w:rPr>
              <w:t>**</w:t>
            </w:r>
          </w:p>
        </w:tc>
        <w:tc>
          <w:tcPr>
            <w:tcW w:w="1000" w:type="pct"/>
            <w:vAlign w:val="center"/>
          </w:tcPr>
          <w:p w14:paraId="4ECFD542" w14:textId="0B706B6A" w:rsidR="001E3F4C" w:rsidRPr="00B77D9C" w:rsidRDefault="00B77D9C" w:rsidP="00691A46">
            <w:pPr>
              <w:spacing w:line="360" w:lineRule="auto"/>
              <w:jc w:val="center"/>
              <w:rPr>
                <w:rFonts w:asciiTheme="minorHAnsi" w:hAnsiTheme="minorHAnsi"/>
                <w:iCs/>
                <w:sz w:val="22"/>
                <w:szCs w:val="22"/>
                <w:vertAlign w:val="superscript"/>
              </w:rPr>
            </w:pPr>
            <w:r w:rsidRPr="00B77D9C">
              <w:rPr>
                <w:rFonts w:asciiTheme="minorHAnsi" w:hAnsiTheme="minorHAnsi"/>
                <w:iCs/>
                <w:sz w:val="22"/>
                <w:szCs w:val="22"/>
              </w:rPr>
              <w:t>1.42</w:t>
            </w:r>
            <w:r w:rsidRPr="00B77D9C">
              <w:rPr>
                <w:rFonts w:asciiTheme="minorHAnsi" w:hAnsiTheme="minorHAnsi"/>
                <w:color w:val="000000"/>
                <w:sz w:val="22"/>
                <w:szCs w:val="22"/>
              </w:rPr>
              <w:t>****</w:t>
            </w:r>
          </w:p>
        </w:tc>
      </w:tr>
      <w:tr w:rsidR="001E3F4C" w:rsidRPr="00B77D9C" w14:paraId="05C3161D" w14:textId="77777777" w:rsidTr="00C21899">
        <w:trPr>
          <w:trHeight w:val="381"/>
        </w:trPr>
        <w:tc>
          <w:tcPr>
            <w:tcW w:w="1000" w:type="pct"/>
            <w:shd w:val="clear" w:color="auto" w:fill="F2F2F2" w:themeFill="background1" w:themeFillShade="F2"/>
          </w:tcPr>
          <w:p w14:paraId="11926B14" w14:textId="67678158" w:rsidR="001E3F4C" w:rsidRPr="00D12F4F" w:rsidRDefault="001E3F4C" w:rsidP="0056166D">
            <w:pPr>
              <w:spacing w:line="360" w:lineRule="auto"/>
              <w:rPr>
                <w:rFonts w:asciiTheme="minorHAnsi" w:hAnsiTheme="minorHAnsi"/>
                <w:b/>
                <w:bCs/>
                <w:iCs/>
                <w:sz w:val="22"/>
                <w:szCs w:val="22"/>
              </w:rPr>
            </w:pPr>
            <w:r w:rsidRPr="00D12F4F">
              <w:rPr>
                <w:rFonts w:asciiTheme="minorHAnsi" w:hAnsiTheme="minorHAnsi"/>
                <w:b/>
                <w:bCs/>
                <w:iCs/>
                <w:sz w:val="22"/>
                <w:szCs w:val="22"/>
              </w:rPr>
              <w:t>HOLC Grade B-D</w:t>
            </w:r>
          </w:p>
        </w:tc>
        <w:tc>
          <w:tcPr>
            <w:tcW w:w="1000" w:type="pct"/>
            <w:shd w:val="clear" w:color="auto" w:fill="F2F2F2" w:themeFill="background1" w:themeFillShade="F2"/>
            <w:vAlign w:val="center"/>
          </w:tcPr>
          <w:p w14:paraId="3922AA2B" w14:textId="26BECC74" w:rsidR="001E3F4C" w:rsidRPr="00B77D9C" w:rsidRDefault="00D72218" w:rsidP="00691A46">
            <w:pPr>
              <w:spacing w:line="360" w:lineRule="auto"/>
              <w:jc w:val="center"/>
              <w:rPr>
                <w:rFonts w:asciiTheme="minorHAnsi" w:hAnsiTheme="minorHAnsi"/>
                <w:iCs/>
                <w:sz w:val="22"/>
                <w:szCs w:val="22"/>
              </w:rPr>
            </w:pPr>
            <w:r>
              <w:rPr>
                <w:rFonts w:asciiTheme="minorHAnsi" w:hAnsiTheme="minorHAnsi"/>
                <w:iCs/>
                <w:sz w:val="22"/>
                <w:szCs w:val="22"/>
              </w:rPr>
              <w:t>-</w:t>
            </w:r>
            <w:r w:rsidR="001E3F4C" w:rsidRPr="00B77D9C">
              <w:rPr>
                <w:rFonts w:asciiTheme="minorHAnsi" w:hAnsiTheme="minorHAnsi"/>
                <w:iCs/>
                <w:sz w:val="22"/>
                <w:szCs w:val="22"/>
              </w:rPr>
              <w:t>0.112</w:t>
            </w:r>
          </w:p>
        </w:tc>
        <w:tc>
          <w:tcPr>
            <w:tcW w:w="1000" w:type="pct"/>
            <w:shd w:val="clear" w:color="auto" w:fill="F2F2F2" w:themeFill="background1" w:themeFillShade="F2"/>
            <w:vAlign w:val="center"/>
          </w:tcPr>
          <w:p w14:paraId="01E70D8A" w14:textId="2F261E14"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-0.121</w:t>
            </w:r>
          </w:p>
        </w:tc>
        <w:tc>
          <w:tcPr>
            <w:tcW w:w="1000" w:type="pct"/>
            <w:shd w:val="clear" w:color="auto" w:fill="F2F2F2" w:themeFill="background1" w:themeFillShade="F2"/>
            <w:vAlign w:val="center"/>
          </w:tcPr>
          <w:p w14:paraId="17FF196A" w14:textId="4F25DE37" w:rsidR="001E3F4C" w:rsidRPr="00B77D9C" w:rsidRDefault="00B77D9C" w:rsidP="00691A46">
            <w:pPr>
              <w:spacing w:line="360" w:lineRule="auto"/>
              <w:jc w:val="center"/>
              <w:rPr>
                <w:rFonts w:asciiTheme="minorHAnsi" w:hAnsiTheme="minorHAnsi"/>
                <w:iCs/>
                <w:sz w:val="22"/>
                <w:szCs w:val="22"/>
                <w:vertAlign w:val="superscript"/>
              </w:rPr>
            </w:pPr>
            <w:r w:rsidRPr="00B77D9C">
              <w:rPr>
                <w:rFonts w:asciiTheme="minorHAnsi" w:hAnsiTheme="minorHAnsi"/>
                <w:iCs/>
                <w:sz w:val="22"/>
                <w:szCs w:val="22"/>
              </w:rPr>
              <w:t>-1.02</w:t>
            </w:r>
            <w:r w:rsidRPr="00B77D9C">
              <w:rPr>
                <w:rFonts w:asciiTheme="minorHAnsi" w:hAnsiTheme="minorHAnsi"/>
                <w:color w:val="000000"/>
                <w:sz w:val="22"/>
                <w:szCs w:val="22"/>
              </w:rPr>
              <w:t>**</w:t>
            </w:r>
          </w:p>
        </w:tc>
        <w:tc>
          <w:tcPr>
            <w:tcW w:w="1000" w:type="pct"/>
            <w:shd w:val="clear" w:color="auto" w:fill="F2F2F2" w:themeFill="background1" w:themeFillShade="F2"/>
            <w:vAlign w:val="center"/>
          </w:tcPr>
          <w:p w14:paraId="307EA66B" w14:textId="748502C0" w:rsidR="001E3F4C" w:rsidRPr="00B77D9C" w:rsidRDefault="00B77D9C" w:rsidP="00691A46">
            <w:pPr>
              <w:spacing w:line="360" w:lineRule="auto"/>
              <w:jc w:val="center"/>
              <w:rPr>
                <w:rFonts w:asciiTheme="minorHAnsi" w:hAnsiTheme="minorHAnsi"/>
                <w:iCs/>
                <w:sz w:val="22"/>
                <w:szCs w:val="22"/>
                <w:vertAlign w:val="superscript"/>
              </w:rPr>
            </w:pPr>
            <w:r w:rsidRPr="00B77D9C">
              <w:rPr>
                <w:rFonts w:asciiTheme="minorHAnsi" w:hAnsiTheme="minorHAnsi"/>
                <w:iCs/>
                <w:sz w:val="22"/>
                <w:szCs w:val="22"/>
              </w:rPr>
              <w:t>1.36</w:t>
            </w:r>
            <w:r w:rsidRPr="00B77D9C">
              <w:rPr>
                <w:rFonts w:asciiTheme="minorHAnsi" w:hAnsiTheme="minorHAnsi"/>
                <w:color w:val="000000"/>
                <w:sz w:val="22"/>
                <w:szCs w:val="22"/>
              </w:rPr>
              <w:t>***</w:t>
            </w:r>
          </w:p>
        </w:tc>
      </w:tr>
      <w:tr w:rsidR="001E3F4C" w:rsidRPr="00B77D9C" w14:paraId="6A849D13" w14:textId="77777777" w:rsidTr="00C21899">
        <w:trPr>
          <w:trHeight w:val="364"/>
        </w:trPr>
        <w:tc>
          <w:tcPr>
            <w:tcW w:w="1000" w:type="pct"/>
          </w:tcPr>
          <w:p w14:paraId="283415B4" w14:textId="1A89CDFA" w:rsidR="001E3F4C" w:rsidRPr="00D12F4F" w:rsidRDefault="001E3F4C" w:rsidP="0056166D">
            <w:pPr>
              <w:spacing w:line="360" w:lineRule="auto"/>
              <w:rPr>
                <w:rFonts w:asciiTheme="minorHAnsi" w:hAnsiTheme="minorHAnsi"/>
                <w:b/>
                <w:bCs/>
                <w:iCs/>
                <w:sz w:val="22"/>
                <w:szCs w:val="22"/>
              </w:rPr>
            </w:pPr>
            <w:r w:rsidRPr="00D12F4F">
              <w:rPr>
                <w:rFonts w:asciiTheme="minorHAnsi" w:hAnsiTheme="minorHAnsi"/>
                <w:b/>
                <w:bCs/>
                <w:iCs/>
                <w:sz w:val="22"/>
                <w:szCs w:val="22"/>
              </w:rPr>
              <w:t>HOLC Grade C-D</w:t>
            </w:r>
          </w:p>
        </w:tc>
        <w:tc>
          <w:tcPr>
            <w:tcW w:w="1000" w:type="pct"/>
            <w:vAlign w:val="center"/>
          </w:tcPr>
          <w:p w14:paraId="71315296" w14:textId="29ABA46D" w:rsidR="001E3F4C" w:rsidRPr="00B77D9C" w:rsidRDefault="001E3F4C" w:rsidP="00691A46">
            <w:pPr>
              <w:spacing w:line="360" w:lineRule="auto"/>
              <w:jc w:val="center"/>
              <w:rPr>
                <w:rFonts w:asciiTheme="minorHAnsi" w:hAnsiTheme="minorHAnsi"/>
                <w:iCs/>
                <w:sz w:val="22"/>
                <w:szCs w:val="22"/>
              </w:rPr>
            </w:pPr>
            <w:r w:rsidRPr="00B77D9C">
              <w:rPr>
                <w:rFonts w:asciiTheme="minorHAnsi" w:hAnsiTheme="minorHAnsi"/>
                <w:iCs/>
                <w:sz w:val="22"/>
                <w:szCs w:val="22"/>
              </w:rPr>
              <w:t>-0.0853</w:t>
            </w:r>
          </w:p>
        </w:tc>
        <w:tc>
          <w:tcPr>
            <w:tcW w:w="1000" w:type="pct"/>
            <w:vAlign w:val="center"/>
          </w:tcPr>
          <w:p w14:paraId="0C3A272D" w14:textId="536126ED"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w:t>
            </w:r>
            <w:r w:rsidR="00D87B0C">
              <w:rPr>
                <w:rFonts w:asciiTheme="minorHAnsi" w:hAnsiTheme="minorHAnsi"/>
                <w:iCs/>
                <w:sz w:val="22"/>
                <w:szCs w:val="22"/>
              </w:rPr>
              <w:t>0</w:t>
            </w:r>
            <w:r w:rsidRPr="00B77D9C">
              <w:rPr>
                <w:rFonts w:asciiTheme="minorHAnsi" w:hAnsiTheme="minorHAnsi"/>
                <w:iCs/>
                <w:sz w:val="22"/>
                <w:szCs w:val="22"/>
              </w:rPr>
              <w:t>767</w:t>
            </w:r>
          </w:p>
        </w:tc>
        <w:tc>
          <w:tcPr>
            <w:tcW w:w="1000" w:type="pct"/>
            <w:vAlign w:val="center"/>
          </w:tcPr>
          <w:p w14:paraId="2DFDA55E" w14:textId="48027DD9"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-0.195</w:t>
            </w:r>
          </w:p>
        </w:tc>
        <w:tc>
          <w:tcPr>
            <w:tcW w:w="1000" w:type="pct"/>
            <w:vAlign w:val="center"/>
          </w:tcPr>
          <w:p w14:paraId="76BDCD94" w14:textId="3B2C9F07" w:rsidR="001E3F4C" w:rsidRPr="00B77D9C" w:rsidRDefault="00B77D9C" w:rsidP="00691A46">
            <w:pPr>
              <w:spacing w:line="360" w:lineRule="auto"/>
              <w:jc w:val="center"/>
              <w:rPr>
                <w:rFonts w:asciiTheme="minorHAnsi" w:hAnsiTheme="minorHAnsi"/>
                <w:iCs/>
                <w:sz w:val="22"/>
                <w:szCs w:val="22"/>
              </w:rPr>
            </w:pPr>
            <w:r w:rsidRPr="00B77D9C">
              <w:rPr>
                <w:rFonts w:asciiTheme="minorHAnsi" w:hAnsiTheme="minorHAnsi"/>
                <w:iCs/>
                <w:sz w:val="22"/>
                <w:szCs w:val="22"/>
              </w:rPr>
              <w:t>-0.0619</w:t>
            </w:r>
          </w:p>
        </w:tc>
      </w:tr>
    </w:tbl>
    <w:p w14:paraId="089DD7AC" w14:textId="525F1C8F" w:rsidR="00D87B0C" w:rsidRPr="00612BB0" w:rsidRDefault="00584548" w:rsidP="00D87B0C">
      <w:pPr>
        <w:rPr>
          <w:rFonts w:ascii="Cambria" w:hAnsi="Cambria"/>
          <w:sz w:val="22"/>
          <w:szCs w:val="22"/>
        </w:rPr>
      </w:pPr>
      <w:r>
        <w:rPr>
          <w:rFonts w:ascii="Cambria" w:hAnsi="Cambria"/>
          <w:sz w:val="22"/>
          <w:szCs w:val="22"/>
        </w:rPr>
        <w:t>P-value s</w:t>
      </w:r>
      <w:r w:rsidR="00D87B0C" w:rsidRPr="00612BB0">
        <w:rPr>
          <w:rFonts w:ascii="Cambria" w:hAnsi="Cambria"/>
          <w:sz w:val="22"/>
          <w:szCs w:val="22"/>
        </w:rPr>
        <w:t>ignif. codes:  0</w:t>
      </w:r>
      <w:r w:rsidR="00D87B0C">
        <w:rPr>
          <w:rFonts w:ascii="Cambria" w:hAnsi="Cambria"/>
          <w:sz w:val="22"/>
          <w:szCs w:val="22"/>
        </w:rPr>
        <w:t>.0001</w:t>
      </w:r>
      <w:r w:rsidR="00D87B0C" w:rsidRPr="00612BB0">
        <w:rPr>
          <w:rFonts w:ascii="Cambria" w:hAnsi="Cambria"/>
          <w:sz w:val="22"/>
          <w:szCs w:val="22"/>
        </w:rPr>
        <w:t xml:space="preserve"> ‘***</w:t>
      </w:r>
      <w:r w:rsidR="00D87B0C">
        <w:rPr>
          <w:rFonts w:ascii="Cambria" w:hAnsi="Cambria"/>
          <w:sz w:val="22"/>
          <w:szCs w:val="22"/>
        </w:rPr>
        <w:t>*</w:t>
      </w:r>
      <w:r w:rsidR="00D87B0C" w:rsidRPr="00612BB0">
        <w:rPr>
          <w:rFonts w:ascii="Cambria" w:hAnsi="Cambria"/>
          <w:sz w:val="22"/>
          <w:szCs w:val="22"/>
        </w:rPr>
        <w:t>’, 0.001 ‘**</w:t>
      </w:r>
      <w:r w:rsidR="00D87B0C">
        <w:rPr>
          <w:rFonts w:ascii="Cambria" w:hAnsi="Cambria"/>
          <w:sz w:val="22"/>
          <w:szCs w:val="22"/>
        </w:rPr>
        <w:t>*</w:t>
      </w:r>
      <w:r w:rsidR="00D87B0C" w:rsidRPr="00612BB0">
        <w:rPr>
          <w:rFonts w:ascii="Cambria" w:hAnsi="Cambria"/>
          <w:sz w:val="22"/>
          <w:szCs w:val="22"/>
        </w:rPr>
        <w:t>’, 0.01 ‘*</w:t>
      </w:r>
      <w:r w:rsidR="00D87B0C">
        <w:rPr>
          <w:rFonts w:ascii="Cambria" w:hAnsi="Cambria"/>
          <w:sz w:val="22"/>
          <w:szCs w:val="22"/>
        </w:rPr>
        <w:t>*</w:t>
      </w:r>
      <w:r w:rsidR="00D87B0C" w:rsidRPr="00612BB0">
        <w:rPr>
          <w:rFonts w:ascii="Cambria" w:hAnsi="Cambria"/>
          <w:sz w:val="22"/>
          <w:szCs w:val="22"/>
        </w:rPr>
        <w:t>’, 0.05 ‘</w:t>
      </w:r>
      <w:r w:rsidR="00D87B0C">
        <w:rPr>
          <w:rFonts w:ascii="Cambria" w:hAnsi="Cambria"/>
          <w:sz w:val="22"/>
          <w:szCs w:val="22"/>
        </w:rPr>
        <w:t>*</w:t>
      </w:r>
      <w:r w:rsidR="00D87B0C" w:rsidRPr="00612BB0">
        <w:rPr>
          <w:rFonts w:ascii="Cambria" w:hAnsi="Cambria"/>
          <w:sz w:val="22"/>
          <w:szCs w:val="22"/>
        </w:rPr>
        <w:t>’, 0.1 ‘</w:t>
      </w:r>
      <w:r w:rsidR="00D87B0C">
        <w:rPr>
          <w:iCs/>
          <w:sz w:val="22"/>
          <w:szCs w:val="22"/>
          <w:vertAlign w:val="superscript"/>
        </w:rPr>
        <w:t>●</w:t>
      </w:r>
      <w:r w:rsidR="00D87B0C" w:rsidRPr="00612BB0">
        <w:rPr>
          <w:rFonts w:ascii="Cambria" w:hAnsi="Cambria"/>
          <w:sz w:val="22"/>
          <w:szCs w:val="22"/>
        </w:rPr>
        <w:t xml:space="preserve">’ </w:t>
      </w:r>
    </w:p>
    <w:p w14:paraId="130FDCF9" w14:textId="77777777" w:rsidR="0056166D" w:rsidRDefault="0056166D" w:rsidP="0056166D">
      <w:pPr>
        <w:spacing w:line="360" w:lineRule="auto"/>
        <w:rPr>
          <w:rFonts w:asciiTheme="minorHAnsi" w:hAnsiTheme="minorHAnsi"/>
        </w:rPr>
      </w:pPr>
    </w:p>
    <w:p w14:paraId="7EC8271D" w14:textId="77777777" w:rsidR="00B150E0" w:rsidRDefault="00B150E0">
      <w:pPr>
        <w:rPr>
          <w:rFonts w:asciiTheme="minorHAnsi" w:hAnsiTheme="minorHAnsi"/>
        </w:rPr>
      </w:pPr>
      <w:r>
        <w:rPr>
          <w:rFonts w:asciiTheme="minorHAnsi" w:hAnsiTheme="minorHAnsi"/>
        </w:rPr>
        <w:br w:type="page"/>
      </w:r>
    </w:p>
    <w:p w14:paraId="1835CD9F" w14:textId="1D0BD4F7" w:rsidR="00C21899" w:rsidRDefault="00B150E0" w:rsidP="001326D8">
      <w:pPr>
        <w:spacing w:line="360" w:lineRule="auto"/>
        <w:ind w:firstLine="720"/>
        <w:rPr>
          <w:rFonts w:asciiTheme="minorHAnsi" w:hAnsiTheme="minorHAnsi"/>
        </w:rPr>
      </w:pPr>
      <w:r>
        <w:rPr>
          <w:rFonts w:asciiTheme="minorHAnsi" w:hAnsiTheme="minorHAnsi"/>
        </w:rPr>
        <w:lastRenderedPageBreak/>
        <w:t xml:space="preserve">Our </w:t>
      </w:r>
      <w:r w:rsidR="00612BB0">
        <w:rPr>
          <w:rFonts w:asciiTheme="minorHAnsi" w:hAnsiTheme="minorHAnsi"/>
        </w:rPr>
        <w:t>findings</w:t>
      </w:r>
      <w:r w:rsidR="00FB0582">
        <w:rPr>
          <w:rFonts w:asciiTheme="minorHAnsi" w:hAnsiTheme="minorHAnsi"/>
        </w:rPr>
        <w:t xml:space="preserve"> are similar to those in other studies. In a study that measured the equity of urban forest UES production in the Bronx, NY, researchers also found that several </w:t>
      </w:r>
      <w:r w:rsidR="00FC06CA">
        <w:rPr>
          <w:rFonts w:asciiTheme="minorHAnsi" w:hAnsiTheme="minorHAnsi"/>
        </w:rPr>
        <w:t>SES</w:t>
      </w:r>
      <w:r w:rsidR="00FB0582">
        <w:rPr>
          <w:rFonts w:asciiTheme="minorHAnsi" w:hAnsiTheme="minorHAnsi"/>
        </w:rPr>
        <w:t xml:space="preserve"> indicators are significantly correlated with distribution of UES supply (Nyelele et al., 2020). In their study, Nyelele et al. (2020) found that carbon removal services, air pollution removal, and local climate regulation were all significantly correlated with at least one of six SES indicators examined. Similar to </w:t>
      </w:r>
      <w:r w:rsidR="0005422E">
        <w:rPr>
          <w:rFonts w:asciiTheme="minorHAnsi" w:hAnsiTheme="minorHAnsi"/>
        </w:rPr>
        <w:t xml:space="preserve">our </w:t>
      </w:r>
      <w:r w:rsidR="00FB0582">
        <w:rPr>
          <w:rFonts w:asciiTheme="minorHAnsi" w:hAnsiTheme="minorHAnsi"/>
        </w:rPr>
        <w:t xml:space="preserve">study, Nyelele et al. (2020) also calculated that the percentage of </w:t>
      </w:r>
      <w:r>
        <w:rPr>
          <w:rFonts w:asciiTheme="minorHAnsi" w:hAnsiTheme="minorHAnsi"/>
        </w:rPr>
        <w:t>nonwhite residents</w:t>
      </w:r>
      <w:r w:rsidR="00FB0582">
        <w:rPr>
          <w:rFonts w:asciiTheme="minorHAnsi" w:hAnsiTheme="minorHAnsi"/>
        </w:rPr>
        <w:t xml:space="preserve"> in a block group is negatively correlated with the supply of carbon and air pollution removal. However, d</w:t>
      </w:r>
      <w:r w:rsidR="00FB0582" w:rsidRPr="003C6F05">
        <w:rPr>
          <w:rFonts w:asciiTheme="minorHAnsi" w:hAnsiTheme="minorHAnsi"/>
        </w:rPr>
        <w:t xml:space="preserve">espite the statistically significant correlations, </w:t>
      </w:r>
      <w:r w:rsidR="00FB0582">
        <w:rPr>
          <w:rFonts w:asciiTheme="minorHAnsi" w:hAnsiTheme="minorHAnsi"/>
        </w:rPr>
        <w:t xml:space="preserve">further statistical analyses in </w:t>
      </w:r>
      <w:r w:rsidR="0005422E">
        <w:rPr>
          <w:rFonts w:asciiTheme="minorHAnsi" w:hAnsiTheme="minorHAnsi"/>
        </w:rPr>
        <w:t xml:space="preserve">our </w:t>
      </w:r>
      <w:r w:rsidR="00FB0582">
        <w:rPr>
          <w:rFonts w:asciiTheme="minorHAnsi" w:hAnsiTheme="minorHAnsi"/>
        </w:rPr>
        <w:t xml:space="preserve">study and the one by Nyelele et al. (2020), show that </w:t>
      </w:r>
      <w:r w:rsidR="00FB0582" w:rsidRPr="003C6F05">
        <w:rPr>
          <w:rFonts w:asciiTheme="minorHAnsi" w:hAnsiTheme="minorHAnsi"/>
        </w:rPr>
        <w:t xml:space="preserve">these SES indicators </w:t>
      </w:r>
      <w:r w:rsidR="00FB0582">
        <w:rPr>
          <w:rFonts w:asciiTheme="minorHAnsi" w:hAnsiTheme="minorHAnsi"/>
        </w:rPr>
        <w:t xml:space="preserve">only </w:t>
      </w:r>
      <w:r w:rsidR="00FB0582" w:rsidRPr="003C6F05">
        <w:rPr>
          <w:rFonts w:asciiTheme="minorHAnsi" w:hAnsiTheme="minorHAnsi"/>
        </w:rPr>
        <w:t xml:space="preserve">account for </w:t>
      </w:r>
      <w:r w:rsidR="00FB0582">
        <w:rPr>
          <w:rFonts w:asciiTheme="minorHAnsi" w:hAnsiTheme="minorHAnsi"/>
        </w:rPr>
        <w:t xml:space="preserve">some of the variation seen in the </w:t>
      </w:r>
      <w:r w:rsidR="00FB0582" w:rsidRPr="00403D22">
        <w:rPr>
          <w:rFonts w:asciiTheme="minorHAnsi" w:hAnsiTheme="minorHAnsi"/>
        </w:rPr>
        <w:t>distribution of</w:t>
      </w:r>
      <w:r w:rsidR="00FB0582">
        <w:rPr>
          <w:rFonts w:asciiTheme="minorHAnsi" w:hAnsiTheme="minorHAnsi"/>
        </w:rPr>
        <w:t xml:space="preserve"> UES supply. In </w:t>
      </w:r>
      <w:r>
        <w:rPr>
          <w:rFonts w:asciiTheme="minorHAnsi" w:hAnsiTheme="minorHAnsi"/>
        </w:rPr>
        <w:t xml:space="preserve">our </w:t>
      </w:r>
      <w:r w:rsidR="00FB0582">
        <w:rPr>
          <w:rFonts w:asciiTheme="minorHAnsi" w:hAnsiTheme="minorHAnsi"/>
        </w:rPr>
        <w:t xml:space="preserve">study, the adjusted R-squared values state that </w:t>
      </w:r>
      <w:r w:rsidR="00FB0582" w:rsidRPr="003C6F05">
        <w:rPr>
          <w:rFonts w:asciiTheme="minorHAnsi" w:hAnsiTheme="minorHAnsi"/>
        </w:rPr>
        <w:t>at most</w:t>
      </w:r>
      <w:r w:rsidR="00FB0582">
        <w:rPr>
          <w:rFonts w:asciiTheme="minorHAnsi" w:hAnsiTheme="minorHAnsi"/>
        </w:rPr>
        <w:t>,</w:t>
      </w:r>
      <w:r w:rsidR="00FB0582" w:rsidRPr="003C6F05">
        <w:rPr>
          <w:rFonts w:asciiTheme="minorHAnsi" w:hAnsiTheme="minorHAnsi"/>
        </w:rPr>
        <w:t xml:space="preserve"> </w:t>
      </w:r>
      <w:r w:rsidR="00FB0582">
        <w:rPr>
          <w:rFonts w:asciiTheme="minorHAnsi" w:hAnsiTheme="minorHAnsi"/>
        </w:rPr>
        <w:t xml:space="preserve">only </w:t>
      </w:r>
      <w:r w:rsidR="00FB0582" w:rsidRPr="003C6F05">
        <w:rPr>
          <w:rFonts w:asciiTheme="minorHAnsi" w:hAnsiTheme="minorHAnsi"/>
        </w:rPr>
        <w:t>29% of the variation seen in the</w:t>
      </w:r>
      <w:r w:rsidR="00FB0582">
        <w:rPr>
          <w:rFonts w:asciiTheme="minorHAnsi" w:hAnsiTheme="minorHAnsi"/>
        </w:rPr>
        <w:t xml:space="preserve"> measured </w:t>
      </w:r>
      <w:r w:rsidR="00FB0582" w:rsidRPr="003C6F05">
        <w:rPr>
          <w:rFonts w:asciiTheme="minorHAnsi" w:hAnsiTheme="minorHAnsi"/>
        </w:rPr>
        <w:t xml:space="preserve">UES </w:t>
      </w:r>
      <w:r w:rsidR="00FB0582">
        <w:rPr>
          <w:rFonts w:asciiTheme="minorHAnsi" w:hAnsiTheme="minorHAnsi"/>
        </w:rPr>
        <w:t xml:space="preserve">supply is due to the SES indicators analyzed (Table </w:t>
      </w:r>
      <w:r w:rsidR="009B6B08">
        <w:rPr>
          <w:rFonts w:asciiTheme="minorHAnsi" w:hAnsiTheme="minorHAnsi"/>
        </w:rPr>
        <w:t>5</w:t>
      </w:r>
      <w:r w:rsidR="00FB0582">
        <w:rPr>
          <w:rFonts w:asciiTheme="minorHAnsi" w:hAnsiTheme="minorHAnsi"/>
        </w:rPr>
        <w:t>)</w:t>
      </w:r>
      <w:r w:rsidR="00FB0582" w:rsidRPr="003C6F05">
        <w:rPr>
          <w:rFonts w:asciiTheme="minorHAnsi" w:hAnsiTheme="minorHAnsi"/>
        </w:rPr>
        <w:t>. Therefore, this indicates that there are other factors that were not accounted for but play a significant role in the distribution and production of UES</w:t>
      </w:r>
      <w:r w:rsidR="00FB0582">
        <w:rPr>
          <w:rFonts w:asciiTheme="minorHAnsi" w:hAnsiTheme="minorHAnsi"/>
        </w:rPr>
        <w:t xml:space="preserve"> in Rochester.  </w:t>
      </w:r>
    </w:p>
    <w:p w14:paraId="2D3A2AAD" w14:textId="77777777" w:rsidR="001326D8" w:rsidRPr="00CE73FF" w:rsidRDefault="001326D8" w:rsidP="001326D8">
      <w:pPr>
        <w:spacing w:line="360" w:lineRule="auto"/>
        <w:ind w:firstLine="720"/>
        <w:rPr>
          <w:rFonts w:asciiTheme="minorHAnsi" w:hAnsiTheme="minorHAnsi"/>
        </w:rPr>
      </w:pPr>
    </w:p>
    <w:p w14:paraId="32D5D6B7" w14:textId="0D269490" w:rsidR="00AF6474" w:rsidRPr="003C6F05" w:rsidRDefault="001F3609" w:rsidP="0038185F">
      <w:pPr>
        <w:spacing w:line="360" w:lineRule="auto"/>
        <w:rPr>
          <w:rFonts w:asciiTheme="minorHAnsi" w:hAnsiTheme="minorHAnsi"/>
          <w:i/>
        </w:rPr>
      </w:pPr>
      <w:r w:rsidRPr="003C6F05">
        <w:rPr>
          <w:rFonts w:asciiTheme="minorHAnsi" w:hAnsiTheme="minorHAnsi"/>
          <w:i/>
        </w:rPr>
        <w:t>3</w:t>
      </w:r>
      <w:r w:rsidR="00D1218E" w:rsidRPr="003C6F05">
        <w:rPr>
          <w:rFonts w:asciiTheme="minorHAnsi" w:hAnsiTheme="minorHAnsi"/>
          <w:i/>
        </w:rPr>
        <w:t xml:space="preserve">.3 Socioeconomic Status </w:t>
      </w:r>
      <w:r w:rsidR="00174351">
        <w:rPr>
          <w:rFonts w:asciiTheme="minorHAnsi" w:hAnsiTheme="minorHAnsi"/>
          <w:i/>
        </w:rPr>
        <w:t xml:space="preserve">Analysis </w:t>
      </w:r>
    </w:p>
    <w:p w14:paraId="4943CBCC" w14:textId="1A79ACFA" w:rsidR="00B150E0" w:rsidRDefault="00D1218E" w:rsidP="00BA2D08">
      <w:pPr>
        <w:spacing w:line="360" w:lineRule="auto"/>
        <w:ind w:firstLine="720"/>
        <w:rPr>
          <w:rFonts w:asciiTheme="minorHAnsi" w:hAnsiTheme="minorHAnsi"/>
        </w:rPr>
      </w:pPr>
      <w:r w:rsidRPr="003C6F05">
        <w:rPr>
          <w:rFonts w:asciiTheme="minorHAnsi" w:hAnsiTheme="minorHAnsi"/>
        </w:rPr>
        <w:t xml:space="preserve">Using census data retrieved from the city of Rochester, </w:t>
      </w:r>
      <w:r w:rsidR="00B150E0">
        <w:rPr>
          <w:rFonts w:asciiTheme="minorHAnsi" w:hAnsiTheme="minorHAnsi"/>
        </w:rPr>
        <w:t>we</w:t>
      </w:r>
      <w:r w:rsidR="00B150E0" w:rsidRPr="003C6F05">
        <w:rPr>
          <w:rFonts w:asciiTheme="minorHAnsi" w:hAnsiTheme="minorHAnsi"/>
        </w:rPr>
        <w:t xml:space="preserve"> </w:t>
      </w:r>
      <w:r w:rsidRPr="003C6F05">
        <w:rPr>
          <w:rFonts w:asciiTheme="minorHAnsi" w:hAnsiTheme="minorHAnsi"/>
        </w:rPr>
        <w:t>mapped the distribution of several SES indicators at the census block group level across the city</w:t>
      </w:r>
      <w:r w:rsidR="00B95476">
        <w:rPr>
          <w:rFonts w:asciiTheme="minorHAnsi" w:hAnsiTheme="minorHAnsi"/>
        </w:rPr>
        <w:t xml:space="preserve"> (Fig. 3)</w:t>
      </w:r>
      <w:r w:rsidRPr="003C6F05">
        <w:rPr>
          <w:rFonts w:asciiTheme="minorHAnsi" w:hAnsiTheme="minorHAnsi"/>
        </w:rPr>
        <w:t xml:space="preserve">. Each of these indicators displayed trends that are effective in understanding the demographic distribution of the city. </w:t>
      </w:r>
      <w:r w:rsidR="00B95476">
        <w:rPr>
          <w:rFonts w:asciiTheme="minorHAnsi" w:hAnsiTheme="minorHAnsi"/>
        </w:rPr>
        <w:t xml:space="preserve">For the SES indicator population density, the mean value amongst the </w:t>
      </w:r>
      <w:r w:rsidR="00CC63CC">
        <w:rPr>
          <w:rFonts w:asciiTheme="minorHAnsi" w:hAnsiTheme="minorHAnsi"/>
        </w:rPr>
        <w:t xml:space="preserve">city’s 228 </w:t>
      </w:r>
      <w:r w:rsidR="00B95476">
        <w:rPr>
          <w:rFonts w:asciiTheme="minorHAnsi" w:hAnsiTheme="minorHAnsi"/>
        </w:rPr>
        <w:t xml:space="preserve">block groups was </w:t>
      </w:r>
      <w:r w:rsidR="00CC63CC">
        <w:rPr>
          <w:rFonts w:asciiTheme="minorHAnsi" w:hAnsiTheme="minorHAnsi"/>
        </w:rPr>
        <w:t>3,433</w:t>
      </w:r>
      <w:r w:rsidR="00B95476">
        <w:rPr>
          <w:rFonts w:asciiTheme="minorHAnsi" w:hAnsiTheme="minorHAnsi"/>
        </w:rPr>
        <w:t xml:space="preserve"> people</w:t>
      </w:r>
      <w:r w:rsidR="00CC63CC">
        <w:rPr>
          <w:rFonts w:asciiTheme="minorHAnsi" w:hAnsiTheme="minorHAnsi"/>
        </w:rPr>
        <w:t>/Km</w:t>
      </w:r>
      <w:r w:rsidR="00B95476">
        <w:rPr>
          <w:rFonts w:asciiTheme="minorHAnsi" w:hAnsiTheme="minorHAnsi"/>
          <w:vertAlign w:val="superscript"/>
        </w:rPr>
        <w:t>2</w:t>
      </w:r>
      <w:r w:rsidR="00B95476">
        <w:rPr>
          <w:rFonts w:asciiTheme="minorHAnsi" w:hAnsiTheme="minorHAnsi"/>
        </w:rPr>
        <w:t xml:space="preserve">. Looking at the </w:t>
      </w:r>
      <w:r w:rsidR="00151DC9">
        <w:rPr>
          <w:rFonts w:asciiTheme="minorHAnsi" w:hAnsiTheme="minorHAnsi"/>
        </w:rPr>
        <w:t>map of population density</w:t>
      </w:r>
      <w:r w:rsidR="00B95476">
        <w:rPr>
          <w:rFonts w:asciiTheme="minorHAnsi" w:hAnsiTheme="minorHAnsi"/>
        </w:rPr>
        <w:t xml:space="preserve">, it </w:t>
      </w:r>
      <w:r w:rsidR="00D53E81">
        <w:rPr>
          <w:rFonts w:asciiTheme="minorHAnsi" w:hAnsiTheme="minorHAnsi"/>
        </w:rPr>
        <w:t>displays</w:t>
      </w:r>
      <w:r w:rsidR="00B95476">
        <w:rPr>
          <w:rFonts w:asciiTheme="minorHAnsi" w:hAnsiTheme="minorHAnsi"/>
        </w:rPr>
        <w:t xml:space="preserve"> that the most densely populated block groups </w:t>
      </w:r>
      <w:r w:rsidR="00D53E81">
        <w:rPr>
          <w:rFonts w:asciiTheme="minorHAnsi" w:hAnsiTheme="minorHAnsi"/>
        </w:rPr>
        <w:t>are</w:t>
      </w:r>
      <w:r w:rsidR="00B95476">
        <w:rPr>
          <w:rFonts w:asciiTheme="minorHAnsi" w:hAnsiTheme="minorHAnsi"/>
        </w:rPr>
        <w:t xml:space="preserve"> those that surround the downtown area (Fig. 3A). Conversely, the block groups that make up the </w:t>
      </w:r>
      <w:r w:rsidR="00647BB2">
        <w:rPr>
          <w:rFonts w:asciiTheme="minorHAnsi" w:hAnsiTheme="minorHAnsi"/>
        </w:rPr>
        <w:t>periphery</w:t>
      </w:r>
      <w:r w:rsidR="00B95476">
        <w:rPr>
          <w:rFonts w:asciiTheme="minorHAnsi" w:hAnsiTheme="minorHAnsi"/>
        </w:rPr>
        <w:t xml:space="preserve"> of the city appear to be </w:t>
      </w:r>
      <w:r w:rsidR="00647BB2">
        <w:rPr>
          <w:rFonts w:asciiTheme="minorHAnsi" w:hAnsiTheme="minorHAnsi"/>
        </w:rPr>
        <w:t xml:space="preserve">less densely populated (Fig. 3A). </w:t>
      </w:r>
      <w:r w:rsidR="00647BB2" w:rsidRPr="003C6F05">
        <w:rPr>
          <w:rFonts w:asciiTheme="minorHAnsi" w:hAnsiTheme="minorHAnsi"/>
        </w:rPr>
        <w:t>Household median income among the city’s block groups ranged from $4,316 to $84,077, with an average value of $32,661</w:t>
      </w:r>
      <w:r w:rsidR="00647BB2">
        <w:rPr>
          <w:rFonts w:asciiTheme="minorHAnsi" w:hAnsiTheme="minorHAnsi"/>
        </w:rPr>
        <w:t xml:space="preserve">. Block groups along the periphery of the city contain households who have on average the highest rates of income, particularly the block groups to the </w:t>
      </w:r>
      <w:r w:rsidR="00FC281F">
        <w:rPr>
          <w:rFonts w:asciiTheme="minorHAnsi" w:hAnsiTheme="minorHAnsi"/>
        </w:rPr>
        <w:t>e</w:t>
      </w:r>
      <w:r w:rsidR="00647BB2">
        <w:rPr>
          <w:rFonts w:asciiTheme="minorHAnsi" w:hAnsiTheme="minorHAnsi"/>
        </w:rPr>
        <w:t>ast of city (Fig. 3B). As for homeowner</w:t>
      </w:r>
      <w:r w:rsidR="00151DC9">
        <w:rPr>
          <w:rFonts w:asciiTheme="minorHAnsi" w:hAnsiTheme="minorHAnsi"/>
        </w:rPr>
        <w:t>s</w:t>
      </w:r>
      <w:r w:rsidR="00647BB2">
        <w:rPr>
          <w:rFonts w:asciiTheme="minorHAnsi" w:hAnsiTheme="minorHAnsi"/>
        </w:rPr>
        <w:t xml:space="preserve">hip percentages, </w:t>
      </w:r>
      <w:r w:rsidR="00647BB2" w:rsidRPr="003C6F05">
        <w:rPr>
          <w:rFonts w:asciiTheme="minorHAnsi" w:hAnsiTheme="minorHAnsi"/>
        </w:rPr>
        <w:t>the mean percentage of homes that are owned by their tenants across all block groups is 46%; however, some block groups had ownership rates as low as 0% or as high as 90%.</w:t>
      </w:r>
      <w:r w:rsidR="00647BB2">
        <w:rPr>
          <w:rFonts w:asciiTheme="minorHAnsi" w:hAnsiTheme="minorHAnsi"/>
        </w:rPr>
        <w:t xml:space="preserve"> Similar to median household income, block groups along </w:t>
      </w:r>
      <w:r w:rsidR="00647BB2">
        <w:rPr>
          <w:rFonts w:asciiTheme="minorHAnsi" w:hAnsiTheme="minorHAnsi"/>
        </w:rPr>
        <w:lastRenderedPageBreak/>
        <w:t xml:space="preserve">the periphery of the city had the highest values, especially in block groups to the east and north of downtown (Fig. 3C). </w:t>
      </w:r>
      <w:r w:rsidR="0034131A">
        <w:rPr>
          <w:rFonts w:asciiTheme="minorHAnsi" w:hAnsiTheme="minorHAnsi"/>
        </w:rPr>
        <w:t>Racially,</w:t>
      </w:r>
      <w:r w:rsidR="00FC281F">
        <w:rPr>
          <w:rFonts w:asciiTheme="minorHAnsi" w:hAnsiTheme="minorHAnsi"/>
        </w:rPr>
        <w:t xml:space="preserve"> the SES analysis show that there is a clear divide in where </w:t>
      </w:r>
      <w:r w:rsidR="00C93F2A">
        <w:rPr>
          <w:rFonts w:asciiTheme="minorHAnsi" w:hAnsiTheme="minorHAnsi"/>
        </w:rPr>
        <w:t>W</w:t>
      </w:r>
      <w:r w:rsidR="00FC281F">
        <w:rPr>
          <w:rFonts w:asciiTheme="minorHAnsi" w:hAnsiTheme="minorHAnsi"/>
        </w:rPr>
        <w:t xml:space="preserve">hite and </w:t>
      </w:r>
      <w:r w:rsidR="00F32D56">
        <w:rPr>
          <w:rFonts w:asciiTheme="minorHAnsi" w:hAnsiTheme="minorHAnsi"/>
        </w:rPr>
        <w:t>B</w:t>
      </w:r>
      <w:r w:rsidR="00FC281F">
        <w:rPr>
          <w:rFonts w:asciiTheme="minorHAnsi" w:hAnsiTheme="minorHAnsi"/>
        </w:rPr>
        <w:t xml:space="preserve">lack people live within the city. For both race identities, block groups had as low as 0% </w:t>
      </w:r>
      <w:r w:rsidR="00D53E81">
        <w:rPr>
          <w:rFonts w:asciiTheme="minorHAnsi" w:hAnsiTheme="minorHAnsi"/>
        </w:rPr>
        <w:t>or</w:t>
      </w:r>
      <w:r w:rsidR="00FC281F">
        <w:rPr>
          <w:rFonts w:asciiTheme="minorHAnsi" w:hAnsiTheme="minorHAnsi"/>
        </w:rPr>
        <w:t xml:space="preserve"> as high as 99% of their given population identify as either </w:t>
      </w:r>
      <w:r w:rsidR="006A0196">
        <w:rPr>
          <w:rFonts w:asciiTheme="minorHAnsi" w:hAnsiTheme="minorHAnsi"/>
        </w:rPr>
        <w:t>W</w:t>
      </w:r>
      <w:r w:rsidR="00FC281F">
        <w:rPr>
          <w:rFonts w:asciiTheme="minorHAnsi" w:hAnsiTheme="minorHAnsi"/>
        </w:rPr>
        <w:t xml:space="preserve">hite or </w:t>
      </w:r>
      <w:r w:rsidR="00F32D56">
        <w:rPr>
          <w:rFonts w:asciiTheme="minorHAnsi" w:hAnsiTheme="minorHAnsi"/>
        </w:rPr>
        <w:t>B</w:t>
      </w:r>
      <w:r w:rsidR="00FC281F">
        <w:rPr>
          <w:rFonts w:asciiTheme="minorHAnsi" w:hAnsiTheme="minorHAnsi"/>
        </w:rPr>
        <w:t xml:space="preserve">lack. Looking at the </w:t>
      </w:r>
      <w:r w:rsidR="00151DC9">
        <w:rPr>
          <w:rFonts w:asciiTheme="minorHAnsi" w:hAnsiTheme="minorHAnsi"/>
        </w:rPr>
        <w:t>spatial distribution of race in the city</w:t>
      </w:r>
      <w:r w:rsidR="00FC281F">
        <w:rPr>
          <w:rFonts w:asciiTheme="minorHAnsi" w:hAnsiTheme="minorHAnsi"/>
        </w:rPr>
        <w:t xml:space="preserve">, residents that identify as </w:t>
      </w:r>
      <w:r w:rsidR="006A0196">
        <w:rPr>
          <w:rFonts w:asciiTheme="minorHAnsi" w:hAnsiTheme="minorHAnsi"/>
        </w:rPr>
        <w:t>W</w:t>
      </w:r>
      <w:r w:rsidR="00FC281F">
        <w:rPr>
          <w:rFonts w:asciiTheme="minorHAnsi" w:hAnsiTheme="minorHAnsi"/>
        </w:rPr>
        <w:t xml:space="preserve">hite reside mainly </w:t>
      </w:r>
      <w:r w:rsidR="00151DC9">
        <w:rPr>
          <w:rFonts w:asciiTheme="minorHAnsi" w:hAnsiTheme="minorHAnsi"/>
        </w:rPr>
        <w:t>in</w:t>
      </w:r>
      <w:r w:rsidR="00FC281F">
        <w:rPr>
          <w:rFonts w:asciiTheme="minorHAnsi" w:hAnsiTheme="minorHAnsi"/>
        </w:rPr>
        <w:t xml:space="preserve"> block groups to the east, southeast, and north of the city (Fig. 3D), whereas residents who identify as </w:t>
      </w:r>
      <w:r w:rsidR="00F32D56">
        <w:rPr>
          <w:rFonts w:asciiTheme="minorHAnsi" w:hAnsiTheme="minorHAnsi"/>
        </w:rPr>
        <w:t>B</w:t>
      </w:r>
      <w:r w:rsidR="00FC281F">
        <w:rPr>
          <w:rFonts w:asciiTheme="minorHAnsi" w:hAnsiTheme="minorHAnsi"/>
        </w:rPr>
        <w:t xml:space="preserve">lack primarily reside in block groups to the southwest and northeast of the city (Fig. 3E). </w:t>
      </w:r>
      <w:r w:rsidR="00151DC9">
        <w:rPr>
          <w:rFonts w:asciiTheme="minorHAnsi" w:hAnsiTheme="minorHAnsi"/>
        </w:rPr>
        <w:t>Lastly, examining the distribution of median property values within the city, the average median property value per block group is $71,783</w:t>
      </w:r>
      <w:r w:rsidR="000C3813">
        <w:rPr>
          <w:rFonts w:asciiTheme="minorHAnsi" w:hAnsiTheme="minorHAnsi"/>
        </w:rPr>
        <w:t>.</w:t>
      </w:r>
      <w:r w:rsidR="00151DC9">
        <w:rPr>
          <w:rFonts w:asciiTheme="minorHAnsi" w:hAnsiTheme="minorHAnsi"/>
        </w:rPr>
        <w:t xml:space="preserve"> </w:t>
      </w:r>
      <w:r w:rsidR="000C3813">
        <w:rPr>
          <w:rFonts w:asciiTheme="minorHAnsi" w:hAnsiTheme="minorHAnsi"/>
        </w:rPr>
        <w:t>S</w:t>
      </w:r>
      <w:r w:rsidR="00151DC9">
        <w:rPr>
          <w:rFonts w:asciiTheme="minorHAnsi" w:hAnsiTheme="minorHAnsi"/>
        </w:rPr>
        <w:t>ome block groups ha</w:t>
      </w:r>
      <w:r w:rsidR="00D53E81">
        <w:rPr>
          <w:rFonts w:asciiTheme="minorHAnsi" w:hAnsiTheme="minorHAnsi"/>
        </w:rPr>
        <w:t>ve</w:t>
      </w:r>
      <w:r w:rsidR="00151DC9">
        <w:rPr>
          <w:rFonts w:asciiTheme="minorHAnsi" w:hAnsiTheme="minorHAnsi"/>
        </w:rPr>
        <w:t xml:space="preserve"> median values as low as $18,000 while other block groups ha</w:t>
      </w:r>
      <w:r w:rsidR="00D53E81">
        <w:rPr>
          <w:rFonts w:asciiTheme="minorHAnsi" w:hAnsiTheme="minorHAnsi"/>
        </w:rPr>
        <w:t>ve</w:t>
      </w:r>
      <w:r w:rsidR="00151DC9">
        <w:rPr>
          <w:rFonts w:asciiTheme="minorHAnsi" w:hAnsiTheme="minorHAnsi"/>
        </w:rPr>
        <w:t xml:space="preserve"> median value</w:t>
      </w:r>
      <w:r w:rsidR="000C3813">
        <w:rPr>
          <w:rFonts w:asciiTheme="minorHAnsi" w:hAnsiTheme="minorHAnsi"/>
        </w:rPr>
        <w:t>s</w:t>
      </w:r>
      <w:r w:rsidR="00151DC9">
        <w:rPr>
          <w:rFonts w:asciiTheme="minorHAnsi" w:hAnsiTheme="minorHAnsi"/>
        </w:rPr>
        <w:t xml:space="preserve"> over $500,000. Spatially,</w:t>
      </w:r>
      <w:r w:rsidR="000C3813">
        <w:rPr>
          <w:rFonts w:asciiTheme="minorHAnsi" w:hAnsiTheme="minorHAnsi"/>
        </w:rPr>
        <w:t xml:space="preserve"> </w:t>
      </w:r>
      <w:r w:rsidR="00151DC9">
        <w:rPr>
          <w:rFonts w:asciiTheme="minorHAnsi" w:hAnsiTheme="minorHAnsi"/>
        </w:rPr>
        <w:t xml:space="preserve">the highest median property values </w:t>
      </w:r>
      <w:r w:rsidR="00E7512C">
        <w:rPr>
          <w:rFonts w:asciiTheme="minorHAnsi" w:hAnsiTheme="minorHAnsi"/>
        </w:rPr>
        <w:t>are in</w:t>
      </w:r>
      <w:r w:rsidR="002C6C73">
        <w:rPr>
          <w:rFonts w:asciiTheme="minorHAnsi" w:hAnsiTheme="minorHAnsi"/>
        </w:rPr>
        <w:t xml:space="preserve"> the city center </w:t>
      </w:r>
      <w:r w:rsidR="000C3813">
        <w:rPr>
          <w:rFonts w:asciiTheme="minorHAnsi" w:hAnsiTheme="minorHAnsi"/>
        </w:rPr>
        <w:t xml:space="preserve">and in block groups </w:t>
      </w:r>
      <w:r w:rsidR="002C6C73">
        <w:rPr>
          <w:rFonts w:asciiTheme="minorHAnsi" w:hAnsiTheme="minorHAnsi"/>
        </w:rPr>
        <w:t xml:space="preserve">to </w:t>
      </w:r>
      <w:r w:rsidR="000C3813">
        <w:rPr>
          <w:rFonts w:asciiTheme="minorHAnsi" w:hAnsiTheme="minorHAnsi"/>
        </w:rPr>
        <w:t xml:space="preserve">the east and southeast of the city (Fig. 3F). </w:t>
      </w:r>
    </w:p>
    <w:p w14:paraId="23E147D9" w14:textId="77777777" w:rsidR="00B150E0" w:rsidRDefault="00B150E0">
      <w:pPr>
        <w:rPr>
          <w:rFonts w:asciiTheme="minorHAnsi" w:hAnsiTheme="minorHAnsi"/>
        </w:rPr>
      </w:pPr>
      <w:r>
        <w:rPr>
          <w:rFonts w:asciiTheme="minorHAnsi" w:hAnsiTheme="minorHAnsi"/>
        </w:rPr>
        <w:br w:type="page"/>
      </w:r>
    </w:p>
    <w:p w14:paraId="5CF33684" w14:textId="77777777" w:rsidR="00B95476" w:rsidRDefault="00B95476" w:rsidP="00BA2D08">
      <w:pPr>
        <w:spacing w:line="360" w:lineRule="auto"/>
        <w:ind w:firstLine="720"/>
        <w:rPr>
          <w:rFonts w:asciiTheme="minorHAnsi" w:hAnsiTheme="minorHAnsi"/>
        </w:rPr>
      </w:pPr>
    </w:p>
    <w:p w14:paraId="3A99F1EC" w14:textId="36007693" w:rsidR="00612BB0" w:rsidRDefault="004B0DD0" w:rsidP="00010D79">
      <w:pPr>
        <w:rPr>
          <w:rFonts w:asciiTheme="minorHAnsi" w:hAnsiTheme="minorHAnsi"/>
        </w:rPr>
      </w:pPr>
      <w:r>
        <w:rPr>
          <w:rFonts w:asciiTheme="minorHAnsi" w:hAnsiTheme="minorHAnsi"/>
          <w:noProof/>
        </w:rPr>
        <w:drawing>
          <wp:anchor distT="0" distB="0" distL="114300" distR="114300" simplePos="0" relativeHeight="251720704" behindDoc="0" locked="0" layoutInCell="1" allowOverlap="1" wp14:anchorId="7DA531DF" wp14:editId="4E4D03A0">
            <wp:simplePos x="0" y="0"/>
            <wp:positionH relativeFrom="margin">
              <wp:align>center</wp:align>
            </wp:positionH>
            <wp:positionV relativeFrom="paragraph">
              <wp:posOffset>12700</wp:posOffset>
            </wp:positionV>
            <wp:extent cx="5916086" cy="4572000"/>
            <wp:effectExtent l="12700" t="12700" r="15240" b="12700"/>
            <wp:wrapTopAndBottom/>
            <wp:docPr id="2" name="Picture 2"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map&#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16086" cy="4572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2BB0" w:rsidRPr="00C426DF">
        <w:rPr>
          <w:rFonts w:asciiTheme="minorHAnsi" w:hAnsiTheme="minorHAnsi"/>
          <w:i/>
          <w:iCs/>
        </w:rPr>
        <w:t>Fig. 3. Spatially explicit models showing the normalized distribution (0-100) of five SES indicators in Rochester, NY at the census block group level</w:t>
      </w:r>
      <w:r w:rsidR="00612BB0" w:rsidRPr="003626F2">
        <w:rPr>
          <w:rFonts w:asciiTheme="minorHAnsi" w:hAnsiTheme="minorHAnsi"/>
        </w:rPr>
        <w:t>. The more purple that a given block group is</w:t>
      </w:r>
      <w:r w:rsidR="00612BB0">
        <w:rPr>
          <w:rFonts w:asciiTheme="minorHAnsi" w:hAnsiTheme="minorHAnsi"/>
        </w:rPr>
        <w:t>,</w:t>
      </w:r>
      <w:r w:rsidR="00612BB0" w:rsidRPr="003626F2">
        <w:rPr>
          <w:rFonts w:asciiTheme="minorHAnsi" w:hAnsiTheme="minorHAnsi"/>
        </w:rPr>
        <w:t xml:space="preserve"> the higher the SES indicator value they have</w:t>
      </w:r>
      <w:r w:rsidR="00612BB0">
        <w:rPr>
          <w:rFonts w:asciiTheme="minorHAnsi" w:hAnsiTheme="minorHAnsi"/>
        </w:rPr>
        <w:t>. The maps within this figure show the distribution of the following SES indicators: (A) population density, (B) household median income, (C) percent homeownership, (D) percent of population that is White, (E) percent of population that is Black, (F) median property value.</w:t>
      </w:r>
      <w:r w:rsidR="00612BB0" w:rsidRPr="00612BB0">
        <w:rPr>
          <w:rFonts w:asciiTheme="minorHAnsi" w:hAnsiTheme="minorHAnsi"/>
        </w:rPr>
        <w:t xml:space="preserve"> </w:t>
      </w:r>
      <w:r w:rsidR="00612BB0">
        <w:rPr>
          <w:rFonts w:asciiTheme="minorHAnsi" w:hAnsiTheme="minorHAnsi"/>
        </w:rPr>
        <w:t xml:space="preserve">These maps show that the wealthiest block groups are around the periphery of the city, namely to the north and east. Furthermore, map D and E show that there is a clear divide in where White and Black populations reside in the city. </w:t>
      </w:r>
    </w:p>
    <w:p w14:paraId="538E2132" w14:textId="2871C19B" w:rsidR="008003CF" w:rsidRDefault="008003CF" w:rsidP="004B0DD0">
      <w:pPr>
        <w:rPr>
          <w:rFonts w:asciiTheme="minorHAnsi" w:hAnsiTheme="minorHAnsi"/>
        </w:rPr>
      </w:pPr>
    </w:p>
    <w:p w14:paraId="6EB514B7" w14:textId="6830F4AD" w:rsidR="00ED636B" w:rsidRDefault="00ED636B" w:rsidP="004B0DD0">
      <w:pPr>
        <w:rPr>
          <w:rFonts w:asciiTheme="minorHAnsi" w:hAnsiTheme="minorHAnsi"/>
        </w:rPr>
      </w:pPr>
    </w:p>
    <w:p w14:paraId="39278583" w14:textId="3C39C550" w:rsidR="009842C5" w:rsidRDefault="009842C5" w:rsidP="004B0DD0">
      <w:pPr>
        <w:rPr>
          <w:rFonts w:asciiTheme="minorHAnsi" w:hAnsiTheme="minorHAnsi"/>
        </w:rPr>
      </w:pPr>
    </w:p>
    <w:p w14:paraId="0F5355EC" w14:textId="0B13F9A2" w:rsidR="009842C5" w:rsidRDefault="009842C5" w:rsidP="004B0DD0">
      <w:pPr>
        <w:rPr>
          <w:rFonts w:asciiTheme="minorHAnsi" w:hAnsiTheme="minorHAnsi"/>
        </w:rPr>
      </w:pPr>
    </w:p>
    <w:p w14:paraId="185C667D" w14:textId="2BD48A73" w:rsidR="009842C5" w:rsidRDefault="009842C5" w:rsidP="004B0DD0">
      <w:pPr>
        <w:rPr>
          <w:rFonts w:asciiTheme="minorHAnsi" w:hAnsiTheme="minorHAnsi"/>
        </w:rPr>
      </w:pPr>
    </w:p>
    <w:p w14:paraId="13D02ABB" w14:textId="34041051" w:rsidR="009842C5" w:rsidRDefault="009842C5" w:rsidP="004B0DD0">
      <w:pPr>
        <w:rPr>
          <w:rFonts w:asciiTheme="minorHAnsi" w:hAnsiTheme="minorHAnsi"/>
        </w:rPr>
      </w:pPr>
    </w:p>
    <w:p w14:paraId="1AF2B8BD" w14:textId="6CA5DECF" w:rsidR="009842C5" w:rsidRDefault="009842C5" w:rsidP="004B0DD0">
      <w:pPr>
        <w:rPr>
          <w:rFonts w:asciiTheme="minorHAnsi" w:hAnsiTheme="minorHAnsi"/>
        </w:rPr>
      </w:pPr>
    </w:p>
    <w:p w14:paraId="32619539" w14:textId="64A68671" w:rsidR="009842C5" w:rsidRDefault="009842C5" w:rsidP="004B0DD0">
      <w:pPr>
        <w:rPr>
          <w:rFonts w:asciiTheme="minorHAnsi" w:hAnsiTheme="minorHAnsi"/>
        </w:rPr>
      </w:pPr>
    </w:p>
    <w:p w14:paraId="63809BFA" w14:textId="77777777" w:rsidR="009842C5" w:rsidRDefault="009842C5" w:rsidP="004B0DD0">
      <w:pPr>
        <w:rPr>
          <w:rFonts w:asciiTheme="minorHAnsi" w:hAnsiTheme="minorHAnsi"/>
        </w:rPr>
      </w:pPr>
    </w:p>
    <w:p w14:paraId="7B59AA81" w14:textId="15C4F347" w:rsidR="004F12E3" w:rsidRDefault="00886080" w:rsidP="002165F7">
      <w:pPr>
        <w:spacing w:line="360" w:lineRule="auto"/>
        <w:ind w:firstLine="720"/>
        <w:rPr>
          <w:rFonts w:asciiTheme="minorHAnsi" w:hAnsiTheme="minorHAnsi"/>
        </w:rPr>
      </w:pPr>
      <w:r>
        <w:rPr>
          <w:rFonts w:asciiTheme="minorHAnsi" w:hAnsiTheme="minorHAnsi"/>
        </w:rPr>
        <w:lastRenderedPageBreak/>
        <w:t>As illustrated by the maps in Fig. 3,</w:t>
      </w:r>
      <w:r w:rsidR="00C426DF">
        <w:rPr>
          <w:rFonts w:asciiTheme="minorHAnsi" w:hAnsiTheme="minorHAnsi"/>
        </w:rPr>
        <w:t xml:space="preserve"> </w:t>
      </w:r>
      <w:r w:rsidR="00B150E0">
        <w:rPr>
          <w:rFonts w:asciiTheme="minorHAnsi" w:hAnsiTheme="minorHAnsi"/>
        </w:rPr>
        <w:t xml:space="preserve">our </w:t>
      </w:r>
      <w:r w:rsidR="00C426DF">
        <w:rPr>
          <w:rFonts w:asciiTheme="minorHAnsi" w:hAnsiTheme="minorHAnsi"/>
        </w:rPr>
        <w:t>findings indicate that</w:t>
      </w:r>
      <w:r>
        <w:rPr>
          <w:rFonts w:asciiTheme="minorHAnsi" w:hAnsiTheme="minorHAnsi"/>
        </w:rPr>
        <w:t xml:space="preserve"> </w:t>
      </w:r>
      <w:r w:rsidR="00B6502D">
        <w:rPr>
          <w:rFonts w:asciiTheme="minorHAnsi" w:hAnsiTheme="minorHAnsi"/>
        </w:rPr>
        <w:t xml:space="preserve">the city is both economically and racially divided. </w:t>
      </w:r>
      <w:r w:rsidR="008003CF">
        <w:rPr>
          <w:rFonts w:asciiTheme="minorHAnsi" w:hAnsiTheme="minorHAnsi"/>
        </w:rPr>
        <w:t>The trend of the wealthiest (highest income &amp; property values) block groups</w:t>
      </w:r>
      <w:r w:rsidR="004F12E3">
        <w:rPr>
          <w:rFonts w:asciiTheme="minorHAnsi" w:hAnsiTheme="minorHAnsi"/>
        </w:rPr>
        <w:t xml:space="preserve"> (Fig. 3B &amp; F)</w:t>
      </w:r>
      <w:r w:rsidR="008003CF">
        <w:rPr>
          <w:rFonts w:asciiTheme="minorHAnsi" w:hAnsiTheme="minorHAnsi"/>
        </w:rPr>
        <w:t>, Whitest block groups</w:t>
      </w:r>
      <w:r w:rsidR="004F12E3">
        <w:rPr>
          <w:rFonts w:asciiTheme="minorHAnsi" w:hAnsiTheme="minorHAnsi"/>
        </w:rPr>
        <w:t xml:space="preserve"> (Fig. 3D)</w:t>
      </w:r>
      <w:r w:rsidR="008003CF">
        <w:rPr>
          <w:rFonts w:asciiTheme="minorHAnsi" w:hAnsiTheme="minorHAnsi"/>
        </w:rPr>
        <w:t xml:space="preserve">, and block groups with the greatest supply of recreation potential (Fig. 2D) </w:t>
      </w:r>
      <w:r w:rsidR="00EE4013">
        <w:rPr>
          <w:rFonts w:asciiTheme="minorHAnsi" w:hAnsiTheme="minorHAnsi"/>
        </w:rPr>
        <w:t>primarily being</w:t>
      </w:r>
      <w:r w:rsidR="008003CF">
        <w:rPr>
          <w:rFonts w:asciiTheme="minorHAnsi" w:hAnsiTheme="minorHAnsi"/>
        </w:rPr>
        <w:t xml:space="preserve"> located in the far east of the city</w:t>
      </w:r>
      <w:r w:rsidR="007943FA">
        <w:rPr>
          <w:rFonts w:asciiTheme="minorHAnsi" w:hAnsiTheme="minorHAnsi"/>
        </w:rPr>
        <w:t xml:space="preserve"> </w:t>
      </w:r>
      <w:r w:rsidR="00EE4013">
        <w:rPr>
          <w:rFonts w:asciiTheme="minorHAnsi" w:hAnsiTheme="minorHAnsi"/>
        </w:rPr>
        <w:t>is</w:t>
      </w:r>
      <w:r w:rsidR="008003CF">
        <w:rPr>
          <w:rFonts w:asciiTheme="minorHAnsi" w:hAnsiTheme="minorHAnsi"/>
        </w:rPr>
        <w:t xml:space="preserve"> similar to </w:t>
      </w:r>
      <w:r w:rsidR="007943FA">
        <w:rPr>
          <w:rFonts w:asciiTheme="minorHAnsi" w:hAnsiTheme="minorHAnsi"/>
        </w:rPr>
        <w:t>the trends observed in</w:t>
      </w:r>
      <w:r w:rsidR="008003CF">
        <w:rPr>
          <w:rFonts w:asciiTheme="minorHAnsi" w:hAnsiTheme="minorHAnsi"/>
        </w:rPr>
        <w:t xml:space="preserve"> environmental gentrification. </w:t>
      </w:r>
      <w:r w:rsidR="004F12E3">
        <w:rPr>
          <w:rFonts w:asciiTheme="minorHAnsi" w:hAnsiTheme="minorHAnsi"/>
        </w:rPr>
        <w:t>With some of the city’s largest parks like Genesee Valley Park, Highland Park, and Cobb’s Hill being located here, the</w:t>
      </w:r>
      <w:r w:rsidR="0000787B">
        <w:rPr>
          <w:rFonts w:asciiTheme="minorHAnsi" w:hAnsiTheme="minorHAnsi"/>
        </w:rPr>
        <w:t>se</w:t>
      </w:r>
      <w:r w:rsidR="007943FA">
        <w:rPr>
          <w:rFonts w:asciiTheme="minorHAnsi" w:hAnsiTheme="minorHAnsi"/>
        </w:rPr>
        <w:t xml:space="preserve"> parks</w:t>
      </w:r>
      <w:r w:rsidR="004F12E3">
        <w:rPr>
          <w:rFonts w:asciiTheme="minorHAnsi" w:hAnsiTheme="minorHAnsi"/>
        </w:rPr>
        <w:t xml:space="preserve"> may be contributing to the high levels of property value observed in these block groups. </w:t>
      </w:r>
      <w:r w:rsidR="007943FA">
        <w:rPr>
          <w:rFonts w:asciiTheme="minorHAnsi" w:hAnsiTheme="minorHAnsi"/>
        </w:rPr>
        <w:t>In</w:t>
      </w:r>
      <w:r w:rsidR="004F12E3">
        <w:rPr>
          <w:rFonts w:asciiTheme="minorHAnsi" w:hAnsiTheme="minorHAnsi"/>
        </w:rPr>
        <w:t xml:space="preserve"> turn</w:t>
      </w:r>
      <w:r w:rsidR="007943FA">
        <w:rPr>
          <w:rFonts w:asciiTheme="minorHAnsi" w:hAnsiTheme="minorHAnsi"/>
        </w:rPr>
        <w:t xml:space="preserve">, </w:t>
      </w:r>
      <w:r w:rsidR="004F12E3">
        <w:rPr>
          <w:rFonts w:asciiTheme="minorHAnsi" w:hAnsiTheme="minorHAnsi"/>
        </w:rPr>
        <w:t xml:space="preserve">these parts of the city and UES from the parks </w:t>
      </w:r>
      <w:r w:rsidR="007943FA">
        <w:rPr>
          <w:rFonts w:asciiTheme="minorHAnsi" w:hAnsiTheme="minorHAnsi"/>
        </w:rPr>
        <w:t xml:space="preserve">are </w:t>
      </w:r>
      <w:r w:rsidR="004F12E3">
        <w:rPr>
          <w:rFonts w:asciiTheme="minorHAnsi" w:hAnsiTheme="minorHAnsi"/>
        </w:rPr>
        <w:t>inaccessible to lower income and nonwhite populations (</w:t>
      </w:r>
      <w:r w:rsidR="004F12E3" w:rsidRPr="004457D2">
        <w:rPr>
          <w:rFonts w:asciiTheme="minorHAnsi" w:hAnsiTheme="minorHAnsi" w:cs="Calibri"/>
          <w:color w:val="000000" w:themeColor="text1"/>
        </w:rPr>
        <w:t>Immergluck and Balan, 2018</w:t>
      </w:r>
      <w:r w:rsidR="004F12E3">
        <w:rPr>
          <w:rFonts w:asciiTheme="minorHAnsi" w:hAnsiTheme="minorHAnsi" w:cs="Calibri"/>
          <w:color w:val="000000" w:themeColor="text1"/>
        </w:rPr>
        <w:t>; Black and Richards, 2020</w:t>
      </w:r>
      <w:r w:rsidR="004F12E3">
        <w:rPr>
          <w:rFonts w:asciiTheme="minorHAnsi" w:hAnsiTheme="minorHAnsi"/>
        </w:rPr>
        <w:t>)</w:t>
      </w:r>
    </w:p>
    <w:p w14:paraId="1E789B2A" w14:textId="11619C03" w:rsidR="004F12E3" w:rsidRDefault="00B6502D" w:rsidP="002165F7">
      <w:pPr>
        <w:spacing w:line="360" w:lineRule="auto"/>
        <w:ind w:firstLine="720"/>
        <w:rPr>
          <w:rFonts w:asciiTheme="minorHAnsi" w:hAnsiTheme="minorHAnsi"/>
        </w:rPr>
      </w:pPr>
      <w:r>
        <w:rPr>
          <w:rFonts w:asciiTheme="minorHAnsi" w:hAnsiTheme="minorHAnsi"/>
        </w:rPr>
        <w:t>Racially</w:t>
      </w:r>
      <w:r w:rsidR="008F2ED6">
        <w:rPr>
          <w:rFonts w:asciiTheme="minorHAnsi" w:hAnsiTheme="minorHAnsi"/>
        </w:rPr>
        <w:t>,</w:t>
      </w:r>
      <w:r>
        <w:rPr>
          <w:rFonts w:asciiTheme="minorHAnsi" w:hAnsiTheme="minorHAnsi"/>
        </w:rPr>
        <w:t xml:space="preserve"> the city is also distinctly separated</w:t>
      </w:r>
      <w:r w:rsidR="008F2ED6">
        <w:rPr>
          <w:rFonts w:asciiTheme="minorHAnsi" w:hAnsiTheme="minorHAnsi"/>
        </w:rPr>
        <w:t xml:space="preserve"> (Fig. 3D &amp; E)</w:t>
      </w:r>
      <w:r w:rsidR="007943FA">
        <w:rPr>
          <w:rFonts w:asciiTheme="minorHAnsi" w:hAnsiTheme="minorHAnsi"/>
        </w:rPr>
        <w:t xml:space="preserve"> </w:t>
      </w:r>
      <w:r w:rsidR="0034131A">
        <w:rPr>
          <w:rFonts w:asciiTheme="minorHAnsi" w:hAnsiTheme="minorHAnsi"/>
        </w:rPr>
        <w:t xml:space="preserve">despite the near equal percentages of the city’s population that identifies as </w:t>
      </w:r>
      <w:r w:rsidR="00F32D56">
        <w:rPr>
          <w:rFonts w:asciiTheme="minorHAnsi" w:hAnsiTheme="minorHAnsi"/>
        </w:rPr>
        <w:t>B</w:t>
      </w:r>
      <w:r w:rsidR="0034131A">
        <w:rPr>
          <w:rFonts w:asciiTheme="minorHAnsi" w:hAnsiTheme="minorHAnsi"/>
        </w:rPr>
        <w:t xml:space="preserve">lack and </w:t>
      </w:r>
      <w:r w:rsidR="00C93F2A">
        <w:rPr>
          <w:rFonts w:asciiTheme="minorHAnsi" w:hAnsiTheme="minorHAnsi"/>
        </w:rPr>
        <w:t>W</w:t>
      </w:r>
      <w:r w:rsidR="0034131A">
        <w:rPr>
          <w:rFonts w:asciiTheme="minorHAnsi" w:hAnsiTheme="minorHAnsi"/>
        </w:rPr>
        <w:t>hite, 40% and 47%, respectively (World Population Review, 2020</w:t>
      </w:r>
      <w:r w:rsidR="0034131A">
        <w:rPr>
          <w:rFonts w:asciiTheme="minorHAnsi" w:hAnsiTheme="minorHAnsi"/>
          <w:vertAlign w:val="subscript"/>
        </w:rPr>
        <w:t>a</w:t>
      </w:r>
      <w:r w:rsidR="0034131A">
        <w:rPr>
          <w:rFonts w:asciiTheme="minorHAnsi" w:hAnsiTheme="minorHAnsi"/>
        </w:rPr>
        <w:t>)</w:t>
      </w:r>
      <w:r w:rsidR="008F2ED6">
        <w:rPr>
          <w:rFonts w:asciiTheme="minorHAnsi" w:hAnsiTheme="minorHAnsi"/>
        </w:rPr>
        <w:t xml:space="preserve">. </w:t>
      </w:r>
      <w:r w:rsidR="00BD3D56">
        <w:rPr>
          <w:rFonts w:asciiTheme="minorHAnsi" w:hAnsiTheme="minorHAnsi"/>
        </w:rPr>
        <w:t xml:space="preserve">This trend of the wealthiest and Whitest block groups surrounding the periphery of the city show similar trends to </w:t>
      </w:r>
      <w:r w:rsidR="00923604">
        <w:rPr>
          <w:rFonts w:asciiTheme="minorHAnsi" w:hAnsiTheme="minorHAnsi"/>
        </w:rPr>
        <w:t xml:space="preserve">that of </w:t>
      </w:r>
      <w:r w:rsidR="00BD3D56">
        <w:rPr>
          <w:rFonts w:asciiTheme="minorHAnsi" w:hAnsiTheme="minorHAnsi"/>
        </w:rPr>
        <w:t>White flight (Pais et al., 2008). As the population of Black residents</w:t>
      </w:r>
      <w:r w:rsidR="00E120FD">
        <w:rPr>
          <w:rFonts w:asciiTheme="minorHAnsi" w:hAnsiTheme="minorHAnsi"/>
        </w:rPr>
        <w:t xml:space="preserve"> in the city</w:t>
      </w:r>
      <w:r w:rsidR="00BD3D56">
        <w:rPr>
          <w:rFonts w:asciiTheme="minorHAnsi" w:hAnsiTheme="minorHAnsi"/>
        </w:rPr>
        <w:t xml:space="preserve"> rapidly grew from 5,000 to 32,000 between 1945 and 1964</w:t>
      </w:r>
      <w:r w:rsidR="00923604">
        <w:rPr>
          <w:rFonts w:asciiTheme="minorHAnsi" w:hAnsiTheme="minorHAnsi"/>
        </w:rPr>
        <w:t xml:space="preserve"> (</w:t>
      </w:r>
      <w:r w:rsidR="00923604" w:rsidRPr="001E3BF2">
        <w:rPr>
          <w:rFonts w:asciiTheme="minorHAnsi" w:hAnsiTheme="minorHAnsi"/>
        </w:rPr>
        <w:t>Southwest Tribune, 2019</w:t>
      </w:r>
      <w:r w:rsidR="00923604">
        <w:rPr>
          <w:rFonts w:asciiTheme="minorHAnsi" w:hAnsiTheme="minorHAnsi"/>
        </w:rPr>
        <w:t>)</w:t>
      </w:r>
      <w:r w:rsidR="00BD3D56">
        <w:rPr>
          <w:rFonts w:asciiTheme="minorHAnsi" w:hAnsiTheme="minorHAnsi"/>
        </w:rPr>
        <w:t>, White residents likely moved from the center part of the city and into the peripheries and surrounding suburbs</w:t>
      </w:r>
      <w:r w:rsidR="007943FA">
        <w:rPr>
          <w:rFonts w:asciiTheme="minorHAnsi" w:hAnsiTheme="minorHAnsi"/>
        </w:rPr>
        <w:t>.</w:t>
      </w:r>
      <w:r w:rsidR="00923604">
        <w:rPr>
          <w:rFonts w:asciiTheme="minorHAnsi" w:hAnsiTheme="minorHAnsi"/>
        </w:rPr>
        <w:t xml:space="preserve"> </w:t>
      </w:r>
      <w:r w:rsidR="007943FA">
        <w:rPr>
          <w:rFonts w:asciiTheme="minorHAnsi" w:hAnsiTheme="minorHAnsi"/>
        </w:rPr>
        <w:t>T</w:t>
      </w:r>
      <w:r w:rsidR="00923604">
        <w:rPr>
          <w:rFonts w:asciiTheme="minorHAnsi" w:hAnsiTheme="minorHAnsi"/>
        </w:rPr>
        <w:t>hus</w:t>
      </w:r>
      <w:r w:rsidR="007943FA">
        <w:rPr>
          <w:rFonts w:asciiTheme="minorHAnsi" w:hAnsiTheme="minorHAnsi"/>
        </w:rPr>
        <w:t>,</w:t>
      </w:r>
      <w:r w:rsidR="00923604">
        <w:rPr>
          <w:rFonts w:asciiTheme="minorHAnsi" w:hAnsiTheme="minorHAnsi"/>
        </w:rPr>
        <w:t xml:space="preserve"> </w:t>
      </w:r>
      <w:r w:rsidR="007943FA">
        <w:rPr>
          <w:rFonts w:asciiTheme="minorHAnsi" w:hAnsiTheme="minorHAnsi"/>
        </w:rPr>
        <w:t xml:space="preserve">having </w:t>
      </w:r>
      <w:r w:rsidR="00923604">
        <w:rPr>
          <w:rFonts w:asciiTheme="minorHAnsi" w:hAnsiTheme="minorHAnsi"/>
        </w:rPr>
        <w:t>le</w:t>
      </w:r>
      <w:r w:rsidR="007943FA">
        <w:rPr>
          <w:rFonts w:asciiTheme="minorHAnsi" w:hAnsiTheme="minorHAnsi"/>
        </w:rPr>
        <w:t xml:space="preserve">ft </w:t>
      </w:r>
      <w:r w:rsidR="00923604">
        <w:rPr>
          <w:rFonts w:asciiTheme="minorHAnsi" w:hAnsiTheme="minorHAnsi"/>
        </w:rPr>
        <w:t>housing in the center parts of the city to be occupied by the new Black residents</w:t>
      </w:r>
      <w:r w:rsidR="00BD3D56">
        <w:rPr>
          <w:rFonts w:asciiTheme="minorHAnsi" w:hAnsiTheme="minorHAnsi"/>
        </w:rPr>
        <w:t xml:space="preserve">. </w:t>
      </w:r>
      <w:r w:rsidR="008F2ED6">
        <w:rPr>
          <w:rFonts w:asciiTheme="minorHAnsi" w:hAnsiTheme="minorHAnsi"/>
        </w:rPr>
        <w:t xml:space="preserve">It is important to understand the economic and racial distributions within cities as studies have shown that these indicators are correlated with </w:t>
      </w:r>
      <w:r>
        <w:rPr>
          <w:rFonts w:asciiTheme="minorHAnsi" w:hAnsiTheme="minorHAnsi"/>
        </w:rPr>
        <w:t>UES and UGS</w:t>
      </w:r>
      <w:r w:rsidR="008F2ED6">
        <w:rPr>
          <w:rFonts w:asciiTheme="minorHAnsi" w:hAnsiTheme="minorHAnsi"/>
        </w:rPr>
        <w:t xml:space="preserve"> distribution. </w:t>
      </w:r>
    </w:p>
    <w:p w14:paraId="2C636B6D" w14:textId="4E63A1BA" w:rsidR="006A0196" w:rsidRDefault="00B6502D" w:rsidP="00612BB0">
      <w:pPr>
        <w:spacing w:line="360" w:lineRule="auto"/>
        <w:ind w:firstLine="720"/>
        <w:rPr>
          <w:rFonts w:asciiTheme="minorHAnsi" w:hAnsiTheme="minorHAnsi"/>
        </w:rPr>
      </w:pPr>
      <w:r>
        <w:rPr>
          <w:rFonts w:asciiTheme="minorHAnsi" w:hAnsiTheme="minorHAnsi"/>
        </w:rPr>
        <w:t>In t</w:t>
      </w:r>
      <w:r w:rsidR="008F2ED6">
        <w:rPr>
          <w:rFonts w:asciiTheme="minorHAnsi" w:hAnsiTheme="minorHAnsi"/>
        </w:rPr>
        <w:t xml:space="preserve">wo studies that examined the equitable distribution of </w:t>
      </w:r>
      <w:r w:rsidR="006A0196">
        <w:rPr>
          <w:rFonts w:asciiTheme="minorHAnsi" w:hAnsiTheme="minorHAnsi"/>
        </w:rPr>
        <w:t>UES</w:t>
      </w:r>
      <w:r w:rsidR="008F2ED6">
        <w:rPr>
          <w:rFonts w:asciiTheme="minorHAnsi" w:hAnsiTheme="minorHAnsi"/>
        </w:rPr>
        <w:t xml:space="preserve"> produced by urban trees</w:t>
      </w:r>
      <w:r>
        <w:rPr>
          <w:rFonts w:asciiTheme="minorHAnsi" w:hAnsiTheme="minorHAnsi"/>
        </w:rPr>
        <w:t>,</w:t>
      </w:r>
      <w:r w:rsidR="006F10BD">
        <w:rPr>
          <w:rFonts w:asciiTheme="minorHAnsi" w:hAnsiTheme="minorHAnsi"/>
        </w:rPr>
        <w:t xml:space="preserve"> </w:t>
      </w:r>
      <w:r>
        <w:rPr>
          <w:rFonts w:asciiTheme="minorHAnsi" w:hAnsiTheme="minorHAnsi"/>
        </w:rPr>
        <w:t xml:space="preserve">researchers </w:t>
      </w:r>
      <w:r w:rsidR="006F10BD">
        <w:rPr>
          <w:rFonts w:asciiTheme="minorHAnsi" w:hAnsiTheme="minorHAnsi"/>
        </w:rPr>
        <w:t>found that median income was positively correlated with ecosystem service production</w:t>
      </w:r>
      <w:r w:rsidR="00496A55">
        <w:rPr>
          <w:rFonts w:asciiTheme="minorHAnsi" w:hAnsiTheme="minorHAnsi"/>
        </w:rPr>
        <w:t>,</w:t>
      </w:r>
      <w:r w:rsidR="006F10BD">
        <w:rPr>
          <w:rFonts w:asciiTheme="minorHAnsi" w:hAnsiTheme="minorHAnsi"/>
        </w:rPr>
        <w:t xml:space="preserve"> while </w:t>
      </w:r>
      <w:r w:rsidR="007943FA">
        <w:rPr>
          <w:rFonts w:asciiTheme="minorHAnsi" w:hAnsiTheme="minorHAnsi"/>
        </w:rPr>
        <w:t xml:space="preserve">high </w:t>
      </w:r>
      <w:r w:rsidR="006F10BD">
        <w:rPr>
          <w:rFonts w:asciiTheme="minorHAnsi" w:hAnsiTheme="minorHAnsi"/>
        </w:rPr>
        <w:t>percent</w:t>
      </w:r>
      <w:r w:rsidR="00B17F8C">
        <w:rPr>
          <w:rFonts w:asciiTheme="minorHAnsi" w:hAnsiTheme="minorHAnsi"/>
        </w:rPr>
        <w:t>ages</w:t>
      </w:r>
      <w:r w:rsidR="006F10BD">
        <w:rPr>
          <w:rFonts w:asciiTheme="minorHAnsi" w:hAnsiTheme="minorHAnsi"/>
        </w:rPr>
        <w:t xml:space="preserve"> </w:t>
      </w:r>
      <w:r w:rsidR="007943FA">
        <w:rPr>
          <w:rFonts w:asciiTheme="minorHAnsi" w:hAnsiTheme="minorHAnsi"/>
        </w:rPr>
        <w:t xml:space="preserve">of </w:t>
      </w:r>
      <w:r w:rsidR="006F10BD">
        <w:rPr>
          <w:rFonts w:asciiTheme="minorHAnsi" w:hAnsiTheme="minorHAnsi"/>
        </w:rPr>
        <w:t>renters and percent poverty were negatively</w:t>
      </w:r>
      <w:r>
        <w:rPr>
          <w:rFonts w:asciiTheme="minorHAnsi" w:hAnsiTheme="minorHAnsi"/>
        </w:rPr>
        <w:t xml:space="preserve"> correlated</w:t>
      </w:r>
      <w:r w:rsidR="006F10BD">
        <w:rPr>
          <w:rFonts w:asciiTheme="minorHAnsi" w:hAnsiTheme="minorHAnsi"/>
        </w:rPr>
        <w:t xml:space="preserve"> (Nyelele et al., 2020; Riley and Gard</w:t>
      </w:r>
      <w:r w:rsidR="004C76A1">
        <w:rPr>
          <w:rFonts w:asciiTheme="minorHAnsi" w:hAnsiTheme="minorHAnsi"/>
        </w:rPr>
        <w:t>iner, 2020). Racially, s</w:t>
      </w:r>
      <w:r w:rsidR="004C76A1" w:rsidRPr="003C6F05">
        <w:rPr>
          <w:rFonts w:asciiTheme="minorHAnsi" w:hAnsiTheme="minorHAnsi"/>
        </w:rPr>
        <w:t xml:space="preserve">tudies have shown that higher quality and greater amounts UGS such as street trees and parks are found in areas with higher percentages of </w:t>
      </w:r>
      <w:r w:rsidR="00C93F2A">
        <w:rPr>
          <w:rFonts w:asciiTheme="minorHAnsi" w:hAnsiTheme="minorHAnsi"/>
        </w:rPr>
        <w:t>W</w:t>
      </w:r>
      <w:r w:rsidR="004C76A1" w:rsidRPr="003C6F05">
        <w:rPr>
          <w:rFonts w:asciiTheme="minorHAnsi" w:hAnsiTheme="minorHAnsi"/>
        </w:rPr>
        <w:t xml:space="preserve">hite populations and lower in areas with larger </w:t>
      </w:r>
      <w:r w:rsidR="00F32D56">
        <w:rPr>
          <w:rFonts w:asciiTheme="minorHAnsi" w:hAnsiTheme="minorHAnsi"/>
        </w:rPr>
        <w:t>B</w:t>
      </w:r>
      <w:r w:rsidR="004C76A1" w:rsidRPr="003C6F05">
        <w:rPr>
          <w:rFonts w:asciiTheme="minorHAnsi" w:hAnsiTheme="minorHAnsi"/>
        </w:rPr>
        <w:t xml:space="preserve">lack populations (Rigolon, 2016; Schwartz, 2015). </w:t>
      </w:r>
      <w:r w:rsidR="0034131A">
        <w:rPr>
          <w:rFonts w:asciiTheme="minorHAnsi" w:hAnsiTheme="minorHAnsi"/>
        </w:rPr>
        <w:t xml:space="preserve">Understanding the SES distribution of a city is an important part in improving </w:t>
      </w:r>
      <w:r w:rsidR="002C6C73">
        <w:rPr>
          <w:rFonts w:asciiTheme="minorHAnsi" w:hAnsiTheme="minorHAnsi"/>
        </w:rPr>
        <w:t xml:space="preserve">the environmental and </w:t>
      </w:r>
      <w:r w:rsidR="0034131A">
        <w:rPr>
          <w:rFonts w:asciiTheme="minorHAnsi" w:hAnsiTheme="minorHAnsi"/>
        </w:rPr>
        <w:t xml:space="preserve">overall equity, especially </w:t>
      </w:r>
      <w:r w:rsidR="007943FA">
        <w:rPr>
          <w:rFonts w:asciiTheme="minorHAnsi" w:hAnsiTheme="minorHAnsi"/>
        </w:rPr>
        <w:t xml:space="preserve">in a highly economically and racially divided </w:t>
      </w:r>
      <w:r w:rsidR="0034131A">
        <w:rPr>
          <w:rFonts w:asciiTheme="minorHAnsi" w:hAnsiTheme="minorHAnsi"/>
        </w:rPr>
        <w:t xml:space="preserve">city </w:t>
      </w:r>
      <w:r w:rsidR="007943FA">
        <w:rPr>
          <w:rFonts w:asciiTheme="minorHAnsi" w:hAnsiTheme="minorHAnsi"/>
        </w:rPr>
        <w:t>such as</w:t>
      </w:r>
      <w:r w:rsidR="0034131A">
        <w:rPr>
          <w:rFonts w:asciiTheme="minorHAnsi" w:hAnsiTheme="minorHAnsi"/>
        </w:rPr>
        <w:t xml:space="preserve"> Rochester. </w:t>
      </w:r>
    </w:p>
    <w:p w14:paraId="144BF9BC" w14:textId="38908BB1" w:rsidR="00010D79" w:rsidRDefault="00010D79" w:rsidP="00612BB0">
      <w:pPr>
        <w:spacing w:line="360" w:lineRule="auto"/>
        <w:ind w:firstLine="720"/>
        <w:rPr>
          <w:rFonts w:asciiTheme="minorHAnsi" w:hAnsiTheme="minorHAnsi"/>
        </w:rPr>
      </w:pPr>
      <w:r w:rsidRPr="003C6F05">
        <w:rPr>
          <w:rFonts w:asciiTheme="minorHAnsi" w:hAnsiTheme="minorHAnsi"/>
        </w:rPr>
        <w:t xml:space="preserve">Aside from the contemporary SES indicators analyzed using census data, </w:t>
      </w:r>
      <w:r w:rsidR="00D245D6">
        <w:rPr>
          <w:rFonts w:asciiTheme="minorHAnsi" w:hAnsiTheme="minorHAnsi"/>
        </w:rPr>
        <w:t xml:space="preserve">we </w:t>
      </w:r>
      <w:r>
        <w:rPr>
          <w:rFonts w:asciiTheme="minorHAnsi" w:hAnsiTheme="minorHAnsi"/>
        </w:rPr>
        <w:t xml:space="preserve">investigated </w:t>
      </w:r>
      <w:r w:rsidRPr="003C6F05">
        <w:rPr>
          <w:rFonts w:asciiTheme="minorHAnsi" w:hAnsiTheme="minorHAnsi"/>
        </w:rPr>
        <w:t xml:space="preserve">one set of historical SES data too, HOLC grades. Mapping these values show a </w:t>
      </w:r>
      <w:r w:rsidRPr="003C6F05">
        <w:rPr>
          <w:rFonts w:asciiTheme="minorHAnsi" w:hAnsiTheme="minorHAnsi"/>
        </w:rPr>
        <w:lastRenderedPageBreak/>
        <w:t>stark contrast in the value assessment of neighborhoods in Rochester during the 1930’s (</w:t>
      </w:r>
      <w:r>
        <w:rPr>
          <w:rFonts w:asciiTheme="minorHAnsi" w:hAnsiTheme="minorHAnsi"/>
        </w:rPr>
        <w:t>F</w:t>
      </w:r>
      <w:r w:rsidRPr="003C6F05">
        <w:rPr>
          <w:rFonts w:asciiTheme="minorHAnsi" w:hAnsiTheme="minorHAnsi"/>
        </w:rPr>
        <w:t>ig. 4). Specifically, block groups with the lowest HOLC grade of “D” are only found in the city center and neighborhoods directly surrounding it. Whereas higher HOLC grades</w:t>
      </w:r>
      <w:r>
        <w:rPr>
          <w:rFonts w:asciiTheme="minorHAnsi" w:hAnsiTheme="minorHAnsi"/>
        </w:rPr>
        <w:t>,</w:t>
      </w:r>
      <w:r w:rsidRPr="003C6F05">
        <w:rPr>
          <w:rFonts w:asciiTheme="minorHAnsi" w:hAnsiTheme="minorHAnsi"/>
        </w:rPr>
        <w:t xml:space="preserve"> “A” and “B’</w:t>
      </w:r>
      <w:r>
        <w:rPr>
          <w:rFonts w:asciiTheme="minorHAnsi" w:hAnsiTheme="minorHAnsi"/>
        </w:rPr>
        <w:t>,</w:t>
      </w:r>
      <w:r w:rsidRPr="003C6F05">
        <w:rPr>
          <w:rFonts w:asciiTheme="minorHAnsi" w:hAnsiTheme="minorHAnsi"/>
        </w:rPr>
        <w:t xml:space="preserve"> are exclusively found near the periphery of the city, specifically to the north and south</w:t>
      </w:r>
      <w:r w:rsidR="00C21899">
        <w:rPr>
          <w:rFonts w:asciiTheme="minorHAnsi" w:hAnsiTheme="minorHAnsi"/>
        </w:rPr>
        <w:t xml:space="preserve">. </w:t>
      </w:r>
    </w:p>
    <w:p w14:paraId="09E25E02" w14:textId="5C7AF197" w:rsidR="00010D79" w:rsidRDefault="00010D79" w:rsidP="00612BB0">
      <w:pPr>
        <w:spacing w:line="360" w:lineRule="auto"/>
        <w:ind w:firstLine="720"/>
        <w:rPr>
          <w:rFonts w:asciiTheme="minorHAnsi" w:hAnsiTheme="minorHAnsi"/>
        </w:rPr>
      </w:pPr>
    </w:p>
    <w:p w14:paraId="73930A77" w14:textId="6B05648C" w:rsidR="00A47E52" w:rsidRDefault="00A47E52" w:rsidP="00612BB0">
      <w:pPr>
        <w:spacing w:line="360" w:lineRule="auto"/>
        <w:ind w:firstLine="720"/>
        <w:rPr>
          <w:rFonts w:asciiTheme="minorHAnsi" w:hAnsiTheme="minorHAnsi"/>
        </w:rPr>
      </w:pPr>
    </w:p>
    <w:p w14:paraId="48EF4FA9" w14:textId="1FCFE987" w:rsidR="00A47E52" w:rsidRDefault="00A47E52" w:rsidP="00612BB0">
      <w:pPr>
        <w:spacing w:line="360" w:lineRule="auto"/>
        <w:ind w:firstLine="720"/>
        <w:rPr>
          <w:rFonts w:asciiTheme="minorHAnsi" w:hAnsiTheme="minorHAnsi"/>
        </w:rPr>
      </w:pPr>
    </w:p>
    <w:p w14:paraId="063E9F70" w14:textId="2B77326D" w:rsidR="00A47E52" w:rsidRDefault="00A47E52" w:rsidP="00612BB0">
      <w:pPr>
        <w:spacing w:line="360" w:lineRule="auto"/>
        <w:ind w:firstLine="720"/>
        <w:rPr>
          <w:rFonts w:asciiTheme="minorHAnsi" w:hAnsiTheme="minorHAnsi"/>
        </w:rPr>
      </w:pPr>
    </w:p>
    <w:p w14:paraId="16D655EB" w14:textId="77777777" w:rsidR="00A47E52" w:rsidRDefault="00A47E52" w:rsidP="00612BB0">
      <w:pPr>
        <w:spacing w:line="360" w:lineRule="auto"/>
        <w:ind w:firstLine="720"/>
        <w:rPr>
          <w:rFonts w:asciiTheme="minorHAnsi" w:hAnsiTheme="minorHAnsi"/>
        </w:rPr>
      </w:pPr>
    </w:p>
    <w:p w14:paraId="1DE8F62C" w14:textId="65D46C7B" w:rsidR="00612BB0" w:rsidRDefault="00010D79" w:rsidP="00010D79">
      <w:pPr>
        <w:rPr>
          <w:rFonts w:asciiTheme="minorHAnsi" w:hAnsiTheme="minorHAnsi"/>
        </w:rPr>
      </w:pPr>
      <w:r w:rsidRPr="00171EBA">
        <w:rPr>
          <w:rFonts w:asciiTheme="minorHAnsi" w:hAnsiTheme="minorHAnsi"/>
          <w:i/>
          <w:iCs/>
          <w:noProof/>
        </w:rPr>
        <w:lastRenderedPageBreak/>
        <w:drawing>
          <wp:anchor distT="0" distB="0" distL="114300" distR="114300" simplePos="0" relativeHeight="251722752" behindDoc="0" locked="0" layoutInCell="1" allowOverlap="1" wp14:anchorId="648EB875" wp14:editId="1D0619CF">
            <wp:simplePos x="0" y="0"/>
            <wp:positionH relativeFrom="margin">
              <wp:align>center</wp:align>
            </wp:positionH>
            <wp:positionV relativeFrom="paragraph">
              <wp:posOffset>12700</wp:posOffset>
            </wp:positionV>
            <wp:extent cx="4891035" cy="6400800"/>
            <wp:effectExtent l="12700" t="12700" r="11430" b="12700"/>
            <wp:wrapTopAndBottom/>
            <wp:docPr id="6" name="Picture 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rotWithShape="1">
                    <a:blip r:embed="rId16" cstate="print">
                      <a:extLst>
                        <a:ext uri="{28A0092B-C50C-407E-A947-70E740481C1C}">
                          <a14:useLocalDpi xmlns:a14="http://schemas.microsoft.com/office/drawing/2010/main" val="0"/>
                        </a:ext>
                      </a:extLst>
                    </a:blip>
                    <a:srcRect l="9732" t="6589" r="8504" b="10745"/>
                    <a:stretch/>
                  </pic:blipFill>
                  <pic:spPr bwMode="auto">
                    <a:xfrm>
                      <a:off x="0" y="0"/>
                      <a:ext cx="4891035" cy="64008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218E" w:rsidRPr="003C6F05">
        <w:rPr>
          <w:rFonts w:asciiTheme="minorHAnsi" w:hAnsiTheme="minorHAnsi"/>
        </w:rPr>
        <w:t xml:space="preserve"> </w:t>
      </w:r>
      <w:r w:rsidR="00612BB0" w:rsidRPr="00171EBA">
        <w:rPr>
          <w:rFonts w:asciiTheme="minorHAnsi" w:hAnsiTheme="minorHAnsi"/>
          <w:i/>
          <w:iCs/>
        </w:rPr>
        <w:t>Fig. 4. A 1939 map of the HomeOwners Loan Corporation grading scheme at the census block group level in Rochester, NY</w:t>
      </w:r>
      <w:r w:rsidR="00612BB0" w:rsidRPr="003626F2">
        <w:rPr>
          <w:rFonts w:asciiTheme="minorHAnsi" w:hAnsiTheme="minorHAnsi"/>
        </w:rPr>
        <w:t xml:space="preserve">. </w:t>
      </w:r>
      <w:r w:rsidR="00612BB0">
        <w:rPr>
          <w:rFonts w:asciiTheme="minorHAnsi" w:hAnsiTheme="minorHAnsi"/>
        </w:rPr>
        <w:t xml:space="preserve">“A” indicates the most desirable neighborhoods, “B” indicates neighborhoods that are still desirable, “C” indicates neighborhoods that are </w:t>
      </w:r>
      <w:r w:rsidR="004065B4">
        <w:rPr>
          <w:rFonts w:asciiTheme="minorHAnsi" w:hAnsiTheme="minorHAnsi"/>
        </w:rPr>
        <w:t>declining</w:t>
      </w:r>
      <w:r w:rsidR="00612BB0">
        <w:rPr>
          <w:rFonts w:asciiTheme="minorHAnsi" w:hAnsiTheme="minorHAnsi"/>
        </w:rPr>
        <w:t xml:space="preserve">, and “D” indicates neighborhoods that are hazardous. Overall, the lowest graded neighborhoods are in the center of the city while the highest graded neighborhoods are towards the peripheries. Since HOLC grades were only assigned to neighborhoods, </w:t>
      </w:r>
      <w:r w:rsidR="00D245D6">
        <w:rPr>
          <w:rFonts w:asciiTheme="minorHAnsi" w:hAnsiTheme="minorHAnsi"/>
        </w:rPr>
        <w:t xml:space="preserve">we </w:t>
      </w:r>
      <w:r w:rsidR="00612BB0">
        <w:rPr>
          <w:rFonts w:asciiTheme="minorHAnsi" w:hAnsiTheme="minorHAnsi"/>
        </w:rPr>
        <w:t xml:space="preserve">made this map by assigning grades to the census block group level. </w:t>
      </w:r>
    </w:p>
    <w:p w14:paraId="0F3E1263" w14:textId="5B5412D7" w:rsidR="00010D79" w:rsidRDefault="00010D79" w:rsidP="00010D79">
      <w:pPr>
        <w:spacing w:line="360" w:lineRule="auto"/>
        <w:rPr>
          <w:rFonts w:asciiTheme="minorHAnsi" w:hAnsiTheme="minorHAnsi"/>
        </w:rPr>
      </w:pPr>
    </w:p>
    <w:p w14:paraId="2FCB04F4" w14:textId="77777777" w:rsidR="00A47E52" w:rsidRDefault="00A47E52" w:rsidP="00010D79">
      <w:pPr>
        <w:spacing w:line="360" w:lineRule="auto"/>
        <w:rPr>
          <w:rFonts w:asciiTheme="minorHAnsi" w:hAnsiTheme="minorHAnsi"/>
        </w:rPr>
      </w:pPr>
    </w:p>
    <w:p w14:paraId="5B6F87B4" w14:textId="2EB54C02" w:rsidR="00632BC5" w:rsidRDefault="00CE73FF" w:rsidP="008D1639">
      <w:pPr>
        <w:spacing w:line="360" w:lineRule="auto"/>
        <w:ind w:firstLine="720"/>
        <w:rPr>
          <w:rFonts w:asciiTheme="minorHAnsi" w:hAnsiTheme="minorHAnsi"/>
        </w:rPr>
      </w:pPr>
      <w:r>
        <w:rPr>
          <w:rFonts w:asciiTheme="minorHAnsi" w:hAnsiTheme="minorHAnsi"/>
        </w:rPr>
        <w:lastRenderedPageBreak/>
        <w:t xml:space="preserve">Through the one-way ANOVA, </w:t>
      </w:r>
      <w:r w:rsidR="00D245D6">
        <w:rPr>
          <w:rFonts w:asciiTheme="minorHAnsi" w:hAnsiTheme="minorHAnsi"/>
        </w:rPr>
        <w:t xml:space="preserve">we </w:t>
      </w:r>
      <w:r w:rsidR="00C426DF">
        <w:rPr>
          <w:rFonts w:asciiTheme="minorHAnsi" w:hAnsiTheme="minorHAnsi"/>
        </w:rPr>
        <w:t>found</w:t>
      </w:r>
      <w:r w:rsidR="00D1218E" w:rsidRPr="003C6F05">
        <w:rPr>
          <w:rFonts w:asciiTheme="minorHAnsi" w:hAnsiTheme="minorHAnsi"/>
        </w:rPr>
        <w:t xml:space="preserve"> significantly different mean UES indicator values for all </w:t>
      </w:r>
      <w:r w:rsidR="00077082">
        <w:rPr>
          <w:rFonts w:asciiTheme="minorHAnsi" w:hAnsiTheme="minorHAnsi"/>
        </w:rPr>
        <w:t xml:space="preserve">four </w:t>
      </w:r>
      <w:r w:rsidR="00D1218E" w:rsidRPr="003C6F05">
        <w:rPr>
          <w:rFonts w:asciiTheme="minorHAnsi" w:hAnsiTheme="minorHAnsi"/>
        </w:rPr>
        <w:t xml:space="preserve">UES </w:t>
      </w:r>
      <w:r w:rsidR="00C426DF">
        <w:rPr>
          <w:rFonts w:asciiTheme="minorHAnsi" w:hAnsiTheme="minorHAnsi"/>
        </w:rPr>
        <w:t>among</w:t>
      </w:r>
      <w:r w:rsidR="00D1218E" w:rsidRPr="003C6F05">
        <w:rPr>
          <w:rFonts w:asciiTheme="minorHAnsi" w:hAnsiTheme="minorHAnsi"/>
        </w:rPr>
        <w:t xml:space="preserve"> HOLC grades (</w:t>
      </w:r>
      <w:r w:rsidR="004B0DD0">
        <w:rPr>
          <w:rFonts w:asciiTheme="minorHAnsi" w:hAnsiTheme="minorHAnsi"/>
        </w:rPr>
        <w:t>F</w:t>
      </w:r>
      <w:r w:rsidR="00D1218E" w:rsidRPr="003C6F05">
        <w:rPr>
          <w:rFonts w:asciiTheme="minorHAnsi" w:hAnsiTheme="minorHAnsi"/>
        </w:rPr>
        <w:t>ig. 5). For the UES indicators total carbon removal and air pollution removal, block groups given a</w:t>
      </w:r>
      <w:r w:rsidR="00496A55">
        <w:rPr>
          <w:rFonts w:asciiTheme="minorHAnsi" w:hAnsiTheme="minorHAnsi"/>
        </w:rPr>
        <w:t xml:space="preserve"> </w:t>
      </w:r>
      <w:r w:rsidR="00D1218E" w:rsidRPr="003C6F05">
        <w:rPr>
          <w:rFonts w:asciiTheme="minorHAnsi" w:hAnsiTheme="minorHAnsi"/>
        </w:rPr>
        <w:t>HOLC grade</w:t>
      </w:r>
      <w:r w:rsidR="00496A55">
        <w:rPr>
          <w:rFonts w:asciiTheme="minorHAnsi" w:hAnsiTheme="minorHAnsi"/>
        </w:rPr>
        <w:t xml:space="preserve"> of “A”</w:t>
      </w:r>
      <w:r w:rsidR="00D1218E" w:rsidRPr="003C6F05">
        <w:rPr>
          <w:rFonts w:asciiTheme="minorHAnsi" w:hAnsiTheme="minorHAnsi"/>
        </w:rPr>
        <w:t xml:space="preserve"> experience significantly </w:t>
      </w:r>
      <w:r w:rsidR="00D44938" w:rsidRPr="003C6F05">
        <w:rPr>
          <w:rFonts w:asciiTheme="minorHAnsi" w:hAnsiTheme="minorHAnsi"/>
        </w:rPr>
        <w:t>higher rates of</w:t>
      </w:r>
      <w:r w:rsidR="00D1218E" w:rsidRPr="003C6F05">
        <w:rPr>
          <w:rFonts w:asciiTheme="minorHAnsi" w:hAnsiTheme="minorHAnsi"/>
        </w:rPr>
        <w:t xml:space="preserve"> carbon and air pollution removal </w:t>
      </w:r>
      <w:r w:rsidR="000936D1">
        <w:rPr>
          <w:rFonts w:asciiTheme="minorHAnsi" w:hAnsiTheme="minorHAnsi"/>
        </w:rPr>
        <w:t>compared to</w:t>
      </w:r>
      <w:r w:rsidR="00D1218E" w:rsidRPr="003C6F05">
        <w:rPr>
          <w:rFonts w:asciiTheme="minorHAnsi" w:hAnsiTheme="minorHAnsi"/>
        </w:rPr>
        <w:t xml:space="preserve"> </w:t>
      </w:r>
      <w:r w:rsidR="002B2BE3" w:rsidRPr="003C6F05">
        <w:rPr>
          <w:rFonts w:asciiTheme="minorHAnsi" w:hAnsiTheme="minorHAnsi"/>
        </w:rPr>
        <w:t>all</w:t>
      </w:r>
      <w:r w:rsidR="00D1218E" w:rsidRPr="003C6F05">
        <w:rPr>
          <w:rFonts w:asciiTheme="minorHAnsi" w:hAnsiTheme="minorHAnsi"/>
        </w:rPr>
        <w:t xml:space="preserve"> other HOLC graded block groups</w:t>
      </w:r>
      <w:r w:rsidR="00733A93">
        <w:rPr>
          <w:rFonts w:asciiTheme="minorHAnsi" w:hAnsiTheme="minorHAnsi"/>
        </w:rPr>
        <w:t xml:space="preserve"> (Fig. </w:t>
      </w:r>
      <w:r w:rsidR="00D53E81">
        <w:rPr>
          <w:rFonts w:asciiTheme="minorHAnsi" w:hAnsiTheme="minorHAnsi"/>
        </w:rPr>
        <w:t>5</w:t>
      </w:r>
      <w:r w:rsidR="00733A93">
        <w:rPr>
          <w:rFonts w:asciiTheme="minorHAnsi" w:hAnsiTheme="minorHAnsi"/>
        </w:rPr>
        <w:t>A &amp; B)</w:t>
      </w:r>
      <w:r w:rsidR="00D1218E" w:rsidRPr="003C6F05">
        <w:rPr>
          <w:rFonts w:asciiTheme="minorHAnsi" w:hAnsiTheme="minorHAnsi"/>
        </w:rPr>
        <w:t>. Furthermore, there was a significant difference between “C” and “D” HOLC graded block groups for both indicators, as well as significant difference</w:t>
      </w:r>
      <w:r w:rsidR="002C6C73">
        <w:rPr>
          <w:rFonts w:asciiTheme="minorHAnsi" w:hAnsiTheme="minorHAnsi"/>
        </w:rPr>
        <w:t>s</w:t>
      </w:r>
      <w:r w:rsidR="00D1218E" w:rsidRPr="003C6F05">
        <w:rPr>
          <w:rFonts w:asciiTheme="minorHAnsi" w:hAnsiTheme="minorHAnsi"/>
        </w:rPr>
        <w:t xml:space="preserve"> between “B” and “D” for air pollution removal. The greatest mean difference for </w:t>
      </w:r>
      <w:r w:rsidR="004065B4" w:rsidRPr="003C6F05">
        <w:rPr>
          <w:rFonts w:asciiTheme="minorHAnsi" w:hAnsiTheme="minorHAnsi"/>
        </w:rPr>
        <w:t>both</w:t>
      </w:r>
      <w:r w:rsidR="00D1218E" w:rsidRPr="003C6F05">
        <w:rPr>
          <w:rFonts w:asciiTheme="minorHAnsi" w:hAnsiTheme="minorHAnsi"/>
        </w:rPr>
        <w:t xml:space="preserve"> indicators was observed between block groups with an “A” and “D” HOLC grade, both indicators had at least a mean </w:t>
      </w:r>
      <w:r w:rsidR="00B17F8C">
        <w:rPr>
          <w:rFonts w:asciiTheme="minorHAnsi" w:hAnsiTheme="minorHAnsi"/>
        </w:rPr>
        <w:t xml:space="preserve">log transformed </w:t>
      </w:r>
      <w:r w:rsidR="00733A93">
        <w:rPr>
          <w:rFonts w:asciiTheme="minorHAnsi" w:hAnsiTheme="minorHAnsi"/>
        </w:rPr>
        <w:t xml:space="preserve">carbon and air pollution removal </w:t>
      </w:r>
      <w:r w:rsidR="00D1218E" w:rsidRPr="003C6F05">
        <w:rPr>
          <w:rFonts w:asciiTheme="minorHAnsi" w:hAnsiTheme="minorHAnsi"/>
        </w:rPr>
        <w:t>difference of 1.6</w:t>
      </w:r>
      <w:r w:rsidR="00C426DF">
        <w:rPr>
          <w:rFonts w:asciiTheme="minorHAnsi" w:hAnsiTheme="minorHAnsi"/>
        </w:rPr>
        <w:t>6</w:t>
      </w:r>
      <w:r w:rsidR="00D1218E" w:rsidRPr="003C6F05">
        <w:rPr>
          <w:rFonts w:asciiTheme="minorHAnsi" w:hAnsiTheme="minorHAnsi"/>
        </w:rPr>
        <w:t xml:space="preserve"> </w:t>
      </w:r>
      <w:r w:rsidR="000936D1">
        <w:rPr>
          <w:rFonts w:asciiTheme="minorHAnsi" w:hAnsiTheme="minorHAnsi"/>
        </w:rPr>
        <w:t>with</w:t>
      </w:r>
      <w:r w:rsidR="00D1218E" w:rsidRPr="003C6F05">
        <w:rPr>
          <w:rFonts w:asciiTheme="minorHAnsi" w:hAnsiTheme="minorHAnsi"/>
        </w:rPr>
        <w:t xml:space="preserve"> a p-value </w:t>
      </w:r>
      <w:r w:rsidR="00C426DF">
        <w:rPr>
          <w:rFonts w:asciiTheme="minorHAnsi" w:hAnsiTheme="minorHAnsi"/>
        </w:rPr>
        <w:t>of 0.0002</w:t>
      </w:r>
      <w:r w:rsidR="00D1218E" w:rsidRPr="003C6F05">
        <w:rPr>
          <w:rFonts w:asciiTheme="minorHAnsi" w:hAnsiTheme="minorHAnsi"/>
        </w:rPr>
        <w:t xml:space="preserve">. For the </w:t>
      </w:r>
      <w:r w:rsidR="00733A93">
        <w:rPr>
          <w:rFonts w:asciiTheme="minorHAnsi" w:hAnsiTheme="minorHAnsi"/>
        </w:rPr>
        <w:t xml:space="preserve">UES </w:t>
      </w:r>
      <w:r w:rsidR="00D1218E" w:rsidRPr="003C6F05">
        <w:rPr>
          <w:rFonts w:asciiTheme="minorHAnsi" w:hAnsiTheme="minorHAnsi"/>
        </w:rPr>
        <w:t>indicator</w:t>
      </w:r>
      <w:r w:rsidR="00733A93">
        <w:rPr>
          <w:rFonts w:asciiTheme="minorHAnsi" w:hAnsiTheme="minorHAnsi"/>
        </w:rPr>
        <w:t xml:space="preserve"> </w:t>
      </w:r>
      <w:r w:rsidR="00733A93" w:rsidRPr="003C6F05">
        <w:rPr>
          <w:rFonts w:asciiTheme="minorHAnsi" w:hAnsiTheme="minorHAnsi"/>
        </w:rPr>
        <w:t>local climate regulatio</w:t>
      </w:r>
      <w:r w:rsidR="00733A93">
        <w:rPr>
          <w:rFonts w:asciiTheme="minorHAnsi" w:hAnsiTheme="minorHAnsi"/>
        </w:rPr>
        <w:t>n</w:t>
      </w:r>
      <w:r w:rsidR="00D1218E" w:rsidRPr="003C6F05">
        <w:rPr>
          <w:rFonts w:asciiTheme="minorHAnsi" w:hAnsiTheme="minorHAnsi"/>
        </w:rPr>
        <w:t xml:space="preserve">, </w:t>
      </w:r>
      <w:r w:rsidR="00733A93">
        <w:rPr>
          <w:rFonts w:asciiTheme="minorHAnsi" w:hAnsiTheme="minorHAnsi"/>
        </w:rPr>
        <w:t xml:space="preserve">this was the only </w:t>
      </w:r>
      <w:r w:rsidR="00077082">
        <w:rPr>
          <w:rFonts w:asciiTheme="minorHAnsi" w:hAnsiTheme="minorHAnsi"/>
        </w:rPr>
        <w:t xml:space="preserve">of the four </w:t>
      </w:r>
      <w:r w:rsidR="00733A93">
        <w:rPr>
          <w:rFonts w:asciiTheme="minorHAnsi" w:hAnsiTheme="minorHAnsi"/>
        </w:rPr>
        <w:t>UES indicator</w:t>
      </w:r>
      <w:r w:rsidR="00077082">
        <w:rPr>
          <w:rFonts w:asciiTheme="minorHAnsi" w:hAnsiTheme="minorHAnsi"/>
        </w:rPr>
        <w:t>s</w:t>
      </w:r>
      <w:r w:rsidR="00733A93">
        <w:rPr>
          <w:rFonts w:asciiTheme="minorHAnsi" w:hAnsiTheme="minorHAnsi"/>
        </w:rPr>
        <w:t xml:space="preserve"> that w</w:t>
      </w:r>
      <w:r w:rsidR="00077082">
        <w:rPr>
          <w:rFonts w:asciiTheme="minorHAnsi" w:hAnsiTheme="minorHAnsi"/>
        </w:rPr>
        <w:t>ere</w:t>
      </w:r>
      <w:r w:rsidR="00F213FB">
        <w:rPr>
          <w:rFonts w:asciiTheme="minorHAnsi" w:hAnsiTheme="minorHAnsi"/>
        </w:rPr>
        <w:t xml:space="preserve"> not</w:t>
      </w:r>
      <w:r w:rsidR="00733A93">
        <w:rPr>
          <w:rFonts w:asciiTheme="minorHAnsi" w:hAnsiTheme="minorHAnsi"/>
        </w:rPr>
        <w:t xml:space="preserve"> </w:t>
      </w:r>
      <w:proofErr w:type="gramStart"/>
      <w:r w:rsidR="004065B4">
        <w:rPr>
          <w:rFonts w:asciiTheme="minorHAnsi" w:hAnsiTheme="minorHAnsi"/>
        </w:rPr>
        <w:t>scaled</w:t>
      </w:r>
      <w:proofErr w:type="gramEnd"/>
      <w:r w:rsidR="00AE682D">
        <w:rPr>
          <w:rFonts w:asciiTheme="minorHAnsi" w:hAnsiTheme="minorHAnsi"/>
        </w:rPr>
        <w:t xml:space="preserve"> </w:t>
      </w:r>
      <w:r w:rsidR="006A0196">
        <w:rPr>
          <w:rFonts w:asciiTheme="minorHAnsi" w:hAnsiTheme="minorHAnsi"/>
        </w:rPr>
        <w:t xml:space="preserve">and </w:t>
      </w:r>
      <w:r w:rsidR="000936D1">
        <w:rPr>
          <w:rFonts w:asciiTheme="minorHAnsi" w:hAnsiTheme="minorHAnsi"/>
        </w:rPr>
        <w:t>log transformed, this is because these</w:t>
      </w:r>
      <w:r w:rsidR="00733A93">
        <w:rPr>
          <w:rFonts w:asciiTheme="minorHAnsi" w:hAnsiTheme="minorHAnsi"/>
        </w:rPr>
        <w:t xml:space="preserve"> values were already normally distributed. S</w:t>
      </w:r>
      <w:r w:rsidR="00D1218E" w:rsidRPr="003C6F05">
        <w:rPr>
          <w:rFonts w:asciiTheme="minorHAnsi" w:hAnsiTheme="minorHAnsi"/>
        </w:rPr>
        <w:t xml:space="preserve">ignificant differences </w:t>
      </w:r>
      <w:r w:rsidR="003C09E6">
        <w:rPr>
          <w:rFonts w:asciiTheme="minorHAnsi" w:hAnsiTheme="minorHAnsi"/>
        </w:rPr>
        <w:t xml:space="preserve">in mean LST </w:t>
      </w:r>
      <w:r w:rsidR="00D1218E" w:rsidRPr="003C6F05">
        <w:rPr>
          <w:rFonts w:asciiTheme="minorHAnsi" w:hAnsiTheme="minorHAnsi"/>
        </w:rPr>
        <w:t>were observed between “B”, “C”, and “D” HOLC grade</w:t>
      </w:r>
      <w:r w:rsidR="00A12FE6">
        <w:rPr>
          <w:rFonts w:asciiTheme="minorHAnsi" w:hAnsiTheme="minorHAnsi"/>
        </w:rPr>
        <w:t>d</w:t>
      </w:r>
      <w:r w:rsidR="00D1218E" w:rsidRPr="003C6F05">
        <w:rPr>
          <w:rFonts w:asciiTheme="minorHAnsi" w:hAnsiTheme="minorHAnsi"/>
        </w:rPr>
        <w:t xml:space="preserve"> block groups</w:t>
      </w:r>
      <w:r w:rsidR="003C09E6">
        <w:rPr>
          <w:rFonts w:asciiTheme="minorHAnsi" w:hAnsiTheme="minorHAnsi"/>
        </w:rPr>
        <w:t xml:space="preserve"> (Fig. </w:t>
      </w:r>
      <w:r w:rsidR="00D53E81">
        <w:rPr>
          <w:rFonts w:asciiTheme="minorHAnsi" w:hAnsiTheme="minorHAnsi"/>
        </w:rPr>
        <w:t>5</w:t>
      </w:r>
      <w:r w:rsidR="003C09E6">
        <w:rPr>
          <w:rFonts w:asciiTheme="minorHAnsi" w:hAnsiTheme="minorHAnsi"/>
        </w:rPr>
        <w:t>C)</w:t>
      </w:r>
      <w:r w:rsidR="00D1218E" w:rsidRPr="003C6F05">
        <w:rPr>
          <w:rFonts w:asciiTheme="minorHAnsi" w:hAnsiTheme="minorHAnsi"/>
        </w:rPr>
        <w:t>. The mean LST temperature of block groups with a HOLC grade</w:t>
      </w:r>
      <w:r w:rsidR="00496A55">
        <w:rPr>
          <w:rFonts w:asciiTheme="minorHAnsi" w:hAnsiTheme="minorHAnsi"/>
        </w:rPr>
        <w:t xml:space="preserve"> of “B”</w:t>
      </w:r>
      <w:r w:rsidR="00D1218E" w:rsidRPr="003C6F05">
        <w:rPr>
          <w:rFonts w:asciiTheme="minorHAnsi" w:hAnsiTheme="minorHAnsi"/>
        </w:rPr>
        <w:t xml:space="preserve"> were 1.92</w:t>
      </w:r>
      <w:r w:rsidR="00D1218E" w:rsidRPr="003C6F05">
        <w:rPr>
          <w:rFonts w:ascii="Cambria Math" w:hAnsi="Cambria Math" w:cs="Cambria Math"/>
        </w:rPr>
        <w:t>℃</w:t>
      </w:r>
      <w:r w:rsidR="00D1218E" w:rsidRPr="003C6F05">
        <w:rPr>
          <w:rFonts w:asciiTheme="minorHAnsi" w:hAnsiTheme="minorHAnsi"/>
        </w:rPr>
        <w:t xml:space="preserve"> cooler than the mean LST for block groups with a HOLC grade</w:t>
      </w:r>
      <w:r w:rsidR="00496A55">
        <w:rPr>
          <w:rFonts w:asciiTheme="minorHAnsi" w:hAnsiTheme="minorHAnsi"/>
        </w:rPr>
        <w:t xml:space="preserve"> of “D”</w:t>
      </w:r>
      <w:r w:rsidR="00D1218E" w:rsidRPr="003C6F05">
        <w:rPr>
          <w:rFonts w:asciiTheme="minorHAnsi" w:hAnsiTheme="minorHAnsi"/>
        </w:rPr>
        <w:t xml:space="preserve">, with a p-value </w:t>
      </w:r>
      <w:r w:rsidR="00C426DF">
        <w:rPr>
          <w:rFonts w:asciiTheme="minorHAnsi" w:hAnsiTheme="minorHAnsi"/>
        </w:rPr>
        <w:t>&lt; 0</w:t>
      </w:r>
      <w:r w:rsidR="00D1218E" w:rsidRPr="003C6F05">
        <w:rPr>
          <w:rFonts w:asciiTheme="minorHAnsi" w:hAnsiTheme="minorHAnsi"/>
        </w:rPr>
        <w:t xml:space="preserve">. </w:t>
      </w:r>
      <w:r w:rsidR="003C09E6">
        <w:rPr>
          <w:rFonts w:asciiTheme="minorHAnsi" w:hAnsiTheme="minorHAnsi"/>
        </w:rPr>
        <w:t>Furthermore, “B” graded block groups were 1.17</w:t>
      </w:r>
      <w:r w:rsidR="003C09E6" w:rsidRPr="003C6F05">
        <w:rPr>
          <w:rFonts w:ascii="Cambria Math" w:hAnsi="Cambria Math" w:cs="Cambria Math"/>
        </w:rPr>
        <w:t>℃</w:t>
      </w:r>
      <w:r w:rsidR="003C09E6">
        <w:rPr>
          <w:rFonts w:ascii="Cambria Math" w:hAnsi="Cambria Math" w:cs="Cambria Math"/>
        </w:rPr>
        <w:t xml:space="preserve"> cooler than “C” graded block groups, with a p-value </w:t>
      </w:r>
      <w:r w:rsidR="003C09E6" w:rsidRPr="003C6F05">
        <w:rPr>
          <w:rFonts w:asciiTheme="minorHAnsi" w:hAnsiTheme="minorHAnsi"/>
        </w:rPr>
        <w:t>&lt;</w:t>
      </w:r>
      <w:r w:rsidR="003C09E6">
        <w:rPr>
          <w:rFonts w:ascii="Cambria Math" w:hAnsi="Cambria Math" w:cs="Cambria Math"/>
        </w:rPr>
        <w:t xml:space="preserve"> 0</w:t>
      </w:r>
      <w:r w:rsidR="00C426DF">
        <w:rPr>
          <w:rFonts w:ascii="Cambria Math" w:hAnsi="Cambria Math" w:cs="Cambria Math"/>
        </w:rPr>
        <w:t>.00009</w:t>
      </w:r>
      <w:r w:rsidR="003C09E6">
        <w:rPr>
          <w:rFonts w:ascii="Cambria Math" w:hAnsi="Cambria Math" w:cs="Cambria Math"/>
        </w:rPr>
        <w:t>.</w:t>
      </w:r>
      <w:r w:rsidR="003C09E6">
        <w:rPr>
          <w:rFonts w:asciiTheme="minorHAnsi" w:hAnsiTheme="minorHAnsi"/>
        </w:rPr>
        <w:t xml:space="preserve"> </w:t>
      </w:r>
      <w:r w:rsidR="00D1218E" w:rsidRPr="003C6F05">
        <w:rPr>
          <w:rFonts w:asciiTheme="minorHAnsi" w:hAnsiTheme="minorHAnsi"/>
        </w:rPr>
        <w:t xml:space="preserve">Lastly, for the </w:t>
      </w:r>
      <w:r w:rsidR="00FC625B">
        <w:rPr>
          <w:rFonts w:asciiTheme="minorHAnsi" w:hAnsiTheme="minorHAnsi"/>
        </w:rPr>
        <w:t xml:space="preserve">UES indicator </w:t>
      </w:r>
      <w:r w:rsidR="00D1218E" w:rsidRPr="003C6F05">
        <w:rPr>
          <w:rFonts w:asciiTheme="minorHAnsi" w:hAnsiTheme="minorHAnsi"/>
        </w:rPr>
        <w:t>recreation potentia</w:t>
      </w:r>
      <w:r w:rsidR="00FC625B">
        <w:rPr>
          <w:rFonts w:asciiTheme="minorHAnsi" w:hAnsiTheme="minorHAnsi"/>
        </w:rPr>
        <w:t>l,</w:t>
      </w:r>
      <w:r w:rsidR="00D1218E" w:rsidRPr="003C6F05">
        <w:rPr>
          <w:rFonts w:asciiTheme="minorHAnsi" w:hAnsiTheme="minorHAnsi"/>
        </w:rPr>
        <w:t xml:space="preserve"> significant differences in the mean </w:t>
      </w:r>
      <w:r w:rsidR="00B17F8C">
        <w:rPr>
          <w:rFonts w:asciiTheme="minorHAnsi" w:hAnsiTheme="minorHAnsi"/>
        </w:rPr>
        <w:t xml:space="preserve">log transformed </w:t>
      </w:r>
      <w:r w:rsidR="00D1218E" w:rsidRPr="003C6F05">
        <w:rPr>
          <w:rFonts w:asciiTheme="minorHAnsi" w:hAnsiTheme="minorHAnsi"/>
        </w:rPr>
        <w:t xml:space="preserve">value of </w:t>
      </w:r>
      <w:r w:rsidR="000936D1">
        <w:rPr>
          <w:rFonts w:asciiTheme="minorHAnsi" w:hAnsiTheme="minorHAnsi"/>
        </w:rPr>
        <w:t xml:space="preserve">accessible </w:t>
      </w:r>
      <w:r w:rsidR="00D1218E" w:rsidRPr="003C6F05">
        <w:rPr>
          <w:rFonts w:asciiTheme="minorHAnsi" w:hAnsiTheme="minorHAnsi"/>
        </w:rPr>
        <w:t xml:space="preserve">park acreage were observed in block groups with a HOLC grade </w:t>
      </w:r>
      <w:r w:rsidR="00496A55">
        <w:rPr>
          <w:rFonts w:asciiTheme="minorHAnsi" w:hAnsiTheme="minorHAnsi"/>
        </w:rPr>
        <w:t xml:space="preserve">of “B” </w:t>
      </w:r>
      <w:r w:rsidR="00D1218E" w:rsidRPr="003C6F05">
        <w:rPr>
          <w:rFonts w:asciiTheme="minorHAnsi" w:hAnsiTheme="minorHAnsi"/>
        </w:rPr>
        <w:t>and “C” and “D” graded block groups</w:t>
      </w:r>
      <w:r w:rsidR="003C09E6">
        <w:rPr>
          <w:rFonts w:asciiTheme="minorHAnsi" w:hAnsiTheme="minorHAnsi"/>
        </w:rPr>
        <w:t xml:space="preserve"> (Fig. </w:t>
      </w:r>
      <w:r w:rsidR="00D53E81">
        <w:rPr>
          <w:rFonts w:asciiTheme="minorHAnsi" w:hAnsiTheme="minorHAnsi"/>
        </w:rPr>
        <w:t>5</w:t>
      </w:r>
      <w:r w:rsidR="003C09E6">
        <w:rPr>
          <w:rFonts w:asciiTheme="minorHAnsi" w:hAnsiTheme="minorHAnsi"/>
        </w:rPr>
        <w:t>D)</w:t>
      </w:r>
      <w:r w:rsidR="00D1218E" w:rsidRPr="003C6F05">
        <w:rPr>
          <w:rFonts w:asciiTheme="minorHAnsi" w:hAnsiTheme="minorHAnsi"/>
        </w:rPr>
        <w:t xml:space="preserve">. “B” graded block groups had a </w:t>
      </w:r>
      <w:r w:rsidR="00D53E81">
        <w:rPr>
          <w:rFonts w:asciiTheme="minorHAnsi" w:hAnsiTheme="minorHAnsi"/>
        </w:rPr>
        <w:t xml:space="preserve">greater </w:t>
      </w:r>
      <w:r w:rsidR="00D1218E" w:rsidRPr="003C6F05">
        <w:rPr>
          <w:rFonts w:asciiTheme="minorHAnsi" w:hAnsiTheme="minorHAnsi"/>
        </w:rPr>
        <w:t xml:space="preserve">mean </w:t>
      </w:r>
      <w:r w:rsidR="003C09E6">
        <w:rPr>
          <w:rFonts w:asciiTheme="minorHAnsi" w:hAnsiTheme="minorHAnsi"/>
        </w:rPr>
        <w:t xml:space="preserve">acreage </w:t>
      </w:r>
      <w:r w:rsidR="00D1218E" w:rsidRPr="003C6F05">
        <w:rPr>
          <w:rFonts w:asciiTheme="minorHAnsi" w:hAnsiTheme="minorHAnsi"/>
        </w:rPr>
        <w:t xml:space="preserve">difference of 1.5 </w:t>
      </w:r>
      <w:r w:rsidR="003C09E6">
        <w:rPr>
          <w:rFonts w:asciiTheme="minorHAnsi" w:hAnsiTheme="minorHAnsi"/>
        </w:rPr>
        <w:t xml:space="preserve">with </w:t>
      </w:r>
      <w:r w:rsidR="00D1218E" w:rsidRPr="003C6F05">
        <w:rPr>
          <w:rFonts w:asciiTheme="minorHAnsi" w:hAnsiTheme="minorHAnsi"/>
        </w:rPr>
        <w:t xml:space="preserve">p-value </w:t>
      </w:r>
      <w:r w:rsidR="00C426DF">
        <w:rPr>
          <w:rFonts w:asciiTheme="minorHAnsi" w:hAnsiTheme="minorHAnsi"/>
        </w:rPr>
        <w:t>of</w:t>
      </w:r>
      <w:r w:rsidR="00D1218E" w:rsidRPr="003C6F05">
        <w:rPr>
          <w:rFonts w:asciiTheme="minorHAnsi" w:hAnsiTheme="minorHAnsi"/>
        </w:rPr>
        <w:t xml:space="preserve"> 0</w:t>
      </w:r>
      <w:r w:rsidR="00C426DF">
        <w:rPr>
          <w:rFonts w:asciiTheme="minorHAnsi" w:hAnsiTheme="minorHAnsi"/>
        </w:rPr>
        <w:t>.000005 and 0.0000037</w:t>
      </w:r>
      <w:r w:rsidR="00D1218E" w:rsidRPr="003C6F05">
        <w:rPr>
          <w:rFonts w:asciiTheme="minorHAnsi" w:hAnsiTheme="minorHAnsi"/>
        </w:rPr>
        <w:t xml:space="preserve"> when compared to </w:t>
      </w:r>
      <w:r w:rsidR="003C09E6">
        <w:rPr>
          <w:rFonts w:asciiTheme="minorHAnsi" w:hAnsiTheme="minorHAnsi"/>
        </w:rPr>
        <w:t xml:space="preserve">“C” and </w:t>
      </w:r>
      <w:r w:rsidR="00D1218E" w:rsidRPr="003C6F05">
        <w:rPr>
          <w:rFonts w:asciiTheme="minorHAnsi" w:hAnsiTheme="minorHAnsi"/>
        </w:rPr>
        <w:t xml:space="preserve">“D” graded block groups. </w:t>
      </w:r>
      <w:r w:rsidR="003C09E6">
        <w:rPr>
          <w:rFonts w:asciiTheme="minorHAnsi" w:hAnsiTheme="minorHAnsi"/>
        </w:rPr>
        <w:t>Overall, t</w:t>
      </w:r>
      <w:r w:rsidR="00D1218E" w:rsidRPr="003C6F05">
        <w:rPr>
          <w:rFonts w:asciiTheme="minorHAnsi" w:hAnsiTheme="minorHAnsi"/>
        </w:rPr>
        <w:t>his</w:t>
      </w:r>
      <w:r w:rsidR="00632BC5">
        <w:rPr>
          <w:rFonts w:asciiTheme="minorHAnsi" w:hAnsiTheme="minorHAnsi"/>
        </w:rPr>
        <w:t xml:space="preserve"> statistical analysis reveals the trend that higher graded block groups with</w:t>
      </w:r>
      <w:r w:rsidR="003C09E6">
        <w:rPr>
          <w:rFonts w:asciiTheme="minorHAnsi" w:hAnsiTheme="minorHAnsi"/>
        </w:rPr>
        <w:t>in</w:t>
      </w:r>
      <w:r w:rsidR="00632BC5">
        <w:rPr>
          <w:rFonts w:asciiTheme="minorHAnsi" w:hAnsiTheme="minorHAnsi"/>
        </w:rPr>
        <w:t xml:space="preserve"> the city have significantly higher UES indicator values</w:t>
      </w:r>
      <w:r w:rsidR="003C09E6">
        <w:rPr>
          <w:rFonts w:asciiTheme="minorHAnsi" w:hAnsiTheme="minorHAnsi"/>
        </w:rPr>
        <w:t xml:space="preserve"> than</w:t>
      </w:r>
      <w:r w:rsidR="00632BC5">
        <w:rPr>
          <w:rFonts w:asciiTheme="minorHAnsi" w:hAnsiTheme="minorHAnsi"/>
        </w:rPr>
        <w:t xml:space="preserve"> the lower graded block groups. </w:t>
      </w:r>
    </w:p>
    <w:p w14:paraId="6EDBD54C" w14:textId="50889042" w:rsidR="00612BB0" w:rsidRDefault="00612BB0" w:rsidP="00733A93">
      <w:pPr>
        <w:spacing w:line="360" w:lineRule="auto"/>
        <w:ind w:firstLine="720"/>
        <w:rPr>
          <w:rFonts w:asciiTheme="minorHAnsi" w:hAnsiTheme="minorHAnsi"/>
        </w:rPr>
      </w:pPr>
    </w:p>
    <w:p w14:paraId="2213189B" w14:textId="6F6948D5" w:rsidR="00612BB0" w:rsidRDefault="00612BB0" w:rsidP="00733A93">
      <w:pPr>
        <w:spacing w:line="360" w:lineRule="auto"/>
        <w:ind w:firstLine="720"/>
        <w:rPr>
          <w:rFonts w:asciiTheme="minorHAnsi" w:hAnsiTheme="minorHAnsi"/>
        </w:rPr>
      </w:pPr>
    </w:p>
    <w:p w14:paraId="351C111C" w14:textId="7B3CC25E" w:rsidR="00612BB0" w:rsidRDefault="00612BB0" w:rsidP="00733A93">
      <w:pPr>
        <w:spacing w:line="360" w:lineRule="auto"/>
        <w:ind w:firstLine="720"/>
        <w:rPr>
          <w:rFonts w:asciiTheme="minorHAnsi" w:hAnsiTheme="minorHAnsi"/>
        </w:rPr>
      </w:pPr>
    </w:p>
    <w:p w14:paraId="64F99C1D" w14:textId="1742E591" w:rsidR="00612BB0" w:rsidRDefault="00612BB0" w:rsidP="00733A93">
      <w:pPr>
        <w:spacing w:line="360" w:lineRule="auto"/>
        <w:ind w:firstLine="720"/>
        <w:rPr>
          <w:rFonts w:asciiTheme="minorHAnsi" w:hAnsiTheme="minorHAnsi"/>
        </w:rPr>
      </w:pPr>
    </w:p>
    <w:p w14:paraId="7C6D9ABA" w14:textId="1ED6425F" w:rsidR="00612BB0" w:rsidRDefault="00612BB0" w:rsidP="00733A93">
      <w:pPr>
        <w:spacing w:line="360" w:lineRule="auto"/>
        <w:ind w:firstLine="720"/>
        <w:rPr>
          <w:rFonts w:asciiTheme="minorHAnsi" w:hAnsiTheme="minorHAnsi"/>
        </w:rPr>
      </w:pPr>
    </w:p>
    <w:p w14:paraId="1CBD0C28" w14:textId="74D84FCB" w:rsidR="00612BB0" w:rsidRDefault="00612BB0" w:rsidP="00733A93">
      <w:pPr>
        <w:spacing w:line="360" w:lineRule="auto"/>
        <w:ind w:firstLine="720"/>
        <w:rPr>
          <w:rFonts w:asciiTheme="minorHAnsi" w:hAnsiTheme="minorHAnsi"/>
        </w:rPr>
      </w:pPr>
    </w:p>
    <w:p w14:paraId="297A0699" w14:textId="414D8510" w:rsidR="00612BB0" w:rsidRDefault="00612BB0" w:rsidP="00733A93">
      <w:pPr>
        <w:spacing w:line="360" w:lineRule="auto"/>
        <w:ind w:firstLine="720"/>
        <w:rPr>
          <w:rFonts w:asciiTheme="minorHAnsi" w:hAnsiTheme="minorHAnsi"/>
        </w:rPr>
      </w:pPr>
    </w:p>
    <w:p w14:paraId="12A72EE5" w14:textId="7BA24027" w:rsidR="00612BB0" w:rsidRDefault="00612BB0" w:rsidP="00CE73FF">
      <w:pPr>
        <w:spacing w:line="360" w:lineRule="auto"/>
        <w:rPr>
          <w:rFonts w:asciiTheme="minorHAnsi" w:hAnsiTheme="minorHAnsi"/>
        </w:rPr>
      </w:pPr>
    </w:p>
    <w:p w14:paraId="6C637410" w14:textId="1A2D7B6E" w:rsidR="00612BB0" w:rsidRPr="00584548" w:rsidRDefault="00691A46" w:rsidP="00612BB0">
      <w:pPr>
        <w:rPr>
          <w:rFonts w:ascii="Cambria" w:hAnsi="Cambria"/>
        </w:rPr>
      </w:pPr>
      <w:r>
        <w:rPr>
          <w:rFonts w:ascii="Cambria" w:hAnsi="Cambria"/>
          <w:i/>
          <w:iCs/>
          <w:noProof/>
        </w:rPr>
        <w:lastRenderedPageBreak/>
        <w:drawing>
          <wp:anchor distT="0" distB="0" distL="114300" distR="114300" simplePos="0" relativeHeight="251745280" behindDoc="0" locked="0" layoutInCell="1" allowOverlap="1" wp14:anchorId="039A874F" wp14:editId="767F74B7">
            <wp:simplePos x="0" y="0"/>
            <wp:positionH relativeFrom="column">
              <wp:posOffset>20670</wp:posOffset>
            </wp:positionH>
            <wp:positionV relativeFrom="paragraph">
              <wp:posOffset>12700</wp:posOffset>
            </wp:positionV>
            <wp:extent cx="5881370" cy="5017770"/>
            <wp:effectExtent l="12700" t="12700" r="11430" b="11430"/>
            <wp:wrapTopAndBottom/>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rotWithShape="1">
                    <a:blip r:embed="rId17">
                      <a:extLst>
                        <a:ext uri="{28A0092B-C50C-407E-A947-70E740481C1C}">
                          <a14:useLocalDpi xmlns:a14="http://schemas.microsoft.com/office/drawing/2010/main" val="0"/>
                        </a:ext>
                      </a:extLst>
                    </a:blip>
                    <a:srcRect l="1039"/>
                    <a:stretch/>
                  </pic:blipFill>
                  <pic:spPr bwMode="auto">
                    <a:xfrm>
                      <a:off x="0" y="0"/>
                      <a:ext cx="5881370" cy="501777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2BB0" w:rsidRPr="00171EBA">
        <w:rPr>
          <w:rFonts w:ascii="Cambria" w:hAnsi="Cambria"/>
          <w:i/>
          <w:iCs/>
        </w:rPr>
        <w:t>Fig. 5. Statistical comparisons between UES indicator values for each of the four HOLC grades (A-D) from a one-way ANOVA analysis.</w:t>
      </w:r>
      <w:r w:rsidR="00612BB0" w:rsidRPr="00F772D3">
        <w:rPr>
          <w:rFonts w:ascii="Cambria" w:hAnsi="Cambria"/>
        </w:rPr>
        <w:t xml:space="preserve"> </w:t>
      </w:r>
      <w:r w:rsidR="00196B88">
        <w:rPr>
          <w:rFonts w:ascii="Cambria" w:hAnsi="Cambria"/>
        </w:rPr>
        <w:t xml:space="preserve">These graphs show </w:t>
      </w:r>
      <w:r w:rsidR="00DA5165">
        <w:rPr>
          <w:rFonts w:ascii="Cambria" w:hAnsi="Cambria"/>
        </w:rPr>
        <w:t>the log transformed</w:t>
      </w:r>
      <w:r w:rsidR="00CF7EEA">
        <w:rPr>
          <w:rFonts w:ascii="Cambria" w:hAnsi="Cambria"/>
        </w:rPr>
        <w:t xml:space="preserve"> values for the supply of each UES indicator and </w:t>
      </w:r>
      <w:r w:rsidR="00196B88">
        <w:rPr>
          <w:rFonts w:ascii="Cambria" w:hAnsi="Cambria"/>
        </w:rPr>
        <w:t xml:space="preserve">the significant differences in </w:t>
      </w:r>
      <w:r w:rsidR="00270995">
        <w:rPr>
          <w:rFonts w:ascii="Cambria" w:hAnsi="Cambria"/>
        </w:rPr>
        <w:t xml:space="preserve">the mean </w:t>
      </w:r>
      <w:r w:rsidR="00196B88">
        <w:rPr>
          <w:rFonts w:ascii="Cambria" w:hAnsi="Cambria"/>
        </w:rPr>
        <w:t xml:space="preserve">UES supply by HOLC grades as follows: </w:t>
      </w:r>
      <w:r w:rsidR="00612BB0">
        <w:rPr>
          <w:rFonts w:ascii="Cambria" w:hAnsi="Cambria"/>
        </w:rPr>
        <w:t xml:space="preserve">(A) total carbon removal, (B) total air pollution removal, (C) mean land surface temperature, (D) available park acreage. </w:t>
      </w:r>
      <w:r w:rsidR="00196B88">
        <w:rPr>
          <w:rFonts w:ascii="Cambria" w:hAnsi="Cambria"/>
        </w:rPr>
        <w:t xml:space="preserve">These graphs show that the higher graded a block group is, the higher the supply of UES that block groups has. </w:t>
      </w:r>
      <w:r w:rsidR="00AE682D">
        <w:rPr>
          <w:rFonts w:ascii="Cambria" w:hAnsi="Cambria"/>
        </w:rPr>
        <w:t>All</w:t>
      </w:r>
      <w:r w:rsidR="00612BB0">
        <w:rPr>
          <w:rFonts w:ascii="Cambria" w:hAnsi="Cambria"/>
        </w:rPr>
        <w:t xml:space="preserve"> the UES values, expect for Mean Land Surface Temperature, were log-transformed. </w:t>
      </w:r>
      <w:r w:rsidR="00612BB0" w:rsidRPr="00F772D3">
        <w:rPr>
          <w:rFonts w:ascii="Cambria" w:hAnsi="Cambria"/>
        </w:rPr>
        <w:t xml:space="preserve">P-values are shown </w:t>
      </w:r>
      <w:r w:rsidR="00612BB0">
        <w:rPr>
          <w:rFonts w:ascii="Cambria" w:hAnsi="Cambria"/>
        </w:rPr>
        <w:t>using significance codes</w:t>
      </w:r>
      <w:r w:rsidR="00584548">
        <w:rPr>
          <w:rFonts w:ascii="Cambria" w:hAnsi="Cambria"/>
        </w:rPr>
        <w:t xml:space="preserve">: </w:t>
      </w:r>
      <w:r w:rsidR="00D12F4F" w:rsidRPr="00CE73FF">
        <w:rPr>
          <w:rFonts w:ascii="Cambria" w:hAnsi="Cambria"/>
        </w:rPr>
        <w:t>0.0001 ‘****’, 0.001 ‘***’, 0.01 ‘**’, 0.05 ‘*’, 0.1 ‘</w:t>
      </w:r>
      <w:r w:rsidR="00D12F4F" w:rsidRPr="00CE73FF">
        <w:rPr>
          <w:iCs/>
          <w:vertAlign w:val="superscript"/>
        </w:rPr>
        <w:t>●</w:t>
      </w:r>
      <w:r w:rsidR="00D12F4F" w:rsidRPr="00CE73FF">
        <w:rPr>
          <w:rFonts w:ascii="Cambria" w:hAnsi="Cambria"/>
        </w:rPr>
        <w:t>’</w:t>
      </w:r>
      <w:r w:rsidR="00584548">
        <w:rPr>
          <w:rFonts w:ascii="Cambria" w:hAnsi="Cambria"/>
        </w:rPr>
        <w:t xml:space="preserve">. </w:t>
      </w:r>
    </w:p>
    <w:p w14:paraId="68427169" w14:textId="28D7259B" w:rsidR="00612BB0" w:rsidRDefault="00612BB0" w:rsidP="00612BB0">
      <w:pPr>
        <w:spacing w:line="360" w:lineRule="auto"/>
        <w:rPr>
          <w:rFonts w:asciiTheme="minorHAnsi" w:hAnsiTheme="minorHAnsi"/>
        </w:rPr>
      </w:pPr>
    </w:p>
    <w:p w14:paraId="60CA721D" w14:textId="5188B553" w:rsidR="00A47E52" w:rsidRDefault="00A47E52" w:rsidP="00612BB0">
      <w:pPr>
        <w:spacing w:line="360" w:lineRule="auto"/>
        <w:rPr>
          <w:rFonts w:asciiTheme="minorHAnsi" w:hAnsiTheme="minorHAnsi"/>
        </w:rPr>
      </w:pPr>
    </w:p>
    <w:p w14:paraId="04A1157C" w14:textId="32C1F1D7" w:rsidR="00A47E52" w:rsidRDefault="00A47E52" w:rsidP="00612BB0">
      <w:pPr>
        <w:spacing w:line="360" w:lineRule="auto"/>
        <w:rPr>
          <w:rFonts w:asciiTheme="minorHAnsi" w:hAnsiTheme="minorHAnsi"/>
        </w:rPr>
      </w:pPr>
    </w:p>
    <w:p w14:paraId="55679CFF" w14:textId="02FEBEF4" w:rsidR="00A47E52" w:rsidRDefault="00A47E52" w:rsidP="00612BB0">
      <w:pPr>
        <w:spacing w:line="360" w:lineRule="auto"/>
        <w:rPr>
          <w:rFonts w:asciiTheme="minorHAnsi" w:hAnsiTheme="minorHAnsi"/>
        </w:rPr>
      </w:pPr>
    </w:p>
    <w:p w14:paraId="01F041BA" w14:textId="77777777" w:rsidR="00A47E52" w:rsidRDefault="00A47E52" w:rsidP="00612BB0">
      <w:pPr>
        <w:spacing w:line="360" w:lineRule="auto"/>
        <w:rPr>
          <w:rFonts w:asciiTheme="minorHAnsi" w:hAnsiTheme="minorHAnsi"/>
        </w:rPr>
      </w:pPr>
    </w:p>
    <w:p w14:paraId="545DF35D" w14:textId="643073D1" w:rsidR="00917E78" w:rsidRDefault="00171EBA" w:rsidP="00A655D3">
      <w:pPr>
        <w:spacing w:line="360" w:lineRule="auto"/>
        <w:ind w:firstLine="720"/>
        <w:rPr>
          <w:rFonts w:asciiTheme="minorHAnsi" w:hAnsiTheme="minorHAnsi" w:cs="Calibri"/>
        </w:rPr>
      </w:pPr>
      <w:r>
        <w:rPr>
          <w:rFonts w:asciiTheme="minorHAnsi" w:hAnsiTheme="minorHAnsi"/>
        </w:rPr>
        <w:lastRenderedPageBreak/>
        <w:t xml:space="preserve">Taking a closer examination at the distribution of LST, </w:t>
      </w:r>
      <w:r w:rsidR="00D245D6">
        <w:rPr>
          <w:rFonts w:asciiTheme="minorHAnsi" w:hAnsiTheme="minorHAnsi"/>
        </w:rPr>
        <w:t xml:space="preserve">our </w:t>
      </w:r>
      <w:r>
        <w:rPr>
          <w:rFonts w:asciiTheme="minorHAnsi" w:hAnsiTheme="minorHAnsi"/>
        </w:rPr>
        <w:t xml:space="preserve">findings are </w:t>
      </w:r>
      <w:r w:rsidR="00E7512C">
        <w:rPr>
          <w:rFonts w:asciiTheme="minorHAnsi" w:hAnsiTheme="minorHAnsi"/>
        </w:rPr>
        <w:t>like</w:t>
      </w:r>
      <w:r>
        <w:rPr>
          <w:rFonts w:asciiTheme="minorHAnsi" w:hAnsiTheme="minorHAnsi"/>
        </w:rPr>
        <w:t xml:space="preserve"> those found in other </w:t>
      </w:r>
      <w:r w:rsidR="00932D47">
        <w:rPr>
          <w:rFonts w:asciiTheme="minorHAnsi" w:hAnsiTheme="minorHAnsi"/>
        </w:rPr>
        <w:t>studies</w:t>
      </w:r>
      <w:r>
        <w:rPr>
          <w:rFonts w:asciiTheme="minorHAnsi" w:hAnsiTheme="minorHAnsi"/>
        </w:rPr>
        <w:t xml:space="preserve">. </w:t>
      </w:r>
      <w:r w:rsidR="00632BC5">
        <w:rPr>
          <w:rFonts w:asciiTheme="minorHAnsi" w:hAnsiTheme="minorHAnsi"/>
        </w:rPr>
        <w:t xml:space="preserve">In the study by Hoffman et al. (2020), </w:t>
      </w:r>
      <w:r w:rsidR="000936D1">
        <w:rPr>
          <w:rFonts w:asciiTheme="minorHAnsi" w:hAnsiTheme="minorHAnsi"/>
        </w:rPr>
        <w:t>where they</w:t>
      </w:r>
      <w:r w:rsidR="00632BC5">
        <w:rPr>
          <w:rFonts w:asciiTheme="minorHAnsi" w:hAnsiTheme="minorHAnsi"/>
        </w:rPr>
        <w:t xml:space="preserve"> examined the impact of HOLC grades on LST</w:t>
      </w:r>
      <w:r w:rsidR="009E2780">
        <w:rPr>
          <w:rFonts w:asciiTheme="minorHAnsi" w:hAnsiTheme="minorHAnsi"/>
        </w:rPr>
        <w:t xml:space="preserve"> across 108 cities</w:t>
      </w:r>
      <w:r w:rsidR="00A655D3">
        <w:rPr>
          <w:rFonts w:asciiTheme="minorHAnsi" w:hAnsiTheme="minorHAnsi"/>
        </w:rPr>
        <w:t>,</w:t>
      </w:r>
      <w:r w:rsidR="00632BC5">
        <w:rPr>
          <w:rFonts w:asciiTheme="minorHAnsi" w:hAnsiTheme="minorHAnsi"/>
        </w:rPr>
        <w:t xml:space="preserve"> </w:t>
      </w:r>
      <w:r w:rsidR="00A655D3">
        <w:rPr>
          <w:rFonts w:asciiTheme="minorHAnsi" w:hAnsiTheme="minorHAnsi"/>
        </w:rPr>
        <w:t>re</w:t>
      </w:r>
      <w:r w:rsidR="00632BC5">
        <w:rPr>
          <w:rFonts w:asciiTheme="minorHAnsi" w:hAnsiTheme="minorHAnsi"/>
        </w:rPr>
        <w:t>searchers found that</w:t>
      </w:r>
      <w:r w:rsidR="000936D1">
        <w:rPr>
          <w:rFonts w:asciiTheme="minorHAnsi" w:hAnsiTheme="minorHAnsi"/>
        </w:rPr>
        <w:t xml:space="preserve"> </w:t>
      </w:r>
      <w:r w:rsidR="00A655D3">
        <w:rPr>
          <w:rFonts w:asciiTheme="minorHAnsi" w:hAnsiTheme="minorHAnsi"/>
        </w:rPr>
        <w:t>redlined</w:t>
      </w:r>
      <w:r w:rsidR="000936D1">
        <w:rPr>
          <w:rFonts w:asciiTheme="minorHAnsi" w:hAnsiTheme="minorHAnsi"/>
        </w:rPr>
        <w:t xml:space="preserve"> neighborhoods were on average 2.6</w:t>
      </w:r>
      <w:r w:rsidR="000936D1" w:rsidRPr="003C6F05">
        <w:rPr>
          <w:rFonts w:ascii="Cambria Math" w:hAnsi="Cambria Math" w:cs="Cambria Math"/>
        </w:rPr>
        <w:t>℃</w:t>
      </w:r>
      <w:r w:rsidR="000936D1">
        <w:rPr>
          <w:rFonts w:asciiTheme="minorHAnsi" w:hAnsiTheme="minorHAnsi"/>
        </w:rPr>
        <w:t xml:space="preserve"> </w:t>
      </w:r>
      <w:r w:rsidR="00A24C18">
        <w:rPr>
          <w:rFonts w:asciiTheme="minorHAnsi" w:hAnsiTheme="minorHAnsi"/>
        </w:rPr>
        <w:t>warmer</w:t>
      </w:r>
      <w:r w:rsidR="000936D1">
        <w:rPr>
          <w:rFonts w:asciiTheme="minorHAnsi" w:hAnsiTheme="minorHAnsi"/>
        </w:rPr>
        <w:t xml:space="preserve"> than non-redlined neighborhoods</w:t>
      </w:r>
      <w:r w:rsidR="00A655D3">
        <w:rPr>
          <w:rFonts w:asciiTheme="minorHAnsi" w:hAnsiTheme="minorHAnsi"/>
        </w:rPr>
        <w:t>. In their study, one of the cities they examined was Rochester. Their analysis found that</w:t>
      </w:r>
      <w:r w:rsidR="000936D1">
        <w:rPr>
          <w:rFonts w:asciiTheme="minorHAnsi" w:hAnsiTheme="minorHAnsi"/>
        </w:rPr>
        <w:t xml:space="preserve"> </w:t>
      </w:r>
      <w:r w:rsidR="00632BC5">
        <w:rPr>
          <w:rFonts w:asciiTheme="minorHAnsi" w:hAnsiTheme="minorHAnsi"/>
        </w:rPr>
        <w:t>“B” graded neighborhoods in Rochester are 2.41</w:t>
      </w:r>
      <w:r w:rsidR="00632BC5" w:rsidRPr="003C6F05">
        <w:rPr>
          <w:rFonts w:ascii="Cambria Math" w:hAnsi="Cambria Math" w:cs="Cambria Math"/>
        </w:rPr>
        <w:t>℃</w:t>
      </w:r>
      <w:r w:rsidR="00632BC5" w:rsidRPr="003C6F05">
        <w:rPr>
          <w:rFonts w:asciiTheme="minorHAnsi" w:hAnsiTheme="minorHAnsi"/>
        </w:rPr>
        <w:t xml:space="preserve"> </w:t>
      </w:r>
      <w:r w:rsidR="00632BC5">
        <w:rPr>
          <w:rFonts w:asciiTheme="minorHAnsi" w:hAnsiTheme="minorHAnsi"/>
        </w:rPr>
        <w:t>cooler than “D” graded neighborhoods</w:t>
      </w:r>
      <w:r w:rsidR="00A655D3">
        <w:rPr>
          <w:rFonts w:asciiTheme="minorHAnsi" w:hAnsiTheme="minorHAnsi"/>
        </w:rPr>
        <w:t>, which is 0.49</w:t>
      </w:r>
      <w:r w:rsidR="00A655D3" w:rsidRPr="003C6F05">
        <w:rPr>
          <w:rFonts w:ascii="Cambria Math" w:hAnsi="Cambria Math" w:cs="Cambria Math"/>
        </w:rPr>
        <w:t>℃</w:t>
      </w:r>
      <w:r w:rsidR="00A655D3">
        <w:rPr>
          <w:rFonts w:ascii="Cambria Math" w:hAnsi="Cambria Math" w:cs="Cambria Math"/>
        </w:rPr>
        <w:t xml:space="preserve"> cooler than the difference that </w:t>
      </w:r>
      <w:r w:rsidR="00D245D6">
        <w:rPr>
          <w:rFonts w:ascii="Cambria Math" w:hAnsi="Cambria Math" w:cs="Cambria Math"/>
        </w:rPr>
        <w:t xml:space="preserve">we </w:t>
      </w:r>
      <w:r w:rsidR="00A655D3">
        <w:rPr>
          <w:rFonts w:ascii="Cambria Math" w:hAnsi="Cambria Math" w:cs="Cambria Math"/>
        </w:rPr>
        <w:t>found between “B” and “D” graded block groups in the city</w:t>
      </w:r>
      <w:r w:rsidR="00632BC5">
        <w:rPr>
          <w:rFonts w:asciiTheme="minorHAnsi" w:hAnsiTheme="minorHAnsi"/>
        </w:rPr>
        <w:t xml:space="preserve">. Furthermore, this study also found that </w:t>
      </w:r>
      <w:r w:rsidR="00632BC5" w:rsidRPr="0039377C">
        <w:rPr>
          <w:rFonts w:asciiTheme="minorHAnsi" w:hAnsiTheme="minorHAnsi" w:cs="Calibri"/>
        </w:rPr>
        <w:t xml:space="preserve">the difference </w:t>
      </w:r>
      <w:r w:rsidR="00A655D3">
        <w:rPr>
          <w:rFonts w:asciiTheme="minorHAnsi" w:hAnsiTheme="minorHAnsi" w:cs="Calibri"/>
        </w:rPr>
        <w:t xml:space="preserve">in Rochester </w:t>
      </w:r>
      <w:r w:rsidR="00632BC5" w:rsidRPr="0039377C">
        <w:rPr>
          <w:rFonts w:asciiTheme="minorHAnsi" w:hAnsiTheme="minorHAnsi" w:cs="Calibri"/>
        </w:rPr>
        <w:t xml:space="preserve">between the highest </w:t>
      </w:r>
      <w:r w:rsidR="00D53E81">
        <w:rPr>
          <w:rFonts w:asciiTheme="minorHAnsi" w:hAnsiTheme="minorHAnsi" w:cs="Calibri"/>
        </w:rPr>
        <w:t>graded</w:t>
      </w:r>
      <w:r w:rsidR="00632BC5" w:rsidRPr="0039377C">
        <w:rPr>
          <w:rFonts w:asciiTheme="minorHAnsi" w:hAnsiTheme="minorHAnsi" w:cs="Calibri"/>
        </w:rPr>
        <w:t xml:space="preserve"> HOLC neighborhoods</w:t>
      </w:r>
      <w:r w:rsidR="00632BC5">
        <w:rPr>
          <w:rFonts w:asciiTheme="minorHAnsi" w:hAnsiTheme="minorHAnsi" w:cs="Calibri"/>
        </w:rPr>
        <w:t xml:space="preserve"> </w:t>
      </w:r>
      <w:r w:rsidR="00A24C18">
        <w:rPr>
          <w:rFonts w:asciiTheme="minorHAnsi" w:hAnsiTheme="minorHAnsi" w:cs="Calibri"/>
        </w:rPr>
        <w:t>(</w:t>
      </w:r>
      <w:r w:rsidR="00632BC5">
        <w:rPr>
          <w:rFonts w:asciiTheme="minorHAnsi" w:hAnsiTheme="minorHAnsi" w:cs="Calibri"/>
        </w:rPr>
        <w:t>A)</w:t>
      </w:r>
      <w:r w:rsidR="00632BC5" w:rsidRPr="0039377C">
        <w:rPr>
          <w:rFonts w:asciiTheme="minorHAnsi" w:hAnsiTheme="minorHAnsi" w:cs="Calibri"/>
        </w:rPr>
        <w:t xml:space="preserve"> and the lowest </w:t>
      </w:r>
      <w:r w:rsidR="00D53E81">
        <w:rPr>
          <w:rFonts w:asciiTheme="minorHAnsi" w:hAnsiTheme="minorHAnsi" w:cs="Calibri"/>
        </w:rPr>
        <w:t>graded</w:t>
      </w:r>
      <w:r w:rsidR="00632BC5">
        <w:rPr>
          <w:rFonts w:asciiTheme="minorHAnsi" w:hAnsiTheme="minorHAnsi" w:cs="Calibri"/>
        </w:rPr>
        <w:t xml:space="preserve"> (D)</w:t>
      </w:r>
      <w:r w:rsidR="00632BC5" w:rsidRPr="0039377C">
        <w:rPr>
          <w:rFonts w:asciiTheme="minorHAnsi" w:hAnsiTheme="minorHAnsi" w:cs="Calibri"/>
        </w:rPr>
        <w:t xml:space="preserve"> have an average temperature difference of 4.90</w:t>
      </w:r>
      <w:r w:rsidR="00632BC5" w:rsidRPr="0039377C">
        <w:rPr>
          <w:rFonts w:asciiTheme="minorHAnsi" w:hAnsiTheme="minorHAnsi"/>
        </w:rPr>
        <w:t>°C</w:t>
      </w:r>
      <w:r w:rsidR="00632BC5" w:rsidRPr="0039377C">
        <w:rPr>
          <w:rFonts w:asciiTheme="minorHAnsi" w:hAnsiTheme="minorHAnsi" w:cs="Calibri"/>
        </w:rPr>
        <w:t xml:space="preserve">, which </w:t>
      </w:r>
      <w:r w:rsidR="00632BC5">
        <w:rPr>
          <w:rFonts w:asciiTheme="minorHAnsi" w:hAnsiTheme="minorHAnsi" w:cs="Calibri"/>
        </w:rPr>
        <w:t>wa</w:t>
      </w:r>
      <w:r w:rsidR="00632BC5" w:rsidRPr="0039377C">
        <w:rPr>
          <w:rFonts w:asciiTheme="minorHAnsi" w:hAnsiTheme="minorHAnsi" w:cs="Calibri"/>
        </w:rPr>
        <w:t>s the third highest amon</w:t>
      </w:r>
      <w:r w:rsidR="00632BC5">
        <w:rPr>
          <w:rFonts w:asciiTheme="minorHAnsi" w:hAnsiTheme="minorHAnsi" w:cs="Calibri"/>
        </w:rPr>
        <w:t>g</w:t>
      </w:r>
      <w:r w:rsidR="00632BC5" w:rsidRPr="0039377C">
        <w:rPr>
          <w:rFonts w:asciiTheme="minorHAnsi" w:hAnsiTheme="minorHAnsi" w:cs="Calibri"/>
        </w:rPr>
        <w:t xml:space="preserve"> </w:t>
      </w:r>
      <w:r w:rsidR="00632BC5">
        <w:rPr>
          <w:rFonts w:asciiTheme="minorHAnsi" w:hAnsiTheme="minorHAnsi" w:cs="Calibri"/>
        </w:rPr>
        <w:t xml:space="preserve">the </w:t>
      </w:r>
      <w:r w:rsidR="00632BC5" w:rsidRPr="0039377C">
        <w:rPr>
          <w:rFonts w:asciiTheme="minorHAnsi" w:hAnsiTheme="minorHAnsi" w:cs="Calibri"/>
        </w:rPr>
        <w:t xml:space="preserve">measured cities in the </w:t>
      </w:r>
      <w:r w:rsidR="006A0196">
        <w:rPr>
          <w:rFonts w:asciiTheme="minorHAnsi" w:hAnsiTheme="minorHAnsi" w:cs="Calibri"/>
        </w:rPr>
        <w:t>n</w:t>
      </w:r>
      <w:r w:rsidR="00632BC5" w:rsidRPr="0039377C">
        <w:rPr>
          <w:rFonts w:asciiTheme="minorHAnsi" w:hAnsiTheme="minorHAnsi" w:cs="Calibri"/>
        </w:rPr>
        <w:t>ortheast region (Hoffman et al. 2020).</w:t>
      </w:r>
      <w:r w:rsidR="00632BC5">
        <w:rPr>
          <w:rFonts w:asciiTheme="minorHAnsi" w:hAnsiTheme="minorHAnsi" w:cs="Calibri"/>
        </w:rPr>
        <w:t xml:space="preserve"> However, it should be noted that in the study by Hoffman et al. (2020), they measured LST only within the HOLC boundaries assigned in the 1930s. In </w:t>
      </w:r>
      <w:r w:rsidR="00D245D6">
        <w:rPr>
          <w:rFonts w:asciiTheme="minorHAnsi" w:hAnsiTheme="minorHAnsi" w:cs="Calibri"/>
        </w:rPr>
        <w:t xml:space="preserve">our </w:t>
      </w:r>
      <w:r w:rsidR="00632BC5">
        <w:rPr>
          <w:rFonts w:asciiTheme="minorHAnsi" w:hAnsiTheme="minorHAnsi" w:cs="Calibri"/>
        </w:rPr>
        <w:t xml:space="preserve">study, </w:t>
      </w:r>
      <w:r w:rsidR="00D245D6">
        <w:rPr>
          <w:rFonts w:asciiTheme="minorHAnsi" w:hAnsiTheme="minorHAnsi" w:cs="Calibri"/>
        </w:rPr>
        <w:t xml:space="preserve">we </w:t>
      </w:r>
      <w:r w:rsidR="00632BC5">
        <w:rPr>
          <w:rFonts w:asciiTheme="minorHAnsi" w:hAnsiTheme="minorHAnsi" w:cs="Calibri"/>
        </w:rPr>
        <w:t>extended the HOLC boundaries to the census block group level. This in turn included more per pixel LST data then there was used by Hoffman et al. (2020).</w:t>
      </w:r>
      <w:r w:rsidR="008822D7">
        <w:rPr>
          <w:rFonts w:asciiTheme="minorHAnsi" w:hAnsiTheme="minorHAnsi" w:cs="Calibri"/>
        </w:rPr>
        <w:t xml:space="preserve"> </w:t>
      </w:r>
    </w:p>
    <w:p w14:paraId="6452F5CB" w14:textId="1C30404B" w:rsidR="008822D7" w:rsidRDefault="008822D7" w:rsidP="00A655D3">
      <w:pPr>
        <w:spacing w:line="360" w:lineRule="auto"/>
        <w:ind w:firstLine="720"/>
        <w:rPr>
          <w:rFonts w:asciiTheme="minorHAnsi" w:hAnsiTheme="minorHAnsi" w:cs="Calibri"/>
        </w:rPr>
      </w:pPr>
      <w:r>
        <w:rPr>
          <w:rFonts w:asciiTheme="minorHAnsi" w:hAnsiTheme="minorHAnsi" w:cs="Calibri"/>
        </w:rPr>
        <w:t xml:space="preserve">The UHI effect, which is where urban temperatures are significantly higher than rural temperatures, </w:t>
      </w:r>
      <w:r w:rsidR="00552CE3">
        <w:rPr>
          <w:rFonts w:asciiTheme="minorHAnsi" w:hAnsiTheme="minorHAnsi" w:cs="Calibri"/>
        </w:rPr>
        <w:t>poses</w:t>
      </w:r>
      <w:r>
        <w:rPr>
          <w:rFonts w:asciiTheme="minorHAnsi" w:hAnsiTheme="minorHAnsi" w:cs="Calibri"/>
        </w:rPr>
        <w:t xml:space="preserve"> as a major sustainability issue for cities. Studies show that as the rate of impervious surfaces in cities increase, so does daytime and nighttime air temperatures of the city (</w:t>
      </w:r>
      <w:r w:rsidR="00690A60">
        <w:rPr>
          <w:rFonts w:asciiTheme="minorHAnsi" w:hAnsiTheme="minorHAnsi" w:cs="Calibri"/>
        </w:rPr>
        <w:t xml:space="preserve">Armson et al., 2012; </w:t>
      </w:r>
      <w:r w:rsidRPr="00DE42D3">
        <w:rPr>
          <w:rFonts w:asciiTheme="minorHAnsi" w:hAnsiTheme="minorHAnsi" w:cs="Calibri"/>
        </w:rPr>
        <w:t>Ziter et al., 2019</w:t>
      </w:r>
      <w:r>
        <w:rPr>
          <w:rFonts w:asciiTheme="minorHAnsi" w:hAnsiTheme="minorHAnsi" w:cs="Calibri"/>
        </w:rPr>
        <w:t>).</w:t>
      </w:r>
      <w:r w:rsidR="00690A60">
        <w:rPr>
          <w:rFonts w:asciiTheme="minorHAnsi" w:hAnsiTheme="minorHAnsi" w:cs="Calibri"/>
        </w:rPr>
        <w:t xml:space="preserve"> The consequences of the UHI effect can lead to increased energy usage</w:t>
      </w:r>
      <w:r w:rsidR="006A0196">
        <w:rPr>
          <w:rFonts w:asciiTheme="minorHAnsi" w:hAnsiTheme="minorHAnsi" w:cs="Calibri"/>
        </w:rPr>
        <w:t xml:space="preserve"> for cooling buildings</w:t>
      </w:r>
      <w:r w:rsidR="00690A60">
        <w:rPr>
          <w:rFonts w:asciiTheme="minorHAnsi" w:hAnsiTheme="minorHAnsi" w:cs="Calibri"/>
        </w:rPr>
        <w:t xml:space="preserve">, increased thermal stress on residents, </w:t>
      </w:r>
      <w:r w:rsidR="006A0196">
        <w:rPr>
          <w:rFonts w:asciiTheme="minorHAnsi" w:hAnsiTheme="minorHAnsi" w:cs="Calibri"/>
        </w:rPr>
        <w:t xml:space="preserve">increased risk of heatstroke mortality, and </w:t>
      </w:r>
      <w:r w:rsidR="00690A60">
        <w:rPr>
          <w:rFonts w:asciiTheme="minorHAnsi" w:hAnsiTheme="minorHAnsi" w:cs="Calibri"/>
        </w:rPr>
        <w:t>the degradation of the living environment</w:t>
      </w:r>
      <w:r w:rsidR="006A0196">
        <w:rPr>
          <w:rFonts w:asciiTheme="minorHAnsi" w:hAnsiTheme="minorHAnsi" w:cs="Calibri"/>
        </w:rPr>
        <w:t xml:space="preserve"> </w:t>
      </w:r>
      <w:r w:rsidR="00690A60">
        <w:rPr>
          <w:rFonts w:asciiTheme="minorHAnsi" w:hAnsiTheme="minorHAnsi" w:cs="Calibri"/>
        </w:rPr>
        <w:t>(</w:t>
      </w:r>
      <w:r w:rsidR="00690A60" w:rsidRPr="00DE42D3">
        <w:rPr>
          <w:rFonts w:asciiTheme="minorHAnsi" w:hAnsiTheme="minorHAnsi" w:cs="Calibri"/>
        </w:rPr>
        <w:t>Mohajerani et al., 2017</w:t>
      </w:r>
      <w:r w:rsidR="00690A60">
        <w:rPr>
          <w:rFonts w:asciiTheme="minorHAnsi" w:hAnsiTheme="minorHAnsi" w:cs="Calibri"/>
        </w:rPr>
        <w:t>).</w:t>
      </w:r>
      <w:r>
        <w:rPr>
          <w:rFonts w:asciiTheme="minorHAnsi" w:hAnsiTheme="minorHAnsi" w:cs="Calibri"/>
        </w:rPr>
        <w:t xml:space="preserve"> However, </w:t>
      </w:r>
      <w:r w:rsidR="00690A60">
        <w:rPr>
          <w:rFonts w:asciiTheme="minorHAnsi" w:hAnsiTheme="minorHAnsi" w:cs="Calibri"/>
        </w:rPr>
        <w:t xml:space="preserve">the shading and evapotranspiration abilities of UGS can significantly cool the air temperature of a given area </w:t>
      </w:r>
      <w:r w:rsidR="0054455B">
        <w:rPr>
          <w:rFonts w:asciiTheme="minorHAnsi" w:hAnsiTheme="minorHAnsi" w:cs="Calibri"/>
        </w:rPr>
        <w:t xml:space="preserve">within cities </w:t>
      </w:r>
      <w:r w:rsidR="00690A60">
        <w:rPr>
          <w:rFonts w:asciiTheme="minorHAnsi" w:hAnsiTheme="minorHAnsi" w:cs="Calibri"/>
        </w:rPr>
        <w:t>(Armson et al., 2012; Skelhorn et al., 2014).</w:t>
      </w:r>
      <w:r w:rsidR="0054455B">
        <w:rPr>
          <w:rFonts w:asciiTheme="minorHAnsi" w:hAnsiTheme="minorHAnsi" w:cs="Calibri"/>
        </w:rPr>
        <w:t xml:space="preserve"> Further investigation into the proportion of th</w:t>
      </w:r>
      <w:r w:rsidR="000E09E8">
        <w:rPr>
          <w:rFonts w:asciiTheme="minorHAnsi" w:hAnsiTheme="minorHAnsi" w:cs="Calibri"/>
        </w:rPr>
        <w:t>e</w:t>
      </w:r>
      <w:r w:rsidR="0054455B">
        <w:rPr>
          <w:rFonts w:asciiTheme="minorHAnsi" w:hAnsiTheme="minorHAnsi" w:cs="Calibri"/>
        </w:rPr>
        <w:t xml:space="preserve"> land surface that is impervious within “C” and “D” graded block groups will help to better understand the disparity in LST within Rochester. By targeting impervious surfaces such as abandoned industrial facilities, parking</w:t>
      </w:r>
      <w:r w:rsidR="002B5CD8">
        <w:rPr>
          <w:rFonts w:asciiTheme="minorHAnsi" w:hAnsiTheme="minorHAnsi" w:cs="Calibri"/>
        </w:rPr>
        <w:t xml:space="preserve"> lots, and vacant lots</w:t>
      </w:r>
      <w:r w:rsidR="0054455B">
        <w:rPr>
          <w:rFonts w:asciiTheme="minorHAnsi" w:hAnsiTheme="minorHAnsi" w:cs="Calibri"/>
        </w:rPr>
        <w:t xml:space="preserve"> for UGS development in lower HOL</w:t>
      </w:r>
      <w:r w:rsidR="000E09E8">
        <w:rPr>
          <w:rFonts w:asciiTheme="minorHAnsi" w:hAnsiTheme="minorHAnsi" w:cs="Calibri"/>
        </w:rPr>
        <w:t>C</w:t>
      </w:r>
      <w:r w:rsidR="0054455B">
        <w:rPr>
          <w:rFonts w:asciiTheme="minorHAnsi" w:hAnsiTheme="minorHAnsi" w:cs="Calibri"/>
        </w:rPr>
        <w:t xml:space="preserve"> graded neighborhoods</w:t>
      </w:r>
      <w:r w:rsidR="000E09E8">
        <w:rPr>
          <w:rFonts w:asciiTheme="minorHAnsi" w:hAnsiTheme="minorHAnsi" w:cs="Calibri"/>
        </w:rPr>
        <w:t xml:space="preserve">, the city can help to alleviate the heat-induced disservices that residents within these neighborhoods experience. </w:t>
      </w:r>
    </w:p>
    <w:p w14:paraId="44B79103" w14:textId="7916410E" w:rsidR="00F60490" w:rsidRDefault="00F60490" w:rsidP="0038185F">
      <w:pPr>
        <w:spacing w:line="360" w:lineRule="auto"/>
        <w:rPr>
          <w:rFonts w:asciiTheme="minorHAnsi" w:hAnsiTheme="minorHAnsi"/>
        </w:rPr>
      </w:pPr>
    </w:p>
    <w:p w14:paraId="65CAA7AC" w14:textId="2A8F51EB" w:rsidR="00A47E52" w:rsidRDefault="00A47E52" w:rsidP="0038185F">
      <w:pPr>
        <w:spacing w:line="360" w:lineRule="auto"/>
        <w:rPr>
          <w:rFonts w:asciiTheme="minorHAnsi" w:hAnsiTheme="minorHAnsi"/>
        </w:rPr>
      </w:pPr>
    </w:p>
    <w:p w14:paraId="57467571" w14:textId="77777777" w:rsidR="00A47E52" w:rsidRDefault="00A47E52" w:rsidP="0038185F">
      <w:pPr>
        <w:spacing w:line="360" w:lineRule="auto"/>
        <w:rPr>
          <w:rFonts w:asciiTheme="minorHAnsi" w:hAnsiTheme="minorHAnsi"/>
        </w:rPr>
      </w:pPr>
    </w:p>
    <w:p w14:paraId="22A93E4F" w14:textId="1E913C00" w:rsidR="00AF6474" w:rsidRPr="003C6F05" w:rsidRDefault="001F3609" w:rsidP="0038185F">
      <w:pPr>
        <w:spacing w:line="360" w:lineRule="auto"/>
        <w:rPr>
          <w:rFonts w:asciiTheme="minorHAnsi" w:hAnsiTheme="minorHAnsi"/>
          <w:i/>
        </w:rPr>
      </w:pPr>
      <w:r w:rsidRPr="003C6F05">
        <w:rPr>
          <w:rFonts w:asciiTheme="minorHAnsi" w:hAnsiTheme="minorHAnsi"/>
          <w:i/>
        </w:rPr>
        <w:lastRenderedPageBreak/>
        <w:t>3</w:t>
      </w:r>
      <w:r w:rsidR="00D1218E" w:rsidRPr="003C6F05">
        <w:rPr>
          <w:rFonts w:asciiTheme="minorHAnsi" w:hAnsiTheme="minorHAnsi"/>
          <w:i/>
        </w:rPr>
        <w:t xml:space="preserve">.4 Social-Ecological Matrix </w:t>
      </w:r>
      <w:r w:rsidR="00620D59">
        <w:rPr>
          <w:rFonts w:asciiTheme="minorHAnsi" w:hAnsiTheme="minorHAnsi"/>
          <w:i/>
        </w:rPr>
        <w:t xml:space="preserve">Analysis </w:t>
      </w:r>
    </w:p>
    <w:p w14:paraId="65357A94" w14:textId="679B9AC2" w:rsidR="00F60490" w:rsidRDefault="00B14EE8" w:rsidP="00F60490">
      <w:pPr>
        <w:spacing w:line="360" w:lineRule="auto"/>
        <w:ind w:firstLine="720"/>
        <w:rPr>
          <w:rFonts w:asciiTheme="minorHAnsi" w:hAnsiTheme="minorHAnsi"/>
        </w:rPr>
      </w:pPr>
      <w:r>
        <w:rPr>
          <w:rFonts w:asciiTheme="minorHAnsi" w:hAnsiTheme="minorHAnsi"/>
        </w:rPr>
        <w:t>For the social-ecological matrix,</w:t>
      </w:r>
      <w:r w:rsidR="00D1218E" w:rsidRPr="003C6F05">
        <w:rPr>
          <w:rFonts w:asciiTheme="minorHAnsi" w:hAnsiTheme="minorHAnsi"/>
        </w:rPr>
        <w:t xml:space="preserve"> each block group was placed into one of four classes </w:t>
      </w:r>
      <w:r w:rsidR="00D1218E" w:rsidRPr="003C6F05">
        <w:rPr>
          <w:rFonts w:ascii="Calibri" w:hAnsi="Calibri" w:cs="Calibri"/>
        </w:rPr>
        <w:t>﻿</w:t>
      </w:r>
      <w:r w:rsidR="00D1218E" w:rsidRPr="003C6F05">
        <w:rPr>
          <w:rFonts w:asciiTheme="minorHAnsi" w:hAnsiTheme="minorHAnsi"/>
        </w:rPr>
        <w:t xml:space="preserve">by separating the aggregated </w:t>
      </w:r>
      <w:r w:rsidR="002B2BE3" w:rsidRPr="003C6F05">
        <w:rPr>
          <w:rFonts w:asciiTheme="minorHAnsi" w:hAnsiTheme="minorHAnsi"/>
        </w:rPr>
        <w:t>SES and UES</w:t>
      </w:r>
      <w:r w:rsidR="00D1218E" w:rsidRPr="003C6F05">
        <w:rPr>
          <w:rFonts w:asciiTheme="minorHAnsi" w:hAnsiTheme="minorHAnsi"/>
        </w:rPr>
        <w:t xml:space="preserve"> indicator</w:t>
      </w:r>
      <w:r w:rsidR="006F5AB0" w:rsidRPr="003C6F05">
        <w:rPr>
          <w:rFonts w:asciiTheme="minorHAnsi" w:hAnsiTheme="minorHAnsi"/>
        </w:rPr>
        <w:t xml:space="preserve"> values </w:t>
      </w:r>
      <w:r w:rsidR="00D1218E" w:rsidRPr="003C6F05">
        <w:rPr>
          <w:rFonts w:asciiTheme="minorHAnsi" w:hAnsiTheme="minorHAnsi"/>
        </w:rPr>
        <w:t xml:space="preserve">into high and low classes that indicate the level of social need in conjunction with a combined </w:t>
      </w:r>
      <w:r w:rsidR="002B2BE3" w:rsidRPr="003C6F05">
        <w:rPr>
          <w:rFonts w:asciiTheme="minorHAnsi" w:hAnsiTheme="minorHAnsi"/>
        </w:rPr>
        <w:t xml:space="preserve">estimated </w:t>
      </w:r>
      <w:r w:rsidR="00D1218E" w:rsidRPr="003C6F05">
        <w:rPr>
          <w:rFonts w:asciiTheme="minorHAnsi" w:hAnsiTheme="minorHAnsi"/>
        </w:rPr>
        <w:t xml:space="preserve">measure of </w:t>
      </w:r>
      <w:r w:rsidR="007356F6">
        <w:rPr>
          <w:rFonts w:asciiTheme="minorHAnsi" w:hAnsiTheme="minorHAnsi"/>
        </w:rPr>
        <w:t>UES</w:t>
      </w:r>
      <w:r w:rsidR="00D1218E" w:rsidRPr="003C6F05">
        <w:rPr>
          <w:rFonts w:asciiTheme="minorHAnsi" w:hAnsiTheme="minorHAnsi"/>
        </w:rPr>
        <w:t xml:space="preserve"> production. Nearly </w:t>
      </w:r>
      <w:r w:rsidR="00AE682D" w:rsidRPr="003C6F05">
        <w:rPr>
          <w:rFonts w:asciiTheme="minorHAnsi" w:hAnsiTheme="minorHAnsi"/>
        </w:rPr>
        <w:t>all</w:t>
      </w:r>
      <w:r w:rsidR="00D1218E" w:rsidRPr="003C6F05">
        <w:rPr>
          <w:rFonts w:asciiTheme="minorHAnsi" w:hAnsiTheme="minorHAnsi"/>
        </w:rPr>
        <w:t xml:space="preserve"> the H-L</w:t>
      </w:r>
      <w:r>
        <w:rPr>
          <w:rFonts w:asciiTheme="minorHAnsi" w:hAnsiTheme="minorHAnsi"/>
        </w:rPr>
        <w:t xml:space="preserve"> (High social need – Low UES value)</w:t>
      </w:r>
      <w:r w:rsidR="00D1218E" w:rsidRPr="003C6F05">
        <w:rPr>
          <w:rFonts w:asciiTheme="minorHAnsi" w:hAnsiTheme="minorHAnsi"/>
        </w:rPr>
        <w:t xml:space="preserve"> block groups </w:t>
      </w:r>
      <w:r w:rsidR="00AE682D" w:rsidRPr="003C6F05">
        <w:rPr>
          <w:rFonts w:asciiTheme="minorHAnsi" w:hAnsiTheme="minorHAnsi"/>
        </w:rPr>
        <w:t>are in</w:t>
      </w:r>
      <w:r w:rsidR="00D1218E" w:rsidRPr="003C6F05">
        <w:rPr>
          <w:rFonts w:asciiTheme="minorHAnsi" w:hAnsiTheme="minorHAnsi"/>
        </w:rPr>
        <w:t xml:space="preserve"> the city center and the neighborhoods directly bordering it</w:t>
      </w:r>
      <w:r w:rsidR="00FC625B">
        <w:rPr>
          <w:rFonts w:asciiTheme="minorHAnsi" w:hAnsiTheme="minorHAnsi"/>
        </w:rPr>
        <w:t xml:space="preserve"> (</w:t>
      </w:r>
      <w:r w:rsidR="00196B88">
        <w:rPr>
          <w:rFonts w:asciiTheme="minorHAnsi" w:hAnsiTheme="minorHAnsi"/>
        </w:rPr>
        <w:t>F</w:t>
      </w:r>
      <w:r w:rsidR="00FC625B">
        <w:rPr>
          <w:rFonts w:asciiTheme="minorHAnsi" w:hAnsiTheme="minorHAnsi"/>
        </w:rPr>
        <w:t>ig. 6)</w:t>
      </w:r>
      <w:r w:rsidR="00D1218E" w:rsidRPr="003C6F05">
        <w:rPr>
          <w:rFonts w:asciiTheme="minorHAnsi" w:hAnsiTheme="minorHAnsi"/>
        </w:rPr>
        <w:t xml:space="preserve">. On the other side of the matrix, </w:t>
      </w:r>
      <w:r>
        <w:rPr>
          <w:rFonts w:asciiTheme="minorHAnsi" w:hAnsiTheme="minorHAnsi"/>
        </w:rPr>
        <w:t>all block groups with the</w:t>
      </w:r>
      <w:r w:rsidR="009B014C">
        <w:rPr>
          <w:rFonts w:asciiTheme="minorHAnsi" w:hAnsiTheme="minorHAnsi"/>
        </w:rPr>
        <w:t xml:space="preserve"> </w:t>
      </w:r>
      <w:r w:rsidR="00D1218E" w:rsidRPr="003C6F05">
        <w:rPr>
          <w:rFonts w:asciiTheme="minorHAnsi" w:hAnsiTheme="minorHAnsi"/>
        </w:rPr>
        <w:t xml:space="preserve">L-H </w:t>
      </w:r>
      <w:r>
        <w:rPr>
          <w:rFonts w:asciiTheme="minorHAnsi" w:hAnsiTheme="minorHAnsi"/>
        </w:rPr>
        <w:t xml:space="preserve">(Low social need – High UES value) class </w:t>
      </w:r>
      <w:r w:rsidR="00D1218E" w:rsidRPr="003C6F05">
        <w:rPr>
          <w:rFonts w:asciiTheme="minorHAnsi" w:hAnsiTheme="minorHAnsi"/>
        </w:rPr>
        <w:t>were found located around the periphery of the city, with none being found in the downtown area</w:t>
      </w:r>
      <w:r w:rsidR="00FC625B">
        <w:rPr>
          <w:rFonts w:asciiTheme="minorHAnsi" w:hAnsiTheme="minorHAnsi"/>
        </w:rPr>
        <w:t xml:space="preserve"> (</w:t>
      </w:r>
      <w:r w:rsidR="004B0DD0">
        <w:rPr>
          <w:rFonts w:asciiTheme="minorHAnsi" w:hAnsiTheme="minorHAnsi"/>
        </w:rPr>
        <w:t>F</w:t>
      </w:r>
      <w:r w:rsidR="00FC625B">
        <w:rPr>
          <w:rFonts w:asciiTheme="minorHAnsi" w:hAnsiTheme="minorHAnsi"/>
        </w:rPr>
        <w:t>ig. 6)</w:t>
      </w:r>
      <w:r w:rsidR="00D1218E" w:rsidRPr="003C6F05">
        <w:rPr>
          <w:rFonts w:asciiTheme="minorHAnsi" w:hAnsiTheme="minorHAnsi"/>
        </w:rPr>
        <w:t xml:space="preserve">. </w:t>
      </w:r>
      <w:r w:rsidR="00FC625B">
        <w:rPr>
          <w:rFonts w:asciiTheme="minorHAnsi" w:hAnsiTheme="minorHAnsi"/>
        </w:rPr>
        <w:t>Compared to</w:t>
      </w:r>
      <w:r w:rsidR="00D1218E" w:rsidRPr="003C6F05">
        <w:rPr>
          <w:rFonts w:asciiTheme="minorHAnsi" w:hAnsiTheme="minorHAnsi"/>
        </w:rPr>
        <w:t xml:space="preserve"> the </w:t>
      </w:r>
      <w:r w:rsidR="00F37F80">
        <w:rPr>
          <w:rFonts w:asciiTheme="minorHAnsi" w:hAnsiTheme="minorHAnsi"/>
        </w:rPr>
        <w:t>SES</w:t>
      </w:r>
      <w:r w:rsidR="00D1218E" w:rsidRPr="003C6F05">
        <w:rPr>
          <w:rFonts w:asciiTheme="minorHAnsi" w:hAnsiTheme="minorHAnsi"/>
        </w:rPr>
        <w:t xml:space="preserve"> models</w:t>
      </w:r>
      <w:r w:rsidR="00552CE3">
        <w:rPr>
          <w:rFonts w:asciiTheme="minorHAnsi" w:hAnsiTheme="minorHAnsi"/>
        </w:rPr>
        <w:t xml:space="preserve"> (Fig. 3)</w:t>
      </w:r>
      <w:r w:rsidR="002B2BE3" w:rsidRPr="003C6F05">
        <w:rPr>
          <w:rFonts w:asciiTheme="minorHAnsi" w:hAnsiTheme="minorHAnsi"/>
        </w:rPr>
        <w:t>,</w:t>
      </w:r>
      <w:r w:rsidR="00D1218E" w:rsidRPr="003C6F05">
        <w:rPr>
          <w:rFonts w:asciiTheme="minorHAnsi" w:hAnsiTheme="minorHAnsi"/>
        </w:rPr>
        <w:t xml:space="preserve"> you can see areas designated as L-H are also areas </w:t>
      </w:r>
      <w:r w:rsidR="00F60490" w:rsidRPr="003C6F05">
        <w:rPr>
          <w:rFonts w:asciiTheme="minorHAnsi" w:hAnsiTheme="minorHAnsi"/>
        </w:rPr>
        <w:t>most associated</w:t>
      </w:r>
      <w:r w:rsidR="00D1218E" w:rsidRPr="003C6F05">
        <w:rPr>
          <w:rFonts w:asciiTheme="minorHAnsi" w:hAnsiTheme="minorHAnsi"/>
        </w:rPr>
        <w:t xml:space="preserve"> with high </w:t>
      </w:r>
      <w:r w:rsidR="006F5AB0" w:rsidRPr="003C6F05">
        <w:rPr>
          <w:rFonts w:asciiTheme="minorHAnsi" w:hAnsiTheme="minorHAnsi"/>
        </w:rPr>
        <w:t xml:space="preserve">values of </w:t>
      </w:r>
      <w:r w:rsidR="00D1218E" w:rsidRPr="003C6F05">
        <w:rPr>
          <w:rFonts w:asciiTheme="minorHAnsi" w:hAnsiTheme="minorHAnsi"/>
        </w:rPr>
        <w:t xml:space="preserve">median income, homeownership percentages, and percentages of </w:t>
      </w:r>
      <w:r w:rsidR="00C93F2A">
        <w:rPr>
          <w:rFonts w:asciiTheme="minorHAnsi" w:hAnsiTheme="minorHAnsi"/>
        </w:rPr>
        <w:t>W</w:t>
      </w:r>
      <w:r w:rsidR="00D1218E" w:rsidRPr="003C6F05">
        <w:rPr>
          <w:rFonts w:asciiTheme="minorHAnsi" w:hAnsiTheme="minorHAnsi"/>
        </w:rPr>
        <w:t>hite populations</w:t>
      </w:r>
      <w:r w:rsidR="00552CE3">
        <w:rPr>
          <w:rFonts w:asciiTheme="minorHAnsi" w:hAnsiTheme="minorHAnsi"/>
        </w:rPr>
        <w:t xml:space="preserve">. </w:t>
      </w:r>
      <w:r w:rsidR="00D1218E" w:rsidRPr="003C6F05">
        <w:rPr>
          <w:rFonts w:asciiTheme="minorHAnsi" w:hAnsiTheme="minorHAnsi"/>
        </w:rPr>
        <w:t xml:space="preserve"> </w:t>
      </w:r>
    </w:p>
    <w:p w14:paraId="1CAFD80B" w14:textId="53CC08FE" w:rsidR="00A47E52" w:rsidRDefault="00A47E52" w:rsidP="00A47E52">
      <w:pPr>
        <w:spacing w:line="360" w:lineRule="auto"/>
        <w:ind w:firstLine="720"/>
        <w:rPr>
          <w:rFonts w:asciiTheme="minorHAnsi" w:hAnsiTheme="minorHAnsi"/>
        </w:rPr>
      </w:pPr>
      <w:r>
        <w:rPr>
          <w:rFonts w:asciiTheme="minorHAnsi" w:hAnsiTheme="minorHAnsi"/>
        </w:rPr>
        <w:t xml:space="preserve">Examining the results of the hot spot analysis, this model identified block groups within the city that have significantly high and low values of the normalized and summed values of UES supply and social need, and that are spatially close to each other (Fig. 7A &amp; B). I found that clustering of </w:t>
      </w:r>
      <w:r w:rsidRPr="003C6F05">
        <w:rPr>
          <w:rFonts w:asciiTheme="minorHAnsi" w:hAnsiTheme="minorHAnsi"/>
        </w:rPr>
        <w:t xml:space="preserve">H-L </w:t>
      </w:r>
      <w:r>
        <w:rPr>
          <w:rFonts w:asciiTheme="minorHAnsi" w:hAnsiTheme="minorHAnsi"/>
        </w:rPr>
        <w:t>block groups</w:t>
      </w:r>
      <w:r w:rsidRPr="003C6F05">
        <w:rPr>
          <w:rFonts w:asciiTheme="minorHAnsi" w:hAnsiTheme="minorHAnsi"/>
        </w:rPr>
        <w:t xml:space="preserve"> occurred in neighborhoods directly to the north and northwest of downtown Rochester</w:t>
      </w:r>
      <w:r>
        <w:rPr>
          <w:rFonts w:asciiTheme="minorHAnsi" w:hAnsiTheme="minorHAnsi"/>
        </w:rPr>
        <w:t xml:space="preserve">, while L-H block group clusters were only found in the far north of the city (Fig. 7C). </w:t>
      </w:r>
      <w:r w:rsidRPr="003C6F05">
        <w:rPr>
          <w:rFonts w:asciiTheme="minorHAnsi" w:hAnsiTheme="minorHAnsi"/>
        </w:rPr>
        <w:t>By overlaying the results of the hotspot analysis</w:t>
      </w:r>
      <w:r>
        <w:rPr>
          <w:rFonts w:asciiTheme="minorHAnsi" w:hAnsiTheme="minorHAnsi"/>
        </w:rPr>
        <w:t xml:space="preserve"> (Fig. 7C)</w:t>
      </w:r>
      <w:r w:rsidRPr="003C6F05">
        <w:rPr>
          <w:rFonts w:asciiTheme="minorHAnsi" w:hAnsiTheme="minorHAnsi"/>
        </w:rPr>
        <w:t xml:space="preserve"> with the HOLC map (</w:t>
      </w:r>
      <w:r>
        <w:rPr>
          <w:rFonts w:asciiTheme="minorHAnsi" w:hAnsiTheme="minorHAnsi"/>
        </w:rPr>
        <w:t>F</w:t>
      </w:r>
      <w:r w:rsidRPr="003C6F05">
        <w:rPr>
          <w:rFonts w:asciiTheme="minorHAnsi" w:hAnsiTheme="minorHAnsi"/>
        </w:rPr>
        <w:t xml:space="preserve">ig. 4), it revealed that 65% of the block groups in the H-L cluster </w:t>
      </w:r>
      <w:r w:rsidR="00AE682D" w:rsidRPr="003C6F05">
        <w:rPr>
          <w:rFonts w:asciiTheme="minorHAnsi" w:hAnsiTheme="minorHAnsi"/>
        </w:rPr>
        <w:t>are in</w:t>
      </w:r>
      <w:r w:rsidRPr="003C6F05">
        <w:rPr>
          <w:rFonts w:asciiTheme="minorHAnsi" w:hAnsiTheme="minorHAnsi"/>
        </w:rPr>
        <w:t xml:space="preserve"> “D” graded neighborhoods, and 35% are in “C” graded neighborhoods. Conversely, 80% of block groups found in the L-H clusters are in “B” graded neighborhoods. These findings reiterate the results from the UES and SES indicator models, that the block groups with the lowest HOLC grades also produce the lowest amounts of </w:t>
      </w:r>
      <w:r>
        <w:rPr>
          <w:rFonts w:asciiTheme="minorHAnsi" w:hAnsiTheme="minorHAnsi"/>
        </w:rPr>
        <w:t>UES</w:t>
      </w:r>
      <w:r w:rsidRPr="003C6F05">
        <w:rPr>
          <w:rFonts w:asciiTheme="minorHAnsi" w:hAnsiTheme="minorHAnsi"/>
        </w:rPr>
        <w:t xml:space="preserve"> (</w:t>
      </w:r>
      <w:r>
        <w:rPr>
          <w:rFonts w:asciiTheme="minorHAnsi" w:hAnsiTheme="minorHAnsi"/>
        </w:rPr>
        <w:t>F</w:t>
      </w:r>
      <w:r w:rsidRPr="003C6F05">
        <w:rPr>
          <w:rFonts w:asciiTheme="minorHAnsi" w:hAnsiTheme="minorHAnsi"/>
        </w:rPr>
        <w:t>ig. 5) and align with areas that have the greatest social need (</w:t>
      </w:r>
      <w:r>
        <w:rPr>
          <w:rFonts w:asciiTheme="minorHAnsi" w:hAnsiTheme="minorHAnsi"/>
        </w:rPr>
        <w:t>F</w:t>
      </w:r>
      <w:r w:rsidRPr="003C6F05">
        <w:rPr>
          <w:rFonts w:asciiTheme="minorHAnsi" w:hAnsiTheme="minorHAnsi"/>
        </w:rPr>
        <w:t xml:space="preserve">ig. 3). Ultimately, these hotspot results highlight block group clusters most in need for </w:t>
      </w:r>
      <w:r>
        <w:rPr>
          <w:rFonts w:asciiTheme="minorHAnsi" w:hAnsiTheme="minorHAnsi"/>
        </w:rPr>
        <w:t>UGS</w:t>
      </w:r>
      <w:r w:rsidRPr="003C6F05">
        <w:rPr>
          <w:rFonts w:asciiTheme="minorHAnsi" w:hAnsiTheme="minorHAnsi"/>
        </w:rPr>
        <w:t xml:space="preserve"> development.</w:t>
      </w:r>
    </w:p>
    <w:p w14:paraId="12F6CAE8" w14:textId="6693B0E5" w:rsidR="00A47E52" w:rsidRDefault="00D245D6" w:rsidP="00A47E52">
      <w:pPr>
        <w:spacing w:line="360" w:lineRule="auto"/>
        <w:ind w:firstLine="720"/>
        <w:rPr>
          <w:rFonts w:asciiTheme="minorHAnsi" w:hAnsiTheme="minorHAnsi"/>
        </w:rPr>
      </w:pPr>
      <w:r>
        <w:rPr>
          <w:rFonts w:asciiTheme="minorHAnsi" w:hAnsiTheme="minorHAnsi"/>
        </w:rPr>
        <w:t xml:space="preserve">Our </w:t>
      </w:r>
      <w:r w:rsidR="00A47E52">
        <w:rPr>
          <w:rFonts w:asciiTheme="minorHAnsi" w:hAnsiTheme="minorHAnsi"/>
        </w:rPr>
        <w:t xml:space="preserve">findings in Fig. 7C indicate that the H-L cluster (High social need – Low UES values) resides in nearly the exact same location as the “Crescent of Poverty”. The base of both the identified H-L cluster and “Crescent of Poverty” straddle the city’s sunken expressway, the Inner Loop, which for decades has separated these neighborhoods from downtown. Recently, other parts of the Inner Loop on the east side have been filled in and local developers have bought this land to construct residential, retail, and office space, which has reconnected neighborhoods on the east side to Rochester’s city center </w:t>
      </w:r>
      <w:r w:rsidR="00A47E52">
        <w:rPr>
          <w:rFonts w:asciiTheme="minorHAnsi" w:hAnsiTheme="minorHAnsi"/>
        </w:rPr>
        <w:lastRenderedPageBreak/>
        <w:t xml:space="preserve">(Schneider, 2016). </w:t>
      </w:r>
      <w:r>
        <w:rPr>
          <w:rFonts w:asciiTheme="minorHAnsi" w:hAnsiTheme="minorHAnsi"/>
        </w:rPr>
        <w:t xml:space="preserve">If </w:t>
      </w:r>
      <w:r w:rsidR="00A47E52">
        <w:rPr>
          <w:rFonts w:asciiTheme="minorHAnsi" w:hAnsiTheme="minorHAnsi"/>
        </w:rPr>
        <w:t>H-L clustered blocks</w:t>
      </w:r>
      <w:r>
        <w:rPr>
          <w:rFonts w:asciiTheme="minorHAnsi" w:hAnsiTheme="minorHAnsi"/>
        </w:rPr>
        <w:t xml:space="preserve"> were </w:t>
      </w:r>
      <w:r w:rsidR="00A47E52">
        <w:rPr>
          <w:rFonts w:asciiTheme="minorHAnsi" w:hAnsiTheme="minorHAnsi"/>
        </w:rPr>
        <w:t>prioritized for UGS development</w:t>
      </w:r>
      <w:r>
        <w:rPr>
          <w:rFonts w:asciiTheme="minorHAnsi" w:hAnsiTheme="minorHAnsi"/>
        </w:rPr>
        <w:t xml:space="preserve"> in the city, this would mean targeting the Inner Loop North area</w:t>
      </w:r>
      <w:r w:rsidR="00A47E52">
        <w:rPr>
          <w:rFonts w:asciiTheme="minorHAnsi" w:hAnsiTheme="minorHAnsi"/>
        </w:rPr>
        <w:t xml:space="preserve">. </w:t>
      </w:r>
      <w:r>
        <w:rPr>
          <w:rFonts w:asciiTheme="minorHAnsi" w:hAnsiTheme="minorHAnsi"/>
        </w:rPr>
        <w:t>D</w:t>
      </w:r>
      <w:r w:rsidR="00A47E52">
        <w:rPr>
          <w:rFonts w:asciiTheme="minorHAnsi" w:hAnsiTheme="minorHAnsi"/>
        </w:rPr>
        <w:t xml:space="preserve">ue to the </w:t>
      </w:r>
      <w:r w:rsidR="00987242">
        <w:rPr>
          <w:rFonts w:asciiTheme="minorHAnsi" w:hAnsiTheme="minorHAnsi"/>
        </w:rPr>
        <w:t xml:space="preserve">compactness </w:t>
      </w:r>
      <w:r w:rsidR="00A47E52">
        <w:rPr>
          <w:rFonts w:asciiTheme="minorHAnsi" w:hAnsiTheme="minorHAnsi"/>
        </w:rPr>
        <w:t xml:space="preserve">of the H-L cluster, </w:t>
      </w:r>
      <w:r w:rsidR="00A47E52" w:rsidRPr="003C6F05">
        <w:rPr>
          <w:rFonts w:asciiTheme="minorHAnsi" w:hAnsiTheme="minorHAnsi"/>
        </w:rPr>
        <w:t>one way to address the social-ecological issues among these block groups would be to develop multi-block group wide UGS developments, such a</w:t>
      </w:r>
      <w:r w:rsidR="00A47E52">
        <w:rPr>
          <w:rFonts w:asciiTheme="minorHAnsi" w:hAnsiTheme="minorHAnsi"/>
        </w:rPr>
        <w:t>s</w:t>
      </w:r>
      <w:r w:rsidR="00A47E52" w:rsidRPr="003C6F05">
        <w:rPr>
          <w:rFonts w:asciiTheme="minorHAnsi" w:hAnsiTheme="minorHAnsi"/>
        </w:rPr>
        <w:t xml:space="preserve"> street</w:t>
      </w:r>
      <w:r w:rsidR="00A47E52">
        <w:rPr>
          <w:rFonts w:asciiTheme="minorHAnsi" w:hAnsiTheme="minorHAnsi"/>
        </w:rPr>
        <w:t>-</w:t>
      </w:r>
      <w:r w:rsidR="00A47E52" w:rsidRPr="003C6F05">
        <w:rPr>
          <w:rFonts w:asciiTheme="minorHAnsi" w:hAnsiTheme="minorHAnsi"/>
        </w:rPr>
        <w:t>tree planting</w:t>
      </w:r>
      <w:r w:rsidR="00A47E52">
        <w:rPr>
          <w:rFonts w:asciiTheme="minorHAnsi" w:hAnsiTheme="minorHAnsi"/>
        </w:rPr>
        <w:t>s,</w:t>
      </w:r>
      <w:r w:rsidR="00A47E52" w:rsidRPr="003C6F05">
        <w:rPr>
          <w:rFonts w:asciiTheme="minorHAnsi" w:hAnsiTheme="minorHAnsi"/>
        </w:rPr>
        <w:t xml:space="preserve"> multi-block parks</w:t>
      </w:r>
      <w:r w:rsidR="00A47E52">
        <w:rPr>
          <w:rFonts w:asciiTheme="minorHAnsi" w:hAnsiTheme="minorHAnsi"/>
        </w:rPr>
        <w:t>, and community gardens</w:t>
      </w:r>
      <w:r w:rsidR="00A47E52" w:rsidRPr="003C6F05">
        <w:rPr>
          <w:rFonts w:asciiTheme="minorHAnsi" w:hAnsiTheme="minorHAnsi"/>
        </w:rPr>
        <w:t>.</w:t>
      </w:r>
      <w:r w:rsidR="00A47E52">
        <w:rPr>
          <w:rFonts w:asciiTheme="minorHAnsi" w:hAnsiTheme="minorHAnsi"/>
        </w:rPr>
        <w:t xml:space="preserve"> Such developments </w:t>
      </w:r>
      <w:r w:rsidR="00A47E52" w:rsidRPr="003C6F05">
        <w:rPr>
          <w:rFonts w:asciiTheme="minorHAnsi" w:hAnsiTheme="minorHAnsi"/>
        </w:rPr>
        <w:t xml:space="preserve">would help to improve the block group’s </w:t>
      </w:r>
      <w:r w:rsidR="00A47E52">
        <w:rPr>
          <w:rFonts w:asciiTheme="minorHAnsi" w:hAnsiTheme="minorHAnsi"/>
        </w:rPr>
        <w:t xml:space="preserve">current low </w:t>
      </w:r>
      <w:r w:rsidR="00A47E52" w:rsidRPr="003C6F05">
        <w:rPr>
          <w:rFonts w:asciiTheme="minorHAnsi" w:hAnsiTheme="minorHAnsi"/>
        </w:rPr>
        <w:t xml:space="preserve">ecological quality while also meeting some of the community’s </w:t>
      </w:r>
      <w:r w:rsidR="00A47E52">
        <w:rPr>
          <w:rFonts w:asciiTheme="minorHAnsi" w:hAnsiTheme="minorHAnsi"/>
        </w:rPr>
        <w:t xml:space="preserve">high levels of </w:t>
      </w:r>
      <w:r w:rsidR="00A47E52" w:rsidRPr="003C6F05">
        <w:rPr>
          <w:rFonts w:asciiTheme="minorHAnsi" w:hAnsiTheme="minorHAnsi"/>
        </w:rPr>
        <w:t>social need through improvements to their physical, mental, and social health (Jennings and Gaither, 2015).</w:t>
      </w:r>
      <w:r w:rsidR="00A47E52">
        <w:rPr>
          <w:rFonts w:asciiTheme="minorHAnsi" w:hAnsiTheme="minorHAnsi"/>
        </w:rPr>
        <w:t xml:space="preserve"> Lastly, d</w:t>
      </w:r>
      <w:r w:rsidR="00A47E52" w:rsidRPr="003C6F05">
        <w:rPr>
          <w:rFonts w:asciiTheme="minorHAnsi" w:hAnsiTheme="minorHAnsi"/>
        </w:rPr>
        <w:t xml:space="preserve">espite the perceived lack of needed investment in </w:t>
      </w:r>
      <w:r w:rsidR="00A47E52">
        <w:rPr>
          <w:rFonts w:asciiTheme="minorHAnsi" w:hAnsiTheme="minorHAnsi"/>
        </w:rPr>
        <w:t>L-H</w:t>
      </w:r>
      <w:r w:rsidR="00A47E52" w:rsidRPr="003C6F05">
        <w:rPr>
          <w:rFonts w:asciiTheme="minorHAnsi" w:hAnsiTheme="minorHAnsi"/>
        </w:rPr>
        <w:t xml:space="preserve"> block groups</w:t>
      </w:r>
      <w:r w:rsidR="00A47E52">
        <w:rPr>
          <w:rFonts w:asciiTheme="minorHAnsi" w:hAnsiTheme="minorHAnsi"/>
        </w:rPr>
        <w:t xml:space="preserve"> (Fig. 6 &amp; 7C)</w:t>
      </w:r>
      <w:r w:rsidR="00A47E52" w:rsidRPr="003C6F05">
        <w:rPr>
          <w:rFonts w:asciiTheme="minorHAnsi" w:hAnsiTheme="minorHAnsi"/>
        </w:rPr>
        <w:t xml:space="preserve">, it is still important for them to be considered when identifying areas for </w:t>
      </w:r>
      <w:r w:rsidR="00A47E52">
        <w:rPr>
          <w:rFonts w:asciiTheme="minorHAnsi" w:hAnsiTheme="minorHAnsi"/>
        </w:rPr>
        <w:t>UGS</w:t>
      </w:r>
      <w:r w:rsidR="00A47E52" w:rsidRPr="003C6F05">
        <w:rPr>
          <w:rFonts w:asciiTheme="minorHAnsi" w:hAnsiTheme="minorHAnsi"/>
        </w:rPr>
        <w:t xml:space="preserve"> development</w:t>
      </w:r>
      <w:r w:rsidR="00A47E52">
        <w:rPr>
          <w:rFonts w:asciiTheme="minorHAnsi" w:hAnsiTheme="minorHAnsi"/>
        </w:rPr>
        <w:t>.</w:t>
      </w:r>
      <w:r w:rsidR="00A47E52" w:rsidRPr="003C6F05">
        <w:rPr>
          <w:rFonts w:asciiTheme="minorHAnsi" w:hAnsiTheme="minorHAnsi"/>
        </w:rPr>
        <w:t xml:space="preserve"> </w:t>
      </w:r>
      <w:r w:rsidR="00A47E52">
        <w:rPr>
          <w:rFonts w:asciiTheme="minorHAnsi" w:hAnsiTheme="minorHAnsi"/>
        </w:rPr>
        <w:t xml:space="preserve">This is </w:t>
      </w:r>
      <w:r w:rsidR="00A47E52" w:rsidRPr="003C6F05">
        <w:rPr>
          <w:rFonts w:asciiTheme="minorHAnsi" w:hAnsiTheme="minorHAnsi"/>
        </w:rPr>
        <w:t xml:space="preserve">to ensure connectivity </w:t>
      </w:r>
      <w:r w:rsidR="00A47E52">
        <w:rPr>
          <w:rFonts w:asciiTheme="minorHAnsi" w:hAnsiTheme="minorHAnsi"/>
        </w:rPr>
        <w:t xml:space="preserve">for those living in H-L block groups to green spaces located in L-H block groups, as well ensuring access to new UGS developments in H-L block groups for those that don’t live there. </w:t>
      </w:r>
    </w:p>
    <w:p w14:paraId="46A40064" w14:textId="77777777" w:rsidR="00A47E52" w:rsidRPr="00F60490" w:rsidRDefault="00A47E52" w:rsidP="00F60490">
      <w:pPr>
        <w:spacing w:line="360" w:lineRule="auto"/>
        <w:ind w:firstLine="720"/>
        <w:rPr>
          <w:rFonts w:asciiTheme="minorHAnsi" w:hAnsiTheme="minorHAnsi"/>
        </w:rPr>
      </w:pPr>
    </w:p>
    <w:p w14:paraId="2385EF02" w14:textId="142EAE0B" w:rsidR="00F60490" w:rsidRDefault="00F60490" w:rsidP="004B0DD0">
      <w:pPr>
        <w:rPr>
          <w:rFonts w:asciiTheme="minorHAnsi" w:hAnsiTheme="minorHAnsi"/>
          <w:i/>
          <w:iCs/>
        </w:rPr>
      </w:pPr>
    </w:p>
    <w:p w14:paraId="73BC9FCF" w14:textId="124A50BC" w:rsidR="00F60490" w:rsidRDefault="00F60490" w:rsidP="004B0DD0">
      <w:pPr>
        <w:rPr>
          <w:rFonts w:asciiTheme="minorHAnsi" w:hAnsiTheme="minorHAnsi"/>
          <w:i/>
          <w:iCs/>
        </w:rPr>
      </w:pPr>
    </w:p>
    <w:p w14:paraId="439911A5" w14:textId="3E12E3D9" w:rsidR="00F60490" w:rsidRDefault="00F60490" w:rsidP="004B0DD0">
      <w:pPr>
        <w:rPr>
          <w:rFonts w:asciiTheme="minorHAnsi" w:hAnsiTheme="minorHAnsi"/>
          <w:i/>
          <w:iCs/>
        </w:rPr>
      </w:pPr>
    </w:p>
    <w:p w14:paraId="514A1436" w14:textId="77777777" w:rsidR="00F60490" w:rsidRDefault="00F60490" w:rsidP="004B0DD0">
      <w:pPr>
        <w:rPr>
          <w:rFonts w:asciiTheme="minorHAnsi" w:hAnsiTheme="minorHAnsi"/>
          <w:i/>
          <w:iCs/>
        </w:rPr>
      </w:pPr>
    </w:p>
    <w:p w14:paraId="00FCD22F" w14:textId="77777777" w:rsidR="00F60490" w:rsidRDefault="00F60490" w:rsidP="004B0DD0">
      <w:pPr>
        <w:rPr>
          <w:rFonts w:asciiTheme="minorHAnsi" w:hAnsiTheme="minorHAnsi"/>
          <w:i/>
          <w:iCs/>
        </w:rPr>
      </w:pPr>
    </w:p>
    <w:p w14:paraId="7AADFF29" w14:textId="77777777" w:rsidR="00F60490" w:rsidRDefault="00F60490" w:rsidP="004B0DD0">
      <w:pPr>
        <w:rPr>
          <w:rFonts w:asciiTheme="minorHAnsi" w:hAnsiTheme="minorHAnsi"/>
          <w:i/>
          <w:iCs/>
        </w:rPr>
      </w:pPr>
    </w:p>
    <w:p w14:paraId="5071C3B1" w14:textId="57DABEDC" w:rsidR="00F60490" w:rsidRDefault="00F60490" w:rsidP="004B0DD0">
      <w:pPr>
        <w:rPr>
          <w:rFonts w:asciiTheme="minorHAnsi" w:hAnsiTheme="minorHAnsi"/>
          <w:i/>
          <w:iCs/>
        </w:rPr>
      </w:pPr>
    </w:p>
    <w:p w14:paraId="7505D354" w14:textId="77777777" w:rsidR="00F60490" w:rsidRDefault="00F60490" w:rsidP="004B0DD0">
      <w:pPr>
        <w:rPr>
          <w:rFonts w:asciiTheme="minorHAnsi" w:hAnsiTheme="minorHAnsi"/>
          <w:i/>
          <w:iCs/>
        </w:rPr>
      </w:pPr>
    </w:p>
    <w:p w14:paraId="5C61DE62" w14:textId="77777777" w:rsidR="00F60490" w:rsidRDefault="00F60490" w:rsidP="004B0DD0">
      <w:pPr>
        <w:rPr>
          <w:rFonts w:asciiTheme="minorHAnsi" w:hAnsiTheme="minorHAnsi"/>
          <w:i/>
          <w:iCs/>
        </w:rPr>
      </w:pPr>
    </w:p>
    <w:p w14:paraId="789EB7C9" w14:textId="77777777" w:rsidR="00F60490" w:rsidRDefault="00F60490" w:rsidP="004B0DD0">
      <w:pPr>
        <w:rPr>
          <w:rFonts w:asciiTheme="minorHAnsi" w:hAnsiTheme="minorHAnsi"/>
          <w:i/>
          <w:iCs/>
        </w:rPr>
      </w:pPr>
    </w:p>
    <w:p w14:paraId="49D61CAE" w14:textId="77777777" w:rsidR="00F60490" w:rsidRDefault="00F60490" w:rsidP="004B0DD0">
      <w:pPr>
        <w:rPr>
          <w:rFonts w:asciiTheme="minorHAnsi" w:hAnsiTheme="minorHAnsi"/>
          <w:i/>
          <w:iCs/>
        </w:rPr>
      </w:pPr>
    </w:p>
    <w:p w14:paraId="2F179A2C" w14:textId="199BB39C" w:rsidR="00F60490" w:rsidRDefault="00F60490" w:rsidP="004B0DD0">
      <w:pPr>
        <w:rPr>
          <w:rFonts w:asciiTheme="minorHAnsi" w:hAnsiTheme="minorHAnsi"/>
          <w:i/>
          <w:iCs/>
        </w:rPr>
      </w:pPr>
    </w:p>
    <w:p w14:paraId="1E1FFFA4" w14:textId="77777777" w:rsidR="00F60490" w:rsidRDefault="00F60490" w:rsidP="004B0DD0">
      <w:pPr>
        <w:rPr>
          <w:rFonts w:asciiTheme="minorHAnsi" w:hAnsiTheme="minorHAnsi"/>
          <w:i/>
          <w:iCs/>
        </w:rPr>
      </w:pPr>
    </w:p>
    <w:p w14:paraId="0894209B" w14:textId="77777777" w:rsidR="00F60490" w:rsidRDefault="00F60490" w:rsidP="004B0DD0">
      <w:pPr>
        <w:rPr>
          <w:rFonts w:asciiTheme="minorHAnsi" w:hAnsiTheme="minorHAnsi"/>
          <w:i/>
          <w:iCs/>
        </w:rPr>
      </w:pPr>
    </w:p>
    <w:p w14:paraId="43B230EF" w14:textId="77777777" w:rsidR="00F60490" w:rsidRDefault="00F60490" w:rsidP="004B0DD0">
      <w:pPr>
        <w:rPr>
          <w:rFonts w:asciiTheme="minorHAnsi" w:hAnsiTheme="minorHAnsi"/>
          <w:i/>
          <w:iCs/>
        </w:rPr>
      </w:pPr>
    </w:p>
    <w:p w14:paraId="396D7D2C" w14:textId="77777777" w:rsidR="00F60490" w:rsidRDefault="00F60490" w:rsidP="004B0DD0">
      <w:pPr>
        <w:rPr>
          <w:rFonts w:asciiTheme="minorHAnsi" w:hAnsiTheme="minorHAnsi"/>
          <w:i/>
          <w:iCs/>
        </w:rPr>
      </w:pPr>
    </w:p>
    <w:p w14:paraId="01F53155" w14:textId="39A2DB00" w:rsidR="00F60490" w:rsidRDefault="00A47E52" w:rsidP="004B0DD0">
      <w:pPr>
        <w:rPr>
          <w:rFonts w:asciiTheme="minorHAnsi" w:hAnsiTheme="minorHAnsi"/>
          <w:i/>
          <w:iCs/>
        </w:rPr>
      </w:pPr>
      <w:r>
        <w:rPr>
          <w:rFonts w:asciiTheme="minorHAnsi" w:hAnsiTheme="minorHAnsi"/>
          <w:noProof/>
        </w:rPr>
        <w:lastRenderedPageBreak/>
        <w:drawing>
          <wp:anchor distT="0" distB="0" distL="114300" distR="114300" simplePos="0" relativeHeight="251726848" behindDoc="0" locked="0" layoutInCell="1" allowOverlap="1" wp14:anchorId="294F9E56" wp14:editId="6AD202E9">
            <wp:simplePos x="0" y="0"/>
            <wp:positionH relativeFrom="margin">
              <wp:align>center</wp:align>
            </wp:positionH>
            <wp:positionV relativeFrom="margin">
              <wp:posOffset>-68580</wp:posOffset>
            </wp:positionV>
            <wp:extent cx="5007295" cy="6400800"/>
            <wp:effectExtent l="12700" t="12700" r="9525" b="12700"/>
            <wp:wrapSquare wrapText="bothSides"/>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rotWithShape="1">
                    <a:blip r:embed="rId18" cstate="print">
                      <a:extLst>
                        <a:ext uri="{28A0092B-C50C-407E-A947-70E740481C1C}">
                          <a14:useLocalDpi xmlns:a14="http://schemas.microsoft.com/office/drawing/2010/main" val="0"/>
                        </a:ext>
                      </a:extLst>
                    </a:blip>
                    <a:srcRect l="5983" t="3567" r="9231" b="12688"/>
                    <a:stretch/>
                  </pic:blipFill>
                  <pic:spPr bwMode="auto">
                    <a:xfrm>
                      <a:off x="0" y="0"/>
                      <a:ext cx="5007295" cy="64008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7E0234" w14:textId="31E1AC7C" w:rsidR="00F60490" w:rsidRDefault="00F60490" w:rsidP="004B0DD0">
      <w:pPr>
        <w:rPr>
          <w:rFonts w:asciiTheme="minorHAnsi" w:hAnsiTheme="minorHAnsi"/>
          <w:i/>
          <w:iCs/>
        </w:rPr>
      </w:pPr>
    </w:p>
    <w:p w14:paraId="5DBAA57E" w14:textId="5F456567" w:rsidR="00F60490" w:rsidRDefault="00F60490" w:rsidP="004B0DD0">
      <w:pPr>
        <w:rPr>
          <w:rFonts w:asciiTheme="minorHAnsi" w:hAnsiTheme="minorHAnsi"/>
          <w:i/>
          <w:iCs/>
        </w:rPr>
      </w:pPr>
    </w:p>
    <w:p w14:paraId="2CE61C59" w14:textId="227C170C" w:rsidR="00F60490" w:rsidRDefault="00F60490" w:rsidP="004B0DD0">
      <w:pPr>
        <w:rPr>
          <w:rFonts w:asciiTheme="minorHAnsi" w:hAnsiTheme="minorHAnsi"/>
          <w:i/>
          <w:iCs/>
        </w:rPr>
      </w:pPr>
    </w:p>
    <w:p w14:paraId="5E31541A" w14:textId="575202C0" w:rsidR="00F60490" w:rsidRDefault="00F60490" w:rsidP="004B0DD0">
      <w:pPr>
        <w:rPr>
          <w:rFonts w:asciiTheme="minorHAnsi" w:hAnsiTheme="minorHAnsi"/>
          <w:i/>
          <w:iCs/>
        </w:rPr>
      </w:pPr>
    </w:p>
    <w:p w14:paraId="7C4B2AE4" w14:textId="46463137" w:rsidR="00F60490" w:rsidRDefault="00F60490" w:rsidP="004B0DD0">
      <w:pPr>
        <w:rPr>
          <w:rFonts w:asciiTheme="minorHAnsi" w:hAnsiTheme="minorHAnsi"/>
          <w:i/>
          <w:iCs/>
        </w:rPr>
      </w:pPr>
    </w:p>
    <w:p w14:paraId="63E6BCB0" w14:textId="77777777" w:rsidR="00F60490" w:rsidRDefault="00F60490" w:rsidP="004B0DD0">
      <w:pPr>
        <w:rPr>
          <w:rFonts w:asciiTheme="minorHAnsi" w:hAnsiTheme="minorHAnsi"/>
          <w:i/>
          <w:iCs/>
        </w:rPr>
      </w:pPr>
    </w:p>
    <w:p w14:paraId="5D4DD5FB" w14:textId="77777777" w:rsidR="00F60490" w:rsidRDefault="00F60490" w:rsidP="004B0DD0">
      <w:pPr>
        <w:rPr>
          <w:rFonts w:asciiTheme="minorHAnsi" w:hAnsiTheme="minorHAnsi"/>
          <w:i/>
          <w:iCs/>
        </w:rPr>
      </w:pPr>
    </w:p>
    <w:p w14:paraId="2149E33C" w14:textId="77777777" w:rsidR="00F60490" w:rsidRDefault="00F60490" w:rsidP="004B0DD0">
      <w:pPr>
        <w:rPr>
          <w:rFonts w:asciiTheme="minorHAnsi" w:hAnsiTheme="minorHAnsi"/>
          <w:i/>
          <w:iCs/>
        </w:rPr>
      </w:pPr>
    </w:p>
    <w:p w14:paraId="3C2E39AC" w14:textId="77777777" w:rsidR="00F60490" w:rsidRDefault="00F60490" w:rsidP="004B0DD0">
      <w:pPr>
        <w:rPr>
          <w:rFonts w:asciiTheme="minorHAnsi" w:hAnsiTheme="minorHAnsi"/>
          <w:i/>
          <w:iCs/>
        </w:rPr>
      </w:pPr>
    </w:p>
    <w:p w14:paraId="1B0A8549" w14:textId="77777777" w:rsidR="00F60490" w:rsidRDefault="00F60490" w:rsidP="004B0DD0">
      <w:pPr>
        <w:rPr>
          <w:rFonts w:asciiTheme="minorHAnsi" w:hAnsiTheme="minorHAnsi"/>
          <w:i/>
          <w:iCs/>
        </w:rPr>
      </w:pPr>
    </w:p>
    <w:p w14:paraId="2F99CA5F" w14:textId="77777777" w:rsidR="00F60490" w:rsidRDefault="00F60490" w:rsidP="004B0DD0">
      <w:pPr>
        <w:rPr>
          <w:rFonts w:asciiTheme="minorHAnsi" w:hAnsiTheme="minorHAnsi"/>
          <w:i/>
          <w:iCs/>
        </w:rPr>
      </w:pPr>
    </w:p>
    <w:p w14:paraId="1584CF7F" w14:textId="77777777" w:rsidR="00F60490" w:rsidRDefault="00F60490" w:rsidP="004B0DD0">
      <w:pPr>
        <w:rPr>
          <w:rFonts w:asciiTheme="minorHAnsi" w:hAnsiTheme="minorHAnsi"/>
          <w:i/>
          <w:iCs/>
        </w:rPr>
      </w:pPr>
    </w:p>
    <w:p w14:paraId="1BFF056B" w14:textId="77777777" w:rsidR="00F60490" w:rsidRDefault="00F60490" w:rsidP="004B0DD0">
      <w:pPr>
        <w:rPr>
          <w:rFonts w:asciiTheme="minorHAnsi" w:hAnsiTheme="minorHAnsi"/>
          <w:i/>
          <w:iCs/>
        </w:rPr>
      </w:pPr>
    </w:p>
    <w:p w14:paraId="05817661" w14:textId="77777777" w:rsidR="00F60490" w:rsidRDefault="00F60490" w:rsidP="004B0DD0">
      <w:pPr>
        <w:rPr>
          <w:rFonts w:asciiTheme="minorHAnsi" w:hAnsiTheme="minorHAnsi"/>
          <w:i/>
          <w:iCs/>
        </w:rPr>
      </w:pPr>
    </w:p>
    <w:p w14:paraId="271F9A9E" w14:textId="77777777" w:rsidR="00A47E52" w:rsidRDefault="00A47E52" w:rsidP="004B0DD0">
      <w:pPr>
        <w:rPr>
          <w:rFonts w:asciiTheme="minorHAnsi" w:hAnsiTheme="minorHAnsi"/>
          <w:i/>
          <w:iCs/>
        </w:rPr>
      </w:pPr>
    </w:p>
    <w:p w14:paraId="50D96507" w14:textId="77777777" w:rsidR="00A47E52" w:rsidRDefault="00A47E52" w:rsidP="004B0DD0">
      <w:pPr>
        <w:rPr>
          <w:rFonts w:asciiTheme="minorHAnsi" w:hAnsiTheme="minorHAnsi"/>
          <w:i/>
          <w:iCs/>
        </w:rPr>
      </w:pPr>
    </w:p>
    <w:p w14:paraId="56705D8C" w14:textId="77777777" w:rsidR="00A47E52" w:rsidRDefault="00A47E52" w:rsidP="004B0DD0">
      <w:pPr>
        <w:rPr>
          <w:rFonts w:asciiTheme="minorHAnsi" w:hAnsiTheme="minorHAnsi"/>
          <w:i/>
          <w:iCs/>
        </w:rPr>
      </w:pPr>
    </w:p>
    <w:p w14:paraId="35D95F03" w14:textId="77777777" w:rsidR="00A47E52" w:rsidRDefault="00A47E52" w:rsidP="004B0DD0">
      <w:pPr>
        <w:rPr>
          <w:rFonts w:asciiTheme="minorHAnsi" w:hAnsiTheme="minorHAnsi"/>
          <w:i/>
          <w:iCs/>
        </w:rPr>
      </w:pPr>
    </w:p>
    <w:p w14:paraId="0D4F414C" w14:textId="77777777" w:rsidR="00A47E52" w:rsidRDefault="00A47E52" w:rsidP="004B0DD0">
      <w:pPr>
        <w:rPr>
          <w:rFonts w:asciiTheme="minorHAnsi" w:hAnsiTheme="minorHAnsi"/>
          <w:i/>
          <w:iCs/>
        </w:rPr>
      </w:pPr>
    </w:p>
    <w:p w14:paraId="7E4BA0D0" w14:textId="77777777" w:rsidR="00A47E52" w:rsidRDefault="00A47E52" w:rsidP="004B0DD0">
      <w:pPr>
        <w:rPr>
          <w:rFonts w:asciiTheme="minorHAnsi" w:hAnsiTheme="minorHAnsi"/>
          <w:i/>
          <w:iCs/>
        </w:rPr>
      </w:pPr>
    </w:p>
    <w:p w14:paraId="6563839B" w14:textId="77777777" w:rsidR="00A47E52" w:rsidRDefault="00A47E52" w:rsidP="004B0DD0">
      <w:pPr>
        <w:rPr>
          <w:rFonts w:asciiTheme="minorHAnsi" w:hAnsiTheme="minorHAnsi"/>
          <w:i/>
          <w:iCs/>
        </w:rPr>
      </w:pPr>
    </w:p>
    <w:p w14:paraId="24DBA180" w14:textId="77777777" w:rsidR="00A47E52" w:rsidRDefault="00A47E52" w:rsidP="004B0DD0">
      <w:pPr>
        <w:rPr>
          <w:rFonts w:asciiTheme="minorHAnsi" w:hAnsiTheme="minorHAnsi"/>
          <w:i/>
          <w:iCs/>
        </w:rPr>
      </w:pPr>
    </w:p>
    <w:p w14:paraId="69E8270C" w14:textId="77777777" w:rsidR="00A47E52" w:rsidRDefault="00A47E52" w:rsidP="004B0DD0">
      <w:pPr>
        <w:rPr>
          <w:rFonts w:asciiTheme="minorHAnsi" w:hAnsiTheme="minorHAnsi"/>
          <w:i/>
          <w:iCs/>
        </w:rPr>
      </w:pPr>
    </w:p>
    <w:p w14:paraId="4266F454" w14:textId="77777777" w:rsidR="00A47E52" w:rsidRDefault="00A47E52" w:rsidP="004B0DD0">
      <w:pPr>
        <w:rPr>
          <w:rFonts w:asciiTheme="minorHAnsi" w:hAnsiTheme="minorHAnsi"/>
          <w:i/>
          <w:iCs/>
        </w:rPr>
      </w:pPr>
    </w:p>
    <w:p w14:paraId="68D830EA" w14:textId="77777777" w:rsidR="00A47E52" w:rsidRDefault="00A47E52" w:rsidP="004B0DD0">
      <w:pPr>
        <w:rPr>
          <w:rFonts w:asciiTheme="minorHAnsi" w:hAnsiTheme="minorHAnsi"/>
          <w:i/>
          <w:iCs/>
        </w:rPr>
      </w:pPr>
    </w:p>
    <w:p w14:paraId="55EF3A76" w14:textId="77777777" w:rsidR="00A47E52" w:rsidRDefault="00A47E52" w:rsidP="004B0DD0">
      <w:pPr>
        <w:rPr>
          <w:rFonts w:asciiTheme="minorHAnsi" w:hAnsiTheme="minorHAnsi"/>
          <w:i/>
          <w:iCs/>
        </w:rPr>
      </w:pPr>
    </w:p>
    <w:p w14:paraId="5D51BE2E" w14:textId="77777777" w:rsidR="00A47E52" w:rsidRDefault="00A47E52" w:rsidP="004B0DD0">
      <w:pPr>
        <w:rPr>
          <w:rFonts w:asciiTheme="minorHAnsi" w:hAnsiTheme="minorHAnsi"/>
          <w:i/>
          <w:iCs/>
        </w:rPr>
      </w:pPr>
    </w:p>
    <w:p w14:paraId="4040E388" w14:textId="77777777" w:rsidR="00A47E52" w:rsidRDefault="00A47E52" w:rsidP="004B0DD0">
      <w:pPr>
        <w:rPr>
          <w:rFonts w:asciiTheme="minorHAnsi" w:hAnsiTheme="minorHAnsi"/>
          <w:i/>
          <w:iCs/>
        </w:rPr>
      </w:pPr>
    </w:p>
    <w:p w14:paraId="1D935FA1" w14:textId="77777777" w:rsidR="00A47E52" w:rsidRDefault="00A47E52" w:rsidP="004B0DD0">
      <w:pPr>
        <w:rPr>
          <w:rFonts w:asciiTheme="minorHAnsi" w:hAnsiTheme="minorHAnsi"/>
          <w:i/>
          <w:iCs/>
        </w:rPr>
      </w:pPr>
    </w:p>
    <w:p w14:paraId="5727431B" w14:textId="77777777" w:rsidR="00A47E52" w:rsidRDefault="00A47E52" w:rsidP="004B0DD0">
      <w:pPr>
        <w:rPr>
          <w:rFonts w:asciiTheme="minorHAnsi" w:hAnsiTheme="minorHAnsi"/>
          <w:i/>
          <w:iCs/>
        </w:rPr>
      </w:pPr>
    </w:p>
    <w:p w14:paraId="5C2C5FF9" w14:textId="77777777" w:rsidR="00A47E52" w:rsidRDefault="00A47E52" w:rsidP="004B0DD0">
      <w:pPr>
        <w:rPr>
          <w:rFonts w:asciiTheme="minorHAnsi" w:hAnsiTheme="minorHAnsi"/>
          <w:i/>
          <w:iCs/>
        </w:rPr>
      </w:pPr>
    </w:p>
    <w:p w14:paraId="4AF04B4E" w14:textId="77777777" w:rsidR="00A47E52" w:rsidRDefault="00A47E52" w:rsidP="004B0DD0">
      <w:pPr>
        <w:rPr>
          <w:rFonts w:asciiTheme="minorHAnsi" w:hAnsiTheme="minorHAnsi"/>
          <w:i/>
          <w:iCs/>
        </w:rPr>
      </w:pPr>
    </w:p>
    <w:p w14:paraId="717BBDE7" w14:textId="77777777" w:rsidR="00A47E52" w:rsidRDefault="00A47E52" w:rsidP="004B0DD0">
      <w:pPr>
        <w:rPr>
          <w:rFonts w:asciiTheme="minorHAnsi" w:hAnsiTheme="minorHAnsi"/>
          <w:i/>
          <w:iCs/>
        </w:rPr>
      </w:pPr>
    </w:p>
    <w:p w14:paraId="7FF1331C" w14:textId="77777777" w:rsidR="00FE5956" w:rsidRDefault="00FE5956" w:rsidP="004B0DD0">
      <w:pPr>
        <w:rPr>
          <w:rFonts w:asciiTheme="minorHAnsi" w:hAnsiTheme="minorHAnsi"/>
          <w:i/>
          <w:iCs/>
        </w:rPr>
      </w:pPr>
    </w:p>
    <w:p w14:paraId="134CB859" w14:textId="77777777" w:rsidR="00FE5956" w:rsidRDefault="00FE5956" w:rsidP="004B0DD0">
      <w:pPr>
        <w:rPr>
          <w:rFonts w:asciiTheme="minorHAnsi" w:hAnsiTheme="minorHAnsi"/>
          <w:i/>
          <w:iCs/>
        </w:rPr>
      </w:pPr>
    </w:p>
    <w:p w14:paraId="50CFB047" w14:textId="6342C356" w:rsidR="00EE4013" w:rsidRDefault="004B0DD0" w:rsidP="004B0DD0">
      <w:pPr>
        <w:rPr>
          <w:rFonts w:asciiTheme="minorHAnsi" w:hAnsiTheme="minorHAnsi"/>
        </w:rPr>
      </w:pPr>
      <w:r w:rsidRPr="00CD7C52">
        <w:rPr>
          <w:rFonts w:asciiTheme="minorHAnsi" w:hAnsiTheme="minorHAnsi"/>
          <w:i/>
          <w:iCs/>
        </w:rPr>
        <w:t xml:space="preserve">Fig. 6 A social-ecological matrix combining </w:t>
      </w:r>
      <w:r>
        <w:rPr>
          <w:rFonts w:asciiTheme="minorHAnsi" w:hAnsiTheme="minorHAnsi"/>
          <w:i/>
          <w:iCs/>
        </w:rPr>
        <w:t xml:space="preserve">the normalized and summed </w:t>
      </w:r>
      <w:r w:rsidRPr="00CD7C52">
        <w:rPr>
          <w:rFonts w:asciiTheme="minorHAnsi" w:hAnsiTheme="minorHAnsi"/>
          <w:i/>
          <w:iCs/>
        </w:rPr>
        <w:t xml:space="preserve">social need and UES value for each census block group in the city of Rochester, NY: (level of social need - UES supply value). </w:t>
      </w:r>
      <w:r>
        <w:rPr>
          <w:rFonts w:asciiTheme="minorHAnsi" w:hAnsiTheme="minorHAnsi"/>
        </w:rPr>
        <w:t xml:space="preserve">Block group class designations are defined in Table 3. Block groups were assigned to one of the four classes based on whether their normalized and summed SES and UES values were above or below the city’s median values. Overall, Block groups with the highest social need and lowest UES supply (H-L) were located primarily in the center of the city. Conversely, Block grouped with the lowest social need and highest UES supply (L-H) were located only around the periphery of the city. </w:t>
      </w:r>
    </w:p>
    <w:p w14:paraId="0F20BC31" w14:textId="2BB50D9B" w:rsidR="00F60490" w:rsidRDefault="00F60490" w:rsidP="004B0DD0">
      <w:pPr>
        <w:rPr>
          <w:rFonts w:asciiTheme="minorHAnsi" w:hAnsiTheme="minorHAnsi"/>
        </w:rPr>
      </w:pPr>
    </w:p>
    <w:p w14:paraId="5BD7B65E" w14:textId="7D7C23CA" w:rsidR="00A47E52" w:rsidRDefault="00A47E52" w:rsidP="004B0DD0">
      <w:pPr>
        <w:rPr>
          <w:rFonts w:asciiTheme="minorHAnsi" w:hAnsiTheme="minorHAnsi"/>
        </w:rPr>
      </w:pPr>
    </w:p>
    <w:p w14:paraId="1E75EEF3" w14:textId="77777777" w:rsidR="00A47E52" w:rsidRDefault="00A47E52" w:rsidP="004B0DD0">
      <w:pPr>
        <w:rPr>
          <w:rFonts w:asciiTheme="minorHAnsi" w:hAnsiTheme="minorHAnsi"/>
        </w:rPr>
      </w:pPr>
    </w:p>
    <w:p w14:paraId="4315F06B" w14:textId="7C87FB25" w:rsidR="00010D79" w:rsidRDefault="00010D79" w:rsidP="00523D85">
      <w:pPr>
        <w:spacing w:line="360" w:lineRule="auto"/>
        <w:ind w:firstLine="720"/>
        <w:rPr>
          <w:rFonts w:asciiTheme="minorHAnsi" w:hAnsiTheme="minorHAnsi"/>
        </w:rPr>
      </w:pPr>
      <w:r w:rsidRPr="00CD7C52">
        <w:rPr>
          <w:rFonts w:asciiTheme="minorHAnsi" w:hAnsiTheme="minorHAnsi"/>
          <w:i/>
          <w:iCs/>
          <w:noProof/>
        </w:rPr>
        <w:drawing>
          <wp:anchor distT="0" distB="0" distL="114300" distR="114300" simplePos="0" relativeHeight="251713536" behindDoc="0" locked="0" layoutInCell="1" allowOverlap="1" wp14:anchorId="6FC2EB86" wp14:editId="2380EA32">
            <wp:simplePos x="0" y="0"/>
            <wp:positionH relativeFrom="margin">
              <wp:posOffset>38100</wp:posOffset>
            </wp:positionH>
            <wp:positionV relativeFrom="paragraph">
              <wp:posOffset>208280</wp:posOffset>
            </wp:positionV>
            <wp:extent cx="5876925" cy="4800600"/>
            <wp:effectExtent l="12700" t="12700" r="15875" b="12700"/>
            <wp:wrapTopAndBottom/>
            <wp:docPr id="5" name="Picture 5"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map&#10;&#10;Description automatically generated"/>
                    <pic:cNvPicPr/>
                  </pic:nvPicPr>
                  <pic:blipFill rotWithShape="1">
                    <a:blip r:embed="rId19" cstate="print">
                      <a:extLst>
                        <a:ext uri="{28A0092B-C50C-407E-A947-70E740481C1C}">
                          <a14:useLocalDpi xmlns:a14="http://schemas.microsoft.com/office/drawing/2010/main" val="0"/>
                        </a:ext>
                      </a:extLst>
                    </a:blip>
                    <a:srcRect l="5642" t="1770" r="2905" b="1562"/>
                    <a:stretch/>
                  </pic:blipFill>
                  <pic:spPr bwMode="auto">
                    <a:xfrm>
                      <a:off x="0" y="0"/>
                      <a:ext cx="5876925" cy="48006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C11E2C" w14:textId="701BB791" w:rsidR="007D0CB2" w:rsidRDefault="004B0DD0" w:rsidP="007D0CB2">
      <w:pPr>
        <w:rPr>
          <w:rFonts w:asciiTheme="minorHAnsi" w:hAnsiTheme="minorHAnsi"/>
        </w:rPr>
      </w:pPr>
      <w:r w:rsidRPr="00CD7C52">
        <w:rPr>
          <w:rFonts w:asciiTheme="minorHAnsi" w:hAnsiTheme="minorHAnsi"/>
          <w:i/>
          <w:iCs/>
        </w:rPr>
        <w:t>Fig. 7. Hot spot analyses identifying clusters of high (Hot) and low (Cold) values of social need and ecological value</w:t>
      </w:r>
      <w:r w:rsidRPr="004E2B7B">
        <w:rPr>
          <w:rFonts w:asciiTheme="minorHAnsi" w:hAnsiTheme="minorHAnsi"/>
        </w:rPr>
        <w:t xml:space="preserve">. </w:t>
      </w:r>
      <w:r>
        <w:rPr>
          <w:rFonts w:asciiTheme="minorHAnsi" w:hAnsiTheme="minorHAnsi"/>
        </w:rPr>
        <w:t xml:space="preserve">Panel A shows hot and cold spots for the </w:t>
      </w:r>
      <w:r w:rsidR="003702C6">
        <w:rPr>
          <w:rFonts w:asciiTheme="minorHAnsi" w:hAnsiTheme="minorHAnsi"/>
        </w:rPr>
        <w:t xml:space="preserve">normalized and </w:t>
      </w:r>
      <w:r>
        <w:rPr>
          <w:rFonts w:asciiTheme="minorHAnsi" w:hAnsiTheme="minorHAnsi"/>
        </w:rPr>
        <w:t xml:space="preserve">summed supply of the four UES indicators. Panel B shows hot and cold spots for the </w:t>
      </w:r>
      <w:r w:rsidR="003702C6">
        <w:rPr>
          <w:rFonts w:asciiTheme="minorHAnsi" w:hAnsiTheme="minorHAnsi"/>
        </w:rPr>
        <w:t>normalized and summed</w:t>
      </w:r>
      <w:r>
        <w:rPr>
          <w:rFonts w:asciiTheme="minorHAnsi" w:hAnsiTheme="minorHAnsi"/>
        </w:rPr>
        <w:t xml:space="preserve"> SES value. </w:t>
      </w:r>
      <w:r w:rsidR="00AE682D" w:rsidRPr="004E2B7B">
        <w:rPr>
          <w:rFonts w:asciiTheme="minorHAnsi" w:hAnsiTheme="minorHAnsi"/>
        </w:rPr>
        <w:t>Combined</w:t>
      </w:r>
      <w:r>
        <w:rPr>
          <w:rFonts w:asciiTheme="minorHAnsi" w:hAnsiTheme="minorHAnsi"/>
        </w:rPr>
        <w:t>, panel C shows spatially significant clusters of</w:t>
      </w:r>
      <w:r w:rsidRPr="004E2B7B">
        <w:rPr>
          <w:rFonts w:asciiTheme="minorHAnsi" w:hAnsiTheme="minorHAnsi"/>
        </w:rPr>
        <w:t xml:space="preserve"> H-L and L-H </w:t>
      </w:r>
      <w:r>
        <w:rPr>
          <w:rFonts w:asciiTheme="minorHAnsi" w:hAnsiTheme="minorHAnsi"/>
        </w:rPr>
        <w:t xml:space="preserve">block groups: (social need-ecological value). Panel A shows that the lowest values of UES are in the city center, and the highest are </w:t>
      </w:r>
      <w:r w:rsidR="00FF0AD7">
        <w:rPr>
          <w:rFonts w:asciiTheme="minorHAnsi" w:hAnsiTheme="minorHAnsi"/>
        </w:rPr>
        <w:t xml:space="preserve">to the far north and south of the city. Panel B shows the highest values of social need are in the city center while the lowest value is around the northern and eastern peripheries of the city. Panel C shows that a spatially significant cluster of H-L block groups are located directly above the city center. </w:t>
      </w:r>
    </w:p>
    <w:p w14:paraId="4C2D0E1D" w14:textId="1BA3577A" w:rsidR="00B1721C" w:rsidRDefault="00B1721C" w:rsidP="00871CD7">
      <w:pPr>
        <w:spacing w:line="360" w:lineRule="auto"/>
        <w:rPr>
          <w:rFonts w:asciiTheme="minorHAnsi" w:hAnsiTheme="minorHAnsi"/>
          <w:i/>
        </w:rPr>
      </w:pPr>
    </w:p>
    <w:p w14:paraId="645FA64E" w14:textId="447BE703" w:rsidR="00A47E52" w:rsidRDefault="00A47E52" w:rsidP="00871CD7">
      <w:pPr>
        <w:spacing w:line="360" w:lineRule="auto"/>
        <w:rPr>
          <w:rFonts w:asciiTheme="minorHAnsi" w:hAnsiTheme="minorHAnsi"/>
          <w:i/>
        </w:rPr>
      </w:pPr>
    </w:p>
    <w:p w14:paraId="605A2E69" w14:textId="7EB3678E" w:rsidR="00A47E52" w:rsidRDefault="00A47E52" w:rsidP="00871CD7">
      <w:pPr>
        <w:spacing w:line="360" w:lineRule="auto"/>
        <w:rPr>
          <w:rFonts w:asciiTheme="minorHAnsi" w:hAnsiTheme="minorHAnsi"/>
          <w:i/>
        </w:rPr>
      </w:pPr>
    </w:p>
    <w:p w14:paraId="4398A4A0" w14:textId="51F079A5" w:rsidR="00A47E52" w:rsidRDefault="00A47E52" w:rsidP="00871CD7">
      <w:pPr>
        <w:spacing w:line="360" w:lineRule="auto"/>
        <w:rPr>
          <w:rFonts w:asciiTheme="minorHAnsi" w:hAnsiTheme="minorHAnsi"/>
          <w:i/>
        </w:rPr>
      </w:pPr>
    </w:p>
    <w:p w14:paraId="6A186630" w14:textId="77777777" w:rsidR="00CD34F5" w:rsidRDefault="00CD34F5" w:rsidP="00871CD7">
      <w:pPr>
        <w:spacing w:line="360" w:lineRule="auto"/>
        <w:rPr>
          <w:rFonts w:asciiTheme="minorHAnsi" w:hAnsiTheme="minorHAnsi"/>
          <w:i/>
        </w:rPr>
      </w:pPr>
    </w:p>
    <w:p w14:paraId="325F9100" w14:textId="0E18D7B8" w:rsidR="00FC625B" w:rsidRDefault="001F3609" w:rsidP="00871CD7">
      <w:pPr>
        <w:spacing w:line="360" w:lineRule="auto"/>
        <w:rPr>
          <w:rFonts w:asciiTheme="minorHAnsi" w:hAnsiTheme="minorHAnsi"/>
          <w:i/>
        </w:rPr>
      </w:pPr>
      <w:r w:rsidRPr="003C6F05">
        <w:rPr>
          <w:rFonts w:asciiTheme="minorHAnsi" w:hAnsiTheme="minorHAnsi"/>
          <w:i/>
        </w:rPr>
        <w:lastRenderedPageBreak/>
        <w:t>3</w:t>
      </w:r>
      <w:r w:rsidR="00D1218E" w:rsidRPr="003C6F05">
        <w:rPr>
          <w:rFonts w:asciiTheme="minorHAnsi" w:hAnsiTheme="minorHAnsi"/>
          <w:i/>
        </w:rPr>
        <w:t>.</w:t>
      </w:r>
      <w:r w:rsidR="00EF4AAB">
        <w:rPr>
          <w:rFonts w:asciiTheme="minorHAnsi" w:hAnsiTheme="minorHAnsi"/>
          <w:i/>
        </w:rPr>
        <w:t>5</w:t>
      </w:r>
      <w:r w:rsidR="00D1218E" w:rsidRPr="003C6F05">
        <w:rPr>
          <w:rFonts w:asciiTheme="minorHAnsi" w:hAnsiTheme="minorHAnsi"/>
          <w:i/>
        </w:rPr>
        <w:t xml:space="preserve"> Research Limitations </w:t>
      </w:r>
    </w:p>
    <w:p w14:paraId="34AAAA70" w14:textId="35DA2478" w:rsidR="007A7B37" w:rsidRDefault="007A7B37" w:rsidP="00871CD7">
      <w:pPr>
        <w:spacing w:line="360" w:lineRule="auto"/>
        <w:rPr>
          <w:rFonts w:asciiTheme="minorHAnsi" w:hAnsiTheme="minorHAnsi"/>
          <w:iCs/>
        </w:rPr>
      </w:pPr>
      <w:r>
        <w:rPr>
          <w:rFonts w:asciiTheme="minorHAnsi" w:hAnsiTheme="minorHAnsi"/>
          <w:i/>
        </w:rPr>
        <w:tab/>
      </w:r>
      <w:r>
        <w:rPr>
          <w:rFonts w:asciiTheme="minorHAnsi" w:hAnsiTheme="minorHAnsi"/>
          <w:iCs/>
        </w:rPr>
        <w:t xml:space="preserve">While </w:t>
      </w:r>
      <w:r w:rsidR="00D245D6">
        <w:rPr>
          <w:rFonts w:asciiTheme="minorHAnsi" w:hAnsiTheme="minorHAnsi"/>
          <w:iCs/>
        </w:rPr>
        <w:t xml:space="preserve">we </w:t>
      </w:r>
      <w:r>
        <w:rPr>
          <w:rFonts w:asciiTheme="minorHAnsi" w:hAnsiTheme="minorHAnsi"/>
          <w:iCs/>
        </w:rPr>
        <w:t xml:space="preserve">did identify correlations between the </w:t>
      </w:r>
      <w:r w:rsidR="00D245D6">
        <w:rPr>
          <w:rFonts w:asciiTheme="minorHAnsi" w:hAnsiTheme="minorHAnsi"/>
          <w:iCs/>
        </w:rPr>
        <w:t xml:space="preserve">potential </w:t>
      </w:r>
      <w:r>
        <w:rPr>
          <w:rFonts w:asciiTheme="minorHAnsi" w:hAnsiTheme="minorHAnsi"/>
          <w:iCs/>
        </w:rPr>
        <w:t xml:space="preserve">supply of UES and the distribution of SES in Rochester, there were several limitations when obtaining these results. These limitations include </w:t>
      </w:r>
      <w:r w:rsidR="00035444">
        <w:rPr>
          <w:rFonts w:asciiTheme="minorHAnsi" w:hAnsiTheme="minorHAnsi"/>
          <w:iCs/>
        </w:rPr>
        <w:t xml:space="preserve">a lack </w:t>
      </w:r>
      <w:r w:rsidR="00421D77">
        <w:rPr>
          <w:rFonts w:asciiTheme="minorHAnsi" w:hAnsiTheme="minorHAnsi"/>
          <w:iCs/>
        </w:rPr>
        <w:t xml:space="preserve">of </w:t>
      </w:r>
      <w:r>
        <w:rPr>
          <w:rFonts w:asciiTheme="minorHAnsi" w:hAnsiTheme="minorHAnsi"/>
          <w:iCs/>
        </w:rPr>
        <w:t xml:space="preserve">data availability and </w:t>
      </w:r>
      <w:r w:rsidR="009F195C">
        <w:rPr>
          <w:rFonts w:asciiTheme="minorHAnsi" w:hAnsiTheme="minorHAnsi"/>
          <w:iCs/>
        </w:rPr>
        <w:t>stakeholder input</w:t>
      </w:r>
      <w:r>
        <w:rPr>
          <w:rFonts w:asciiTheme="minorHAnsi" w:hAnsiTheme="minorHAnsi"/>
          <w:iCs/>
        </w:rPr>
        <w:t xml:space="preserve">. </w:t>
      </w:r>
      <w:r w:rsidR="003C5C04">
        <w:rPr>
          <w:rFonts w:asciiTheme="minorHAnsi" w:hAnsiTheme="minorHAnsi"/>
          <w:iCs/>
        </w:rPr>
        <w:t xml:space="preserve">To elaborate, the accuracy of the supply of UES is only as good as the accuracy of the landcover data and </w:t>
      </w:r>
      <w:r w:rsidR="00DD3A41">
        <w:rPr>
          <w:rFonts w:asciiTheme="minorHAnsi" w:hAnsiTheme="minorHAnsi"/>
          <w:iCs/>
        </w:rPr>
        <w:t xml:space="preserve">the </w:t>
      </w:r>
      <w:r w:rsidR="003C5C04">
        <w:rPr>
          <w:rFonts w:asciiTheme="minorHAnsi" w:hAnsiTheme="minorHAnsi"/>
          <w:iCs/>
        </w:rPr>
        <w:t xml:space="preserve">UES coefficients used. </w:t>
      </w:r>
      <w:r w:rsidR="003F78C6">
        <w:rPr>
          <w:rFonts w:asciiTheme="minorHAnsi" w:hAnsiTheme="minorHAnsi"/>
          <w:iCs/>
        </w:rPr>
        <w:t xml:space="preserve">For the landcover map that </w:t>
      </w:r>
      <w:r w:rsidR="00D245D6">
        <w:rPr>
          <w:rFonts w:asciiTheme="minorHAnsi" w:hAnsiTheme="minorHAnsi"/>
          <w:iCs/>
        </w:rPr>
        <w:t xml:space="preserve">we </w:t>
      </w:r>
      <w:r w:rsidR="003F78C6">
        <w:rPr>
          <w:rFonts w:asciiTheme="minorHAnsi" w:hAnsiTheme="minorHAnsi"/>
          <w:iCs/>
        </w:rPr>
        <w:t xml:space="preserve">generated to measure the supply of carbon and air pollution removal, </w:t>
      </w:r>
      <w:r w:rsidR="00D245D6">
        <w:rPr>
          <w:rFonts w:asciiTheme="minorHAnsi" w:hAnsiTheme="minorHAnsi"/>
          <w:iCs/>
        </w:rPr>
        <w:t xml:space="preserve">we </w:t>
      </w:r>
      <w:r w:rsidR="004A1207">
        <w:rPr>
          <w:rFonts w:asciiTheme="minorHAnsi" w:hAnsiTheme="minorHAnsi"/>
          <w:iCs/>
        </w:rPr>
        <w:t xml:space="preserve">used </w:t>
      </w:r>
      <w:r w:rsidR="003F78C6">
        <w:rPr>
          <w:rFonts w:asciiTheme="minorHAnsi" w:hAnsiTheme="minorHAnsi"/>
          <w:iCs/>
        </w:rPr>
        <w:t>orthoimagery that was taken by the NYS Digital Ortho-imagery Program in April of 2015. Since this imagery was taken during the early Spring, much of the vegetation within the image w</w:t>
      </w:r>
      <w:r w:rsidR="004A1207">
        <w:rPr>
          <w:rFonts w:asciiTheme="minorHAnsi" w:hAnsiTheme="minorHAnsi"/>
          <w:iCs/>
        </w:rPr>
        <w:t>as</w:t>
      </w:r>
      <w:r w:rsidR="003F78C6">
        <w:rPr>
          <w:rFonts w:asciiTheme="minorHAnsi" w:hAnsiTheme="minorHAnsi"/>
          <w:iCs/>
        </w:rPr>
        <w:t xml:space="preserve"> not at peak photosynthetic </w:t>
      </w:r>
      <w:r w:rsidR="004A1207">
        <w:rPr>
          <w:rFonts w:asciiTheme="minorHAnsi" w:hAnsiTheme="minorHAnsi"/>
          <w:iCs/>
        </w:rPr>
        <w:t>activity,</w:t>
      </w:r>
      <w:r w:rsidR="003F78C6">
        <w:rPr>
          <w:rFonts w:asciiTheme="minorHAnsi" w:hAnsiTheme="minorHAnsi"/>
          <w:iCs/>
        </w:rPr>
        <w:t xml:space="preserve"> which meant trees were </w:t>
      </w:r>
      <w:r w:rsidR="004A1207">
        <w:rPr>
          <w:rFonts w:asciiTheme="minorHAnsi" w:hAnsiTheme="minorHAnsi"/>
          <w:iCs/>
        </w:rPr>
        <w:t>often l</w:t>
      </w:r>
      <w:r w:rsidR="003F78C6">
        <w:rPr>
          <w:rFonts w:asciiTheme="minorHAnsi" w:hAnsiTheme="minorHAnsi"/>
          <w:iCs/>
        </w:rPr>
        <w:t>eafless</w:t>
      </w:r>
      <w:r w:rsidR="004A1207">
        <w:rPr>
          <w:rFonts w:asciiTheme="minorHAnsi" w:hAnsiTheme="minorHAnsi"/>
          <w:iCs/>
        </w:rPr>
        <w:t xml:space="preserve"> and lacked </w:t>
      </w:r>
      <w:r w:rsidR="00BD1EDC">
        <w:rPr>
          <w:rFonts w:asciiTheme="minorHAnsi" w:hAnsiTheme="minorHAnsi"/>
          <w:iCs/>
        </w:rPr>
        <w:t xml:space="preserve">their distinguishable </w:t>
      </w:r>
      <w:r w:rsidR="004A1207">
        <w:rPr>
          <w:rFonts w:asciiTheme="minorHAnsi" w:hAnsiTheme="minorHAnsi"/>
          <w:iCs/>
        </w:rPr>
        <w:t xml:space="preserve">green coloration. </w:t>
      </w:r>
      <w:r w:rsidR="000E59BA">
        <w:rPr>
          <w:rFonts w:asciiTheme="minorHAnsi" w:hAnsiTheme="minorHAnsi"/>
          <w:iCs/>
        </w:rPr>
        <w:t>This in turn caused confusion to occur between vegetative and impervious surface classes (</w:t>
      </w:r>
      <w:r w:rsidR="00421D77">
        <w:rPr>
          <w:rFonts w:asciiTheme="minorHAnsi" w:hAnsiTheme="minorHAnsi"/>
          <w:iCs/>
        </w:rPr>
        <w:t xml:space="preserve">Appendix Table </w:t>
      </w:r>
      <w:r w:rsidR="00E655DD">
        <w:rPr>
          <w:rFonts w:asciiTheme="minorHAnsi" w:hAnsiTheme="minorHAnsi"/>
          <w:iCs/>
        </w:rPr>
        <w:t>2</w:t>
      </w:r>
      <w:r w:rsidR="000E59BA">
        <w:rPr>
          <w:rFonts w:asciiTheme="minorHAnsi" w:hAnsiTheme="minorHAnsi"/>
          <w:iCs/>
        </w:rPr>
        <w:t xml:space="preserve">). </w:t>
      </w:r>
      <w:r w:rsidR="00EF698D">
        <w:rPr>
          <w:rFonts w:asciiTheme="minorHAnsi" w:hAnsiTheme="minorHAnsi"/>
          <w:iCs/>
        </w:rPr>
        <w:t>In o</w:t>
      </w:r>
      <w:r w:rsidR="004A1207">
        <w:rPr>
          <w:rFonts w:asciiTheme="minorHAnsi" w:hAnsiTheme="minorHAnsi"/>
          <w:iCs/>
        </w:rPr>
        <w:t>ne study that compared seasonal variation in landcover mapping</w:t>
      </w:r>
      <w:r w:rsidR="00EF698D">
        <w:rPr>
          <w:rFonts w:asciiTheme="minorHAnsi" w:hAnsiTheme="minorHAnsi"/>
          <w:iCs/>
        </w:rPr>
        <w:t xml:space="preserve">, </w:t>
      </w:r>
      <w:r w:rsidR="0094645A">
        <w:rPr>
          <w:rFonts w:asciiTheme="minorHAnsi" w:hAnsiTheme="minorHAnsi"/>
          <w:iCs/>
        </w:rPr>
        <w:t xml:space="preserve">researchers </w:t>
      </w:r>
      <w:r w:rsidR="004A1207">
        <w:rPr>
          <w:rFonts w:asciiTheme="minorHAnsi" w:hAnsiTheme="minorHAnsi"/>
          <w:iCs/>
        </w:rPr>
        <w:t>found that classification errors were highest in May, compared to classifications done in June and August (</w:t>
      </w:r>
      <w:r w:rsidR="004A1207" w:rsidRPr="00F64C20">
        <w:rPr>
          <w:rFonts w:asciiTheme="minorHAnsi" w:hAnsiTheme="minorHAnsi"/>
          <w:iCs/>
        </w:rPr>
        <w:t>Karila et al., 2019</w:t>
      </w:r>
      <w:r w:rsidR="004A1207">
        <w:rPr>
          <w:rFonts w:asciiTheme="minorHAnsi" w:hAnsiTheme="minorHAnsi"/>
          <w:iCs/>
        </w:rPr>
        <w:t xml:space="preserve">). Due to the lack of green vegetation during the springtime, researchers found </w:t>
      </w:r>
      <w:r w:rsidR="000E59BA">
        <w:rPr>
          <w:rFonts w:asciiTheme="minorHAnsi" w:hAnsiTheme="minorHAnsi"/>
          <w:iCs/>
        </w:rPr>
        <w:t xml:space="preserve">the greatest </w:t>
      </w:r>
      <w:r w:rsidR="00EF698D">
        <w:rPr>
          <w:rFonts w:asciiTheme="minorHAnsi" w:hAnsiTheme="minorHAnsi"/>
          <w:iCs/>
        </w:rPr>
        <w:t>confusion in classifications between trees and buildings</w:t>
      </w:r>
      <w:r w:rsidR="000E59BA">
        <w:rPr>
          <w:rFonts w:asciiTheme="minorHAnsi" w:hAnsiTheme="minorHAnsi"/>
          <w:iCs/>
        </w:rPr>
        <w:t>; furthermore,</w:t>
      </w:r>
      <w:r w:rsidR="00EF698D">
        <w:rPr>
          <w:rFonts w:asciiTheme="minorHAnsi" w:hAnsiTheme="minorHAnsi"/>
          <w:iCs/>
        </w:rPr>
        <w:t xml:space="preserve"> </w:t>
      </w:r>
      <w:r w:rsidR="000E59BA">
        <w:rPr>
          <w:rFonts w:asciiTheme="minorHAnsi" w:hAnsiTheme="minorHAnsi"/>
          <w:iCs/>
        </w:rPr>
        <w:t>they</w:t>
      </w:r>
      <w:r w:rsidR="00EF698D">
        <w:rPr>
          <w:rFonts w:asciiTheme="minorHAnsi" w:hAnsiTheme="minorHAnsi"/>
          <w:iCs/>
        </w:rPr>
        <w:t xml:space="preserve"> concluded that the optimal time to obtain imagery for landcover classifications is in June (Karila et al., 2019). </w:t>
      </w:r>
      <w:r w:rsidR="0094645A">
        <w:rPr>
          <w:rFonts w:asciiTheme="minorHAnsi" w:hAnsiTheme="minorHAnsi"/>
          <w:iCs/>
        </w:rPr>
        <w:t>Additionally</w:t>
      </w:r>
      <w:r w:rsidR="00EF698D">
        <w:rPr>
          <w:rFonts w:asciiTheme="minorHAnsi" w:hAnsiTheme="minorHAnsi"/>
          <w:iCs/>
        </w:rPr>
        <w:t xml:space="preserve">, in </w:t>
      </w:r>
      <w:r w:rsidR="00D245D6">
        <w:rPr>
          <w:rFonts w:asciiTheme="minorHAnsi" w:hAnsiTheme="minorHAnsi"/>
          <w:iCs/>
        </w:rPr>
        <w:t xml:space="preserve">this </w:t>
      </w:r>
      <w:r w:rsidR="00EF698D">
        <w:rPr>
          <w:rFonts w:asciiTheme="minorHAnsi" w:hAnsiTheme="minorHAnsi"/>
          <w:iCs/>
        </w:rPr>
        <w:t xml:space="preserve">study, </w:t>
      </w:r>
      <w:r w:rsidR="00D245D6">
        <w:rPr>
          <w:rFonts w:asciiTheme="minorHAnsi" w:hAnsiTheme="minorHAnsi"/>
          <w:iCs/>
        </w:rPr>
        <w:t>we did not</w:t>
      </w:r>
      <w:r w:rsidR="00EF698D">
        <w:rPr>
          <w:rFonts w:asciiTheme="minorHAnsi" w:hAnsiTheme="minorHAnsi"/>
          <w:iCs/>
        </w:rPr>
        <w:t xml:space="preserve"> classify individual trees</w:t>
      </w:r>
      <w:r w:rsidR="00D245D6">
        <w:rPr>
          <w:rFonts w:asciiTheme="minorHAnsi" w:hAnsiTheme="minorHAnsi"/>
          <w:iCs/>
        </w:rPr>
        <w:t>; areas</w:t>
      </w:r>
      <w:r w:rsidR="00EF698D">
        <w:rPr>
          <w:rFonts w:asciiTheme="minorHAnsi" w:hAnsiTheme="minorHAnsi"/>
          <w:iCs/>
        </w:rPr>
        <w:t xml:space="preserve"> of land within the city were only classified generally as coarse vegetation. </w:t>
      </w:r>
      <w:r w:rsidR="00BD1EDC">
        <w:rPr>
          <w:rFonts w:asciiTheme="minorHAnsi" w:hAnsiTheme="minorHAnsi"/>
          <w:iCs/>
        </w:rPr>
        <w:t xml:space="preserve">Doing so may have incorrectly estimated the total landcover within the city that is covered by trees. In a study by MacFaden et al. (2012), they devised a method that allowed them to classify individual trees in New York City. </w:t>
      </w:r>
      <w:r w:rsidR="004D2E99">
        <w:rPr>
          <w:rFonts w:asciiTheme="minorHAnsi" w:hAnsiTheme="minorHAnsi"/>
          <w:iCs/>
        </w:rPr>
        <w:t>Through this method</w:t>
      </w:r>
      <w:r w:rsidR="00BD1EDC">
        <w:rPr>
          <w:rFonts w:asciiTheme="minorHAnsi" w:hAnsiTheme="minorHAnsi"/>
          <w:iCs/>
        </w:rPr>
        <w:t xml:space="preserve"> a more accurate determination of a cit</w:t>
      </w:r>
      <w:r w:rsidR="004D2E99">
        <w:rPr>
          <w:rFonts w:asciiTheme="minorHAnsi" w:hAnsiTheme="minorHAnsi"/>
          <w:iCs/>
        </w:rPr>
        <w:t>y’s</w:t>
      </w:r>
      <w:r w:rsidR="00BD1EDC">
        <w:rPr>
          <w:rFonts w:asciiTheme="minorHAnsi" w:hAnsiTheme="minorHAnsi"/>
          <w:iCs/>
        </w:rPr>
        <w:t xml:space="preserve"> tree inventory and distribution </w:t>
      </w:r>
      <w:r w:rsidR="004D2E99">
        <w:rPr>
          <w:rFonts w:asciiTheme="minorHAnsi" w:hAnsiTheme="minorHAnsi"/>
          <w:iCs/>
        </w:rPr>
        <w:t xml:space="preserve">is obtained. By developing a landcover classification map that utilizes imagery taken during peak summertime (June) and can classify individual trees, </w:t>
      </w:r>
      <w:r w:rsidR="00D245D6">
        <w:rPr>
          <w:rFonts w:asciiTheme="minorHAnsi" w:hAnsiTheme="minorHAnsi"/>
          <w:iCs/>
        </w:rPr>
        <w:t xml:space="preserve">we </w:t>
      </w:r>
      <w:r w:rsidR="004D2E99">
        <w:rPr>
          <w:rFonts w:asciiTheme="minorHAnsi" w:hAnsiTheme="minorHAnsi"/>
          <w:iCs/>
        </w:rPr>
        <w:t xml:space="preserve">would be able calculate a more </w:t>
      </w:r>
      <w:r w:rsidR="009F195C">
        <w:rPr>
          <w:rFonts w:asciiTheme="minorHAnsi" w:hAnsiTheme="minorHAnsi"/>
          <w:iCs/>
        </w:rPr>
        <w:t>accurate</w:t>
      </w:r>
      <w:r w:rsidR="004D2E99">
        <w:rPr>
          <w:rFonts w:asciiTheme="minorHAnsi" w:hAnsiTheme="minorHAnsi"/>
          <w:iCs/>
        </w:rPr>
        <w:t xml:space="preserve"> supply of carbon and air pollution removal performed by </w:t>
      </w:r>
      <w:r w:rsidR="0094645A">
        <w:rPr>
          <w:rFonts w:asciiTheme="minorHAnsi" w:hAnsiTheme="minorHAnsi"/>
          <w:iCs/>
        </w:rPr>
        <w:t>vegetation</w:t>
      </w:r>
      <w:r w:rsidR="004D2E99">
        <w:rPr>
          <w:rFonts w:asciiTheme="minorHAnsi" w:hAnsiTheme="minorHAnsi"/>
          <w:iCs/>
        </w:rPr>
        <w:t xml:space="preserve"> in Rochester. </w:t>
      </w:r>
    </w:p>
    <w:p w14:paraId="50CD9E68" w14:textId="0CB5E9BC" w:rsidR="0090600A" w:rsidRDefault="0090600A" w:rsidP="00871CD7">
      <w:pPr>
        <w:spacing w:line="360" w:lineRule="auto"/>
        <w:rPr>
          <w:rFonts w:asciiTheme="minorHAnsi" w:hAnsiTheme="minorHAnsi"/>
          <w:iCs/>
        </w:rPr>
      </w:pPr>
      <w:r>
        <w:rPr>
          <w:rFonts w:asciiTheme="minorHAnsi" w:hAnsiTheme="minorHAnsi"/>
          <w:iCs/>
        </w:rPr>
        <w:tab/>
        <w:t xml:space="preserve">Another limitation that occurred when calculating the supply of UES in the city was the lack of Rochester-based coefficients. When calculating the rate of carbon and air pollution removal by UGS features such as trees, fine vegetation, and urban soils, </w:t>
      </w:r>
      <w:r w:rsidR="00D245D6">
        <w:rPr>
          <w:rFonts w:asciiTheme="minorHAnsi" w:hAnsiTheme="minorHAnsi"/>
          <w:iCs/>
        </w:rPr>
        <w:t xml:space="preserve">we </w:t>
      </w:r>
      <w:r>
        <w:rPr>
          <w:rFonts w:asciiTheme="minorHAnsi" w:hAnsiTheme="minorHAnsi"/>
          <w:iCs/>
        </w:rPr>
        <w:t>used coefficients from studies that calculated these removal rates from cities like Buffalo</w:t>
      </w:r>
      <w:r w:rsidR="000E59BA">
        <w:rPr>
          <w:rFonts w:asciiTheme="minorHAnsi" w:hAnsiTheme="minorHAnsi"/>
          <w:iCs/>
        </w:rPr>
        <w:t xml:space="preserve"> and </w:t>
      </w:r>
      <w:r>
        <w:rPr>
          <w:rFonts w:asciiTheme="minorHAnsi" w:hAnsiTheme="minorHAnsi"/>
          <w:iCs/>
        </w:rPr>
        <w:t>Syracuse</w:t>
      </w:r>
      <w:r w:rsidR="000E59BA">
        <w:rPr>
          <w:rFonts w:asciiTheme="minorHAnsi" w:hAnsiTheme="minorHAnsi"/>
          <w:iCs/>
        </w:rPr>
        <w:t>, NY, and Chicago, IL</w:t>
      </w:r>
      <w:r>
        <w:rPr>
          <w:rFonts w:asciiTheme="minorHAnsi" w:hAnsiTheme="minorHAnsi"/>
          <w:iCs/>
        </w:rPr>
        <w:t xml:space="preserve">. </w:t>
      </w:r>
      <w:r w:rsidR="00130D9E">
        <w:rPr>
          <w:rFonts w:asciiTheme="minorHAnsi" w:hAnsiTheme="minorHAnsi"/>
          <w:iCs/>
        </w:rPr>
        <w:t xml:space="preserve">While Buffalo and Syracuse are both New York cities that are </w:t>
      </w:r>
      <w:r w:rsidR="00130D9E">
        <w:rPr>
          <w:rFonts w:asciiTheme="minorHAnsi" w:hAnsiTheme="minorHAnsi"/>
          <w:iCs/>
        </w:rPr>
        <w:lastRenderedPageBreak/>
        <w:t>close in proximity and size to Rochester, that does not guarantee that they will have similar UGS features</w:t>
      </w:r>
      <w:r w:rsidR="000E59BA">
        <w:rPr>
          <w:rFonts w:asciiTheme="minorHAnsi" w:hAnsiTheme="minorHAnsi"/>
          <w:iCs/>
        </w:rPr>
        <w:t xml:space="preserve"> and</w:t>
      </w:r>
      <w:r w:rsidR="00DB7C09">
        <w:rPr>
          <w:rFonts w:asciiTheme="minorHAnsi" w:hAnsiTheme="minorHAnsi"/>
          <w:iCs/>
        </w:rPr>
        <w:t xml:space="preserve"> per vegetation</w:t>
      </w:r>
      <w:r w:rsidR="000E59BA">
        <w:rPr>
          <w:rFonts w:asciiTheme="minorHAnsi" w:hAnsiTheme="minorHAnsi"/>
          <w:iCs/>
        </w:rPr>
        <w:t xml:space="preserve"> UES supply </w:t>
      </w:r>
      <w:r w:rsidR="009F195C">
        <w:rPr>
          <w:rFonts w:asciiTheme="minorHAnsi" w:hAnsiTheme="minorHAnsi"/>
          <w:iCs/>
        </w:rPr>
        <w:t>coefficients</w:t>
      </w:r>
      <w:r w:rsidR="00130D9E">
        <w:rPr>
          <w:rFonts w:asciiTheme="minorHAnsi" w:hAnsiTheme="minorHAnsi"/>
          <w:iCs/>
        </w:rPr>
        <w:t>. Utilizing coefficients that measured the rate of carbon and air pollution by UGS features in Rochester would provide more accurate results o</w:t>
      </w:r>
      <w:r w:rsidR="00816F46">
        <w:rPr>
          <w:rFonts w:asciiTheme="minorHAnsi" w:hAnsiTheme="minorHAnsi"/>
          <w:iCs/>
        </w:rPr>
        <w:t>n the distribution</w:t>
      </w:r>
      <w:r w:rsidR="0094645A">
        <w:rPr>
          <w:rFonts w:asciiTheme="minorHAnsi" w:hAnsiTheme="minorHAnsi"/>
          <w:iCs/>
        </w:rPr>
        <w:t xml:space="preserve"> and supply of</w:t>
      </w:r>
      <w:r w:rsidR="00816F46">
        <w:rPr>
          <w:rFonts w:asciiTheme="minorHAnsi" w:hAnsiTheme="minorHAnsi"/>
          <w:iCs/>
        </w:rPr>
        <w:t xml:space="preserve"> UES in the city. </w:t>
      </w:r>
    </w:p>
    <w:p w14:paraId="5C016C2B" w14:textId="1D75440C" w:rsidR="004C6A41" w:rsidRDefault="007D0CB2" w:rsidP="00871CD7">
      <w:pPr>
        <w:spacing w:line="360" w:lineRule="auto"/>
        <w:rPr>
          <w:rFonts w:asciiTheme="minorHAnsi" w:hAnsiTheme="minorHAnsi"/>
          <w:iCs/>
        </w:rPr>
      </w:pPr>
      <w:r>
        <w:rPr>
          <w:rFonts w:asciiTheme="minorHAnsi" w:hAnsiTheme="minorHAnsi"/>
          <w:iCs/>
        </w:rPr>
        <w:tab/>
      </w:r>
      <w:r w:rsidR="00D245D6">
        <w:rPr>
          <w:rFonts w:asciiTheme="minorHAnsi" w:hAnsiTheme="minorHAnsi"/>
          <w:iCs/>
        </w:rPr>
        <w:t>Another</w:t>
      </w:r>
      <w:r>
        <w:rPr>
          <w:rFonts w:asciiTheme="minorHAnsi" w:hAnsiTheme="minorHAnsi"/>
          <w:iCs/>
        </w:rPr>
        <w:t xml:space="preserve"> limitation </w:t>
      </w:r>
      <w:r w:rsidR="00142FB2">
        <w:rPr>
          <w:rFonts w:asciiTheme="minorHAnsi" w:hAnsiTheme="minorHAnsi"/>
          <w:iCs/>
        </w:rPr>
        <w:t>related to</w:t>
      </w:r>
      <w:r>
        <w:rPr>
          <w:rFonts w:asciiTheme="minorHAnsi" w:hAnsiTheme="minorHAnsi"/>
          <w:iCs/>
        </w:rPr>
        <w:t xml:space="preserve"> a lack of data availability </w:t>
      </w:r>
      <w:r w:rsidR="00142FB2">
        <w:rPr>
          <w:rFonts w:asciiTheme="minorHAnsi" w:hAnsiTheme="minorHAnsi"/>
          <w:iCs/>
        </w:rPr>
        <w:t>concern</w:t>
      </w:r>
      <w:r w:rsidR="00EF4AAB">
        <w:rPr>
          <w:rFonts w:asciiTheme="minorHAnsi" w:hAnsiTheme="minorHAnsi"/>
          <w:iCs/>
        </w:rPr>
        <w:t>s</w:t>
      </w:r>
      <w:r>
        <w:rPr>
          <w:rFonts w:asciiTheme="minorHAnsi" w:hAnsiTheme="minorHAnsi"/>
          <w:iCs/>
        </w:rPr>
        <w:t xml:space="preserve"> the UES supply model for recreation potential. </w:t>
      </w:r>
      <w:r w:rsidR="00142FB2">
        <w:rPr>
          <w:rFonts w:asciiTheme="minorHAnsi" w:hAnsiTheme="minorHAnsi"/>
          <w:iCs/>
        </w:rPr>
        <w:t>This model show</w:t>
      </w:r>
      <w:r w:rsidR="00045005">
        <w:rPr>
          <w:rFonts w:asciiTheme="minorHAnsi" w:hAnsiTheme="minorHAnsi"/>
          <w:iCs/>
        </w:rPr>
        <w:t>s</w:t>
      </w:r>
      <w:r w:rsidR="00142FB2">
        <w:rPr>
          <w:rFonts w:asciiTheme="minorHAnsi" w:hAnsiTheme="minorHAnsi"/>
          <w:iCs/>
        </w:rPr>
        <w:t xml:space="preserve"> the greatest disparity in UES supply</w:t>
      </w:r>
      <w:r w:rsidR="004C6A41">
        <w:rPr>
          <w:rFonts w:asciiTheme="minorHAnsi" w:hAnsiTheme="minorHAnsi"/>
          <w:iCs/>
        </w:rPr>
        <w:t xml:space="preserve"> for all four indicators</w:t>
      </w:r>
      <w:r w:rsidR="00142FB2">
        <w:rPr>
          <w:rFonts w:asciiTheme="minorHAnsi" w:hAnsiTheme="minorHAnsi"/>
          <w:iCs/>
        </w:rPr>
        <w:t xml:space="preserve">, as block groups surrounding the Olmsted </w:t>
      </w:r>
      <w:r w:rsidR="00AE682D">
        <w:rPr>
          <w:rFonts w:asciiTheme="minorHAnsi" w:hAnsiTheme="minorHAnsi"/>
          <w:iCs/>
        </w:rPr>
        <w:t>P</w:t>
      </w:r>
      <w:r w:rsidR="00142FB2">
        <w:rPr>
          <w:rFonts w:asciiTheme="minorHAnsi" w:hAnsiTheme="minorHAnsi"/>
          <w:iCs/>
        </w:rPr>
        <w:t xml:space="preserve">ark </w:t>
      </w:r>
      <w:r w:rsidR="00AE682D">
        <w:rPr>
          <w:rFonts w:asciiTheme="minorHAnsi" w:hAnsiTheme="minorHAnsi"/>
          <w:iCs/>
        </w:rPr>
        <w:t>S</w:t>
      </w:r>
      <w:r w:rsidR="00142FB2">
        <w:rPr>
          <w:rFonts w:asciiTheme="minorHAnsi" w:hAnsiTheme="minorHAnsi"/>
          <w:iCs/>
        </w:rPr>
        <w:t xml:space="preserve">ystem to the </w:t>
      </w:r>
      <w:r w:rsidR="00045005">
        <w:rPr>
          <w:rFonts w:asciiTheme="minorHAnsi" w:hAnsiTheme="minorHAnsi"/>
          <w:iCs/>
        </w:rPr>
        <w:t>n</w:t>
      </w:r>
      <w:r w:rsidR="00142FB2">
        <w:rPr>
          <w:rFonts w:asciiTheme="minorHAnsi" w:hAnsiTheme="minorHAnsi"/>
          <w:iCs/>
        </w:rPr>
        <w:t xml:space="preserve">orth and </w:t>
      </w:r>
      <w:r w:rsidR="00045005">
        <w:rPr>
          <w:rFonts w:asciiTheme="minorHAnsi" w:hAnsiTheme="minorHAnsi"/>
          <w:iCs/>
        </w:rPr>
        <w:t>s</w:t>
      </w:r>
      <w:r w:rsidR="00142FB2">
        <w:rPr>
          <w:rFonts w:asciiTheme="minorHAnsi" w:hAnsiTheme="minorHAnsi"/>
          <w:iCs/>
        </w:rPr>
        <w:t xml:space="preserve">outh of the city have the </w:t>
      </w:r>
      <w:r w:rsidR="00A977D3">
        <w:rPr>
          <w:rFonts w:asciiTheme="minorHAnsi" w:hAnsiTheme="minorHAnsi"/>
          <w:iCs/>
        </w:rPr>
        <w:t xml:space="preserve">greatest </w:t>
      </w:r>
      <w:r w:rsidR="006E15F1">
        <w:rPr>
          <w:rFonts w:asciiTheme="minorHAnsi" w:hAnsiTheme="minorHAnsi"/>
          <w:iCs/>
        </w:rPr>
        <w:t>recreation potential</w:t>
      </w:r>
      <w:r w:rsidR="00142FB2">
        <w:rPr>
          <w:rFonts w:asciiTheme="minorHAnsi" w:hAnsiTheme="minorHAnsi"/>
          <w:iCs/>
        </w:rPr>
        <w:t xml:space="preserve"> (Fig. 2D). </w:t>
      </w:r>
      <w:r w:rsidR="006E15F1">
        <w:rPr>
          <w:rFonts w:asciiTheme="minorHAnsi" w:hAnsiTheme="minorHAnsi"/>
          <w:iCs/>
        </w:rPr>
        <w:t>Conversely,</w:t>
      </w:r>
      <w:r w:rsidR="00142FB2">
        <w:rPr>
          <w:rFonts w:asciiTheme="minorHAnsi" w:hAnsiTheme="minorHAnsi"/>
          <w:iCs/>
        </w:rPr>
        <w:t xml:space="preserve"> block groups to the </w:t>
      </w:r>
      <w:r w:rsidR="00045005">
        <w:rPr>
          <w:rFonts w:asciiTheme="minorHAnsi" w:hAnsiTheme="minorHAnsi"/>
          <w:iCs/>
        </w:rPr>
        <w:t>e</w:t>
      </w:r>
      <w:r w:rsidR="00142FB2">
        <w:rPr>
          <w:rFonts w:asciiTheme="minorHAnsi" w:hAnsiTheme="minorHAnsi"/>
          <w:iCs/>
        </w:rPr>
        <w:t>ast and</w:t>
      </w:r>
      <w:r w:rsidR="00045005">
        <w:rPr>
          <w:rFonts w:asciiTheme="minorHAnsi" w:hAnsiTheme="minorHAnsi"/>
          <w:iCs/>
        </w:rPr>
        <w:t xml:space="preserve"> w</w:t>
      </w:r>
      <w:r w:rsidR="00142FB2">
        <w:rPr>
          <w:rFonts w:asciiTheme="minorHAnsi" w:hAnsiTheme="minorHAnsi"/>
          <w:iCs/>
        </w:rPr>
        <w:t>est</w:t>
      </w:r>
      <w:r w:rsidR="00045005">
        <w:rPr>
          <w:rFonts w:asciiTheme="minorHAnsi" w:hAnsiTheme="minorHAnsi"/>
          <w:iCs/>
        </w:rPr>
        <w:t xml:space="preserve">, where only smaller parks are located (Fig. 1), </w:t>
      </w:r>
      <w:r w:rsidR="00142FB2">
        <w:rPr>
          <w:rFonts w:asciiTheme="minorHAnsi" w:hAnsiTheme="minorHAnsi"/>
          <w:iCs/>
        </w:rPr>
        <w:t>ha</w:t>
      </w:r>
      <w:r w:rsidR="006E15F1">
        <w:rPr>
          <w:rFonts w:asciiTheme="minorHAnsi" w:hAnsiTheme="minorHAnsi"/>
          <w:iCs/>
        </w:rPr>
        <w:t>ve</w:t>
      </w:r>
      <w:r w:rsidR="00142FB2">
        <w:rPr>
          <w:rFonts w:asciiTheme="minorHAnsi" w:hAnsiTheme="minorHAnsi"/>
          <w:iCs/>
        </w:rPr>
        <w:t xml:space="preserve"> little to no value of recreation potential, despite having high values for the other three UES indicators (Fig. 2A-C). One reason for this may be because of the tightened scope of where </w:t>
      </w:r>
      <w:r w:rsidR="00D245D6">
        <w:rPr>
          <w:rFonts w:asciiTheme="minorHAnsi" w:hAnsiTheme="minorHAnsi"/>
          <w:iCs/>
        </w:rPr>
        <w:t xml:space="preserve">we </w:t>
      </w:r>
      <w:r w:rsidR="00815DB0">
        <w:rPr>
          <w:rFonts w:asciiTheme="minorHAnsi" w:hAnsiTheme="minorHAnsi"/>
          <w:iCs/>
        </w:rPr>
        <w:t xml:space="preserve">determined </w:t>
      </w:r>
      <w:r w:rsidR="00142FB2">
        <w:rPr>
          <w:rFonts w:asciiTheme="minorHAnsi" w:hAnsiTheme="minorHAnsi"/>
          <w:iCs/>
        </w:rPr>
        <w:t>residents c</w:t>
      </w:r>
      <w:r w:rsidR="006F3237">
        <w:rPr>
          <w:rFonts w:asciiTheme="minorHAnsi" w:hAnsiTheme="minorHAnsi"/>
          <w:iCs/>
        </w:rPr>
        <w:t>an</w:t>
      </w:r>
      <w:r w:rsidR="00142FB2">
        <w:rPr>
          <w:rFonts w:asciiTheme="minorHAnsi" w:hAnsiTheme="minorHAnsi"/>
          <w:iCs/>
        </w:rPr>
        <w:t xml:space="preserve"> experience recreation. When calculating </w:t>
      </w:r>
      <w:r w:rsidR="00A977D3">
        <w:rPr>
          <w:rFonts w:asciiTheme="minorHAnsi" w:hAnsiTheme="minorHAnsi"/>
          <w:iCs/>
        </w:rPr>
        <w:t xml:space="preserve">the </w:t>
      </w:r>
      <w:r w:rsidR="00142FB2">
        <w:rPr>
          <w:rFonts w:asciiTheme="minorHAnsi" w:hAnsiTheme="minorHAnsi"/>
          <w:iCs/>
        </w:rPr>
        <w:t xml:space="preserve">access </w:t>
      </w:r>
      <w:r w:rsidR="00045005">
        <w:rPr>
          <w:rFonts w:asciiTheme="minorHAnsi" w:hAnsiTheme="minorHAnsi"/>
          <w:iCs/>
        </w:rPr>
        <w:t xml:space="preserve">residents have </w:t>
      </w:r>
      <w:r w:rsidR="00142FB2">
        <w:rPr>
          <w:rFonts w:asciiTheme="minorHAnsi" w:hAnsiTheme="minorHAnsi"/>
          <w:iCs/>
        </w:rPr>
        <w:t>to recreation</w:t>
      </w:r>
      <w:r w:rsidR="005C737F">
        <w:rPr>
          <w:rFonts w:asciiTheme="minorHAnsi" w:hAnsiTheme="minorHAnsi"/>
          <w:iCs/>
        </w:rPr>
        <w:t>al opportunities,</w:t>
      </w:r>
      <w:r w:rsidR="00045005">
        <w:rPr>
          <w:rFonts w:asciiTheme="minorHAnsi" w:hAnsiTheme="minorHAnsi"/>
          <w:iCs/>
        </w:rPr>
        <w:t xml:space="preserve"> </w:t>
      </w:r>
      <w:r w:rsidR="00D245D6">
        <w:rPr>
          <w:rFonts w:asciiTheme="minorHAnsi" w:hAnsiTheme="minorHAnsi"/>
          <w:iCs/>
        </w:rPr>
        <w:t xml:space="preserve">we </w:t>
      </w:r>
      <w:r w:rsidR="00142FB2">
        <w:rPr>
          <w:rFonts w:asciiTheme="minorHAnsi" w:hAnsiTheme="minorHAnsi"/>
          <w:iCs/>
        </w:rPr>
        <w:t>limited it to areas</w:t>
      </w:r>
      <w:r w:rsidR="00045005">
        <w:rPr>
          <w:rFonts w:asciiTheme="minorHAnsi" w:hAnsiTheme="minorHAnsi"/>
          <w:iCs/>
        </w:rPr>
        <w:t xml:space="preserve"> such as parks, playgrounds, and recreation centers</w:t>
      </w:r>
      <w:r w:rsidR="007F3CA1">
        <w:rPr>
          <w:rFonts w:asciiTheme="minorHAnsi" w:hAnsiTheme="minorHAnsi"/>
          <w:iCs/>
        </w:rPr>
        <w:t>,</w:t>
      </w:r>
      <w:r w:rsidR="00045005">
        <w:rPr>
          <w:rFonts w:asciiTheme="minorHAnsi" w:hAnsiTheme="minorHAnsi"/>
          <w:iCs/>
        </w:rPr>
        <w:t xml:space="preserve"> </w:t>
      </w:r>
      <w:r w:rsidR="006F3237">
        <w:rPr>
          <w:rFonts w:asciiTheme="minorHAnsi" w:hAnsiTheme="minorHAnsi"/>
          <w:iCs/>
        </w:rPr>
        <w:t xml:space="preserve">which was </w:t>
      </w:r>
      <w:r w:rsidR="00045005">
        <w:rPr>
          <w:rFonts w:asciiTheme="minorHAnsi" w:hAnsiTheme="minorHAnsi"/>
          <w:iCs/>
        </w:rPr>
        <w:t xml:space="preserve">based on the </w:t>
      </w:r>
      <w:r w:rsidR="00D245D6">
        <w:rPr>
          <w:rFonts w:asciiTheme="minorHAnsi" w:hAnsiTheme="minorHAnsi"/>
          <w:iCs/>
        </w:rPr>
        <w:t xml:space="preserve">available data from </w:t>
      </w:r>
      <w:r w:rsidR="00045005">
        <w:rPr>
          <w:rFonts w:asciiTheme="minorHAnsi" w:hAnsiTheme="minorHAnsi"/>
          <w:iCs/>
        </w:rPr>
        <w:t xml:space="preserve">the Monroe County GIS </w:t>
      </w:r>
      <w:r w:rsidR="00815DB0">
        <w:rPr>
          <w:rFonts w:asciiTheme="minorHAnsi" w:hAnsiTheme="minorHAnsi"/>
          <w:iCs/>
        </w:rPr>
        <w:t>D</w:t>
      </w:r>
      <w:r w:rsidR="00045005">
        <w:rPr>
          <w:rFonts w:asciiTheme="minorHAnsi" w:hAnsiTheme="minorHAnsi"/>
          <w:iCs/>
        </w:rPr>
        <w:t>epartment</w:t>
      </w:r>
      <w:r w:rsidR="008D50B5">
        <w:rPr>
          <w:rFonts w:asciiTheme="minorHAnsi" w:hAnsiTheme="minorHAnsi"/>
          <w:iCs/>
        </w:rPr>
        <w:t xml:space="preserve"> (2020)</w:t>
      </w:r>
      <w:r w:rsidR="00045005">
        <w:rPr>
          <w:rFonts w:asciiTheme="minorHAnsi" w:hAnsiTheme="minorHAnsi"/>
          <w:iCs/>
        </w:rPr>
        <w:t>. However, studies have shown that city residents can also experience recreation and other cultural services in natural vegetated areas such as urban forests and smaller neighborhood scale</w:t>
      </w:r>
      <w:r w:rsidR="00A977D3">
        <w:rPr>
          <w:rFonts w:asciiTheme="minorHAnsi" w:hAnsiTheme="minorHAnsi"/>
          <w:iCs/>
        </w:rPr>
        <w:t xml:space="preserve"> </w:t>
      </w:r>
      <w:r w:rsidR="00045005">
        <w:rPr>
          <w:rFonts w:asciiTheme="minorHAnsi" w:hAnsiTheme="minorHAnsi"/>
          <w:iCs/>
        </w:rPr>
        <w:t xml:space="preserve">green spaces </w:t>
      </w:r>
      <w:r w:rsidR="005C737F">
        <w:rPr>
          <w:rFonts w:asciiTheme="minorHAnsi" w:hAnsiTheme="minorHAnsi"/>
          <w:iCs/>
        </w:rPr>
        <w:t>such as</w:t>
      </w:r>
      <w:r w:rsidR="00045005">
        <w:rPr>
          <w:rFonts w:asciiTheme="minorHAnsi" w:hAnsiTheme="minorHAnsi"/>
          <w:iCs/>
        </w:rPr>
        <w:t xml:space="preserve"> community gardens</w:t>
      </w:r>
      <w:r w:rsidR="00F15709">
        <w:rPr>
          <w:rFonts w:asciiTheme="minorHAnsi" w:hAnsiTheme="minorHAnsi"/>
          <w:iCs/>
        </w:rPr>
        <w:t xml:space="preserve"> (Rall et al., 2018; Calvet-Mir et al., 2012)</w:t>
      </w:r>
      <w:r w:rsidR="00045005">
        <w:rPr>
          <w:rFonts w:asciiTheme="minorHAnsi" w:hAnsiTheme="minorHAnsi"/>
          <w:iCs/>
        </w:rPr>
        <w:t xml:space="preserve">. </w:t>
      </w:r>
      <w:r w:rsidR="006E15F1">
        <w:rPr>
          <w:rFonts w:asciiTheme="minorHAnsi" w:hAnsiTheme="minorHAnsi"/>
          <w:iCs/>
        </w:rPr>
        <w:t xml:space="preserve">Failing to account for </w:t>
      </w:r>
      <w:r w:rsidR="007F3CA1">
        <w:rPr>
          <w:rFonts w:asciiTheme="minorHAnsi" w:hAnsiTheme="minorHAnsi"/>
          <w:iCs/>
        </w:rPr>
        <w:t xml:space="preserve">these </w:t>
      </w:r>
      <w:r w:rsidR="006E15F1">
        <w:rPr>
          <w:rFonts w:asciiTheme="minorHAnsi" w:hAnsiTheme="minorHAnsi"/>
          <w:iCs/>
        </w:rPr>
        <w:t>areas does</w:t>
      </w:r>
      <w:r w:rsidR="007F3CA1">
        <w:rPr>
          <w:rFonts w:asciiTheme="minorHAnsi" w:hAnsiTheme="minorHAnsi"/>
          <w:iCs/>
        </w:rPr>
        <w:t xml:space="preserve"> not </w:t>
      </w:r>
      <w:r w:rsidR="00815DB0">
        <w:rPr>
          <w:rFonts w:asciiTheme="minorHAnsi" w:hAnsiTheme="minorHAnsi"/>
          <w:iCs/>
        </w:rPr>
        <w:t>demonstrate</w:t>
      </w:r>
      <w:r w:rsidR="006E15F1">
        <w:rPr>
          <w:rFonts w:asciiTheme="minorHAnsi" w:hAnsiTheme="minorHAnsi"/>
          <w:iCs/>
        </w:rPr>
        <w:t xml:space="preserve"> the full scope of areas </w:t>
      </w:r>
      <w:r w:rsidR="006F3237">
        <w:rPr>
          <w:rFonts w:asciiTheme="minorHAnsi" w:hAnsiTheme="minorHAnsi"/>
          <w:iCs/>
        </w:rPr>
        <w:t xml:space="preserve">that </w:t>
      </w:r>
      <w:r w:rsidR="006E15F1">
        <w:rPr>
          <w:rFonts w:asciiTheme="minorHAnsi" w:hAnsiTheme="minorHAnsi"/>
          <w:iCs/>
        </w:rPr>
        <w:t>residents of Rochester have access to</w:t>
      </w:r>
      <w:r w:rsidR="005C737F">
        <w:rPr>
          <w:rFonts w:asciiTheme="minorHAnsi" w:hAnsiTheme="minorHAnsi"/>
          <w:iCs/>
        </w:rPr>
        <w:t xml:space="preserve"> for recreational opportunities</w:t>
      </w:r>
      <w:r w:rsidR="00B52E40">
        <w:rPr>
          <w:rFonts w:asciiTheme="minorHAnsi" w:hAnsiTheme="minorHAnsi"/>
          <w:iCs/>
        </w:rPr>
        <w:t xml:space="preserve"> and other cultural services</w:t>
      </w:r>
      <w:r w:rsidR="006E15F1">
        <w:rPr>
          <w:rFonts w:asciiTheme="minorHAnsi" w:hAnsiTheme="minorHAnsi"/>
          <w:iCs/>
        </w:rPr>
        <w:t xml:space="preserve">. </w:t>
      </w:r>
    </w:p>
    <w:p w14:paraId="6BFBB3C9" w14:textId="32A44834" w:rsidR="00A977D3" w:rsidRPr="00045005" w:rsidRDefault="00A977D3" w:rsidP="004C6A41">
      <w:pPr>
        <w:spacing w:line="360" w:lineRule="auto"/>
        <w:ind w:firstLine="720"/>
        <w:rPr>
          <w:rFonts w:asciiTheme="minorHAnsi" w:hAnsiTheme="minorHAnsi"/>
          <w:iCs/>
        </w:rPr>
      </w:pPr>
      <w:r>
        <w:rPr>
          <w:rFonts w:asciiTheme="minorHAnsi" w:hAnsiTheme="minorHAnsi"/>
          <w:iCs/>
        </w:rPr>
        <w:t xml:space="preserve">The other limitation for the recreation potential model was that even though some block groups have access to up to 945 acres of parkland, there was no way to </w:t>
      </w:r>
      <w:r w:rsidR="007F3CA1">
        <w:rPr>
          <w:rFonts w:asciiTheme="minorHAnsi" w:hAnsiTheme="minorHAnsi"/>
          <w:iCs/>
        </w:rPr>
        <w:t>determine</w:t>
      </w:r>
      <w:r>
        <w:rPr>
          <w:rFonts w:asciiTheme="minorHAnsi" w:hAnsiTheme="minorHAnsi"/>
          <w:iCs/>
        </w:rPr>
        <w:t xml:space="preserve"> if those residents actually use </w:t>
      </w:r>
      <w:r w:rsidR="00BA76F0">
        <w:rPr>
          <w:rFonts w:asciiTheme="minorHAnsi" w:hAnsiTheme="minorHAnsi"/>
          <w:iCs/>
        </w:rPr>
        <w:t>all of that parkland</w:t>
      </w:r>
      <w:r>
        <w:rPr>
          <w:rFonts w:asciiTheme="minorHAnsi" w:hAnsiTheme="minorHAnsi"/>
          <w:iCs/>
        </w:rPr>
        <w:t>.</w:t>
      </w:r>
      <w:r w:rsidR="005C737F">
        <w:rPr>
          <w:rFonts w:asciiTheme="minorHAnsi" w:hAnsiTheme="minorHAnsi"/>
          <w:iCs/>
        </w:rPr>
        <w:t xml:space="preserve"> To elaborate, </w:t>
      </w:r>
      <w:r w:rsidR="004C6A41">
        <w:rPr>
          <w:rFonts w:asciiTheme="minorHAnsi" w:hAnsiTheme="minorHAnsi"/>
          <w:iCs/>
        </w:rPr>
        <w:t xml:space="preserve">the </w:t>
      </w:r>
      <w:r w:rsidR="005C737F">
        <w:rPr>
          <w:rFonts w:asciiTheme="minorHAnsi" w:hAnsiTheme="minorHAnsi"/>
          <w:iCs/>
        </w:rPr>
        <w:t>type</w:t>
      </w:r>
      <w:r w:rsidR="004C6A41">
        <w:rPr>
          <w:rFonts w:asciiTheme="minorHAnsi" w:hAnsiTheme="minorHAnsi"/>
          <w:iCs/>
        </w:rPr>
        <w:t>s</w:t>
      </w:r>
      <w:r w:rsidR="005C737F">
        <w:rPr>
          <w:rFonts w:asciiTheme="minorHAnsi" w:hAnsiTheme="minorHAnsi"/>
          <w:iCs/>
        </w:rPr>
        <w:t xml:space="preserve"> of facilities </w:t>
      </w:r>
      <w:r w:rsidR="004C6A41">
        <w:rPr>
          <w:rFonts w:asciiTheme="minorHAnsi" w:hAnsiTheme="minorHAnsi"/>
          <w:iCs/>
        </w:rPr>
        <w:t>and the</w:t>
      </w:r>
      <w:r w:rsidR="005C737F">
        <w:rPr>
          <w:rFonts w:asciiTheme="minorHAnsi" w:hAnsiTheme="minorHAnsi"/>
          <w:iCs/>
        </w:rPr>
        <w:t xml:space="preserve"> quality of the parks </w:t>
      </w:r>
      <w:r w:rsidR="004C6A41">
        <w:rPr>
          <w:rFonts w:asciiTheme="minorHAnsi" w:hAnsiTheme="minorHAnsi"/>
          <w:iCs/>
        </w:rPr>
        <w:t xml:space="preserve">that residents have access to </w:t>
      </w:r>
      <w:r w:rsidR="005C737F">
        <w:rPr>
          <w:rFonts w:asciiTheme="minorHAnsi" w:hAnsiTheme="minorHAnsi"/>
          <w:iCs/>
        </w:rPr>
        <w:t>may not be suited t</w:t>
      </w:r>
      <w:r w:rsidR="004C6A41">
        <w:rPr>
          <w:rFonts w:asciiTheme="minorHAnsi" w:hAnsiTheme="minorHAnsi"/>
          <w:iCs/>
        </w:rPr>
        <w:t>o t</w:t>
      </w:r>
      <w:r w:rsidR="005C737F">
        <w:rPr>
          <w:rFonts w:asciiTheme="minorHAnsi" w:hAnsiTheme="minorHAnsi"/>
          <w:iCs/>
        </w:rPr>
        <w:t xml:space="preserve">he types of recreation or other cultural services that </w:t>
      </w:r>
      <w:r w:rsidR="004C6A41">
        <w:rPr>
          <w:rFonts w:asciiTheme="minorHAnsi" w:hAnsiTheme="minorHAnsi"/>
          <w:iCs/>
        </w:rPr>
        <w:t xml:space="preserve">they </w:t>
      </w:r>
      <w:r w:rsidR="005C737F">
        <w:rPr>
          <w:rFonts w:asciiTheme="minorHAnsi" w:hAnsiTheme="minorHAnsi"/>
          <w:iCs/>
        </w:rPr>
        <w:t xml:space="preserve">desire. </w:t>
      </w:r>
      <w:r w:rsidR="004C6A41">
        <w:rPr>
          <w:rFonts w:asciiTheme="minorHAnsi" w:hAnsiTheme="minorHAnsi"/>
          <w:iCs/>
        </w:rPr>
        <w:t>In a study by Rigolon et al. (2018</w:t>
      </w:r>
      <w:r w:rsidR="00B52E40">
        <w:rPr>
          <w:rFonts w:asciiTheme="minorHAnsi" w:hAnsiTheme="minorHAnsi"/>
          <w:iCs/>
        </w:rPr>
        <w:t>), researchers</w:t>
      </w:r>
      <w:r w:rsidR="004C6A41">
        <w:rPr>
          <w:rFonts w:asciiTheme="minorHAnsi" w:hAnsiTheme="minorHAnsi"/>
          <w:iCs/>
        </w:rPr>
        <w:t xml:space="preserve"> assessed the inequity of parks in U.S. cities</w:t>
      </w:r>
      <w:r w:rsidR="007F3CA1">
        <w:rPr>
          <w:rFonts w:asciiTheme="minorHAnsi" w:hAnsiTheme="minorHAnsi"/>
          <w:iCs/>
        </w:rPr>
        <w:t xml:space="preserve"> by using t</w:t>
      </w:r>
      <w:r w:rsidR="006F3237">
        <w:rPr>
          <w:rFonts w:asciiTheme="minorHAnsi" w:hAnsiTheme="minorHAnsi"/>
          <w:iCs/>
        </w:rPr>
        <w:t>he Trust for Public Land ParkScore</w:t>
      </w:r>
      <w:r w:rsidR="007F3CA1">
        <w:rPr>
          <w:rFonts w:asciiTheme="minorHAnsi" w:hAnsiTheme="minorHAnsi"/>
          <w:iCs/>
        </w:rPr>
        <w:t>,</w:t>
      </w:r>
      <w:r w:rsidR="006F3237">
        <w:rPr>
          <w:rFonts w:asciiTheme="minorHAnsi" w:hAnsiTheme="minorHAnsi"/>
          <w:iCs/>
        </w:rPr>
        <w:t xml:space="preserve"> which accounts for park walkability access and park acreage</w:t>
      </w:r>
      <w:r w:rsidR="007F3CA1">
        <w:rPr>
          <w:rFonts w:asciiTheme="minorHAnsi" w:hAnsiTheme="minorHAnsi"/>
          <w:iCs/>
        </w:rPr>
        <w:t>, which were also measured in</w:t>
      </w:r>
      <w:r w:rsidR="006F3237">
        <w:rPr>
          <w:rFonts w:asciiTheme="minorHAnsi" w:hAnsiTheme="minorHAnsi"/>
          <w:iCs/>
        </w:rPr>
        <w:t xml:space="preserve"> </w:t>
      </w:r>
      <w:r w:rsidR="0005422E">
        <w:rPr>
          <w:rFonts w:asciiTheme="minorHAnsi" w:hAnsiTheme="minorHAnsi"/>
          <w:iCs/>
        </w:rPr>
        <w:t xml:space="preserve">our </w:t>
      </w:r>
      <w:r w:rsidR="006F3237">
        <w:rPr>
          <w:rFonts w:asciiTheme="minorHAnsi" w:hAnsiTheme="minorHAnsi"/>
          <w:iCs/>
        </w:rPr>
        <w:t>study</w:t>
      </w:r>
      <w:r w:rsidR="007F3CA1">
        <w:rPr>
          <w:rFonts w:asciiTheme="minorHAnsi" w:hAnsiTheme="minorHAnsi"/>
          <w:iCs/>
        </w:rPr>
        <w:t xml:space="preserve">. The ParkScore system </w:t>
      </w:r>
      <w:r w:rsidR="006F3237">
        <w:rPr>
          <w:rFonts w:asciiTheme="minorHAnsi" w:hAnsiTheme="minorHAnsi"/>
          <w:iCs/>
        </w:rPr>
        <w:t xml:space="preserve">also </w:t>
      </w:r>
      <w:r w:rsidR="004C6A41">
        <w:rPr>
          <w:rFonts w:asciiTheme="minorHAnsi" w:hAnsiTheme="minorHAnsi"/>
          <w:iCs/>
        </w:rPr>
        <w:t>measur</w:t>
      </w:r>
      <w:r w:rsidR="007F3CA1">
        <w:rPr>
          <w:rFonts w:asciiTheme="minorHAnsi" w:hAnsiTheme="minorHAnsi"/>
          <w:iCs/>
        </w:rPr>
        <w:t>es</w:t>
      </w:r>
      <w:r w:rsidR="004C6A41">
        <w:rPr>
          <w:rFonts w:asciiTheme="minorHAnsi" w:hAnsiTheme="minorHAnsi"/>
          <w:iCs/>
        </w:rPr>
        <w:t xml:space="preserve"> the state of facilities in parks (basketball courts, playground equipment, and dog parks) and the amount of money spent on park maintenance. </w:t>
      </w:r>
      <w:r w:rsidR="00EB262A">
        <w:rPr>
          <w:rFonts w:asciiTheme="minorHAnsi" w:hAnsiTheme="minorHAnsi"/>
          <w:iCs/>
        </w:rPr>
        <w:t>Using this scoring system</w:t>
      </w:r>
      <w:r w:rsidR="004C6A41">
        <w:rPr>
          <w:rFonts w:asciiTheme="minorHAnsi" w:hAnsiTheme="minorHAnsi"/>
          <w:iCs/>
        </w:rPr>
        <w:t xml:space="preserve"> g</w:t>
      </w:r>
      <w:r w:rsidR="00C03915">
        <w:rPr>
          <w:rFonts w:asciiTheme="minorHAnsi" w:hAnsiTheme="minorHAnsi"/>
          <w:iCs/>
        </w:rPr>
        <w:t>ave</w:t>
      </w:r>
      <w:r w:rsidR="004C6A41">
        <w:rPr>
          <w:rFonts w:asciiTheme="minorHAnsi" w:hAnsiTheme="minorHAnsi"/>
          <w:iCs/>
        </w:rPr>
        <w:t xml:space="preserve"> a more </w:t>
      </w:r>
      <w:r w:rsidR="00BA76F0">
        <w:rPr>
          <w:rFonts w:asciiTheme="minorHAnsi" w:hAnsiTheme="minorHAnsi"/>
          <w:iCs/>
        </w:rPr>
        <w:t>comprehensive</w:t>
      </w:r>
      <w:r w:rsidR="004C6A41">
        <w:rPr>
          <w:rFonts w:asciiTheme="minorHAnsi" w:hAnsiTheme="minorHAnsi"/>
          <w:iCs/>
        </w:rPr>
        <w:t xml:space="preserve"> result of how parks in U.S. cities are inequitable. </w:t>
      </w:r>
      <w:r w:rsidR="006F3237">
        <w:rPr>
          <w:rFonts w:asciiTheme="minorHAnsi" w:hAnsiTheme="minorHAnsi"/>
          <w:iCs/>
        </w:rPr>
        <w:t xml:space="preserve">Therefore, another way to improve </w:t>
      </w:r>
      <w:r w:rsidR="00D245D6">
        <w:rPr>
          <w:rFonts w:asciiTheme="minorHAnsi" w:hAnsiTheme="minorHAnsi"/>
          <w:iCs/>
        </w:rPr>
        <w:t>the</w:t>
      </w:r>
      <w:r w:rsidR="006F3237">
        <w:rPr>
          <w:rFonts w:asciiTheme="minorHAnsi" w:hAnsiTheme="minorHAnsi"/>
          <w:iCs/>
        </w:rPr>
        <w:t xml:space="preserve"> recreation </w:t>
      </w:r>
      <w:r w:rsidR="006F3237">
        <w:rPr>
          <w:rFonts w:asciiTheme="minorHAnsi" w:hAnsiTheme="minorHAnsi"/>
          <w:iCs/>
        </w:rPr>
        <w:lastRenderedPageBreak/>
        <w:t xml:space="preserve">potential model would be to utilize </w:t>
      </w:r>
      <w:r w:rsidR="00815DB0">
        <w:rPr>
          <w:rFonts w:asciiTheme="minorHAnsi" w:hAnsiTheme="minorHAnsi"/>
          <w:iCs/>
        </w:rPr>
        <w:t xml:space="preserve">a system </w:t>
      </w:r>
      <w:r w:rsidR="00041EBF">
        <w:rPr>
          <w:rFonts w:asciiTheme="minorHAnsi" w:hAnsiTheme="minorHAnsi"/>
          <w:iCs/>
        </w:rPr>
        <w:t>like</w:t>
      </w:r>
      <w:r w:rsidR="00815DB0">
        <w:rPr>
          <w:rFonts w:asciiTheme="minorHAnsi" w:hAnsiTheme="minorHAnsi"/>
          <w:iCs/>
        </w:rPr>
        <w:t xml:space="preserve"> </w:t>
      </w:r>
      <w:r w:rsidR="006F3237">
        <w:rPr>
          <w:rFonts w:asciiTheme="minorHAnsi" w:hAnsiTheme="minorHAnsi"/>
          <w:iCs/>
        </w:rPr>
        <w:t>The Trust for Public Land ParkScore while also surveying resident preferences on parks</w:t>
      </w:r>
      <w:r w:rsidR="00EB262A">
        <w:rPr>
          <w:rFonts w:asciiTheme="minorHAnsi" w:hAnsiTheme="minorHAnsi"/>
          <w:iCs/>
        </w:rPr>
        <w:t xml:space="preserve"> in their neighborhood</w:t>
      </w:r>
      <w:r w:rsidR="006F3237">
        <w:rPr>
          <w:rFonts w:asciiTheme="minorHAnsi" w:hAnsiTheme="minorHAnsi"/>
          <w:iCs/>
        </w:rPr>
        <w:t>. By doing so</w:t>
      </w:r>
      <w:r w:rsidR="007F3CA1">
        <w:rPr>
          <w:rFonts w:asciiTheme="minorHAnsi" w:hAnsiTheme="minorHAnsi"/>
          <w:iCs/>
        </w:rPr>
        <w:t>,</w:t>
      </w:r>
      <w:r w:rsidR="006F3237">
        <w:rPr>
          <w:rFonts w:asciiTheme="minorHAnsi" w:hAnsiTheme="minorHAnsi"/>
          <w:iCs/>
        </w:rPr>
        <w:t xml:space="preserve"> </w:t>
      </w:r>
      <w:r w:rsidR="00D245D6">
        <w:rPr>
          <w:rFonts w:asciiTheme="minorHAnsi" w:hAnsiTheme="minorHAnsi"/>
          <w:iCs/>
        </w:rPr>
        <w:t xml:space="preserve">a </w:t>
      </w:r>
      <w:r w:rsidR="006F3237">
        <w:rPr>
          <w:rFonts w:asciiTheme="minorHAnsi" w:hAnsiTheme="minorHAnsi"/>
          <w:iCs/>
        </w:rPr>
        <w:t xml:space="preserve">model will be able to more holistically capture the </w:t>
      </w:r>
      <w:r w:rsidR="00C03915">
        <w:rPr>
          <w:rFonts w:asciiTheme="minorHAnsi" w:hAnsiTheme="minorHAnsi"/>
          <w:iCs/>
        </w:rPr>
        <w:t xml:space="preserve">inequity and </w:t>
      </w:r>
      <w:r w:rsidR="006F3237">
        <w:rPr>
          <w:rFonts w:asciiTheme="minorHAnsi" w:hAnsiTheme="minorHAnsi"/>
          <w:iCs/>
        </w:rPr>
        <w:t xml:space="preserve">actual use of the parks </w:t>
      </w:r>
      <w:r w:rsidR="00BA76F0">
        <w:rPr>
          <w:rFonts w:asciiTheme="minorHAnsi" w:hAnsiTheme="minorHAnsi"/>
          <w:iCs/>
        </w:rPr>
        <w:t xml:space="preserve">that </w:t>
      </w:r>
      <w:r w:rsidR="006F3237">
        <w:rPr>
          <w:rFonts w:asciiTheme="minorHAnsi" w:hAnsiTheme="minorHAnsi"/>
          <w:iCs/>
        </w:rPr>
        <w:t xml:space="preserve">residents in Rochester have access to. </w:t>
      </w:r>
    </w:p>
    <w:p w14:paraId="6ECF7F86" w14:textId="552540C2" w:rsidR="00E14DA5" w:rsidRDefault="000E59BA" w:rsidP="00871CD7">
      <w:pPr>
        <w:spacing w:line="360" w:lineRule="auto"/>
        <w:rPr>
          <w:rFonts w:asciiTheme="minorHAnsi" w:hAnsiTheme="minorHAnsi"/>
          <w:iCs/>
        </w:rPr>
      </w:pPr>
      <w:r>
        <w:rPr>
          <w:rFonts w:asciiTheme="minorHAnsi" w:hAnsiTheme="minorHAnsi"/>
          <w:iCs/>
        </w:rPr>
        <w:tab/>
        <w:t xml:space="preserve">Aside from a lack of data </w:t>
      </w:r>
      <w:r w:rsidR="00B34B31">
        <w:rPr>
          <w:rFonts w:asciiTheme="minorHAnsi" w:hAnsiTheme="minorHAnsi"/>
          <w:iCs/>
        </w:rPr>
        <w:t xml:space="preserve">availability, </w:t>
      </w:r>
      <w:r w:rsidR="009F195C">
        <w:rPr>
          <w:rFonts w:asciiTheme="minorHAnsi" w:hAnsiTheme="minorHAnsi"/>
          <w:iCs/>
        </w:rPr>
        <w:t>the other limitation in this study was the lack of consideration</w:t>
      </w:r>
      <w:r w:rsidR="00B34B31">
        <w:rPr>
          <w:rFonts w:asciiTheme="minorHAnsi" w:hAnsiTheme="minorHAnsi"/>
          <w:iCs/>
        </w:rPr>
        <w:t xml:space="preserve"> </w:t>
      </w:r>
      <w:r w:rsidR="009F195C">
        <w:rPr>
          <w:rFonts w:asciiTheme="minorHAnsi" w:hAnsiTheme="minorHAnsi"/>
          <w:iCs/>
        </w:rPr>
        <w:t xml:space="preserve">of stakeholder input during </w:t>
      </w:r>
      <w:r w:rsidR="00B34B31">
        <w:rPr>
          <w:rFonts w:asciiTheme="minorHAnsi" w:hAnsiTheme="minorHAnsi"/>
          <w:iCs/>
        </w:rPr>
        <w:t xml:space="preserve">the construction </w:t>
      </w:r>
      <w:r w:rsidR="00022E7C">
        <w:rPr>
          <w:rFonts w:asciiTheme="minorHAnsi" w:hAnsiTheme="minorHAnsi"/>
          <w:iCs/>
        </w:rPr>
        <w:t>the</w:t>
      </w:r>
      <w:r w:rsidR="00B34B31">
        <w:rPr>
          <w:rFonts w:asciiTheme="minorHAnsi" w:hAnsiTheme="minorHAnsi"/>
          <w:iCs/>
        </w:rPr>
        <w:t xml:space="preserve"> social-ecological matrix. </w:t>
      </w:r>
      <w:r w:rsidR="00E14DA5">
        <w:rPr>
          <w:rFonts w:asciiTheme="minorHAnsi" w:hAnsiTheme="minorHAnsi"/>
          <w:iCs/>
        </w:rPr>
        <w:t xml:space="preserve">When </w:t>
      </w:r>
      <w:r w:rsidR="00D245D6">
        <w:rPr>
          <w:rFonts w:asciiTheme="minorHAnsi" w:hAnsiTheme="minorHAnsi"/>
          <w:iCs/>
        </w:rPr>
        <w:t xml:space="preserve">creating </w:t>
      </w:r>
      <w:r w:rsidR="00E14DA5">
        <w:rPr>
          <w:rFonts w:asciiTheme="minorHAnsi" w:hAnsiTheme="minorHAnsi"/>
          <w:iCs/>
        </w:rPr>
        <w:t xml:space="preserve">the social-ecological matrix, </w:t>
      </w:r>
      <w:r w:rsidR="00D245D6">
        <w:rPr>
          <w:rFonts w:asciiTheme="minorHAnsi" w:hAnsiTheme="minorHAnsi"/>
          <w:iCs/>
        </w:rPr>
        <w:t xml:space="preserve">we </w:t>
      </w:r>
      <w:r w:rsidR="00E14DA5">
        <w:rPr>
          <w:rFonts w:asciiTheme="minorHAnsi" w:hAnsiTheme="minorHAnsi"/>
          <w:iCs/>
        </w:rPr>
        <w:t xml:space="preserve">weighted each of the UES </w:t>
      </w:r>
      <w:r w:rsidR="00035444">
        <w:rPr>
          <w:rFonts w:asciiTheme="minorHAnsi" w:hAnsiTheme="minorHAnsi"/>
          <w:iCs/>
        </w:rPr>
        <w:t xml:space="preserve">and SES </w:t>
      </w:r>
      <w:r w:rsidR="00E14DA5">
        <w:rPr>
          <w:rFonts w:asciiTheme="minorHAnsi" w:hAnsiTheme="minorHAnsi"/>
          <w:iCs/>
        </w:rPr>
        <w:t xml:space="preserve">indicators </w:t>
      </w:r>
      <w:r w:rsidR="00035444">
        <w:rPr>
          <w:rFonts w:asciiTheme="minorHAnsi" w:hAnsiTheme="minorHAnsi"/>
          <w:iCs/>
        </w:rPr>
        <w:t xml:space="preserve">equally </w:t>
      </w:r>
      <w:r w:rsidR="00E14DA5">
        <w:rPr>
          <w:rFonts w:asciiTheme="minorHAnsi" w:hAnsiTheme="minorHAnsi"/>
          <w:iCs/>
        </w:rPr>
        <w:t xml:space="preserve">with a value of one (Table 2). This was done for the sake of simplicity and </w:t>
      </w:r>
      <w:r w:rsidR="00D245D6">
        <w:rPr>
          <w:rFonts w:asciiTheme="minorHAnsi" w:hAnsiTheme="minorHAnsi"/>
          <w:iCs/>
        </w:rPr>
        <w:t>to equally weight</w:t>
      </w:r>
      <w:r w:rsidR="00E14DA5">
        <w:rPr>
          <w:rFonts w:asciiTheme="minorHAnsi" w:hAnsiTheme="minorHAnsi"/>
          <w:iCs/>
        </w:rPr>
        <w:t xml:space="preserve"> all four </w:t>
      </w:r>
      <w:r w:rsidR="00D245D6">
        <w:rPr>
          <w:rFonts w:asciiTheme="minorHAnsi" w:hAnsiTheme="minorHAnsi"/>
          <w:iCs/>
        </w:rPr>
        <w:t>UES</w:t>
      </w:r>
      <w:r w:rsidR="00E14DA5">
        <w:rPr>
          <w:rFonts w:asciiTheme="minorHAnsi" w:hAnsiTheme="minorHAnsi"/>
          <w:iCs/>
        </w:rPr>
        <w:t xml:space="preserve"> </w:t>
      </w:r>
      <w:r w:rsidR="00D245D6">
        <w:rPr>
          <w:rFonts w:asciiTheme="minorHAnsi" w:hAnsiTheme="minorHAnsi"/>
          <w:iCs/>
        </w:rPr>
        <w:t>critical to</w:t>
      </w:r>
      <w:r w:rsidR="00E14DA5">
        <w:rPr>
          <w:rFonts w:asciiTheme="minorHAnsi" w:hAnsiTheme="minorHAnsi"/>
          <w:iCs/>
        </w:rPr>
        <w:t xml:space="preserve"> sustainability and human well-being. However, in doing so </w:t>
      </w:r>
      <w:r w:rsidR="00D245D6">
        <w:rPr>
          <w:rFonts w:asciiTheme="minorHAnsi" w:hAnsiTheme="minorHAnsi"/>
          <w:iCs/>
        </w:rPr>
        <w:t>it didn’t incorporate another</w:t>
      </w:r>
      <w:r w:rsidR="00E14DA5">
        <w:rPr>
          <w:rFonts w:asciiTheme="minorHAnsi" w:hAnsiTheme="minorHAnsi"/>
          <w:iCs/>
        </w:rPr>
        <w:t xml:space="preserve"> </w:t>
      </w:r>
      <w:r w:rsidR="009F195C">
        <w:rPr>
          <w:rFonts w:asciiTheme="minorHAnsi" w:hAnsiTheme="minorHAnsi"/>
          <w:iCs/>
        </w:rPr>
        <w:t xml:space="preserve">equitable </w:t>
      </w:r>
      <w:r w:rsidR="00E14DA5">
        <w:rPr>
          <w:rFonts w:asciiTheme="minorHAnsi" w:hAnsiTheme="minorHAnsi"/>
          <w:iCs/>
        </w:rPr>
        <w:t>ecosystem services provision</w:t>
      </w:r>
      <w:r w:rsidR="009F195C">
        <w:rPr>
          <w:rFonts w:asciiTheme="minorHAnsi" w:hAnsiTheme="minorHAnsi"/>
          <w:iCs/>
        </w:rPr>
        <w:t>,</w:t>
      </w:r>
      <w:r w:rsidR="00E14DA5">
        <w:rPr>
          <w:rFonts w:asciiTheme="minorHAnsi" w:hAnsiTheme="minorHAnsi"/>
          <w:iCs/>
        </w:rPr>
        <w:t xml:space="preserve"> stakeholder </w:t>
      </w:r>
      <w:r w:rsidR="00D245D6">
        <w:rPr>
          <w:rFonts w:asciiTheme="minorHAnsi" w:hAnsiTheme="minorHAnsi"/>
          <w:iCs/>
        </w:rPr>
        <w:t>perspectives</w:t>
      </w:r>
      <w:r w:rsidR="009F195C">
        <w:rPr>
          <w:rFonts w:asciiTheme="minorHAnsi" w:hAnsiTheme="minorHAnsi"/>
          <w:iCs/>
        </w:rPr>
        <w:t xml:space="preserve">. </w:t>
      </w:r>
    </w:p>
    <w:p w14:paraId="20A16DD4" w14:textId="27B9D15D" w:rsidR="00CE73FF" w:rsidRDefault="003A4E2E" w:rsidP="0038185F">
      <w:pPr>
        <w:spacing w:line="360" w:lineRule="auto"/>
        <w:rPr>
          <w:rFonts w:asciiTheme="minorHAnsi" w:hAnsiTheme="minorHAnsi"/>
          <w:iCs/>
        </w:rPr>
      </w:pPr>
      <w:r>
        <w:rPr>
          <w:rFonts w:asciiTheme="minorHAnsi" w:hAnsiTheme="minorHAnsi"/>
          <w:iCs/>
        </w:rPr>
        <w:tab/>
      </w:r>
      <w:r w:rsidR="00033A55">
        <w:rPr>
          <w:rFonts w:asciiTheme="minorHAnsi" w:hAnsiTheme="minorHAnsi"/>
          <w:iCs/>
        </w:rPr>
        <w:t>E</w:t>
      </w:r>
      <w:r>
        <w:rPr>
          <w:rFonts w:asciiTheme="minorHAnsi" w:hAnsiTheme="minorHAnsi"/>
          <w:iCs/>
        </w:rPr>
        <w:t xml:space="preserve">nvironmental justice requires both the equitable distribution </w:t>
      </w:r>
      <w:r w:rsidR="00DB56EE">
        <w:rPr>
          <w:rFonts w:asciiTheme="minorHAnsi" w:hAnsiTheme="minorHAnsi"/>
          <w:iCs/>
        </w:rPr>
        <w:t xml:space="preserve">of environmental amenities for all residents as well as the equitable involvement of residents (stakeholders) in the decision-making </w:t>
      </w:r>
      <w:r w:rsidR="00F3674C">
        <w:rPr>
          <w:rFonts w:asciiTheme="minorHAnsi" w:hAnsiTheme="minorHAnsi"/>
          <w:iCs/>
        </w:rPr>
        <w:t>process</w:t>
      </w:r>
      <w:r w:rsidR="00DB56EE">
        <w:rPr>
          <w:rFonts w:asciiTheme="minorHAnsi" w:hAnsiTheme="minorHAnsi"/>
          <w:iCs/>
        </w:rPr>
        <w:t>.</w:t>
      </w:r>
      <w:r w:rsidR="00DB7C09">
        <w:rPr>
          <w:rFonts w:asciiTheme="minorHAnsi" w:hAnsiTheme="minorHAnsi"/>
          <w:iCs/>
        </w:rPr>
        <w:t xml:space="preserve"> Even in the EPA’s definition, they state that </w:t>
      </w:r>
      <w:r w:rsidR="001B0BE9">
        <w:rPr>
          <w:rFonts w:asciiTheme="minorHAnsi" w:hAnsiTheme="minorHAnsi"/>
          <w:iCs/>
        </w:rPr>
        <w:t>environmental justice is</w:t>
      </w:r>
      <w:r w:rsidR="00DB7C09">
        <w:rPr>
          <w:rFonts w:asciiTheme="minorHAnsi" w:hAnsiTheme="minorHAnsi"/>
          <w:iCs/>
        </w:rPr>
        <w:t xml:space="preserve"> “</w:t>
      </w:r>
      <w:r w:rsidR="00DB7C09" w:rsidRPr="009934F9">
        <w:rPr>
          <w:rFonts w:asciiTheme="minorHAnsi" w:hAnsiTheme="minorHAnsi"/>
          <w:i/>
        </w:rPr>
        <w:t>the fair treatment and meaningful involvement of all people regardless of race, color, national origin, or income…”</w:t>
      </w:r>
      <w:r w:rsidR="00DB7C09">
        <w:rPr>
          <w:rFonts w:asciiTheme="minorHAnsi" w:hAnsiTheme="minorHAnsi"/>
          <w:iCs/>
        </w:rPr>
        <w:t xml:space="preserve"> (</w:t>
      </w:r>
      <w:r w:rsidR="00DB7C09" w:rsidRPr="00D84A78">
        <w:rPr>
          <w:rFonts w:asciiTheme="minorHAnsi" w:hAnsiTheme="minorHAnsi"/>
          <w:iCs/>
        </w:rPr>
        <w:t>EPA, 199</w:t>
      </w:r>
      <w:r w:rsidR="00A312CF">
        <w:rPr>
          <w:rFonts w:asciiTheme="minorHAnsi" w:hAnsiTheme="minorHAnsi"/>
          <w:iCs/>
        </w:rPr>
        <w:t>8</w:t>
      </w:r>
      <w:r w:rsidR="00DB7C09">
        <w:rPr>
          <w:rFonts w:asciiTheme="minorHAnsi" w:hAnsiTheme="minorHAnsi"/>
          <w:iCs/>
        </w:rPr>
        <w:t>).</w:t>
      </w:r>
      <w:r w:rsidR="00DB56EE">
        <w:rPr>
          <w:rFonts w:asciiTheme="minorHAnsi" w:hAnsiTheme="minorHAnsi"/>
          <w:iCs/>
        </w:rPr>
        <w:t xml:space="preserve"> </w:t>
      </w:r>
      <w:r w:rsidR="00F3674C" w:rsidRPr="00D84A78">
        <w:rPr>
          <w:rFonts w:asciiTheme="minorHAnsi" w:hAnsiTheme="minorHAnsi"/>
          <w:iCs/>
        </w:rPr>
        <w:t>In Jennings et al. (2012),</w:t>
      </w:r>
      <w:r w:rsidR="00F3674C">
        <w:rPr>
          <w:rFonts w:asciiTheme="minorHAnsi" w:hAnsiTheme="minorHAnsi"/>
          <w:iCs/>
        </w:rPr>
        <w:t xml:space="preserve"> they stated </w:t>
      </w:r>
      <w:r w:rsidR="009C76EE">
        <w:rPr>
          <w:rFonts w:asciiTheme="minorHAnsi" w:hAnsiTheme="minorHAnsi"/>
          <w:iCs/>
        </w:rPr>
        <w:t xml:space="preserve">that </w:t>
      </w:r>
      <w:r w:rsidR="00F3674C">
        <w:rPr>
          <w:rFonts w:asciiTheme="minorHAnsi" w:hAnsiTheme="minorHAnsi"/>
          <w:iCs/>
        </w:rPr>
        <w:t xml:space="preserve">even though promoting the practice of participatory UGS development can be a difficult and long-term process, it also a key element in promoting environmental justice. This </w:t>
      </w:r>
      <w:r w:rsidR="00BC21D0">
        <w:rPr>
          <w:rFonts w:asciiTheme="minorHAnsi" w:hAnsiTheme="minorHAnsi"/>
          <w:iCs/>
        </w:rPr>
        <w:t xml:space="preserve">is </w:t>
      </w:r>
      <w:r w:rsidR="00F3674C">
        <w:rPr>
          <w:rFonts w:asciiTheme="minorHAnsi" w:hAnsiTheme="minorHAnsi"/>
          <w:iCs/>
        </w:rPr>
        <w:t xml:space="preserve">because active resident involvement will ensure that green spaces that are desired by the community will be </w:t>
      </w:r>
      <w:r w:rsidR="00BC21D0">
        <w:rPr>
          <w:rFonts w:asciiTheme="minorHAnsi" w:hAnsiTheme="minorHAnsi"/>
          <w:iCs/>
        </w:rPr>
        <w:t xml:space="preserve">the ones </w:t>
      </w:r>
      <w:r w:rsidR="00035444">
        <w:rPr>
          <w:rFonts w:asciiTheme="minorHAnsi" w:hAnsiTheme="minorHAnsi"/>
          <w:iCs/>
        </w:rPr>
        <w:t xml:space="preserve">that are </w:t>
      </w:r>
      <w:r w:rsidR="00F3674C">
        <w:rPr>
          <w:rFonts w:asciiTheme="minorHAnsi" w:hAnsiTheme="minorHAnsi"/>
          <w:iCs/>
        </w:rPr>
        <w:t xml:space="preserve">developed. </w:t>
      </w:r>
      <w:r w:rsidR="009C76EE">
        <w:rPr>
          <w:rFonts w:asciiTheme="minorHAnsi" w:hAnsiTheme="minorHAnsi"/>
          <w:iCs/>
        </w:rPr>
        <w:t xml:space="preserve">In one study from Detroit, MI, researchers </w:t>
      </w:r>
      <w:r w:rsidR="00D15274">
        <w:rPr>
          <w:rFonts w:asciiTheme="minorHAnsi" w:hAnsiTheme="minorHAnsi"/>
          <w:iCs/>
        </w:rPr>
        <w:t xml:space="preserve">found </w:t>
      </w:r>
      <w:r w:rsidR="009C76EE">
        <w:rPr>
          <w:rFonts w:asciiTheme="minorHAnsi" w:hAnsiTheme="minorHAnsi"/>
          <w:iCs/>
        </w:rPr>
        <w:t xml:space="preserve">through interviews how </w:t>
      </w:r>
      <w:r w:rsidR="00D15274">
        <w:rPr>
          <w:rFonts w:asciiTheme="minorHAnsi" w:hAnsiTheme="minorHAnsi"/>
          <w:iCs/>
        </w:rPr>
        <w:t xml:space="preserve">even though residents were in favor of UGS development in their neighborhood, nearly half of the </w:t>
      </w:r>
      <w:r w:rsidR="009C76EE">
        <w:rPr>
          <w:rFonts w:asciiTheme="minorHAnsi" w:hAnsiTheme="minorHAnsi"/>
          <w:iCs/>
        </w:rPr>
        <w:t>resident</w:t>
      </w:r>
      <w:r w:rsidR="00D15274">
        <w:rPr>
          <w:rFonts w:asciiTheme="minorHAnsi" w:hAnsiTheme="minorHAnsi"/>
          <w:iCs/>
        </w:rPr>
        <w:t>s</w:t>
      </w:r>
      <w:r w:rsidR="009C76EE">
        <w:rPr>
          <w:rFonts w:asciiTheme="minorHAnsi" w:hAnsiTheme="minorHAnsi"/>
          <w:iCs/>
        </w:rPr>
        <w:t xml:space="preserve"> </w:t>
      </w:r>
      <w:r w:rsidR="00D15274">
        <w:rPr>
          <w:rFonts w:asciiTheme="minorHAnsi" w:hAnsiTheme="minorHAnsi"/>
          <w:iCs/>
        </w:rPr>
        <w:t>declined</w:t>
      </w:r>
      <w:r w:rsidR="009C76EE">
        <w:rPr>
          <w:rFonts w:asciiTheme="minorHAnsi" w:hAnsiTheme="minorHAnsi"/>
          <w:iCs/>
        </w:rPr>
        <w:t xml:space="preserve"> </w:t>
      </w:r>
      <w:r w:rsidR="00D15274">
        <w:rPr>
          <w:rFonts w:asciiTheme="minorHAnsi" w:hAnsiTheme="minorHAnsi"/>
          <w:iCs/>
        </w:rPr>
        <w:t xml:space="preserve">offers of </w:t>
      </w:r>
      <w:r w:rsidR="009C76EE">
        <w:rPr>
          <w:rFonts w:asciiTheme="minorHAnsi" w:hAnsiTheme="minorHAnsi"/>
          <w:iCs/>
        </w:rPr>
        <w:t>new tree planting</w:t>
      </w:r>
      <w:r w:rsidR="00D15274">
        <w:rPr>
          <w:rFonts w:asciiTheme="minorHAnsi" w:hAnsiTheme="minorHAnsi"/>
          <w:iCs/>
        </w:rPr>
        <w:t>s</w:t>
      </w:r>
      <w:r w:rsidR="009C76EE">
        <w:rPr>
          <w:rFonts w:asciiTheme="minorHAnsi" w:hAnsiTheme="minorHAnsi"/>
          <w:iCs/>
        </w:rPr>
        <w:t xml:space="preserve"> </w:t>
      </w:r>
      <w:r w:rsidR="00DB7C09">
        <w:rPr>
          <w:rFonts w:asciiTheme="minorHAnsi" w:hAnsiTheme="minorHAnsi"/>
          <w:iCs/>
        </w:rPr>
        <w:t xml:space="preserve">by the nonprofit The Greening of Detroit </w:t>
      </w:r>
      <w:r w:rsidR="00D15274">
        <w:rPr>
          <w:rFonts w:asciiTheme="minorHAnsi" w:hAnsiTheme="minorHAnsi"/>
          <w:iCs/>
        </w:rPr>
        <w:t>(Carmichael and McDonough, 2019). Responses for why they declined new tree plantings included experiences of</w:t>
      </w:r>
      <w:r w:rsidR="009C76EE">
        <w:rPr>
          <w:rFonts w:asciiTheme="minorHAnsi" w:hAnsiTheme="minorHAnsi"/>
          <w:iCs/>
        </w:rPr>
        <w:t xml:space="preserve"> past government</w:t>
      </w:r>
      <w:r w:rsidR="00D15274">
        <w:rPr>
          <w:rFonts w:asciiTheme="minorHAnsi" w:hAnsiTheme="minorHAnsi"/>
          <w:iCs/>
        </w:rPr>
        <w:t>al</w:t>
      </w:r>
      <w:r w:rsidR="009C76EE">
        <w:rPr>
          <w:rFonts w:asciiTheme="minorHAnsi" w:hAnsiTheme="minorHAnsi"/>
          <w:iCs/>
        </w:rPr>
        <w:t xml:space="preserve"> mismanagement of UGS development</w:t>
      </w:r>
      <w:r w:rsidR="00035444">
        <w:rPr>
          <w:rFonts w:asciiTheme="minorHAnsi" w:hAnsiTheme="minorHAnsi"/>
          <w:iCs/>
        </w:rPr>
        <w:t>s</w:t>
      </w:r>
      <w:r w:rsidR="009C76EE">
        <w:rPr>
          <w:rFonts w:asciiTheme="minorHAnsi" w:hAnsiTheme="minorHAnsi"/>
          <w:iCs/>
        </w:rPr>
        <w:t xml:space="preserve"> and the lack of shared </w:t>
      </w:r>
      <w:r w:rsidR="00BC21D0">
        <w:rPr>
          <w:rFonts w:asciiTheme="minorHAnsi" w:hAnsiTheme="minorHAnsi"/>
          <w:iCs/>
        </w:rPr>
        <w:t>decision-making</w:t>
      </w:r>
      <w:r w:rsidR="009C76EE">
        <w:rPr>
          <w:rFonts w:asciiTheme="minorHAnsi" w:hAnsiTheme="minorHAnsi"/>
          <w:iCs/>
        </w:rPr>
        <w:t xml:space="preserve"> power in the location and type of trees planted (</w:t>
      </w:r>
      <w:r w:rsidR="009C76EE" w:rsidRPr="00025ED7">
        <w:rPr>
          <w:rFonts w:asciiTheme="minorHAnsi" w:hAnsiTheme="minorHAnsi"/>
          <w:iCs/>
        </w:rPr>
        <w:t>Carmichael and McDonough, 2019</w:t>
      </w:r>
      <w:r w:rsidR="009C76EE">
        <w:rPr>
          <w:rFonts w:asciiTheme="minorHAnsi" w:hAnsiTheme="minorHAnsi"/>
          <w:iCs/>
        </w:rPr>
        <w:t xml:space="preserve">). </w:t>
      </w:r>
      <w:r w:rsidR="00DB7C09">
        <w:rPr>
          <w:rFonts w:asciiTheme="minorHAnsi" w:hAnsiTheme="minorHAnsi"/>
          <w:iCs/>
        </w:rPr>
        <w:t>One way to address stakeholder opinion</w:t>
      </w:r>
      <w:r w:rsidR="00ED53DC">
        <w:rPr>
          <w:rFonts w:asciiTheme="minorHAnsi" w:hAnsiTheme="minorHAnsi"/>
          <w:iCs/>
        </w:rPr>
        <w:t>s</w:t>
      </w:r>
      <w:r w:rsidR="00DB7C09">
        <w:rPr>
          <w:rFonts w:asciiTheme="minorHAnsi" w:hAnsiTheme="minorHAnsi"/>
          <w:iCs/>
        </w:rPr>
        <w:t xml:space="preserve"> </w:t>
      </w:r>
      <w:r w:rsidR="00ED53DC">
        <w:rPr>
          <w:rFonts w:asciiTheme="minorHAnsi" w:hAnsiTheme="minorHAnsi"/>
          <w:iCs/>
        </w:rPr>
        <w:t xml:space="preserve">and improve participation </w:t>
      </w:r>
      <w:r w:rsidR="00DB7C09">
        <w:rPr>
          <w:rFonts w:asciiTheme="minorHAnsi" w:hAnsiTheme="minorHAnsi"/>
          <w:iCs/>
        </w:rPr>
        <w:t>when modeling UES supply is through a weighting mechanism that highlights stakeholder prioritization</w:t>
      </w:r>
      <w:r w:rsidR="009F195C">
        <w:rPr>
          <w:rFonts w:asciiTheme="minorHAnsi" w:hAnsiTheme="minorHAnsi"/>
          <w:iCs/>
        </w:rPr>
        <w:t xml:space="preserve">. </w:t>
      </w:r>
      <w:r w:rsidR="00DB7C09">
        <w:rPr>
          <w:rFonts w:asciiTheme="minorHAnsi" w:hAnsiTheme="minorHAnsi"/>
          <w:iCs/>
        </w:rPr>
        <w:t xml:space="preserve">Merrow et al. (2017) </w:t>
      </w:r>
      <w:r w:rsidR="009F195C">
        <w:rPr>
          <w:rFonts w:asciiTheme="minorHAnsi" w:hAnsiTheme="minorHAnsi"/>
          <w:iCs/>
        </w:rPr>
        <w:t xml:space="preserve">did this by </w:t>
      </w:r>
      <w:r w:rsidR="00DB7C09">
        <w:rPr>
          <w:rFonts w:asciiTheme="minorHAnsi" w:hAnsiTheme="minorHAnsi"/>
          <w:iCs/>
        </w:rPr>
        <w:t>mapp</w:t>
      </w:r>
      <w:r w:rsidR="009F195C">
        <w:rPr>
          <w:rFonts w:asciiTheme="minorHAnsi" w:hAnsiTheme="minorHAnsi"/>
          <w:iCs/>
        </w:rPr>
        <w:t>ing</w:t>
      </w:r>
      <w:r w:rsidR="00DB7C09">
        <w:rPr>
          <w:rFonts w:asciiTheme="minorHAnsi" w:hAnsiTheme="minorHAnsi"/>
          <w:iCs/>
        </w:rPr>
        <w:t xml:space="preserve"> the supply of six UES in the city </w:t>
      </w:r>
      <w:r w:rsidR="009F195C">
        <w:rPr>
          <w:rFonts w:asciiTheme="minorHAnsi" w:hAnsiTheme="minorHAnsi"/>
          <w:iCs/>
        </w:rPr>
        <w:t xml:space="preserve">of Detroit </w:t>
      </w:r>
      <w:r w:rsidR="00DB7C09">
        <w:rPr>
          <w:rFonts w:asciiTheme="minorHAnsi" w:hAnsiTheme="minorHAnsi"/>
          <w:iCs/>
        </w:rPr>
        <w:t xml:space="preserve">while also interviewing </w:t>
      </w:r>
      <w:r w:rsidR="00ED53DC">
        <w:rPr>
          <w:rFonts w:asciiTheme="minorHAnsi" w:hAnsiTheme="minorHAnsi"/>
          <w:iCs/>
        </w:rPr>
        <w:t>resident stakeholders. By doing so</w:t>
      </w:r>
      <w:r w:rsidR="001B0BE9">
        <w:rPr>
          <w:rFonts w:asciiTheme="minorHAnsi" w:hAnsiTheme="minorHAnsi"/>
          <w:iCs/>
        </w:rPr>
        <w:t>,</w:t>
      </w:r>
      <w:r w:rsidR="00ED53DC">
        <w:rPr>
          <w:rFonts w:asciiTheme="minorHAnsi" w:hAnsiTheme="minorHAnsi"/>
          <w:iCs/>
        </w:rPr>
        <w:t xml:space="preserve"> </w:t>
      </w:r>
      <w:r w:rsidR="006C1A9F">
        <w:rPr>
          <w:rFonts w:asciiTheme="minorHAnsi" w:hAnsiTheme="minorHAnsi"/>
          <w:iCs/>
        </w:rPr>
        <w:t>researchers</w:t>
      </w:r>
      <w:r w:rsidR="008E60B5">
        <w:rPr>
          <w:rFonts w:asciiTheme="minorHAnsi" w:hAnsiTheme="minorHAnsi"/>
          <w:iCs/>
        </w:rPr>
        <w:t xml:space="preserve"> were</w:t>
      </w:r>
      <w:r w:rsidR="00ED53DC">
        <w:rPr>
          <w:rFonts w:asciiTheme="minorHAnsi" w:hAnsiTheme="minorHAnsi"/>
          <w:iCs/>
        </w:rPr>
        <w:t xml:space="preserve"> able to weigh the s</w:t>
      </w:r>
      <w:r w:rsidR="001B0BE9">
        <w:rPr>
          <w:rFonts w:asciiTheme="minorHAnsi" w:hAnsiTheme="minorHAnsi"/>
          <w:iCs/>
        </w:rPr>
        <w:t>ix</w:t>
      </w:r>
      <w:r w:rsidR="00ED53DC">
        <w:rPr>
          <w:rFonts w:asciiTheme="minorHAnsi" w:hAnsiTheme="minorHAnsi"/>
          <w:iCs/>
        </w:rPr>
        <w:t xml:space="preserve"> UES and identify which neighborhoods in the city should be prioritized for UGS development based on </w:t>
      </w:r>
      <w:r w:rsidR="001B0BE9">
        <w:rPr>
          <w:rFonts w:asciiTheme="minorHAnsi" w:hAnsiTheme="minorHAnsi"/>
          <w:iCs/>
        </w:rPr>
        <w:t>stakeholder</w:t>
      </w:r>
      <w:r w:rsidR="00ED53DC">
        <w:rPr>
          <w:rFonts w:asciiTheme="minorHAnsi" w:hAnsiTheme="minorHAnsi"/>
          <w:iCs/>
        </w:rPr>
        <w:t xml:space="preserve"> </w:t>
      </w:r>
      <w:r w:rsidR="00ED53DC">
        <w:rPr>
          <w:rFonts w:asciiTheme="minorHAnsi" w:hAnsiTheme="minorHAnsi"/>
          <w:iCs/>
        </w:rPr>
        <w:lastRenderedPageBreak/>
        <w:t xml:space="preserve">opinions on the importance of </w:t>
      </w:r>
      <w:r w:rsidR="001B0BE9">
        <w:rPr>
          <w:rFonts w:asciiTheme="minorHAnsi" w:hAnsiTheme="minorHAnsi"/>
          <w:iCs/>
        </w:rPr>
        <w:t>each</w:t>
      </w:r>
      <w:r w:rsidR="00ED53DC">
        <w:rPr>
          <w:rFonts w:asciiTheme="minorHAnsi" w:hAnsiTheme="minorHAnsi"/>
          <w:iCs/>
        </w:rPr>
        <w:t xml:space="preserve"> UES (Meerow et al., 2017). By including stakeholders in the process of identifying areas for UGS development, not only will the location of areas that are most needed be identified, but resident</w:t>
      </w:r>
      <w:r w:rsidR="00C86013">
        <w:rPr>
          <w:rFonts w:asciiTheme="minorHAnsi" w:hAnsiTheme="minorHAnsi"/>
          <w:iCs/>
        </w:rPr>
        <w:t>s</w:t>
      </w:r>
      <w:r w:rsidR="00ED53DC">
        <w:rPr>
          <w:rFonts w:asciiTheme="minorHAnsi" w:hAnsiTheme="minorHAnsi"/>
          <w:iCs/>
        </w:rPr>
        <w:t xml:space="preserve"> will then be more likely to use </w:t>
      </w:r>
      <w:r w:rsidR="00035444">
        <w:rPr>
          <w:rFonts w:asciiTheme="minorHAnsi" w:hAnsiTheme="minorHAnsi"/>
          <w:iCs/>
        </w:rPr>
        <w:t xml:space="preserve">them </w:t>
      </w:r>
      <w:r w:rsidR="00ED53DC">
        <w:rPr>
          <w:rFonts w:asciiTheme="minorHAnsi" w:hAnsiTheme="minorHAnsi"/>
          <w:iCs/>
        </w:rPr>
        <w:t xml:space="preserve">and </w:t>
      </w:r>
      <w:r w:rsidR="001B0BE9">
        <w:rPr>
          <w:rFonts w:asciiTheme="minorHAnsi" w:hAnsiTheme="minorHAnsi"/>
          <w:iCs/>
        </w:rPr>
        <w:t>be more accepting of their development</w:t>
      </w:r>
      <w:r w:rsidR="00C86013">
        <w:rPr>
          <w:rFonts w:asciiTheme="minorHAnsi" w:hAnsiTheme="minorHAnsi"/>
          <w:iCs/>
        </w:rPr>
        <w:t xml:space="preserve">.  </w:t>
      </w:r>
    </w:p>
    <w:p w14:paraId="4353D1FE" w14:textId="77777777" w:rsidR="00815DB0" w:rsidRDefault="00815DB0" w:rsidP="0038185F">
      <w:pPr>
        <w:spacing w:line="360" w:lineRule="auto"/>
        <w:rPr>
          <w:rFonts w:asciiTheme="minorHAnsi" w:hAnsiTheme="minorHAnsi"/>
          <w:iCs/>
        </w:rPr>
      </w:pPr>
    </w:p>
    <w:p w14:paraId="6E0FEF18" w14:textId="0B42F45C" w:rsidR="00F15709" w:rsidRDefault="00450292" w:rsidP="0038185F">
      <w:pPr>
        <w:spacing w:line="360" w:lineRule="auto"/>
        <w:rPr>
          <w:rFonts w:asciiTheme="minorHAnsi" w:hAnsiTheme="minorHAnsi"/>
          <w:b/>
          <w:bCs/>
          <w:i/>
          <w:iCs/>
        </w:rPr>
      </w:pPr>
      <w:r w:rsidRPr="003C6F05">
        <w:rPr>
          <w:rFonts w:asciiTheme="minorHAnsi" w:hAnsiTheme="minorHAnsi"/>
          <w:b/>
          <w:bCs/>
          <w:i/>
          <w:iCs/>
        </w:rPr>
        <w:t xml:space="preserve">4.0 </w:t>
      </w:r>
      <w:r w:rsidR="00E82F8D">
        <w:rPr>
          <w:rFonts w:asciiTheme="minorHAnsi" w:hAnsiTheme="minorHAnsi"/>
          <w:b/>
          <w:bCs/>
          <w:i/>
          <w:iCs/>
        </w:rPr>
        <w:t>Conclusion</w:t>
      </w:r>
    </w:p>
    <w:p w14:paraId="22A52432" w14:textId="77777777" w:rsidR="00AE682D" w:rsidRPr="00F15709" w:rsidRDefault="00AE682D" w:rsidP="0038185F">
      <w:pPr>
        <w:spacing w:line="360" w:lineRule="auto"/>
        <w:rPr>
          <w:rFonts w:asciiTheme="minorHAnsi" w:hAnsiTheme="minorHAnsi"/>
          <w:b/>
          <w:bCs/>
          <w:i/>
          <w:iCs/>
        </w:rPr>
      </w:pPr>
    </w:p>
    <w:p w14:paraId="2606D94D" w14:textId="7BA7E72F" w:rsidR="003D219B" w:rsidRDefault="002614C4" w:rsidP="002614C4">
      <w:pPr>
        <w:spacing w:line="360" w:lineRule="auto"/>
        <w:rPr>
          <w:rFonts w:asciiTheme="minorHAnsi" w:hAnsiTheme="minorHAnsi"/>
          <w:iCs/>
        </w:rPr>
      </w:pPr>
      <w:r>
        <w:rPr>
          <w:rFonts w:asciiTheme="minorHAnsi" w:hAnsiTheme="minorHAnsi"/>
          <w:iCs/>
        </w:rPr>
        <w:tab/>
      </w:r>
      <w:r w:rsidR="001956DC">
        <w:rPr>
          <w:rFonts w:asciiTheme="minorHAnsi" w:hAnsiTheme="minorHAnsi"/>
          <w:iCs/>
        </w:rPr>
        <w:t xml:space="preserve">Through </w:t>
      </w:r>
      <w:r w:rsidR="00D245D6">
        <w:rPr>
          <w:rFonts w:asciiTheme="minorHAnsi" w:hAnsiTheme="minorHAnsi"/>
          <w:iCs/>
        </w:rPr>
        <w:t xml:space="preserve">our </w:t>
      </w:r>
      <w:r w:rsidR="001956DC">
        <w:rPr>
          <w:rFonts w:asciiTheme="minorHAnsi" w:hAnsiTheme="minorHAnsi"/>
          <w:iCs/>
        </w:rPr>
        <w:t xml:space="preserve">analysis of mapping and modeling the distribution of SES and the supply of UES, </w:t>
      </w:r>
      <w:r w:rsidR="00D245D6">
        <w:rPr>
          <w:rFonts w:asciiTheme="minorHAnsi" w:hAnsiTheme="minorHAnsi"/>
          <w:iCs/>
        </w:rPr>
        <w:t xml:space="preserve">we </w:t>
      </w:r>
      <w:r w:rsidR="001956DC">
        <w:rPr>
          <w:rFonts w:asciiTheme="minorHAnsi" w:hAnsiTheme="minorHAnsi"/>
          <w:iCs/>
        </w:rPr>
        <w:t xml:space="preserve">found that the supply of UES in Rochester is correlated with the city’s SES distribution. </w:t>
      </w:r>
      <w:r>
        <w:rPr>
          <w:rFonts w:asciiTheme="minorHAnsi" w:hAnsiTheme="minorHAnsi"/>
          <w:iCs/>
        </w:rPr>
        <w:t xml:space="preserve">This study </w:t>
      </w:r>
      <w:r w:rsidR="001956DC">
        <w:rPr>
          <w:rFonts w:asciiTheme="minorHAnsi" w:hAnsiTheme="minorHAnsi"/>
          <w:iCs/>
        </w:rPr>
        <w:t>gives insights</w:t>
      </w:r>
      <w:r>
        <w:rPr>
          <w:rFonts w:asciiTheme="minorHAnsi" w:hAnsiTheme="minorHAnsi"/>
          <w:iCs/>
        </w:rPr>
        <w:t xml:space="preserve"> into the relationships between socioeconomic status and urban ecosystem services, as well as how the</w:t>
      </w:r>
      <w:r w:rsidR="00CD10F3">
        <w:rPr>
          <w:rFonts w:asciiTheme="minorHAnsi" w:hAnsiTheme="minorHAnsi"/>
          <w:iCs/>
        </w:rPr>
        <w:t>se relationships</w:t>
      </w:r>
      <w:r>
        <w:rPr>
          <w:rFonts w:asciiTheme="minorHAnsi" w:hAnsiTheme="minorHAnsi"/>
          <w:iCs/>
        </w:rPr>
        <w:t xml:space="preserve"> relate to</w:t>
      </w:r>
      <w:r w:rsidR="005D561C">
        <w:rPr>
          <w:rFonts w:asciiTheme="minorHAnsi" w:hAnsiTheme="minorHAnsi"/>
          <w:iCs/>
        </w:rPr>
        <w:t xml:space="preserve"> the</w:t>
      </w:r>
      <w:r>
        <w:rPr>
          <w:rFonts w:asciiTheme="minorHAnsi" w:hAnsiTheme="minorHAnsi"/>
          <w:iCs/>
        </w:rPr>
        <w:t xml:space="preserve"> concepts of social equity and environmental justice in urban areas. </w:t>
      </w:r>
      <w:r w:rsidR="004D48C2">
        <w:rPr>
          <w:rFonts w:asciiTheme="minorHAnsi" w:hAnsiTheme="minorHAnsi"/>
          <w:iCs/>
        </w:rPr>
        <w:t xml:space="preserve">Our </w:t>
      </w:r>
      <w:r w:rsidR="005704EA">
        <w:rPr>
          <w:rFonts w:asciiTheme="minorHAnsi" w:hAnsiTheme="minorHAnsi"/>
          <w:iCs/>
        </w:rPr>
        <w:t>r</w:t>
      </w:r>
      <w:r w:rsidR="00CD10F3">
        <w:rPr>
          <w:rFonts w:asciiTheme="minorHAnsi" w:hAnsiTheme="minorHAnsi"/>
          <w:iCs/>
        </w:rPr>
        <w:t xml:space="preserve">esults reveal that </w:t>
      </w:r>
      <w:r w:rsidR="001956DC">
        <w:rPr>
          <w:rFonts w:asciiTheme="minorHAnsi" w:hAnsiTheme="minorHAnsi"/>
          <w:iCs/>
        </w:rPr>
        <w:t xml:space="preserve">the supply of several </w:t>
      </w:r>
      <w:r w:rsidR="00CD10F3">
        <w:rPr>
          <w:rFonts w:asciiTheme="minorHAnsi" w:hAnsiTheme="minorHAnsi"/>
          <w:iCs/>
        </w:rPr>
        <w:t xml:space="preserve">UES in Rochester </w:t>
      </w:r>
      <w:r w:rsidR="001956DC">
        <w:rPr>
          <w:rFonts w:asciiTheme="minorHAnsi" w:hAnsiTheme="minorHAnsi"/>
          <w:iCs/>
        </w:rPr>
        <w:t>are</w:t>
      </w:r>
      <w:r w:rsidR="00CD10F3">
        <w:rPr>
          <w:rFonts w:asciiTheme="minorHAnsi" w:hAnsiTheme="minorHAnsi"/>
          <w:iCs/>
        </w:rPr>
        <w:t xml:space="preserve"> significantly </w:t>
      </w:r>
      <w:r w:rsidR="001956DC">
        <w:rPr>
          <w:rFonts w:asciiTheme="minorHAnsi" w:hAnsiTheme="minorHAnsi"/>
          <w:iCs/>
        </w:rPr>
        <w:t>positively correlated with the percentage of homeownership</w:t>
      </w:r>
      <w:r w:rsidR="00CD10F3">
        <w:rPr>
          <w:rFonts w:asciiTheme="minorHAnsi" w:hAnsiTheme="minorHAnsi"/>
          <w:iCs/>
        </w:rPr>
        <w:t xml:space="preserve"> </w:t>
      </w:r>
      <w:r w:rsidR="001956DC">
        <w:rPr>
          <w:rFonts w:asciiTheme="minorHAnsi" w:hAnsiTheme="minorHAnsi"/>
          <w:iCs/>
        </w:rPr>
        <w:t xml:space="preserve">and negatively correlated with the percentage of the population that </w:t>
      </w:r>
      <w:r w:rsidR="00E655DD">
        <w:rPr>
          <w:rFonts w:asciiTheme="minorHAnsi" w:hAnsiTheme="minorHAnsi"/>
          <w:iCs/>
        </w:rPr>
        <w:t>identifies as</w:t>
      </w:r>
      <w:r w:rsidR="001956DC">
        <w:rPr>
          <w:rFonts w:asciiTheme="minorHAnsi" w:hAnsiTheme="minorHAnsi"/>
          <w:iCs/>
        </w:rPr>
        <w:t xml:space="preserve"> Black, </w:t>
      </w:r>
      <w:r w:rsidR="00CD10F3">
        <w:rPr>
          <w:rFonts w:asciiTheme="minorHAnsi" w:hAnsiTheme="minorHAnsi"/>
          <w:iCs/>
        </w:rPr>
        <w:t>at the census block group level</w:t>
      </w:r>
      <w:r w:rsidR="001956DC">
        <w:rPr>
          <w:rFonts w:asciiTheme="minorHAnsi" w:hAnsiTheme="minorHAnsi"/>
          <w:iCs/>
        </w:rPr>
        <w:t>. Therefore, this</w:t>
      </w:r>
      <w:r w:rsidR="00CD10F3">
        <w:rPr>
          <w:rFonts w:asciiTheme="minorHAnsi" w:hAnsiTheme="minorHAnsi"/>
          <w:iCs/>
        </w:rPr>
        <w:t xml:space="preserve"> support</w:t>
      </w:r>
      <w:r w:rsidR="001956DC">
        <w:rPr>
          <w:rFonts w:asciiTheme="minorHAnsi" w:hAnsiTheme="minorHAnsi"/>
          <w:iCs/>
        </w:rPr>
        <w:t>s</w:t>
      </w:r>
      <w:r w:rsidR="00CD10F3">
        <w:rPr>
          <w:rFonts w:asciiTheme="minorHAnsi" w:hAnsiTheme="minorHAnsi"/>
          <w:iCs/>
        </w:rPr>
        <w:t xml:space="preserve"> </w:t>
      </w:r>
      <w:r w:rsidR="004D48C2">
        <w:rPr>
          <w:rFonts w:asciiTheme="minorHAnsi" w:hAnsiTheme="minorHAnsi"/>
          <w:iCs/>
        </w:rPr>
        <w:t xml:space="preserve">our </w:t>
      </w:r>
      <w:r w:rsidR="00CD10F3">
        <w:rPr>
          <w:rFonts w:asciiTheme="minorHAnsi" w:hAnsiTheme="minorHAnsi"/>
          <w:iCs/>
        </w:rPr>
        <w:t>hypotheses that UES in</w:t>
      </w:r>
      <w:r w:rsidR="00E41E8F">
        <w:rPr>
          <w:rFonts w:asciiTheme="minorHAnsi" w:hAnsiTheme="minorHAnsi"/>
          <w:iCs/>
        </w:rPr>
        <w:t xml:space="preserve"> the</w:t>
      </w:r>
      <w:r w:rsidR="00CD10F3">
        <w:rPr>
          <w:rFonts w:asciiTheme="minorHAnsi" w:hAnsiTheme="minorHAnsi"/>
          <w:iCs/>
        </w:rPr>
        <w:t xml:space="preserve"> city are inequitably distributed. </w:t>
      </w:r>
      <w:r w:rsidR="005D561C">
        <w:rPr>
          <w:rFonts w:asciiTheme="minorHAnsi" w:hAnsiTheme="minorHAnsi"/>
          <w:iCs/>
        </w:rPr>
        <w:t xml:space="preserve">Not only did </w:t>
      </w:r>
      <w:r w:rsidR="004D48C2">
        <w:rPr>
          <w:rFonts w:asciiTheme="minorHAnsi" w:hAnsiTheme="minorHAnsi"/>
          <w:iCs/>
        </w:rPr>
        <w:t xml:space="preserve">our </w:t>
      </w:r>
      <w:r w:rsidR="005D561C">
        <w:rPr>
          <w:rFonts w:asciiTheme="minorHAnsi" w:hAnsiTheme="minorHAnsi"/>
          <w:iCs/>
        </w:rPr>
        <w:t>analyses show that the distribution of UES supply is significantly correlated with modern-day SES indicators, but it also showed that</w:t>
      </w:r>
      <w:r w:rsidR="001956DC">
        <w:rPr>
          <w:rFonts w:asciiTheme="minorHAnsi" w:hAnsiTheme="minorHAnsi"/>
          <w:iCs/>
        </w:rPr>
        <w:t xml:space="preserve"> HOLC neighborhood assessments from</w:t>
      </w:r>
      <w:r w:rsidR="005D561C">
        <w:rPr>
          <w:rFonts w:asciiTheme="minorHAnsi" w:hAnsiTheme="minorHAnsi"/>
          <w:iCs/>
        </w:rPr>
        <w:t xml:space="preserve"> nearly 100 years ago </w:t>
      </w:r>
      <w:r w:rsidR="001956DC">
        <w:rPr>
          <w:rFonts w:asciiTheme="minorHAnsi" w:hAnsiTheme="minorHAnsi"/>
          <w:iCs/>
        </w:rPr>
        <w:t xml:space="preserve">are also </w:t>
      </w:r>
      <w:r w:rsidR="00AB0DDF">
        <w:rPr>
          <w:rFonts w:asciiTheme="minorHAnsi" w:hAnsiTheme="minorHAnsi"/>
          <w:iCs/>
        </w:rPr>
        <w:t xml:space="preserve">correlated </w:t>
      </w:r>
      <w:r w:rsidR="001956DC">
        <w:rPr>
          <w:rFonts w:asciiTheme="minorHAnsi" w:hAnsiTheme="minorHAnsi"/>
          <w:iCs/>
        </w:rPr>
        <w:t>with</w:t>
      </w:r>
      <w:r w:rsidR="005D561C">
        <w:rPr>
          <w:rFonts w:asciiTheme="minorHAnsi" w:hAnsiTheme="minorHAnsi"/>
          <w:iCs/>
        </w:rPr>
        <w:t xml:space="preserve"> the supply of UES today. In addition, through the social-ecological matrix</w:t>
      </w:r>
      <w:r w:rsidR="003D219B">
        <w:rPr>
          <w:rFonts w:asciiTheme="minorHAnsi" w:hAnsiTheme="minorHAnsi"/>
          <w:iCs/>
        </w:rPr>
        <w:t>,</w:t>
      </w:r>
      <w:r w:rsidR="005D561C">
        <w:rPr>
          <w:rFonts w:asciiTheme="minorHAnsi" w:hAnsiTheme="minorHAnsi"/>
          <w:iCs/>
        </w:rPr>
        <w:t xml:space="preserve"> </w:t>
      </w:r>
      <w:r w:rsidR="004D48C2">
        <w:rPr>
          <w:rFonts w:asciiTheme="minorHAnsi" w:hAnsiTheme="minorHAnsi"/>
          <w:iCs/>
        </w:rPr>
        <w:t>we were</w:t>
      </w:r>
      <w:r w:rsidR="005D561C">
        <w:rPr>
          <w:rFonts w:asciiTheme="minorHAnsi" w:hAnsiTheme="minorHAnsi"/>
          <w:iCs/>
        </w:rPr>
        <w:t xml:space="preserve"> able to identify block groups in the city that are in the most need for UGS development. A significant cluster of blocks that were identified as being in the most need for UGS development was located just north of the city center</w:t>
      </w:r>
      <w:r w:rsidR="002165F7">
        <w:rPr>
          <w:rFonts w:asciiTheme="minorHAnsi" w:hAnsiTheme="minorHAnsi"/>
          <w:iCs/>
        </w:rPr>
        <w:t xml:space="preserve"> (Fig. 7C)</w:t>
      </w:r>
      <w:r w:rsidR="005D561C">
        <w:rPr>
          <w:rFonts w:asciiTheme="minorHAnsi" w:hAnsiTheme="minorHAnsi"/>
          <w:iCs/>
        </w:rPr>
        <w:t xml:space="preserve">, </w:t>
      </w:r>
      <w:r w:rsidR="00C53EF5">
        <w:rPr>
          <w:rFonts w:asciiTheme="minorHAnsi" w:hAnsiTheme="minorHAnsi"/>
          <w:iCs/>
        </w:rPr>
        <w:t xml:space="preserve">these block groups overlapped with </w:t>
      </w:r>
      <w:r w:rsidR="005D561C">
        <w:rPr>
          <w:rFonts w:asciiTheme="minorHAnsi" w:hAnsiTheme="minorHAnsi"/>
          <w:iCs/>
        </w:rPr>
        <w:t xml:space="preserve">an area of the city </w:t>
      </w:r>
      <w:r w:rsidR="00345780">
        <w:rPr>
          <w:rFonts w:asciiTheme="minorHAnsi" w:hAnsiTheme="minorHAnsi"/>
          <w:iCs/>
        </w:rPr>
        <w:t xml:space="preserve">commonly </w:t>
      </w:r>
      <w:r w:rsidR="005D561C">
        <w:rPr>
          <w:rFonts w:asciiTheme="minorHAnsi" w:hAnsiTheme="minorHAnsi"/>
          <w:iCs/>
        </w:rPr>
        <w:t>known as the “Crescent of Poverty</w:t>
      </w:r>
      <w:r w:rsidR="00041EBF">
        <w:rPr>
          <w:rFonts w:asciiTheme="minorHAnsi" w:hAnsiTheme="minorHAnsi"/>
          <w:iCs/>
        </w:rPr>
        <w:t>”</w:t>
      </w:r>
      <w:r w:rsidR="005D561C">
        <w:rPr>
          <w:rFonts w:asciiTheme="minorHAnsi" w:hAnsiTheme="minorHAnsi"/>
          <w:iCs/>
        </w:rPr>
        <w:t>.</w:t>
      </w:r>
      <w:r w:rsidR="003D219B">
        <w:rPr>
          <w:rFonts w:asciiTheme="minorHAnsi" w:hAnsiTheme="minorHAnsi"/>
          <w:iCs/>
        </w:rPr>
        <w:t xml:space="preserve"> The development of UGS has continued to rise as a popular method amongst city planners and officials in the U</w:t>
      </w:r>
      <w:r w:rsidR="00345780">
        <w:rPr>
          <w:rFonts w:asciiTheme="minorHAnsi" w:hAnsiTheme="minorHAnsi"/>
          <w:iCs/>
        </w:rPr>
        <w:t>.</w:t>
      </w:r>
      <w:r w:rsidR="003D219B">
        <w:rPr>
          <w:rFonts w:asciiTheme="minorHAnsi" w:hAnsiTheme="minorHAnsi"/>
          <w:iCs/>
        </w:rPr>
        <w:t>S</w:t>
      </w:r>
      <w:r w:rsidR="00345780">
        <w:rPr>
          <w:rFonts w:asciiTheme="minorHAnsi" w:hAnsiTheme="minorHAnsi"/>
          <w:iCs/>
        </w:rPr>
        <w:t>.</w:t>
      </w:r>
      <w:r w:rsidR="003D219B">
        <w:rPr>
          <w:rFonts w:asciiTheme="minorHAnsi" w:hAnsiTheme="minorHAnsi"/>
          <w:iCs/>
        </w:rPr>
        <w:t xml:space="preserve"> </w:t>
      </w:r>
      <w:r w:rsidR="00AE682D">
        <w:rPr>
          <w:rFonts w:asciiTheme="minorHAnsi" w:hAnsiTheme="minorHAnsi"/>
          <w:iCs/>
        </w:rPr>
        <w:t>to</w:t>
      </w:r>
      <w:r w:rsidR="003D219B">
        <w:rPr>
          <w:rFonts w:asciiTheme="minorHAnsi" w:hAnsiTheme="minorHAnsi"/>
          <w:iCs/>
        </w:rPr>
        <w:t xml:space="preserve"> address sustainability and human-well-being issues. Studies such as mine illuminate how environmental justice issues can be encountered in the distribution of UGS development and how </w:t>
      </w:r>
      <w:r w:rsidR="0005422E">
        <w:rPr>
          <w:rFonts w:asciiTheme="minorHAnsi" w:hAnsiTheme="minorHAnsi"/>
          <w:iCs/>
        </w:rPr>
        <w:t xml:space="preserve">our </w:t>
      </w:r>
      <w:r w:rsidR="003D219B">
        <w:rPr>
          <w:rFonts w:asciiTheme="minorHAnsi" w:hAnsiTheme="minorHAnsi"/>
          <w:iCs/>
        </w:rPr>
        <w:t>results can provide a framework for city planners</w:t>
      </w:r>
      <w:r w:rsidR="00AB0DDF">
        <w:rPr>
          <w:rFonts w:asciiTheme="minorHAnsi" w:hAnsiTheme="minorHAnsi"/>
          <w:iCs/>
        </w:rPr>
        <w:t xml:space="preserve"> and nonprofits</w:t>
      </w:r>
      <w:r w:rsidR="003D219B">
        <w:rPr>
          <w:rFonts w:asciiTheme="minorHAnsi" w:hAnsiTheme="minorHAnsi"/>
          <w:iCs/>
        </w:rPr>
        <w:t xml:space="preserve"> so that they can reduce the inequities in the distribution of UES supply. </w:t>
      </w:r>
    </w:p>
    <w:p w14:paraId="177C711A" w14:textId="090F3D49" w:rsidR="004E2B7B" w:rsidRPr="00000C7E" w:rsidRDefault="00E41E8F" w:rsidP="00000C7E">
      <w:pPr>
        <w:spacing w:line="360" w:lineRule="auto"/>
        <w:rPr>
          <w:rFonts w:asciiTheme="minorHAnsi" w:hAnsiTheme="minorHAnsi"/>
          <w:iCs/>
        </w:rPr>
      </w:pPr>
      <w:r>
        <w:rPr>
          <w:rFonts w:asciiTheme="minorHAnsi" w:hAnsiTheme="minorHAnsi"/>
          <w:iCs/>
        </w:rPr>
        <w:tab/>
      </w:r>
      <w:r w:rsidR="00000C7E">
        <w:rPr>
          <w:rFonts w:asciiTheme="minorHAnsi" w:hAnsiTheme="minorHAnsi"/>
          <w:iCs/>
        </w:rPr>
        <w:t xml:space="preserve"> </w:t>
      </w:r>
    </w:p>
    <w:p w14:paraId="3A28E348" w14:textId="4F82FAE9" w:rsidR="004E2B7B" w:rsidRDefault="004E2B7B" w:rsidP="0046596D">
      <w:pPr>
        <w:rPr>
          <w:i/>
        </w:rPr>
      </w:pPr>
    </w:p>
    <w:p w14:paraId="6EE0A671" w14:textId="77777777" w:rsidR="00E7512C" w:rsidRDefault="00E7512C" w:rsidP="0046596D">
      <w:pPr>
        <w:rPr>
          <w:i/>
        </w:rPr>
      </w:pPr>
    </w:p>
    <w:p w14:paraId="3CFF4B1A" w14:textId="4515300E" w:rsidR="00F00BF9" w:rsidRDefault="00F00BF9" w:rsidP="00CD34F5">
      <w:pPr>
        <w:rPr>
          <w:rFonts w:asciiTheme="minorHAnsi" w:hAnsiTheme="minorHAnsi"/>
          <w:b/>
          <w:sz w:val="28"/>
          <w:szCs w:val="28"/>
        </w:rPr>
      </w:pPr>
      <w:r>
        <w:rPr>
          <w:rFonts w:asciiTheme="minorHAnsi" w:hAnsiTheme="minorHAnsi"/>
          <w:b/>
          <w:sz w:val="28"/>
          <w:szCs w:val="28"/>
        </w:rPr>
        <w:t xml:space="preserve">Acknowledgments </w:t>
      </w:r>
    </w:p>
    <w:p w14:paraId="28F0F6F1" w14:textId="77777777" w:rsidR="00F00BF9" w:rsidRDefault="00F00BF9" w:rsidP="00F00BF9">
      <w:pPr>
        <w:jc w:val="center"/>
        <w:rPr>
          <w:rFonts w:asciiTheme="minorHAnsi" w:hAnsiTheme="minorHAnsi"/>
          <w:b/>
          <w:sz w:val="28"/>
          <w:szCs w:val="28"/>
        </w:rPr>
      </w:pPr>
    </w:p>
    <w:p w14:paraId="3F70D522" w14:textId="31D8086C" w:rsidR="00F00BF9" w:rsidRDefault="0066497D" w:rsidP="00987242">
      <w:pPr>
        <w:spacing w:line="360" w:lineRule="auto"/>
        <w:rPr>
          <w:rFonts w:asciiTheme="minorHAnsi" w:hAnsiTheme="minorHAnsi"/>
          <w:bCs/>
        </w:rPr>
      </w:pPr>
      <w:r>
        <w:rPr>
          <w:rFonts w:asciiTheme="minorHAnsi" w:hAnsiTheme="minorHAnsi"/>
          <w:bCs/>
        </w:rPr>
        <w:t>JG was funded in part by the</w:t>
      </w:r>
      <w:r w:rsidR="00F00BF9">
        <w:rPr>
          <w:rFonts w:asciiTheme="minorHAnsi" w:hAnsiTheme="minorHAnsi"/>
          <w:bCs/>
        </w:rPr>
        <w:t xml:space="preserve"> RIT’s College of Science and the Steven M. Wear Endowed Graduate Fellowship</w:t>
      </w:r>
      <w:r>
        <w:rPr>
          <w:rFonts w:asciiTheme="minorHAnsi" w:hAnsiTheme="minorHAnsi"/>
          <w:bCs/>
        </w:rPr>
        <w:t>.</w:t>
      </w:r>
      <w:r w:rsidR="00F00BF9">
        <w:rPr>
          <w:rFonts w:asciiTheme="minorHAnsi" w:hAnsiTheme="minorHAnsi"/>
          <w:bCs/>
        </w:rPr>
        <w:t xml:space="preserve"> </w:t>
      </w:r>
      <w:r>
        <w:rPr>
          <w:rFonts w:asciiTheme="minorHAnsi" w:hAnsiTheme="minorHAnsi"/>
          <w:bCs/>
        </w:rPr>
        <w:t>Thanks to</w:t>
      </w:r>
      <w:r w:rsidR="00F00BF9">
        <w:rPr>
          <w:rFonts w:asciiTheme="minorHAnsi" w:hAnsiTheme="minorHAnsi"/>
          <w:bCs/>
        </w:rPr>
        <w:t xml:space="preserve"> the city government of Rochester and the Monroe County GIS department for</w:t>
      </w:r>
      <w:r>
        <w:rPr>
          <w:rFonts w:asciiTheme="minorHAnsi" w:hAnsiTheme="minorHAnsi"/>
          <w:bCs/>
        </w:rPr>
        <w:t xml:space="preserve"> data used in this study. Additional thanks to Dr. Richard Newman for insights and feedback on previous drafts. </w:t>
      </w:r>
    </w:p>
    <w:p w14:paraId="527D650E" w14:textId="77777777" w:rsidR="00F60490" w:rsidRPr="00F00BF9" w:rsidRDefault="00F60490" w:rsidP="0000787B">
      <w:pPr>
        <w:rPr>
          <w:iCs/>
        </w:rPr>
      </w:pPr>
    </w:p>
    <w:p w14:paraId="5D7A171F" w14:textId="77777777" w:rsidR="00F00BF9" w:rsidRDefault="00F00BF9" w:rsidP="0000787B">
      <w:pPr>
        <w:rPr>
          <w:rFonts w:ascii="Cambria" w:hAnsi="Cambria"/>
          <w:b/>
        </w:rPr>
      </w:pPr>
    </w:p>
    <w:p w14:paraId="3976309E" w14:textId="77777777" w:rsidR="00F00BF9" w:rsidRDefault="00F00BF9" w:rsidP="0000787B">
      <w:pPr>
        <w:rPr>
          <w:rFonts w:ascii="Cambria" w:hAnsi="Cambria"/>
          <w:b/>
        </w:rPr>
      </w:pPr>
    </w:p>
    <w:p w14:paraId="13E2A25A" w14:textId="77777777" w:rsidR="00F00BF9" w:rsidRDefault="00F00BF9" w:rsidP="0000787B">
      <w:pPr>
        <w:rPr>
          <w:rFonts w:ascii="Cambria" w:hAnsi="Cambria"/>
          <w:b/>
        </w:rPr>
      </w:pPr>
    </w:p>
    <w:p w14:paraId="2302CE81" w14:textId="77777777" w:rsidR="00F00BF9" w:rsidRDefault="00F00BF9" w:rsidP="0000787B">
      <w:pPr>
        <w:rPr>
          <w:rFonts w:ascii="Cambria" w:hAnsi="Cambria"/>
          <w:b/>
        </w:rPr>
      </w:pPr>
    </w:p>
    <w:p w14:paraId="7A3BE9FF" w14:textId="77777777" w:rsidR="00F00BF9" w:rsidRDefault="00F00BF9" w:rsidP="0000787B">
      <w:pPr>
        <w:rPr>
          <w:rFonts w:ascii="Cambria" w:hAnsi="Cambria"/>
          <w:b/>
        </w:rPr>
      </w:pPr>
    </w:p>
    <w:p w14:paraId="23200D67" w14:textId="77777777" w:rsidR="00D545B2" w:rsidRDefault="00D545B2" w:rsidP="0000787B">
      <w:pPr>
        <w:rPr>
          <w:rFonts w:ascii="Cambria" w:hAnsi="Cambria"/>
          <w:b/>
        </w:rPr>
      </w:pPr>
    </w:p>
    <w:p w14:paraId="1558ADC9" w14:textId="77777777" w:rsidR="00D545B2" w:rsidRDefault="00D545B2" w:rsidP="0000787B">
      <w:pPr>
        <w:rPr>
          <w:rFonts w:ascii="Cambria" w:hAnsi="Cambria"/>
          <w:b/>
        </w:rPr>
      </w:pPr>
    </w:p>
    <w:p w14:paraId="224CD7A6" w14:textId="77777777" w:rsidR="00D545B2" w:rsidRDefault="00D545B2" w:rsidP="0000787B">
      <w:pPr>
        <w:rPr>
          <w:rFonts w:ascii="Cambria" w:hAnsi="Cambria"/>
          <w:b/>
        </w:rPr>
      </w:pPr>
    </w:p>
    <w:p w14:paraId="1DD29EE8" w14:textId="77777777" w:rsidR="00D545B2" w:rsidRDefault="00D545B2" w:rsidP="0000787B">
      <w:pPr>
        <w:rPr>
          <w:rFonts w:ascii="Cambria" w:hAnsi="Cambria"/>
          <w:b/>
        </w:rPr>
      </w:pPr>
    </w:p>
    <w:p w14:paraId="56BC379B" w14:textId="77777777" w:rsidR="00D545B2" w:rsidRDefault="00D545B2" w:rsidP="0000787B">
      <w:pPr>
        <w:rPr>
          <w:rFonts w:ascii="Cambria" w:hAnsi="Cambria"/>
          <w:b/>
        </w:rPr>
      </w:pPr>
    </w:p>
    <w:p w14:paraId="6C7ED455" w14:textId="77777777" w:rsidR="00D545B2" w:rsidRDefault="00D545B2" w:rsidP="0000787B">
      <w:pPr>
        <w:rPr>
          <w:rFonts w:ascii="Cambria" w:hAnsi="Cambria"/>
          <w:b/>
        </w:rPr>
      </w:pPr>
    </w:p>
    <w:p w14:paraId="416DECF3" w14:textId="77777777" w:rsidR="00D545B2" w:rsidRDefault="00D545B2" w:rsidP="0000787B">
      <w:pPr>
        <w:rPr>
          <w:rFonts w:ascii="Cambria" w:hAnsi="Cambria"/>
          <w:b/>
        </w:rPr>
      </w:pPr>
    </w:p>
    <w:p w14:paraId="642F4C60" w14:textId="77777777" w:rsidR="00D545B2" w:rsidRDefault="00D545B2" w:rsidP="0000787B">
      <w:pPr>
        <w:rPr>
          <w:rFonts w:ascii="Cambria" w:hAnsi="Cambria"/>
          <w:b/>
        </w:rPr>
      </w:pPr>
    </w:p>
    <w:p w14:paraId="47AF5097" w14:textId="77777777" w:rsidR="00D545B2" w:rsidRDefault="00D545B2" w:rsidP="0000787B">
      <w:pPr>
        <w:rPr>
          <w:rFonts w:ascii="Cambria" w:hAnsi="Cambria"/>
          <w:b/>
        </w:rPr>
      </w:pPr>
    </w:p>
    <w:p w14:paraId="23FBE7E5" w14:textId="77777777" w:rsidR="00D545B2" w:rsidRDefault="00D545B2" w:rsidP="0000787B">
      <w:pPr>
        <w:rPr>
          <w:rFonts w:ascii="Cambria" w:hAnsi="Cambria"/>
          <w:b/>
        </w:rPr>
      </w:pPr>
    </w:p>
    <w:p w14:paraId="0D173767" w14:textId="77777777" w:rsidR="00D545B2" w:rsidRDefault="00D545B2" w:rsidP="0000787B">
      <w:pPr>
        <w:rPr>
          <w:rFonts w:ascii="Cambria" w:hAnsi="Cambria"/>
          <w:b/>
        </w:rPr>
      </w:pPr>
    </w:p>
    <w:p w14:paraId="16E9791D" w14:textId="77777777" w:rsidR="00D545B2" w:rsidRDefault="00D545B2" w:rsidP="0000787B">
      <w:pPr>
        <w:rPr>
          <w:rFonts w:ascii="Cambria" w:hAnsi="Cambria"/>
          <w:b/>
        </w:rPr>
      </w:pPr>
    </w:p>
    <w:p w14:paraId="1D0A267A" w14:textId="77777777" w:rsidR="00D545B2" w:rsidRDefault="00D545B2" w:rsidP="0000787B">
      <w:pPr>
        <w:rPr>
          <w:rFonts w:ascii="Cambria" w:hAnsi="Cambria"/>
          <w:b/>
        </w:rPr>
      </w:pPr>
    </w:p>
    <w:p w14:paraId="358EB372" w14:textId="77777777" w:rsidR="00D545B2" w:rsidRDefault="00D545B2" w:rsidP="0000787B">
      <w:pPr>
        <w:rPr>
          <w:rFonts w:ascii="Cambria" w:hAnsi="Cambria"/>
          <w:b/>
        </w:rPr>
      </w:pPr>
    </w:p>
    <w:p w14:paraId="56663E0A" w14:textId="77777777" w:rsidR="00D545B2" w:rsidRDefault="00D545B2" w:rsidP="0000787B">
      <w:pPr>
        <w:rPr>
          <w:rFonts w:ascii="Cambria" w:hAnsi="Cambria"/>
          <w:b/>
        </w:rPr>
      </w:pPr>
    </w:p>
    <w:p w14:paraId="2763B66E" w14:textId="77777777" w:rsidR="00D545B2" w:rsidRDefault="00D545B2" w:rsidP="0000787B">
      <w:pPr>
        <w:rPr>
          <w:rFonts w:ascii="Cambria" w:hAnsi="Cambria"/>
          <w:b/>
        </w:rPr>
      </w:pPr>
    </w:p>
    <w:p w14:paraId="1FBB2374" w14:textId="77777777" w:rsidR="00D545B2" w:rsidRDefault="00D545B2" w:rsidP="0000787B">
      <w:pPr>
        <w:rPr>
          <w:rFonts w:ascii="Cambria" w:hAnsi="Cambria"/>
          <w:b/>
        </w:rPr>
      </w:pPr>
    </w:p>
    <w:p w14:paraId="206AC7BB" w14:textId="77777777" w:rsidR="00D545B2" w:rsidRDefault="00D545B2" w:rsidP="0000787B">
      <w:pPr>
        <w:rPr>
          <w:rFonts w:ascii="Cambria" w:hAnsi="Cambria"/>
          <w:b/>
        </w:rPr>
      </w:pPr>
    </w:p>
    <w:p w14:paraId="48160B2F" w14:textId="77777777" w:rsidR="00D545B2" w:rsidRDefault="00D545B2" w:rsidP="0000787B">
      <w:pPr>
        <w:rPr>
          <w:rFonts w:ascii="Cambria" w:hAnsi="Cambria"/>
          <w:b/>
        </w:rPr>
      </w:pPr>
    </w:p>
    <w:p w14:paraId="7AC62D22" w14:textId="77777777" w:rsidR="00D545B2" w:rsidRDefault="00D545B2" w:rsidP="0000787B">
      <w:pPr>
        <w:rPr>
          <w:rFonts w:ascii="Cambria" w:hAnsi="Cambria"/>
          <w:b/>
        </w:rPr>
      </w:pPr>
    </w:p>
    <w:p w14:paraId="659BE2FD" w14:textId="77777777" w:rsidR="00D545B2" w:rsidRDefault="00D545B2" w:rsidP="0000787B">
      <w:pPr>
        <w:rPr>
          <w:rFonts w:ascii="Cambria" w:hAnsi="Cambria"/>
          <w:b/>
        </w:rPr>
      </w:pPr>
    </w:p>
    <w:p w14:paraId="0151FA59" w14:textId="77777777" w:rsidR="00D545B2" w:rsidRDefault="00D545B2" w:rsidP="0000787B">
      <w:pPr>
        <w:rPr>
          <w:rFonts w:ascii="Cambria" w:hAnsi="Cambria"/>
          <w:b/>
        </w:rPr>
      </w:pPr>
    </w:p>
    <w:p w14:paraId="658D49E1" w14:textId="77777777" w:rsidR="00D545B2" w:rsidRDefault="00D545B2" w:rsidP="0000787B">
      <w:pPr>
        <w:rPr>
          <w:rFonts w:ascii="Cambria" w:hAnsi="Cambria"/>
          <w:b/>
        </w:rPr>
      </w:pPr>
    </w:p>
    <w:p w14:paraId="69F35491" w14:textId="77777777" w:rsidR="00D545B2" w:rsidRDefault="00D545B2" w:rsidP="0000787B">
      <w:pPr>
        <w:rPr>
          <w:rFonts w:ascii="Cambria" w:hAnsi="Cambria"/>
          <w:b/>
        </w:rPr>
      </w:pPr>
    </w:p>
    <w:p w14:paraId="1FBE0C4F" w14:textId="77777777" w:rsidR="00D545B2" w:rsidRDefault="00D545B2" w:rsidP="0000787B">
      <w:pPr>
        <w:rPr>
          <w:rFonts w:ascii="Cambria" w:hAnsi="Cambria"/>
          <w:b/>
        </w:rPr>
      </w:pPr>
    </w:p>
    <w:p w14:paraId="48E8C2DC" w14:textId="77777777" w:rsidR="00D545B2" w:rsidRDefault="00D545B2" w:rsidP="0000787B">
      <w:pPr>
        <w:rPr>
          <w:rFonts w:ascii="Cambria" w:hAnsi="Cambria"/>
          <w:b/>
        </w:rPr>
      </w:pPr>
    </w:p>
    <w:p w14:paraId="1E47AD10" w14:textId="77777777" w:rsidR="00D545B2" w:rsidRDefault="00D545B2" w:rsidP="0000787B">
      <w:pPr>
        <w:rPr>
          <w:rFonts w:ascii="Cambria" w:hAnsi="Cambria"/>
          <w:b/>
        </w:rPr>
      </w:pPr>
    </w:p>
    <w:p w14:paraId="7354FB04" w14:textId="77777777" w:rsidR="00D545B2" w:rsidRDefault="00D545B2" w:rsidP="0000787B">
      <w:pPr>
        <w:rPr>
          <w:rFonts w:ascii="Cambria" w:hAnsi="Cambria"/>
          <w:b/>
        </w:rPr>
      </w:pPr>
    </w:p>
    <w:p w14:paraId="0098CC07" w14:textId="77777777" w:rsidR="00D545B2" w:rsidRDefault="00D545B2" w:rsidP="0000787B">
      <w:pPr>
        <w:rPr>
          <w:rFonts w:ascii="Cambria" w:hAnsi="Cambria"/>
          <w:b/>
        </w:rPr>
      </w:pPr>
    </w:p>
    <w:p w14:paraId="4985D01C" w14:textId="77777777" w:rsidR="00D545B2" w:rsidRDefault="00D545B2" w:rsidP="0000787B">
      <w:pPr>
        <w:rPr>
          <w:rFonts w:ascii="Cambria" w:hAnsi="Cambria"/>
          <w:b/>
        </w:rPr>
      </w:pPr>
    </w:p>
    <w:p w14:paraId="1A4FCF1E" w14:textId="4E9BC949" w:rsidR="0000787B" w:rsidRDefault="0000787B" w:rsidP="0000787B">
      <w:pPr>
        <w:rPr>
          <w:rFonts w:ascii="Cambria" w:hAnsi="Cambria"/>
          <w:b/>
        </w:rPr>
      </w:pPr>
      <w:r w:rsidRPr="00815DB0">
        <w:rPr>
          <w:rFonts w:ascii="Cambria" w:hAnsi="Cambria"/>
          <w:b/>
        </w:rPr>
        <w:lastRenderedPageBreak/>
        <w:t>References</w:t>
      </w:r>
    </w:p>
    <w:p w14:paraId="6B13B373" w14:textId="77777777" w:rsidR="005D5F7F" w:rsidRPr="00815DB0" w:rsidRDefault="005D5F7F" w:rsidP="0000787B">
      <w:pPr>
        <w:rPr>
          <w:rFonts w:ascii="Cambria" w:hAnsi="Cambria"/>
          <w:b/>
        </w:rPr>
      </w:pPr>
    </w:p>
    <w:p w14:paraId="39B28E16"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Alig, R., Kline, J., Lichtenstein, M. (2004). Urbanization on the US landscape: looking ahead in the 21</w:t>
      </w:r>
      <w:r w:rsidRPr="00B05D39">
        <w:rPr>
          <w:rFonts w:ascii="Cambria" w:hAnsi="Cambria"/>
          <w:color w:val="000000" w:themeColor="text1"/>
          <w:vertAlign w:val="superscript"/>
        </w:rPr>
        <w:t>st</w:t>
      </w:r>
      <w:r w:rsidRPr="00B05D39">
        <w:rPr>
          <w:rFonts w:ascii="Cambria" w:hAnsi="Cambria"/>
          <w:color w:val="000000" w:themeColor="text1"/>
        </w:rPr>
        <w:t xml:space="preserve"> century. </w:t>
      </w:r>
      <w:r w:rsidRPr="00B05D39">
        <w:rPr>
          <w:rFonts w:ascii="Cambria" w:hAnsi="Cambria"/>
          <w:i/>
          <w:iCs/>
          <w:color w:val="000000" w:themeColor="text1"/>
        </w:rPr>
        <w:t>Landscape and Urban Planning</w:t>
      </w:r>
      <w:r w:rsidRPr="00B05D39">
        <w:rPr>
          <w:rFonts w:ascii="Cambria" w:hAnsi="Cambria"/>
          <w:color w:val="000000" w:themeColor="text1"/>
        </w:rPr>
        <w:t xml:space="preserve">. 69(2-3), 219-234. </w:t>
      </w:r>
      <w:hyperlink r:id="rId20" w:history="1">
        <w:r w:rsidRPr="00B05D39">
          <w:rPr>
            <w:rStyle w:val="Hyperlink"/>
            <w:rFonts w:ascii="Cambria" w:hAnsi="Cambria"/>
          </w:rPr>
          <w:t>https://doi.org/10.1016/j.landurbplan.2003.07.004</w:t>
        </w:r>
      </w:hyperlink>
      <w:r w:rsidRPr="00B05D39">
        <w:rPr>
          <w:rFonts w:ascii="Cambria" w:hAnsi="Cambria"/>
          <w:color w:val="000000" w:themeColor="text1"/>
        </w:rPr>
        <w:t xml:space="preserve"> </w:t>
      </w:r>
    </w:p>
    <w:p w14:paraId="1201C520"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Anderson, E., Minor, E. (2017). Vacant lots: an unexplored resource for ecological and social benefits in cities. </w:t>
      </w:r>
      <w:r w:rsidRPr="00B05D39">
        <w:rPr>
          <w:rFonts w:ascii="Cambria" w:hAnsi="Cambria"/>
          <w:i/>
          <w:color w:val="000000" w:themeColor="text1"/>
        </w:rPr>
        <w:t>Urban Forestry and Urban Greening</w:t>
      </w:r>
      <w:r w:rsidRPr="00B05D39">
        <w:rPr>
          <w:rFonts w:ascii="Cambria" w:hAnsi="Cambria"/>
          <w:iCs/>
          <w:color w:val="000000" w:themeColor="text1"/>
        </w:rPr>
        <w:t xml:space="preserve">. 21, 146-152. </w:t>
      </w:r>
      <w:hyperlink r:id="rId21" w:history="1">
        <w:r w:rsidRPr="00B05D39">
          <w:rPr>
            <w:rStyle w:val="Hyperlink"/>
            <w:rFonts w:ascii="Cambria" w:hAnsi="Cambria"/>
            <w:iCs/>
          </w:rPr>
          <w:t>https://doi.org/10.1016/j.ufug.2016.11.015</w:t>
        </w:r>
      </w:hyperlink>
      <w:r w:rsidRPr="00B05D39">
        <w:rPr>
          <w:rFonts w:ascii="Cambria" w:hAnsi="Cambria"/>
          <w:iCs/>
          <w:color w:val="000000" w:themeColor="text1"/>
        </w:rPr>
        <w:t xml:space="preserve"> </w:t>
      </w:r>
    </w:p>
    <w:p w14:paraId="68F41C03"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Andersson, E., Tengo, M., McPhearson, T., Kremer, P. (2015). Cultural ecosystem services as a gateway for improving urban sustainability. </w:t>
      </w:r>
      <w:r w:rsidRPr="00B05D39">
        <w:rPr>
          <w:rFonts w:ascii="Cambria" w:hAnsi="Cambria"/>
          <w:i/>
          <w:iCs/>
          <w:color w:val="000000" w:themeColor="text1"/>
        </w:rPr>
        <w:t xml:space="preserve">Ecosystem Services. </w:t>
      </w:r>
      <w:r w:rsidRPr="00B05D39">
        <w:rPr>
          <w:rFonts w:ascii="Cambria" w:hAnsi="Cambria"/>
          <w:color w:val="000000" w:themeColor="text1"/>
        </w:rPr>
        <w:t xml:space="preserve">12, 165-168. </w:t>
      </w:r>
      <w:hyperlink r:id="rId22" w:history="1">
        <w:r w:rsidRPr="00B05D39">
          <w:rPr>
            <w:rStyle w:val="Hyperlink"/>
            <w:rFonts w:ascii="Cambria" w:hAnsi="Cambria"/>
          </w:rPr>
          <w:t>https://doi.org/10.1016/j.ecoser.2014.08.002</w:t>
        </w:r>
      </w:hyperlink>
      <w:r w:rsidRPr="00B05D39">
        <w:rPr>
          <w:rFonts w:ascii="Cambria" w:hAnsi="Cambria"/>
          <w:color w:val="000000" w:themeColor="text1"/>
        </w:rPr>
        <w:t xml:space="preserve"> </w:t>
      </w:r>
    </w:p>
    <w:p w14:paraId="77E3928D"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Armson, D., Stringer, P., Ennos, A. (2012). The effect of tree shade and grass surface on surface and global temperatures in an urban area. </w:t>
      </w:r>
      <w:r w:rsidRPr="00B05D39">
        <w:rPr>
          <w:rFonts w:ascii="Cambria" w:hAnsi="Cambria"/>
          <w:i/>
          <w:iCs/>
          <w:color w:val="000000" w:themeColor="text1"/>
        </w:rPr>
        <w:t>Urban Forestry and Urban Greening</w:t>
      </w:r>
      <w:r w:rsidRPr="00B05D39">
        <w:rPr>
          <w:rFonts w:ascii="Cambria" w:hAnsi="Cambria"/>
          <w:color w:val="000000" w:themeColor="text1"/>
        </w:rPr>
        <w:t xml:space="preserve">. 11(3), 245-255. </w:t>
      </w:r>
      <w:hyperlink r:id="rId23" w:history="1">
        <w:r w:rsidRPr="00B05D39">
          <w:rPr>
            <w:rStyle w:val="Hyperlink"/>
            <w:rFonts w:ascii="Cambria" w:hAnsi="Cambria"/>
          </w:rPr>
          <w:t>https://doi.org/10.1016/j.ufug.2012.05.002</w:t>
        </w:r>
      </w:hyperlink>
      <w:r w:rsidRPr="00B05D39">
        <w:rPr>
          <w:rFonts w:ascii="Cambria" w:hAnsi="Cambria"/>
          <w:color w:val="000000" w:themeColor="text1"/>
        </w:rPr>
        <w:t xml:space="preserve">  </w:t>
      </w:r>
    </w:p>
    <w:p w14:paraId="707A27E7"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Avdan, U., Jovanovska, G. (2016). Algorithm for automated mapping of land surface temperature using Landsat 8 satellite data. </w:t>
      </w:r>
      <w:r w:rsidRPr="00B05D39">
        <w:rPr>
          <w:rFonts w:ascii="Cambria" w:hAnsi="Cambria"/>
          <w:i/>
        </w:rPr>
        <w:t>Journal of Sensors</w:t>
      </w:r>
      <w:r w:rsidRPr="00B05D39">
        <w:rPr>
          <w:rFonts w:ascii="Cambria" w:hAnsi="Cambria"/>
        </w:rPr>
        <w:t xml:space="preserve">. 1-8. </w:t>
      </w:r>
      <w:hyperlink r:id="rId24">
        <w:r w:rsidRPr="00B05D39">
          <w:rPr>
            <w:rFonts w:ascii="Cambria" w:hAnsi="Cambria"/>
            <w:color w:val="1155CC"/>
            <w:u w:val="single"/>
          </w:rPr>
          <w:t>https://doi.org/10.1155/2016/1480307</w:t>
        </w:r>
      </w:hyperlink>
    </w:p>
    <w:p w14:paraId="1959AC5A" w14:textId="77777777" w:rsidR="005D5F7F" w:rsidRPr="00446F5F"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Black, K., Richards, M. (2020). Eco-gentrification and who benefits from urban green amenities: NYC’s high line. </w:t>
      </w:r>
      <w:r>
        <w:rPr>
          <w:rFonts w:ascii="Cambria" w:hAnsi="Cambria"/>
          <w:i/>
          <w:iCs/>
          <w:color w:val="000000" w:themeColor="text1"/>
        </w:rPr>
        <w:t>Landscape and Urban Planning</w:t>
      </w:r>
      <w:r>
        <w:rPr>
          <w:rFonts w:ascii="Cambria" w:hAnsi="Cambria"/>
          <w:color w:val="000000" w:themeColor="text1"/>
        </w:rPr>
        <w:t xml:space="preserve">. 204. </w:t>
      </w:r>
      <w:hyperlink r:id="rId25" w:history="1">
        <w:r w:rsidRPr="001F17B5">
          <w:rPr>
            <w:rStyle w:val="Hyperlink"/>
            <w:rFonts w:ascii="Cambria" w:hAnsi="Cambria"/>
          </w:rPr>
          <w:t>https://doi.org/10.1016/j.landurbplan.2020.103900</w:t>
        </w:r>
      </w:hyperlink>
      <w:r>
        <w:rPr>
          <w:rFonts w:ascii="Cambria" w:hAnsi="Cambria"/>
          <w:color w:val="000000" w:themeColor="text1"/>
        </w:rPr>
        <w:t xml:space="preserve"> </w:t>
      </w:r>
    </w:p>
    <w:p w14:paraId="2035ADAC"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Blaschke, T. (2010). Object based image analysis for remote sensing. </w:t>
      </w:r>
      <w:r w:rsidRPr="00B05D39">
        <w:rPr>
          <w:rFonts w:ascii="Cambria" w:hAnsi="Cambria"/>
          <w:i/>
        </w:rPr>
        <w:t>ISPRS Journal of Photogrammetry and Remote Sensing</w:t>
      </w:r>
      <w:r w:rsidRPr="00B05D39">
        <w:rPr>
          <w:rFonts w:ascii="Cambria" w:hAnsi="Cambria"/>
        </w:rPr>
        <w:t xml:space="preserve">. 65(1), 2-16. </w:t>
      </w:r>
      <w:hyperlink r:id="rId26">
        <w:r w:rsidRPr="00B05D39">
          <w:rPr>
            <w:rFonts w:ascii="Cambria" w:hAnsi="Cambria"/>
            <w:color w:val="1155CC"/>
            <w:u w:val="single"/>
          </w:rPr>
          <w:t>https://doi.org/10.1016/j.isprsjprs.2009.06.004</w:t>
        </w:r>
      </w:hyperlink>
    </w:p>
    <w:p w14:paraId="46546312" w14:textId="77777777" w:rsidR="005D5F7F" w:rsidRPr="00B05D39" w:rsidRDefault="005D5F7F" w:rsidP="005D5F7F">
      <w:pPr>
        <w:pStyle w:val="ListParagraph"/>
        <w:numPr>
          <w:ilvl w:val="0"/>
          <w:numId w:val="1"/>
        </w:numPr>
        <w:rPr>
          <w:rFonts w:ascii="Cambria" w:hAnsi="Cambria"/>
          <w:color w:val="000000" w:themeColor="text1"/>
          <w:u w:val="single"/>
        </w:rPr>
      </w:pPr>
      <w:r w:rsidRPr="00B05D39">
        <w:rPr>
          <w:rFonts w:ascii="Cambria" w:hAnsi="Cambria"/>
          <w:color w:val="000000" w:themeColor="text1"/>
        </w:rPr>
        <w:t xml:space="preserve">Bogar, S., Beyer, K. (2016). Green space, violence, and crime: a systematic review. </w:t>
      </w:r>
      <w:r w:rsidRPr="00B05D39">
        <w:rPr>
          <w:rFonts w:ascii="Cambria" w:hAnsi="Cambria"/>
          <w:i/>
          <w:iCs/>
          <w:color w:val="000000" w:themeColor="text1"/>
        </w:rPr>
        <w:t>Journal of Trauma, Violence, and Abuse</w:t>
      </w:r>
      <w:r w:rsidRPr="00B05D39">
        <w:rPr>
          <w:rFonts w:ascii="Cambria" w:hAnsi="Cambria"/>
          <w:color w:val="000000" w:themeColor="text1"/>
        </w:rPr>
        <w:t xml:space="preserve">. 17(2), 160-171. DOI: 10.1177/1524838015576412  </w:t>
      </w:r>
    </w:p>
    <w:p w14:paraId="2E697D3C" w14:textId="77777777" w:rsidR="005D5F7F" w:rsidRPr="00B05D39" w:rsidRDefault="005D5F7F" w:rsidP="005D5F7F">
      <w:pPr>
        <w:pStyle w:val="ListParagraph"/>
        <w:numPr>
          <w:ilvl w:val="0"/>
          <w:numId w:val="1"/>
        </w:numPr>
        <w:rPr>
          <w:rFonts w:ascii="Cambria" w:hAnsi="Cambria"/>
          <w:color w:val="000000" w:themeColor="text1"/>
          <w:u w:val="single"/>
        </w:rPr>
      </w:pPr>
      <w:r w:rsidRPr="00B05D39">
        <w:rPr>
          <w:rFonts w:ascii="Cambria" w:hAnsi="Cambria" w:cs="Calibri"/>
        </w:rPr>
        <w:t xml:space="preserve">Boone, C., Buckley, G., Grove, J., &amp; Sister, C. (2009). Parks and people: An environmental justice inquiry in Baltimore, Maryland. </w:t>
      </w:r>
      <w:r w:rsidRPr="00B05D39">
        <w:rPr>
          <w:rFonts w:ascii="Cambria" w:hAnsi="Cambria" w:cs="Calibri"/>
          <w:i/>
          <w:iCs/>
        </w:rPr>
        <w:t>Annals of the Association of American Geographers</w:t>
      </w:r>
      <w:r w:rsidRPr="00B05D39">
        <w:rPr>
          <w:rFonts w:ascii="Cambria" w:hAnsi="Cambria" w:cs="Calibri"/>
        </w:rPr>
        <w:t xml:space="preserve">, </w:t>
      </w:r>
      <w:r w:rsidRPr="00B05D39">
        <w:rPr>
          <w:rFonts w:ascii="Cambria" w:hAnsi="Cambria" w:cs="Calibri"/>
          <w:i/>
          <w:iCs/>
        </w:rPr>
        <w:t>99</w:t>
      </w:r>
      <w:r w:rsidRPr="00B05D39">
        <w:rPr>
          <w:rFonts w:ascii="Cambria" w:hAnsi="Cambria" w:cs="Calibri"/>
        </w:rPr>
        <w:t xml:space="preserve">(4), 767–787. </w:t>
      </w:r>
      <w:hyperlink r:id="rId27" w:history="1">
        <w:r w:rsidRPr="00B05D39">
          <w:rPr>
            <w:rStyle w:val="Hyperlink"/>
            <w:rFonts w:ascii="Cambria" w:hAnsi="Cambria" w:cs="Calibri"/>
          </w:rPr>
          <w:t>https://doi.org/10.1080/00045600903102949</w:t>
        </w:r>
      </w:hyperlink>
      <w:r w:rsidRPr="00B05D39">
        <w:rPr>
          <w:rFonts w:ascii="Cambria" w:hAnsi="Cambria" w:cs="Calibri"/>
        </w:rPr>
        <w:t xml:space="preserve"> </w:t>
      </w:r>
    </w:p>
    <w:p w14:paraId="1FF63C84" w14:textId="77777777" w:rsidR="005D5F7F" w:rsidRPr="00B05D39" w:rsidRDefault="005D5F7F" w:rsidP="005D5F7F">
      <w:pPr>
        <w:pStyle w:val="ListParagraph"/>
        <w:numPr>
          <w:ilvl w:val="0"/>
          <w:numId w:val="1"/>
        </w:numPr>
        <w:rPr>
          <w:rFonts w:ascii="Cambria" w:hAnsi="Cambria"/>
          <w:color w:val="000000" w:themeColor="text1"/>
          <w:u w:val="single"/>
        </w:rPr>
      </w:pPr>
      <w:r w:rsidRPr="00B05D39">
        <w:rPr>
          <w:rFonts w:ascii="Cambria" w:hAnsi="Cambria"/>
          <w:color w:val="000000" w:themeColor="text1"/>
        </w:rPr>
        <w:t xml:space="preserve">Boone, C., Fragkias, M. (2012). Connecting environmental justice, sustainability, and vulnerability. </w:t>
      </w:r>
      <w:r w:rsidRPr="00B05D39">
        <w:rPr>
          <w:rFonts w:ascii="Cambria" w:hAnsi="Cambria"/>
          <w:i/>
          <w:iCs/>
          <w:color w:val="000000" w:themeColor="text1"/>
        </w:rPr>
        <w:t>Urbanization and Sustainability</w:t>
      </w:r>
      <w:r w:rsidRPr="00B05D39">
        <w:rPr>
          <w:rFonts w:ascii="Cambria" w:hAnsi="Cambria"/>
          <w:color w:val="000000" w:themeColor="text1"/>
        </w:rPr>
        <w:t xml:space="preserve">. </w:t>
      </w:r>
      <w:r w:rsidRPr="00B05D39">
        <w:rPr>
          <w:rFonts w:ascii="Cambria" w:hAnsi="Cambria"/>
          <w:color w:val="000000" w:themeColor="text1"/>
          <w:spacing w:val="4"/>
          <w:shd w:val="clear" w:color="auto" w:fill="FCFCFC"/>
        </w:rPr>
        <w:t xml:space="preserve">In: Boone C., Fragkias M. (eds) Urbanization and Sustainability. Human-Environment Interactions, vol 3. Springer, Dordrecht. </w:t>
      </w:r>
      <w:hyperlink r:id="rId28" w:history="1">
        <w:r w:rsidRPr="00B05D39">
          <w:rPr>
            <w:rStyle w:val="Hyperlink"/>
            <w:rFonts w:ascii="Cambria" w:hAnsi="Cambria"/>
            <w:spacing w:val="4"/>
            <w:shd w:val="clear" w:color="auto" w:fill="FCFCFC"/>
          </w:rPr>
          <w:t>https://doi.org/10.1007/978-94-007-5666-3_4</w:t>
        </w:r>
      </w:hyperlink>
      <w:r w:rsidRPr="00B05D39">
        <w:rPr>
          <w:rFonts w:ascii="Cambria" w:hAnsi="Cambria"/>
          <w:color w:val="000000" w:themeColor="text1"/>
          <w:spacing w:val="4"/>
          <w:shd w:val="clear" w:color="auto" w:fill="FCFCFC"/>
        </w:rPr>
        <w:t xml:space="preserve"> </w:t>
      </w:r>
    </w:p>
    <w:p w14:paraId="447C6600"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Brown, D., Johnson, K., Loveland, T., Theobald, D. (2005). Rural land-use trends in the in the conterminous United States, 1950-2000. </w:t>
      </w:r>
      <w:r w:rsidRPr="00B05D39">
        <w:rPr>
          <w:rFonts w:ascii="Cambria" w:hAnsi="Cambria"/>
          <w:i/>
          <w:iCs/>
          <w:color w:val="000000" w:themeColor="text1"/>
        </w:rPr>
        <w:t>Ecological Applications</w:t>
      </w:r>
      <w:r w:rsidRPr="00B05D39">
        <w:rPr>
          <w:rFonts w:ascii="Cambria" w:hAnsi="Cambria"/>
          <w:color w:val="000000" w:themeColor="text1"/>
        </w:rPr>
        <w:t xml:space="preserve">, 15(6), 1851-1863. </w:t>
      </w:r>
      <w:r>
        <w:rPr>
          <w:rFonts w:ascii="Cambria" w:hAnsi="Cambria"/>
          <w:color w:val="000000" w:themeColor="text1"/>
        </w:rPr>
        <w:t xml:space="preserve">Retrieved from: </w:t>
      </w:r>
      <w:hyperlink r:id="rId29" w:history="1">
        <w:r w:rsidRPr="00A2339F">
          <w:rPr>
            <w:rStyle w:val="Hyperlink"/>
            <w:rFonts w:ascii="Cambria" w:hAnsi="Cambria"/>
          </w:rPr>
          <w:t>https://esajournals.onlinelibrary.wiley.com/doi/pdf/10.1890/03-5220</w:t>
        </w:r>
      </w:hyperlink>
      <w:r>
        <w:rPr>
          <w:rFonts w:ascii="Cambria" w:hAnsi="Cambria"/>
        </w:rPr>
        <w:t xml:space="preserve"> </w:t>
      </w:r>
    </w:p>
    <w:p w14:paraId="7361E3DD"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Bryant, B. (1995). </w:t>
      </w:r>
      <w:r w:rsidRPr="00B05D39">
        <w:rPr>
          <w:rFonts w:ascii="Cambria" w:hAnsi="Cambria" w:cs="Calibri"/>
          <w:i/>
          <w:iCs/>
        </w:rPr>
        <w:t>Environmental Justice: Issues, Policies, and Solutions</w:t>
      </w:r>
      <w:r w:rsidRPr="00B05D39">
        <w:rPr>
          <w:rFonts w:ascii="Cambria" w:hAnsi="Cambria" w:cs="Calibri"/>
        </w:rPr>
        <w:t xml:space="preserve">. Washington DC: Island. </w:t>
      </w:r>
      <w:hyperlink r:id="rId30" w:history="1">
        <w:r w:rsidRPr="00B05D39">
          <w:rPr>
            <w:rStyle w:val="Hyperlink"/>
            <w:rFonts w:ascii="Cambria" w:hAnsi="Cambria" w:cs="Calibri"/>
          </w:rPr>
          <w:t>https://doi.org/10.2458/v3i1.21814</w:t>
        </w:r>
      </w:hyperlink>
      <w:r w:rsidRPr="00B05D39">
        <w:rPr>
          <w:rFonts w:ascii="Cambria" w:hAnsi="Cambria" w:cs="Calibri"/>
        </w:rPr>
        <w:t xml:space="preserve"> </w:t>
      </w:r>
    </w:p>
    <w:p w14:paraId="0D6F9BA3"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Buchel, S., Frantzeskaki, N. (2015). Citizens' voice: A case study about perceived ecosystem services by urban park users in Rotterdam, Netherlands. </w:t>
      </w:r>
      <w:r w:rsidRPr="00B05D39">
        <w:rPr>
          <w:rFonts w:ascii="Cambria" w:hAnsi="Cambria" w:cs="Calibri"/>
          <w:i/>
          <w:iCs/>
        </w:rPr>
        <w:t>Ecosystem Services</w:t>
      </w:r>
      <w:r w:rsidRPr="00B05D39">
        <w:rPr>
          <w:rFonts w:ascii="Cambria" w:hAnsi="Cambria" w:cs="Calibri"/>
        </w:rPr>
        <w:t xml:space="preserve">, 12, 169-177. </w:t>
      </w:r>
      <w:hyperlink r:id="rId31" w:history="1">
        <w:r w:rsidRPr="00B05D39">
          <w:rPr>
            <w:rStyle w:val="Hyperlink"/>
            <w:rFonts w:ascii="Cambria" w:hAnsi="Cambria" w:cs="Calibri"/>
          </w:rPr>
          <w:t>https://doi.org/10.1016/j.ecoser.2014.11.014</w:t>
        </w:r>
      </w:hyperlink>
      <w:r w:rsidRPr="00B05D39">
        <w:rPr>
          <w:rFonts w:ascii="Cambria" w:hAnsi="Cambria" w:cs="Calibri"/>
        </w:rPr>
        <w:t xml:space="preserve">.  </w:t>
      </w:r>
    </w:p>
    <w:p w14:paraId="0DB2638E"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Bullard, R. (1990). </w:t>
      </w:r>
      <w:r w:rsidRPr="00B05D39">
        <w:rPr>
          <w:rFonts w:ascii="Cambria" w:hAnsi="Cambria" w:cs="Calibri"/>
          <w:i/>
          <w:iCs/>
        </w:rPr>
        <w:t>Dumping in Dixie: Races, class, and environmental quality</w:t>
      </w:r>
      <w:r w:rsidRPr="00B05D39">
        <w:rPr>
          <w:rFonts w:ascii="Cambria" w:hAnsi="Cambria" w:cs="Calibri"/>
        </w:rPr>
        <w:t xml:space="preserve">. Boulder, CO: Westview. Retrieved from: </w:t>
      </w:r>
      <w:hyperlink r:id="rId32" w:anchor="metadata_info_tab_contents" w:history="1">
        <w:r w:rsidRPr="00B05D39">
          <w:rPr>
            <w:rStyle w:val="Hyperlink"/>
            <w:rFonts w:ascii="Cambria" w:hAnsi="Cambria" w:cs="Calibri"/>
          </w:rPr>
          <w:t>https://www.jstor.org/stable/24113114?seq=7#metadata_info_tab_contents</w:t>
        </w:r>
      </w:hyperlink>
      <w:r w:rsidRPr="00B05D39">
        <w:rPr>
          <w:rFonts w:ascii="Cambria" w:hAnsi="Cambria" w:cs="Calibri"/>
        </w:rPr>
        <w:t xml:space="preserve"> </w:t>
      </w:r>
    </w:p>
    <w:p w14:paraId="0FA1FFED"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lastRenderedPageBreak/>
        <w:t xml:space="preserve">Cadenasso, M., Pickett, S., Schwarz, K. (2007). Spatial heterogeneity in urban ecosystems: reconceptualizing land cover and a framework for classification. </w:t>
      </w:r>
      <w:r w:rsidRPr="00B05D39">
        <w:rPr>
          <w:rFonts w:ascii="Cambria" w:hAnsi="Cambria"/>
          <w:i/>
          <w:iCs/>
          <w:color w:val="000000" w:themeColor="text1"/>
        </w:rPr>
        <w:t>Frontiers in Ecology and the Environment</w:t>
      </w:r>
      <w:r w:rsidRPr="00B05D39">
        <w:rPr>
          <w:rFonts w:ascii="Cambria" w:hAnsi="Cambria"/>
          <w:color w:val="000000" w:themeColor="text1"/>
        </w:rPr>
        <w:t xml:space="preserve">. 5(2), 80-88. </w:t>
      </w:r>
      <w:hyperlink r:id="rId33" w:history="1">
        <w:r w:rsidRPr="00B05D39">
          <w:rPr>
            <w:rStyle w:val="Hyperlink"/>
            <w:rFonts w:ascii="Cambria" w:hAnsi="Cambria"/>
          </w:rPr>
          <w:t>https://doi.org/10.1890/1540-9295(2007)5[80:SHIUER]2.0.CO;2</w:t>
        </w:r>
      </w:hyperlink>
      <w:r w:rsidRPr="00B05D39">
        <w:rPr>
          <w:rFonts w:ascii="Cambria" w:hAnsi="Cambria"/>
          <w:color w:val="000000" w:themeColor="text1"/>
        </w:rPr>
        <w:t xml:space="preserve">  </w:t>
      </w:r>
    </w:p>
    <w:p w14:paraId="54E3E98F" w14:textId="77777777" w:rsidR="005D5F7F" w:rsidRPr="003E0AB9" w:rsidRDefault="005D5F7F" w:rsidP="005D5F7F">
      <w:pPr>
        <w:pStyle w:val="ListParagraph"/>
        <w:numPr>
          <w:ilvl w:val="0"/>
          <w:numId w:val="1"/>
        </w:numPr>
        <w:rPr>
          <w:rFonts w:ascii="Cambria" w:hAnsi="Cambria"/>
          <w:color w:val="1155CC"/>
          <w:u w:val="single"/>
        </w:rPr>
      </w:pPr>
      <w:r w:rsidRPr="003E0AB9">
        <w:rPr>
          <w:rFonts w:ascii="Cambria" w:hAnsi="Cambria"/>
          <w:color w:val="000000" w:themeColor="text1"/>
        </w:rPr>
        <w:t xml:space="preserve">Calvet-Mir, L., Gomez-Baggethun, E., Reyes-Garcia, V. (2012). Beyond food </w:t>
      </w:r>
      <w:proofErr w:type="gramStart"/>
      <w:r w:rsidRPr="003E0AB9">
        <w:rPr>
          <w:rFonts w:ascii="Cambria" w:hAnsi="Cambria"/>
          <w:color w:val="000000" w:themeColor="text1"/>
        </w:rPr>
        <w:t>production;</w:t>
      </w:r>
      <w:proofErr w:type="gramEnd"/>
      <w:r w:rsidRPr="003E0AB9">
        <w:rPr>
          <w:rFonts w:ascii="Cambria" w:hAnsi="Cambria"/>
          <w:color w:val="000000" w:themeColor="text1"/>
        </w:rPr>
        <w:t xml:space="preserve"> ecosystem services provided by home gardens. A case study in Vall Fosca, Catalan Pyrenees, northeastern Spain. </w:t>
      </w:r>
      <w:r w:rsidRPr="003E0AB9">
        <w:rPr>
          <w:rFonts w:ascii="Cambria" w:hAnsi="Cambria"/>
          <w:i/>
          <w:iCs/>
          <w:color w:val="000000" w:themeColor="text1"/>
        </w:rPr>
        <w:t>Ecological Economics</w:t>
      </w:r>
      <w:r w:rsidRPr="003E0AB9">
        <w:rPr>
          <w:rFonts w:ascii="Cambria" w:hAnsi="Cambria"/>
          <w:color w:val="000000" w:themeColor="text1"/>
        </w:rPr>
        <w:t xml:space="preserve">. 74, 153-160. </w:t>
      </w:r>
      <w:hyperlink r:id="rId34" w:history="1">
        <w:r w:rsidRPr="003E0AB9">
          <w:rPr>
            <w:rStyle w:val="Hyperlink"/>
            <w:rFonts w:ascii="Cambria" w:hAnsi="Cambria"/>
          </w:rPr>
          <w:t>https://doi.org/10.1016/j.ecolecon.2011.12.011</w:t>
        </w:r>
      </w:hyperlink>
      <w:r w:rsidRPr="003E0AB9">
        <w:rPr>
          <w:rFonts w:ascii="Cambria" w:hAnsi="Cambria"/>
          <w:color w:val="000000" w:themeColor="text1"/>
        </w:rPr>
        <w:t xml:space="preserve"> </w:t>
      </w:r>
    </w:p>
    <w:p w14:paraId="4683F135" w14:textId="77777777" w:rsidR="005D5F7F" w:rsidRPr="00983F3C"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Carmichael, C., McDonough, M. (2019). Community stories: explaining resistance to street tree-planting programs in Detroit, Michigan. </w:t>
      </w:r>
      <w:r>
        <w:rPr>
          <w:rFonts w:ascii="Cambria" w:hAnsi="Cambria"/>
          <w:i/>
          <w:color w:val="000000" w:themeColor="text1"/>
        </w:rPr>
        <w:t>Society and Natural Resources</w:t>
      </w:r>
      <w:r>
        <w:rPr>
          <w:rFonts w:ascii="Cambria" w:hAnsi="Cambria"/>
          <w:iCs/>
          <w:color w:val="000000" w:themeColor="text1"/>
        </w:rPr>
        <w:t xml:space="preserve">. </w:t>
      </w:r>
      <w:r>
        <w:rPr>
          <w:rFonts w:ascii="Cambria" w:hAnsi="Cambria"/>
          <w:color w:val="000000" w:themeColor="text1"/>
        </w:rPr>
        <w:t xml:space="preserve">32(5), 588-605. </w:t>
      </w:r>
      <w:r w:rsidRPr="00983F3C">
        <w:rPr>
          <w:rFonts w:ascii="Calibri" w:hAnsi="Calibri" w:cs="Calibri"/>
          <w:color w:val="000000" w:themeColor="text1"/>
        </w:rPr>
        <w:t>﻿</w:t>
      </w:r>
      <w:hyperlink r:id="rId35" w:history="1">
        <w:r w:rsidRPr="00AB44D8">
          <w:rPr>
            <w:rStyle w:val="Hyperlink"/>
            <w:rFonts w:ascii="Cambria" w:hAnsi="Cambria"/>
          </w:rPr>
          <w:t>https://doi.org/10.1080/08941920.2018.1550229</w:t>
        </w:r>
      </w:hyperlink>
      <w:r>
        <w:rPr>
          <w:rFonts w:ascii="Cambria" w:hAnsi="Cambria"/>
          <w:color w:val="000000" w:themeColor="text1"/>
        </w:rPr>
        <w:t xml:space="preserve"> </w:t>
      </w:r>
    </w:p>
    <w:p w14:paraId="4EC96B6D"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Center for Disease Control and Prevention. (2013). CDC health disparities and inequalities report - United States, 2013. </w:t>
      </w:r>
      <w:r w:rsidRPr="00B05D39">
        <w:rPr>
          <w:rFonts w:ascii="Cambria" w:hAnsi="Cambria" w:cs="Calibri"/>
          <w:i/>
          <w:iCs/>
        </w:rPr>
        <w:t>Morbidity and Mortality Weekly Report</w:t>
      </w:r>
      <w:r w:rsidRPr="00B05D39">
        <w:rPr>
          <w:rFonts w:ascii="Cambria" w:hAnsi="Cambria" w:cs="Calibri"/>
        </w:rPr>
        <w:t xml:space="preserve">. 62(3), 1-184. Retrieved from: </w:t>
      </w:r>
      <w:hyperlink r:id="rId36" w:history="1">
        <w:r w:rsidRPr="00B05D39">
          <w:rPr>
            <w:rStyle w:val="Hyperlink"/>
            <w:rFonts w:ascii="Cambria" w:hAnsi="Cambria" w:cs="Calibri"/>
          </w:rPr>
          <w:t>https://www.cdc.gov/mmwr/pdf/other/su6203.pdf</w:t>
        </w:r>
      </w:hyperlink>
      <w:r w:rsidRPr="00B05D39">
        <w:rPr>
          <w:rFonts w:ascii="Cambria" w:hAnsi="Cambria" w:cs="Calibri"/>
        </w:rPr>
        <w:t xml:space="preserve"> </w:t>
      </w:r>
    </w:p>
    <w:p w14:paraId="202B0107"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Chaparro, L., Terradas, J. (2009). Ecological services of urban forests in Barcelona. </w:t>
      </w:r>
      <w:r w:rsidRPr="00B05D39">
        <w:rPr>
          <w:rFonts w:ascii="Cambria" w:hAnsi="Cambria" w:cs="Calibri"/>
        </w:rPr>
        <w:t>Institut Municipal de Parcs i Jardins Ajuntament de Barcelona, Àrea de Medi Ambient. Retrieved from:</w:t>
      </w:r>
      <w:r w:rsidRPr="00B05D39">
        <w:rPr>
          <w:rFonts w:ascii="Cambria" w:hAnsi="Cambria"/>
          <w:color w:val="1155CC"/>
          <w:u w:val="single"/>
        </w:rPr>
        <w:t xml:space="preserve"> </w:t>
      </w:r>
      <w:hyperlink r:id="rId37" w:history="1">
        <w:r w:rsidRPr="00B05D39">
          <w:rPr>
            <w:rStyle w:val="Hyperlink"/>
            <w:rFonts w:ascii="Cambria" w:hAnsi="Cambria"/>
          </w:rPr>
          <w:t>http://citeseerx.ist.psu.edu/viewdoc/download?doi=10.1.1.364.9799&amp;rep=rep1&amp;type=pdf</w:t>
        </w:r>
      </w:hyperlink>
      <w:r w:rsidRPr="00B05D39">
        <w:rPr>
          <w:rFonts w:ascii="Cambria" w:hAnsi="Cambria"/>
          <w:color w:val="1155CC"/>
          <w:u w:val="single"/>
        </w:rPr>
        <w:t xml:space="preserve"> </w:t>
      </w:r>
    </w:p>
    <w:p w14:paraId="2CD32783"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C</w:t>
      </w:r>
      <w:r w:rsidRPr="00B05D39">
        <w:rPr>
          <w:rFonts w:ascii="Cambria" w:hAnsi="Cambria" w:cs="Calibri"/>
        </w:rPr>
        <w:t xml:space="preserve">hecker, M. (2011). Wiped out by the "greenwave": Environmental gentrification and the paradoxical politics of urban sustainability. </w:t>
      </w:r>
      <w:r w:rsidRPr="00B05D39">
        <w:rPr>
          <w:rFonts w:ascii="Cambria" w:hAnsi="Cambria" w:cs="Calibri"/>
          <w:i/>
          <w:iCs/>
        </w:rPr>
        <w:t>City &amp; Society</w:t>
      </w:r>
      <w:r w:rsidRPr="00B05D39">
        <w:rPr>
          <w:rFonts w:ascii="Cambria" w:hAnsi="Cambria" w:cs="Calibri"/>
        </w:rPr>
        <w:t xml:space="preserve">, 23(2), 210-229. </w:t>
      </w:r>
      <w:hyperlink r:id="rId38" w:history="1">
        <w:r w:rsidRPr="00B05D39">
          <w:rPr>
            <w:rStyle w:val="Hyperlink"/>
            <w:rFonts w:ascii="Cambria" w:hAnsi="Cambria" w:cs="Calibri"/>
          </w:rPr>
          <w:t>https://doi.org/10.1111/j.1548-744X.2011.01063.x</w:t>
        </w:r>
      </w:hyperlink>
      <w:r w:rsidRPr="00B05D39">
        <w:rPr>
          <w:rFonts w:ascii="Cambria" w:hAnsi="Cambria" w:cs="Calibri"/>
        </w:rPr>
        <w:t xml:space="preserve">. </w:t>
      </w:r>
    </w:p>
    <w:p w14:paraId="3B9F8862" w14:textId="77777777" w:rsidR="005D5F7F" w:rsidRPr="00421BDA"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Chiesura, A. (2004). The role of urban parks for the sustainable city. </w:t>
      </w:r>
      <w:r w:rsidRPr="00B05D39">
        <w:rPr>
          <w:rFonts w:ascii="Cambria" w:hAnsi="Cambria"/>
          <w:i/>
          <w:iCs/>
          <w:color w:val="000000" w:themeColor="text1"/>
        </w:rPr>
        <w:t>Landscape and Urban Planning</w:t>
      </w:r>
      <w:r w:rsidRPr="00B05D39">
        <w:rPr>
          <w:rFonts w:ascii="Cambria" w:hAnsi="Cambria"/>
          <w:color w:val="000000" w:themeColor="text1"/>
        </w:rPr>
        <w:t xml:space="preserve">. 68(1), 129-138. </w:t>
      </w:r>
      <w:hyperlink r:id="rId39" w:history="1">
        <w:r w:rsidRPr="00B05D39">
          <w:rPr>
            <w:rStyle w:val="Hyperlink"/>
            <w:rFonts w:ascii="Cambria" w:hAnsi="Cambria"/>
          </w:rPr>
          <w:t>https://doi.org/10.1016/j.landurbplan.2003.08.003</w:t>
        </w:r>
      </w:hyperlink>
      <w:r w:rsidRPr="00B05D39">
        <w:rPr>
          <w:rFonts w:ascii="Cambria" w:hAnsi="Cambria"/>
          <w:color w:val="000000" w:themeColor="text1"/>
        </w:rPr>
        <w:t xml:space="preserve"> </w:t>
      </w:r>
    </w:p>
    <w:p w14:paraId="723FEF7D"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City-Data. (2017). Rochester, New York. Retrieved from: </w:t>
      </w:r>
      <w:hyperlink r:id="rId40">
        <w:r w:rsidRPr="00B05D39">
          <w:rPr>
            <w:rFonts w:ascii="Cambria" w:hAnsi="Cambria"/>
            <w:color w:val="1155CC"/>
            <w:u w:val="single"/>
          </w:rPr>
          <w:t>http://www.city-data.com/city/Rochester-New-York.html</w:t>
        </w:r>
      </w:hyperlink>
    </w:p>
    <w:p w14:paraId="19D39116" w14:textId="77777777" w:rsidR="005D5F7F" w:rsidRPr="00421BDA" w:rsidRDefault="005D5F7F" w:rsidP="005D5F7F">
      <w:pPr>
        <w:pStyle w:val="ListParagraph"/>
        <w:numPr>
          <w:ilvl w:val="0"/>
          <w:numId w:val="1"/>
        </w:numPr>
        <w:rPr>
          <w:rFonts w:ascii="Cambria" w:hAnsi="Cambria" w:cstheme="minorHAnsi"/>
          <w:color w:val="1155CC"/>
          <w:u w:val="single"/>
        </w:rPr>
      </w:pPr>
      <w:r>
        <w:rPr>
          <w:rFonts w:ascii="Cambria" w:hAnsi="Cambria" w:cstheme="minorHAnsi"/>
          <w:color w:val="000000" w:themeColor="text1"/>
        </w:rPr>
        <w:t xml:space="preserve">City of Rochester. (2014). </w:t>
      </w:r>
      <w:r>
        <w:rPr>
          <w:rFonts w:ascii="Cambria" w:hAnsi="Cambria" w:cstheme="minorHAnsi"/>
          <w:i/>
          <w:iCs/>
          <w:color w:val="000000" w:themeColor="text1"/>
        </w:rPr>
        <w:t>Neighborhood Data Map</w:t>
      </w:r>
      <w:r>
        <w:rPr>
          <w:rFonts w:ascii="Cambria" w:hAnsi="Cambria" w:cstheme="minorHAnsi"/>
          <w:color w:val="000000" w:themeColor="text1"/>
        </w:rPr>
        <w:t xml:space="preserve">. Retrieved from: </w:t>
      </w:r>
      <w:hyperlink r:id="rId41" w:history="1">
        <w:r w:rsidRPr="00AB44D8">
          <w:rPr>
            <w:rStyle w:val="Hyperlink"/>
            <w:rFonts w:ascii="Cambria" w:hAnsi="Cambria" w:cstheme="minorHAnsi"/>
          </w:rPr>
          <w:t>https://www.cityofrochester.gov/neighborhooddatamap/</w:t>
        </w:r>
      </w:hyperlink>
      <w:r>
        <w:rPr>
          <w:rFonts w:ascii="Cambria" w:hAnsi="Cambria" w:cstheme="minorHAnsi"/>
          <w:color w:val="000000" w:themeColor="text1"/>
        </w:rPr>
        <w:t xml:space="preserve"> </w:t>
      </w:r>
    </w:p>
    <w:p w14:paraId="6471CA70" w14:textId="77777777" w:rsidR="005D5F7F" w:rsidRPr="00E22D15" w:rsidRDefault="005D5F7F" w:rsidP="005D5F7F">
      <w:pPr>
        <w:pStyle w:val="ListParagraph"/>
        <w:numPr>
          <w:ilvl w:val="0"/>
          <w:numId w:val="1"/>
        </w:numPr>
        <w:rPr>
          <w:rFonts w:ascii="Cambria" w:hAnsi="Cambria" w:cstheme="minorHAnsi"/>
          <w:color w:val="1155CC"/>
          <w:u w:val="single"/>
        </w:rPr>
      </w:pPr>
      <w:r>
        <w:rPr>
          <w:rFonts w:ascii="Cambria" w:hAnsi="Cambria" w:cstheme="minorHAnsi"/>
          <w:color w:val="000000" w:themeColor="text1"/>
        </w:rPr>
        <w:t xml:space="preserve">City Roots Community Land Trust., Yale Environmental Protection Clinic. (2020). Confronting racial covenants: how they segregated Monroe County and what to do about them. Retrieved from: </w:t>
      </w:r>
      <w:hyperlink r:id="rId42" w:history="1">
        <w:r w:rsidRPr="007869CE">
          <w:rPr>
            <w:rStyle w:val="Hyperlink"/>
            <w:rFonts w:ascii="Cambria" w:hAnsi="Cambria" w:cstheme="minorHAnsi"/>
          </w:rPr>
          <w:t>https://law.yale.edu/sites/default/files/area/clinic/document/2020.7.31_-_confronting_racial_covenants_-_yale.city_roots_guide.pdf</w:t>
        </w:r>
      </w:hyperlink>
      <w:r>
        <w:rPr>
          <w:rFonts w:ascii="Cambria" w:hAnsi="Cambria" w:cstheme="minorHAnsi"/>
          <w:color w:val="000000" w:themeColor="text1"/>
        </w:rPr>
        <w:t xml:space="preserve"> </w:t>
      </w:r>
    </w:p>
    <w:p w14:paraId="7C701588" w14:textId="77777777" w:rsidR="005D5F7F" w:rsidRPr="00B05D39" w:rsidRDefault="005D5F7F" w:rsidP="005D5F7F">
      <w:pPr>
        <w:pStyle w:val="ListParagraph"/>
        <w:numPr>
          <w:ilvl w:val="0"/>
          <w:numId w:val="1"/>
        </w:numPr>
        <w:rPr>
          <w:rFonts w:ascii="Cambria" w:hAnsi="Cambria" w:cstheme="minorHAnsi"/>
          <w:color w:val="1155CC"/>
          <w:u w:val="single"/>
        </w:rPr>
      </w:pPr>
      <w:r w:rsidRPr="00B05D39">
        <w:rPr>
          <w:rFonts w:ascii="Cambria" w:hAnsi="Cambria" w:cstheme="minorHAnsi"/>
          <w:color w:val="000000" w:themeColor="text1"/>
        </w:rPr>
        <w:t xml:space="preserve">Cohen-Cline, H., Turkheimer, E., Duncan, G. (2015). Access to greenspace, physical activity, and mental health: a twin study. </w:t>
      </w:r>
      <w:r w:rsidRPr="00B05D39">
        <w:rPr>
          <w:rFonts w:ascii="Cambria" w:hAnsi="Cambria" w:cstheme="minorHAnsi"/>
          <w:i/>
          <w:iCs/>
          <w:color w:val="000000" w:themeColor="text1"/>
        </w:rPr>
        <w:t>Journal of Epidemiology and Community Health</w:t>
      </w:r>
      <w:r w:rsidRPr="00B05D39">
        <w:rPr>
          <w:rFonts w:ascii="Cambria" w:hAnsi="Cambria" w:cstheme="minorHAnsi"/>
          <w:color w:val="000000" w:themeColor="text1"/>
        </w:rPr>
        <w:t xml:space="preserve">. 69(6), 523-529. </w:t>
      </w:r>
      <w:hyperlink r:id="rId43" w:history="1">
        <w:r w:rsidRPr="00B05D39">
          <w:rPr>
            <w:rStyle w:val="Hyperlink"/>
            <w:rFonts w:ascii="Cambria" w:hAnsi="Cambria" w:cstheme="minorHAnsi"/>
          </w:rPr>
          <w:t>https://dx.doi.org/10.1136%2Fjech-2014-204667</w:t>
        </w:r>
      </w:hyperlink>
      <w:r w:rsidRPr="00B05D39">
        <w:rPr>
          <w:rFonts w:ascii="Cambria" w:hAnsi="Cambria" w:cstheme="minorHAnsi"/>
          <w:color w:val="000000" w:themeColor="text1"/>
        </w:rPr>
        <w:t xml:space="preserve"> </w:t>
      </w:r>
    </w:p>
    <w:p w14:paraId="72F7035B" w14:textId="77777777" w:rsidR="005D5F7F" w:rsidRPr="002015CA" w:rsidRDefault="005D5F7F" w:rsidP="005D5F7F">
      <w:pPr>
        <w:pStyle w:val="ListParagraph"/>
        <w:numPr>
          <w:ilvl w:val="0"/>
          <w:numId w:val="1"/>
        </w:numPr>
        <w:rPr>
          <w:rFonts w:ascii="Cambria" w:hAnsi="Cambria" w:cstheme="minorHAnsi"/>
          <w:color w:val="1155CC"/>
          <w:u w:val="single"/>
        </w:rPr>
      </w:pPr>
      <w:r w:rsidRPr="00B05D39">
        <w:rPr>
          <w:rFonts w:ascii="Cambria" w:hAnsi="Cambria" w:cs="Calibri"/>
        </w:rPr>
        <w:t xml:space="preserve">Colten, C., Skinner, P. (1996). </w:t>
      </w:r>
      <w:r w:rsidRPr="00B05D39">
        <w:rPr>
          <w:rFonts w:ascii="Cambria" w:hAnsi="Cambria" w:cs="Calibri"/>
          <w:i/>
          <w:iCs/>
        </w:rPr>
        <w:t>The road to love canal: Managing industrial waste before the EPA</w:t>
      </w:r>
      <w:r w:rsidRPr="00B05D39">
        <w:rPr>
          <w:rFonts w:ascii="Cambria" w:hAnsi="Cambria" w:cs="Calibri"/>
        </w:rPr>
        <w:t xml:space="preserve">. Austin: The University of Texas Press. </w:t>
      </w:r>
    </w:p>
    <w:p w14:paraId="0948AB21" w14:textId="77777777" w:rsidR="005D5F7F" w:rsidRPr="00FC27D2" w:rsidRDefault="005D5F7F" w:rsidP="005D5F7F">
      <w:pPr>
        <w:pStyle w:val="ListParagraph"/>
        <w:numPr>
          <w:ilvl w:val="0"/>
          <w:numId w:val="1"/>
        </w:numPr>
        <w:rPr>
          <w:rFonts w:ascii="Cambria" w:hAnsi="Cambria" w:cstheme="minorHAnsi"/>
          <w:color w:val="1155CC"/>
          <w:u w:val="single"/>
        </w:rPr>
      </w:pPr>
      <w:r>
        <w:rPr>
          <w:rFonts w:ascii="Cambria" w:hAnsi="Cambria" w:cstheme="minorHAnsi"/>
          <w:color w:val="000000" w:themeColor="text1"/>
        </w:rPr>
        <w:t xml:space="preserve">Coppola, A. (2019). Projects of becoming in a right-sized shrinking city. </w:t>
      </w:r>
      <w:r>
        <w:rPr>
          <w:rFonts w:ascii="Cambria" w:hAnsi="Cambria" w:cstheme="minorHAnsi"/>
          <w:i/>
          <w:iCs/>
          <w:color w:val="000000" w:themeColor="text1"/>
        </w:rPr>
        <w:t>Urban Geography</w:t>
      </w:r>
      <w:r>
        <w:rPr>
          <w:rFonts w:ascii="Cambria" w:hAnsi="Cambria" w:cstheme="minorHAnsi"/>
          <w:color w:val="000000" w:themeColor="text1"/>
        </w:rPr>
        <w:t xml:space="preserve">. 40(2), 237-256. </w:t>
      </w:r>
      <w:hyperlink r:id="rId44" w:history="1">
        <w:r w:rsidRPr="001F17B5">
          <w:rPr>
            <w:rStyle w:val="Hyperlink"/>
            <w:rFonts w:ascii="Cambria" w:hAnsi="Cambria" w:cstheme="minorHAnsi"/>
          </w:rPr>
          <w:t>https://doi.org/10.1080/02723638.2017.1421391</w:t>
        </w:r>
      </w:hyperlink>
      <w:r>
        <w:rPr>
          <w:rFonts w:ascii="Cambria" w:hAnsi="Cambria" w:cstheme="minorHAnsi"/>
          <w:color w:val="000000" w:themeColor="text1"/>
        </w:rPr>
        <w:t xml:space="preserve"> </w:t>
      </w:r>
    </w:p>
    <w:p w14:paraId="43D9C836" w14:textId="77777777" w:rsidR="005D5F7F" w:rsidRPr="00B05D39" w:rsidRDefault="005D5F7F" w:rsidP="005D5F7F">
      <w:pPr>
        <w:pStyle w:val="ListParagraph"/>
        <w:numPr>
          <w:ilvl w:val="0"/>
          <w:numId w:val="1"/>
        </w:numPr>
        <w:rPr>
          <w:rFonts w:ascii="Cambria" w:hAnsi="Cambria" w:cstheme="minorHAnsi"/>
          <w:color w:val="1155CC"/>
          <w:u w:val="single"/>
        </w:rPr>
      </w:pPr>
      <w:r w:rsidRPr="00B05D39">
        <w:rPr>
          <w:rFonts w:ascii="Cambria" w:hAnsi="Cambria" w:cstheme="minorHAnsi"/>
          <w:color w:val="000000" w:themeColor="text1"/>
        </w:rPr>
        <w:t xml:space="preserve">Coutts, C., Horner, M., Chapin, T. (2010). Using GIS to model the effects of green space availability on mortality in Florida. </w:t>
      </w:r>
      <w:r w:rsidRPr="00B05D39">
        <w:rPr>
          <w:rFonts w:ascii="Cambria" w:hAnsi="Cambria" w:cstheme="minorHAnsi"/>
          <w:i/>
          <w:iCs/>
          <w:color w:val="000000" w:themeColor="text1"/>
        </w:rPr>
        <w:t>Florida State University Libraries</w:t>
      </w:r>
      <w:r w:rsidRPr="00B05D39">
        <w:rPr>
          <w:rFonts w:ascii="Cambria" w:hAnsi="Cambria" w:cstheme="minorHAnsi"/>
          <w:color w:val="000000" w:themeColor="text1"/>
        </w:rPr>
        <w:t xml:space="preserve">. Retrieved from: </w:t>
      </w:r>
      <w:hyperlink r:id="rId45" w:history="1">
        <w:r w:rsidRPr="00B05D39">
          <w:rPr>
            <w:rStyle w:val="Hyperlink"/>
            <w:rFonts w:ascii="Cambria" w:hAnsi="Cambria" w:cstheme="minorHAnsi"/>
          </w:rPr>
          <w:t>https://fsu.digital.flvc.org/islandora/object/fsu%3A207213/datastream/PDF/view</w:t>
        </w:r>
      </w:hyperlink>
      <w:r w:rsidRPr="00B05D39">
        <w:rPr>
          <w:rFonts w:ascii="Cambria" w:hAnsi="Cambria" w:cstheme="minorHAnsi"/>
          <w:color w:val="000000" w:themeColor="text1"/>
        </w:rPr>
        <w:t xml:space="preserve"> </w:t>
      </w:r>
    </w:p>
    <w:p w14:paraId="14E29470" w14:textId="77777777" w:rsidR="005D5F7F" w:rsidRPr="00E52F31"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Dade, M., Mitchell, M., McAlpine, C., Rhodes, J. (2018). Assessing ecosystem service trade-offs and synergies: the need for a more mechanistic approach. </w:t>
      </w:r>
      <w:r>
        <w:rPr>
          <w:rFonts w:ascii="Cambria" w:hAnsi="Cambria"/>
          <w:i/>
          <w:iCs/>
          <w:color w:val="000000" w:themeColor="text1"/>
        </w:rPr>
        <w:t>Ambio</w:t>
      </w:r>
      <w:r>
        <w:rPr>
          <w:rFonts w:ascii="Cambria" w:hAnsi="Cambria"/>
          <w:color w:val="000000" w:themeColor="text1"/>
        </w:rPr>
        <w:t xml:space="preserve">. 48, 1116-1128. </w:t>
      </w:r>
      <w:hyperlink r:id="rId46" w:history="1">
        <w:r w:rsidRPr="007869CE">
          <w:rPr>
            <w:rStyle w:val="Hyperlink"/>
            <w:rFonts w:ascii="Cambria" w:hAnsi="Cambria"/>
          </w:rPr>
          <w:t>https://doi.org/10.1007/s13280-018-1127-7</w:t>
        </w:r>
      </w:hyperlink>
      <w:r>
        <w:rPr>
          <w:rFonts w:ascii="Cambria" w:hAnsi="Cambria"/>
          <w:color w:val="000000" w:themeColor="text1"/>
        </w:rPr>
        <w:t xml:space="preserve"> </w:t>
      </w:r>
    </w:p>
    <w:p w14:paraId="536557D7"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lastRenderedPageBreak/>
        <w:t xml:space="preserve">Daily, G., Polasky, S., Goldstein, J., Karevia, P., Mooney, H., Pejchar, L., Ricketts, T., Salzman, J., Shallenberger, R. (2009). Ecosystem services in decision </w:t>
      </w:r>
      <w:proofErr w:type="gramStart"/>
      <w:r w:rsidRPr="00B05D39">
        <w:rPr>
          <w:rFonts w:ascii="Cambria" w:hAnsi="Cambria"/>
          <w:color w:val="000000" w:themeColor="text1"/>
        </w:rPr>
        <w:t>making:</w:t>
      </w:r>
      <w:proofErr w:type="gramEnd"/>
      <w:r w:rsidRPr="00B05D39">
        <w:rPr>
          <w:rFonts w:ascii="Cambria" w:hAnsi="Cambria"/>
          <w:color w:val="000000" w:themeColor="text1"/>
        </w:rPr>
        <w:t xml:space="preserve"> time to deliver. </w:t>
      </w:r>
      <w:r w:rsidRPr="00B05D39">
        <w:rPr>
          <w:rFonts w:ascii="Cambria" w:hAnsi="Cambria"/>
          <w:i/>
          <w:iCs/>
          <w:color w:val="000000" w:themeColor="text1"/>
        </w:rPr>
        <w:t xml:space="preserve">Frontier in Ecology and the Environment. </w:t>
      </w:r>
      <w:r w:rsidRPr="00B05D39">
        <w:rPr>
          <w:rFonts w:ascii="Cambria" w:hAnsi="Cambria"/>
          <w:color w:val="000000" w:themeColor="text1"/>
        </w:rPr>
        <w:t xml:space="preserve">7(1), 21-28. </w:t>
      </w:r>
      <w:hyperlink r:id="rId47" w:history="1">
        <w:r w:rsidRPr="00B05D39">
          <w:rPr>
            <w:rStyle w:val="Hyperlink"/>
            <w:rFonts w:ascii="Cambria" w:hAnsi="Cambria"/>
          </w:rPr>
          <w:t>https://doi.org/10.1890/080025</w:t>
        </w:r>
      </w:hyperlink>
      <w:r w:rsidRPr="00B05D39">
        <w:rPr>
          <w:rFonts w:ascii="Cambria" w:hAnsi="Cambria"/>
          <w:color w:val="000000" w:themeColor="text1"/>
        </w:rPr>
        <w:t xml:space="preserve"> </w:t>
      </w:r>
    </w:p>
    <w:p w14:paraId="71E7B40F"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Danford, R., Cheng, C., Strohbach, M., Ryan, R., Nicolson, C., Warren, P. (2014). What does it take to achieve equitable urban canopy distribution? A Boston case study. </w:t>
      </w:r>
      <w:r w:rsidRPr="00B05D39">
        <w:rPr>
          <w:rFonts w:ascii="Cambria" w:hAnsi="Cambria" w:cs="Calibri"/>
          <w:i/>
          <w:iCs/>
        </w:rPr>
        <w:t>Cities and the Environment (CATE)</w:t>
      </w:r>
      <w:r>
        <w:rPr>
          <w:rFonts w:ascii="Cambria" w:hAnsi="Cambria" w:cs="Calibri"/>
        </w:rPr>
        <w:t>.</w:t>
      </w:r>
      <w:r w:rsidRPr="00B05D39">
        <w:rPr>
          <w:rFonts w:ascii="Cambria" w:hAnsi="Cambria" w:cs="Calibri"/>
        </w:rPr>
        <w:t xml:space="preserve"> 7(1), 1-20. Retrieved from:  </w:t>
      </w:r>
      <w:hyperlink r:id="rId48" w:history="1">
        <w:r w:rsidRPr="00B05D39">
          <w:rPr>
            <w:rStyle w:val="Hyperlink"/>
            <w:rFonts w:ascii="Cambria" w:hAnsi="Cambria" w:cs="Calibri"/>
          </w:rPr>
          <w:t>http://digitalcommons.lmu.edu/cate/vol7/iss1/2</w:t>
        </w:r>
      </w:hyperlink>
      <w:r w:rsidRPr="00B05D39">
        <w:rPr>
          <w:rFonts w:ascii="Cambria" w:hAnsi="Cambria" w:cs="Calibri"/>
        </w:rPr>
        <w:t xml:space="preserve">.  </w:t>
      </w:r>
    </w:p>
    <w:p w14:paraId="60F3A54C"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DataUSA. (2020). </w:t>
      </w:r>
      <w:r w:rsidRPr="00B05D39">
        <w:rPr>
          <w:rFonts w:ascii="Cambria" w:hAnsi="Cambria"/>
          <w:i/>
        </w:rPr>
        <w:t>Rochester, NY</w:t>
      </w:r>
      <w:r w:rsidRPr="00B05D39">
        <w:rPr>
          <w:rFonts w:ascii="Cambria" w:hAnsi="Cambria"/>
        </w:rPr>
        <w:t xml:space="preserve">. Retrieved from: </w:t>
      </w:r>
      <w:hyperlink r:id="rId49" w:anchor="economy">
        <w:r w:rsidRPr="00B05D39">
          <w:rPr>
            <w:rFonts w:ascii="Cambria" w:hAnsi="Cambria"/>
            <w:color w:val="1155CC"/>
            <w:u w:val="single"/>
          </w:rPr>
          <w:t>https://datausa.io/profile/geo/rochester-ny/#economy</w:t>
        </w:r>
      </w:hyperlink>
    </w:p>
    <w:p w14:paraId="7E194C91"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De Groot, R., Fisher, B., Christie, M., Aronson, J., Braat L., Gowdy, J., Haines-Young, R., Maltby, E., Neuville, A., Polasky, S., Portela, R., Ring, I. (2010). Integrating the ecological and economic dimensions in biodiversity and ecosystem service valuation. </w:t>
      </w:r>
      <w:r w:rsidRPr="00B05D39">
        <w:rPr>
          <w:rFonts w:ascii="Cambria" w:hAnsi="Cambria"/>
        </w:rPr>
        <w:br/>
      </w:r>
      <w:r w:rsidRPr="00B05D39">
        <w:rPr>
          <w:rFonts w:ascii="Cambria" w:hAnsi="Cambria"/>
          <w:color w:val="323232"/>
        </w:rPr>
        <w:t>P.</w:t>
      </w:r>
      <w:r w:rsidRPr="00B05D39">
        <w:rPr>
          <w:rStyle w:val="apple-converted-space"/>
          <w:rFonts w:ascii="Cambria" w:hAnsi="Cambria"/>
          <w:color w:val="323232"/>
        </w:rPr>
        <w:t> </w:t>
      </w:r>
      <w:r w:rsidRPr="00B05D39">
        <w:rPr>
          <w:rFonts w:ascii="Cambria" w:hAnsi="Cambria"/>
          <w:color w:val="323232"/>
        </w:rPr>
        <w:t>Kumar</w:t>
      </w:r>
      <w:r w:rsidRPr="00B05D39">
        <w:rPr>
          <w:rStyle w:val="apple-converted-space"/>
          <w:rFonts w:ascii="Cambria" w:hAnsi="Cambria"/>
          <w:color w:val="323232"/>
        </w:rPr>
        <w:t> </w:t>
      </w:r>
      <w:r w:rsidRPr="00B05D39">
        <w:rPr>
          <w:rFonts w:ascii="Cambria" w:hAnsi="Cambria"/>
          <w:color w:val="323232"/>
        </w:rPr>
        <w:t>(Ed</w:t>
      </w:r>
      <w:r w:rsidRPr="00B05D39">
        <w:rPr>
          <w:rFonts w:ascii="Cambria" w:hAnsi="Cambria"/>
          <w:color w:val="000000" w:themeColor="text1"/>
        </w:rPr>
        <w:t>.),</w:t>
      </w:r>
      <w:r w:rsidRPr="00B05D39">
        <w:rPr>
          <w:rStyle w:val="apple-converted-space"/>
          <w:rFonts w:ascii="Cambria" w:hAnsi="Cambria"/>
          <w:color w:val="000000" w:themeColor="text1"/>
        </w:rPr>
        <w:t> </w:t>
      </w:r>
      <w:r w:rsidRPr="00B05D39">
        <w:rPr>
          <w:rFonts w:ascii="Cambria" w:hAnsi="Cambria"/>
          <w:color w:val="000000" w:themeColor="text1"/>
        </w:rPr>
        <w:t>The Economics of Ecosystems and Biodiversity: Ecological and Economic Foundations,</w:t>
      </w:r>
      <w:r w:rsidRPr="00B05D39">
        <w:rPr>
          <w:rStyle w:val="apple-converted-space"/>
          <w:rFonts w:ascii="Cambria" w:hAnsi="Cambria"/>
          <w:color w:val="000000" w:themeColor="text1"/>
        </w:rPr>
        <w:t> </w:t>
      </w:r>
      <w:r w:rsidRPr="00B05D39">
        <w:rPr>
          <w:rFonts w:ascii="Cambria" w:hAnsi="Cambria"/>
          <w:color w:val="000000" w:themeColor="text1"/>
        </w:rPr>
        <w:t>Earthscan,</w:t>
      </w:r>
      <w:r w:rsidRPr="00B05D39">
        <w:rPr>
          <w:rStyle w:val="apple-converted-space"/>
          <w:rFonts w:ascii="Cambria" w:hAnsi="Cambria"/>
          <w:color w:val="000000" w:themeColor="text1"/>
        </w:rPr>
        <w:t> </w:t>
      </w:r>
      <w:r w:rsidRPr="00B05D39">
        <w:rPr>
          <w:rFonts w:ascii="Cambria" w:hAnsi="Cambria"/>
          <w:color w:val="000000" w:themeColor="text1"/>
        </w:rPr>
        <w:t xml:space="preserve">London. Retrieved from: </w:t>
      </w:r>
      <w:hyperlink r:id="rId50" w:history="1">
        <w:r w:rsidRPr="00B05D39">
          <w:rPr>
            <w:rStyle w:val="Hyperlink"/>
            <w:rFonts w:ascii="Cambria" w:hAnsi="Cambria"/>
          </w:rPr>
          <w:t>http://www.teebweb.org/wp-content/uploads/2013/04/D0-Chapter-1-Integrating-the-ecological-and-economic-dimensions-in-biodiversity-and-ecosystem-service-valuation.pdf</w:t>
        </w:r>
      </w:hyperlink>
      <w:r w:rsidRPr="00B05D39">
        <w:rPr>
          <w:rFonts w:ascii="Cambria" w:hAnsi="Cambria"/>
          <w:color w:val="000000" w:themeColor="text1"/>
        </w:rPr>
        <w:t xml:space="preserve"> </w:t>
      </w:r>
    </w:p>
    <w:p w14:paraId="2B9B4F76"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Derkzen, M. L., van Teeffelen, A., Verburg, P. (2015). Review: Quantifying urban ecosystem services based on high-resolution data of urban green space: an assessment for Rotterdam, the Netherlands. </w:t>
      </w:r>
      <w:r w:rsidRPr="00B05D39">
        <w:rPr>
          <w:rFonts w:ascii="Cambria" w:hAnsi="Cambria"/>
          <w:i/>
        </w:rPr>
        <w:t>Journal of Applied Ecology</w:t>
      </w:r>
      <w:r>
        <w:rPr>
          <w:rFonts w:ascii="Cambria" w:hAnsi="Cambria"/>
        </w:rPr>
        <w:t>.</w:t>
      </w:r>
      <w:r w:rsidRPr="00B05D39">
        <w:rPr>
          <w:rFonts w:ascii="Cambria" w:hAnsi="Cambria"/>
        </w:rPr>
        <w:t xml:space="preserve"> </w:t>
      </w:r>
      <w:r w:rsidRPr="00B05D39">
        <w:rPr>
          <w:rFonts w:ascii="Cambria" w:hAnsi="Cambria"/>
          <w:i/>
        </w:rPr>
        <w:t>52</w:t>
      </w:r>
      <w:r w:rsidRPr="00B05D39">
        <w:rPr>
          <w:rFonts w:ascii="Cambria" w:hAnsi="Cambria"/>
        </w:rPr>
        <w:t xml:space="preserve">(4), 1020–1032. </w:t>
      </w:r>
      <w:hyperlink r:id="rId51">
        <w:r w:rsidRPr="00B05D39">
          <w:rPr>
            <w:rFonts w:ascii="Cambria" w:hAnsi="Cambria"/>
            <w:color w:val="1155CC"/>
            <w:u w:val="single"/>
          </w:rPr>
          <w:t>https://doi.org/10.1111/1365-2664.12469</w:t>
        </w:r>
      </w:hyperlink>
    </w:p>
    <w:p w14:paraId="00443438"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De Pinho, C., Fonseca, L., Korting, T., Almeida, C., Kux, H. (2012). Land-cover classification of an intra-urban environment using high resolution images and object-based image analysis. </w:t>
      </w:r>
      <w:r w:rsidRPr="00B05D39">
        <w:rPr>
          <w:rFonts w:ascii="Cambria" w:hAnsi="Cambria"/>
          <w:i/>
        </w:rPr>
        <w:t>International Journal of Remote Sensing</w:t>
      </w:r>
      <w:r w:rsidRPr="00B05D39">
        <w:rPr>
          <w:rFonts w:ascii="Cambria" w:hAnsi="Cambria"/>
        </w:rPr>
        <w:t xml:space="preserve">. 33(19), 5973-5995. </w:t>
      </w:r>
      <w:hyperlink r:id="rId52">
        <w:r w:rsidRPr="00B05D39">
          <w:rPr>
            <w:rFonts w:ascii="Cambria" w:hAnsi="Cambria"/>
            <w:color w:val="1155CC"/>
            <w:u w:val="single"/>
          </w:rPr>
          <w:t>https://doi.org/10.1080/01431161.2012.675451</w:t>
        </w:r>
      </w:hyperlink>
    </w:p>
    <w:p w14:paraId="5393ED5C" w14:textId="77777777" w:rsidR="005D5F7F" w:rsidRPr="00FC27D2" w:rsidRDefault="005D5F7F" w:rsidP="005D5F7F">
      <w:pPr>
        <w:pStyle w:val="ListParagraph"/>
        <w:numPr>
          <w:ilvl w:val="0"/>
          <w:numId w:val="1"/>
        </w:numPr>
        <w:rPr>
          <w:rFonts w:ascii="Cambria" w:hAnsi="Cambria"/>
          <w:color w:val="0563C1"/>
        </w:rPr>
      </w:pPr>
      <w:r>
        <w:rPr>
          <w:rFonts w:ascii="Cambria" w:hAnsi="Cambria"/>
          <w:color w:val="000000" w:themeColor="text1"/>
        </w:rPr>
        <w:t xml:space="preserve">Dickinson, M. (2017). Kodak’s decades of decline. </w:t>
      </w:r>
      <w:r>
        <w:rPr>
          <w:rFonts w:ascii="Cambria" w:hAnsi="Cambria"/>
          <w:i/>
          <w:iCs/>
          <w:color w:val="000000" w:themeColor="text1"/>
        </w:rPr>
        <w:t>Rochester Business Journal</w:t>
      </w:r>
      <w:r>
        <w:rPr>
          <w:rFonts w:ascii="Cambria" w:hAnsi="Cambria"/>
          <w:color w:val="000000" w:themeColor="text1"/>
        </w:rPr>
        <w:t xml:space="preserve">. Retrieved from: </w:t>
      </w:r>
      <w:hyperlink r:id="rId53" w:history="1">
        <w:r w:rsidRPr="001F17B5">
          <w:rPr>
            <w:rStyle w:val="Hyperlink"/>
            <w:rFonts w:ascii="Cambria" w:hAnsi="Cambria"/>
          </w:rPr>
          <w:t>https://rbj.net/2017/09/13/kodaks-decades-of-decline/</w:t>
        </w:r>
      </w:hyperlink>
      <w:r>
        <w:rPr>
          <w:rFonts w:ascii="Cambria" w:hAnsi="Cambria"/>
          <w:color w:val="000000" w:themeColor="text1"/>
        </w:rPr>
        <w:t xml:space="preserve"> </w:t>
      </w:r>
    </w:p>
    <w:p w14:paraId="6D05B1EB" w14:textId="77777777" w:rsidR="005D5F7F" w:rsidRPr="00B05D39" w:rsidRDefault="005D5F7F" w:rsidP="005D5F7F">
      <w:pPr>
        <w:pStyle w:val="ListParagraph"/>
        <w:numPr>
          <w:ilvl w:val="0"/>
          <w:numId w:val="1"/>
        </w:numPr>
        <w:rPr>
          <w:rFonts w:ascii="Cambria" w:hAnsi="Cambria"/>
          <w:color w:val="0563C1"/>
        </w:rPr>
      </w:pPr>
      <w:r w:rsidRPr="00B05D39">
        <w:rPr>
          <w:rFonts w:ascii="Cambria" w:hAnsi="Cambria"/>
        </w:rPr>
        <w:t xml:space="preserve">DiMento, J. (2009). </w:t>
      </w:r>
      <w:r w:rsidRPr="00B05D39">
        <w:rPr>
          <w:rFonts w:ascii="Calibri" w:hAnsi="Calibri" w:cs="Calibri"/>
        </w:rPr>
        <w:t>﻿</w:t>
      </w:r>
      <w:r w:rsidRPr="00B05D39">
        <w:rPr>
          <w:rFonts w:ascii="Cambria" w:hAnsi="Cambria"/>
        </w:rPr>
        <w:t xml:space="preserve">Stent (or Dagger?) in the Heart of Town: Urban Freeways in Syracuse, 1944–1967. </w:t>
      </w:r>
      <w:r w:rsidRPr="00B05D39">
        <w:rPr>
          <w:rFonts w:ascii="Cambria" w:hAnsi="Cambria"/>
          <w:i/>
        </w:rPr>
        <w:t>Journal of Planning History</w:t>
      </w:r>
      <w:r w:rsidRPr="00B05D39">
        <w:rPr>
          <w:rFonts w:ascii="Cambria" w:hAnsi="Cambria"/>
        </w:rPr>
        <w:t xml:space="preserve">. 8(2), 133-161. </w:t>
      </w:r>
      <w:r w:rsidRPr="00B05D39">
        <w:rPr>
          <w:rFonts w:ascii="Calibri" w:hAnsi="Calibri" w:cs="Calibri"/>
        </w:rPr>
        <w:t>﻿</w:t>
      </w:r>
      <w:r w:rsidRPr="00B05D39">
        <w:rPr>
          <w:rFonts w:ascii="Cambria" w:hAnsi="Cambria"/>
          <w:color w:val="0563C1"/>
        </w:rPr>
        <w:t xml:space="preserve">doi: 10.1177/1538513208330768 </w:t>
      </w:r>
    </w:p>
    <w:p w14:paraId="0E878840"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Downey, L. (2007). US metropolitan-area variation in environmental inequality outcomes. </w:t>
      </w:r>
      <w:r w:rsidRPr="00B05D39">
        <w:rPr>
          <w:rFonts w:ascii="Cambria" w:hAnsi="Cambria"/>
          <w:i/>
          <w:iCs/>
          <w:color w:val="000000" w:themeColor="text1"/>
        </w:rPr>
        <w:t>Urban Studies</w:t>
      </w:r>
      <w:r w:rsidRPr="00B05D39">
        <w:rPr>
          <w:rFonts w:ascii="Cambria" w:hAnsi="Cambria"/>
          <w:color w:val="000000" w:themeColor="text1"/>
        </w:rPr>
        <w:t xml:space="preserve">. 44(5-6), 953-977. </w:t>
      </w:r>
      <w:hyperlink r:id="rId54" w:history="1">
        <w:r w:rsidRPr="00B05D39">
          <w:rPr>
            <w:rStyle w:val="Hyperlink"/>
            <w:rFonts w:ascii="Cambria" w:hAnsi="Cambria"/>
          </w:rPr>
          <w:t>https://dx.doi.org/10.1080%2F00420980701256013</w:t>
        </w:r>
      </w:hyperlink>
      <w:r w:rsidRPr="00B05D39">
        <w:rPr>
          <w:rFonts w:ascii="Cambria" w:hAnsi="Cambria"/>
          <w:color w:val="000000" w:themeColor="text1"/>
        </w:rPr>
        <w:t xml:space="preserve"> </w:t>
      </w:r>
    </w:p>
    <w:p w14:paraId="0082A6BE" w14:textId="77777777" w:rsidR="005D5F7F" w:rsidRPr="00C34FE7"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Dutzik, T., Baumann, J., Purvis, M. (2003). </w:t>
      </w:r>
      <w:r>
        <w:rPr>
          <w:rFonts w:ascii="Cambria" w:hAnsi="Cambria"/>
          <w:i/>
          <w:iCs/>
          <w:color w:val="000000" w:themeColor="text1"/>
        </w:rPr>
        <w:t>Toxic releases and health: a review of pollution data and current knowledge on the health effects of toxic chemicals</w:t>
      </w:r>
      <w:r>
        <w:rPr>
          <w:rFonts w:ascii="Cambria" w:hAnsi="Cambria"/>
          <w:color w:val="000000" w:themeColor="text1"/>
        </w:rPr>
        <w:t xml:space="preserve">. United States Public Interest Research Group. Retrieved from: </w:t>
      </w:r>
      <w:hyperlink r:id="rId55" w:history="1">
        <w:r w:rsidRPr="001F17B5">
          <w:rPr>
            <w:rStyle w:val="Hyperlink"/>
            <w:rFonts w:ascii="Cambria" w:hAnsi="Cambria"/>
          </w:rPr>
          <w:t>https://www.policyarchive.org/handle/10207/5189</w:t>
        </w:r>
      </w:hyperlink>
      <w:r>
        <w:rPr>
          <w:rFonts w:ascii="Cambria" w:hAnsi="Cambria"/>
          <w:color w:val="000000" w:themeColor="text1"/>
        </w:rPr>
        <w:t xml:space="preserve"> </w:t>
      </w:r>
    </w:p>
    <w:p w14:paraId="2F436FF0"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Elmqvist, T., Setala, H., Handel, SN., van der Ploeg, S., Aronson J., Blignaut, J., Gomez-Baggethun, E., Nowak D., Kronenburg, J., de Groot, R. (2015). Benefits of restoring ecosystem services in urban areas. </w:t>
      </w:r>
      <w:r w:rsidRPr="00B05D39">
        <w:rPr>
          <w:rFonts w:ascii="Cambria" w:hAnsi="Cambria"/>
          <w:i/>
        </w:rPr>
        <w:t>Current Opinion in Environmental Sustainability</w:t>
      </w:r>
      <w:r w:rsidRPr="00B05D39">
        <w:rPr>
          <w:rFonts w:ascii="Cambria" w:hAnsi="Cambria"/>
        </w:rPr>
        <w:t xml:space="preserve">. 14, 101-108. </w:t>
      </w:r>
      <w:hyperlink r:id="rId56">
        <w:r w:rsidRPr="00B05D39">
          <w:rPr>
            <w:rFonts w:ascii="Cambria" w:hAnsi="Cambria"/>
            <w:color w:val="1155CC"/>
            <w:u w:val="single"/>
          </w:rPr>
          <w:t>https://doi.org/10.1016/j.cosust.2015.05.001</w:t>
        </w:r>
      </w:hyperlink>
    </w:p>
    <w:p w14:paraId="492A0468" w14:textId="77777777" w:rsidR="005D5F7F" w:rsidRPr="00B05D39" w:rsidRDefault="005D5F7F" w:rsidP="005D5F7F">
      <w:pPr>
        <w:pStyle w:val="ListParagraph"/>
        <w:numPr>
          <w:ilvl w:val="0"/>
          <w:numId w:val="1"/>
        </w:numPr>
        <w:rPr>
          <w:rFonts w:ascii="Cambria" w:hAnsi="Cambria"/>
        </w:rPr>
      </w:pPr>
      <w:r w:rsidRPr="00B05D39">
        <w:rPr>
          <w:rFonts w:ascii="Cambria" w:hAnsi="Cambria"/>
        </w:rPr>
        <w:t>ESRI. (2020). ArcGIS Pro 2.</w:t>
      </w:r>
      <w:r>
        <w:rPr>
          <w:rFonts w:ascii="Cambria" w:hAnsi="Cambria"/>
        </w:rPr>
        <w:t>5</w:t>
      </w:r>
      <w:r w:rsidRPr="00B05D39">
        <w:rPr>
          <w:rFonts w:ascii="Cambria" w:hAnsi="Cambria"/>
        </w:rPr>
        <w:t xml:space="preserve">. Environmental Systems Research Institute, Redlands, CA, USA. </w:t>
      </w:r>
    </w:p>
    <w:p w14:paraId="6BF7F44A" w14:textId="77777777" w:rsidR="005D5F7F" w:rsidRPr="00B05D39" w:rsidRDefault="005D5F7F" w:rsidP="005D5F7F">
      <w:pPr>
        <w:pStyle w:val="ListParagraph"/>
        <w:numPr>
          <w:ilvl w:val="0"/>
          <w:numId w:val="1"/>
        </w:numPr>
        <w:rPr>
          <w:rFonts w:ascii="Cambria" w:hAnsi="Cambria"/>
        </w:rPr>
      </w:pPr>
      <w:r w:rsidRPr="00B05D39">
        <w:rPr>
          <w:rFonts w:ascii="Cambria" w:hAnsi="Cambria" w:cs="Calibri"/>
        </w:rPr>
        <w:lastRenderedPageBreak/>
        <w:t>Exec. Order No. 12898, 59 Fed. Reg. (February 1994).</w:t>
      </w:r>
      <w:r>
        <w:rPr>
          <w:rFonts w:ascii="Cambria" w:hAnsi="Cambria" w:cs="Calibri"/>
        </w:rPr>
        <w:t xml:space="preserve"> Retrieved from: </w:t>
      </w:r>
      <w:hyperlink r:id="rId57" w:history="1">
        <w:r w:rsidRPr="00AB44D8">
          <w:rPr>
            <w:rStyle w:val="Hyperlink"/>
            <w:rFonts w:ascii="Cambria" w:hAnsi="Cambria" w:cs="Calibri"/>
          </w:rPr>
          <w:t>https://www.epa.gov/laws-regulations/summary-executive-order-12898-federal-actions-address-environmental-justice</w:t>
        </w:r>
      </w:hyperlink>
      <w:r>
        <w:rPr>
          <w:rFonts w:ascii="Cambria" w:hAnsi="Cambria" w:cs="Calibri"/>
        </w:rPr>
        <w:t xml:space="preserve"> </w:t>
      </w:r>
    </w:p>
    <w:p w14:paraId="2263AFA0"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Felix, M., Louise, W., Rudolf, D. (2011). Ecosystem services at the landscape scale: the need for integrative approaches. </w:t>
      </w:r>
      <w:r w:rsidRPr="00B05D39">
        <w:rPr>
          <w:rFonts w:ascii="Cambria" w:hAnsi="Cambria"/>
          <w:i/>
        </w:rPr>
        <w:t>Landscape Online</w:t>
      </w:r>
      <w:r w:rsidRPr="00B05D39">
        <w:rPr>
          <w:rFonts w:ascii="Cambria" w:hAnsi="Cambria"/>
        </w:rPr>
        <w:t xml:space="preserve">. 23, 1-11. </w:t>
      </w:r>
      <w:hyperlink r:id="rId58">
        <w:r w:rsidRPr="00B05D39">
          <w:rPr>
            <w:rFonts w:ascii="Cambria" w:hAnsi="Cambria"/>
            <w:color w:val="1155CC"/>
            <w:u w:val="single"/>
          </w:rPr>
          <w:t>https://doi.org/10.3097/LO.201023</w:t>
        </w:r>
      </w:hyperlink>
    </w:p>
    <w:p w14:paraId="65554099"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Flocks, J., Escobedo, F., Wade, J., Varela, S., Wald, C. (2011). Environmental Justice Implications of Urban Tree Cover in Miami-Dade County, Florida. </w:t>
      </w:r>
      <w:r w:rsidRPr="00B05D39">
        <w:rPr>
          <w:rFonts w:ascii="Cambria" w:hAnsi="Cambria" w:cs="Calibri"/>
          <w:i/>
          <w:iCs/>
        </w:rPr>
        <w:t xml:space="preserve">Journal of Environmental Justice, </w:t>
      </w:r>
      <w:r w:rsidRPr="00B05D39">
        <w:rPr>
          <w:rFonts w:ascii="Cambria" w:hAnsi="Cambria" w:cs="Calibri"/>
        </w:rPr>
        <w:t xml:space="preserve">4(2), 125-134. DOI: 10.1089/env.2010.0018.  </w:t>
      </w:r>
    </w:p>
    <w:p w14:paraId="129C259F"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Folke, C. (2006). Resilience: the emergence of a perspective for social-ecological systems analysis. </w:t>
      </w:r>
      <w:r w:rsidRPr="00B05D39">
        <w:rPr>
          <w:rFonts w:ascii="Cambria" w:hAnsi="Cambria"/>
          <w:i/>
          <w:iCs/>
          <w:color w:val="000000" w:themeColor="text1"/>
        </w:rPr>
        <w:t>Global Environmental Change</w:t>
      </w:r>
      <w:r w:rsidRPr="00B05D39">
        <w:rPr>
          <w:rFonts w:ascii="Cambria" w:hAnsi="Cambria"/>
          <w:color w:val="000000" w:themeColor="text1"/>
        </w:rPr>
        <w:t xml:space="preserve">. 16(3), 253-267. </w:t>
      </w:r>
      <w:hyperlink r:id="rId59" w:history="1">
        <w:r w:rsidRPr="00B05D39">
          <w:rPr>
            <w:rStyle w:val="Hyperlink"/>
            <w:rFonts w:ascii="Cambria" w:hAnsi="Cambria"/>
          </w:rPr>
          <w:t>https://doi.org/10.1016/j.gloenvcha.2006.04.002</w:t>
        </w:r>
      </w:hyperlink>
      <w:r w:rsidRPr="00B05D39">
        <w:rPr>
          <w:rFonts w:ascii="Cambria" w:hAnsi="Cambria"/>
          <w:color w:val="000000" w:themeColor="text1"/>
        </w:rPr>
        <w:t xml:space="preserve"> </w:t>
      </w:r>
    </w:p>
    <w:p w14:paraId="0B5BF7CB"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Gaston, K., Avila-Jimenez, M., Edmondson, J. (2013). Managing urban ecosystems for goods and services. </w:t>
      </w:r>
      <w:r w:rsidRPr="00B05D39">
        <w:rPr>
          <w:rFonts w:ascii="Cambria" w:hAnsi="Cambria"/>
          <w:i/>
          <w:iCs/>
          <w:color w:val="000000" w:themeColor="text1"/>
        </w:rPr>
        <w:t>Journal of Applied Ecology</w:t>
      </w:r>
      <w:r w:rsidRPr="00B05D39">
        <w:rPr>
          <w:rFonts w:ascii="Cambria" w:hAnsi="Cambria"/>
          <w:color w:val="000000" w:themeColor="text1"/>
        </w:rPr>
        <w:t xml:space="preserve">. 50(4), 830-840. </w:t>
      </w:r>
      <w:hyperlink r:id="rId60" w:history="1">
        <w:r w:rsidRPr="00B05D39">
          <w:rPr>
            <w:rStyle w:val="Hyperlink"/>
            <w:rFonts w:ascii="Cambria" w:hAnsi="Cambria"/>
          </w:rPr>
          <w:t>http://dx.doi.org/10.1111/1365-2664.12087</w:t>
        </w:r>
      </w:hyperlink>
      <w:r w:rsidRPr="00B05D39">
        <w:rPr>
          <w:rFonts w:ascii="Cambria" w:hAnsi="Cambria"/>
          <w:color w:val="000000" w:themeColor="text1"/>
        </w:rPr>
        <w:t xml:space="preserve"> </w:t>
      </w:r>
    </w:p>
    <w:p w14:paraId="623DCE9B"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Gerrish, E., Watkins, S. (2018). The relationship between urban forests and income: A meta-analysis. </w:t>
      </w:r>
      <w:r w:rsidRPr="00B05D39">
        <w:rPr>
          <w:rFonts w:ascii="Cambria" w:hAnsi="Cambria" w:cs="Calibri"/>
          <w:i/>
          <w:iCs/>
        </w:rPr>
        <w:t>Landscape and Urban Planning</w:t>
      </w:r>
      <w:r w:rsidRPr="00B05D39">
        <w:rPr>
          <w:rFonts w:ascii="Cambria" w:hAnsi="Cambria" w:cs="Calibri"/>
        </w:rPr>
        <w:t xml:space="preserve">, 170, 293-308. </w:t>
      </w:r>
      <w:hyperlink r:id="rId61" w:history="1">
        <w:r w:rsidRPr="00B05D39">
          <w:rPr>
            <w:rStyle w:val="Hyperlink"/>
            <w:rFonts w:ascii="Cambria" w:hAnsi="Cambria" w:cs="Calibri"/>
          </w:rPr>
          <w:t>https://doi.org/10.1016/j.landurbplan.2017.09.005</w:t>
        </w:r>
      </w:hyperlink>
      <w:r w:rsidRPr="00B05D39">
        <w:rPr>
          <w:rFonts w:ascii="Cambria" w:hAnsi="Cambria" w:cs="Calibri"/>
        </w:rPr>
        <w:t xml:space="preserve">. </w:t>
      </w:r>
    </w:p>
    <w:p w14:paraId="782C026C"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Godbey, G., Grafe, A., James, W. (1992). The benefits of local recreation and park services. A nationwide study of the of the perceptions of the American public. </w:t>
      </w:r>
      <w:r w:rsidRPr="00B05D39">
        <w:rPr>
          <w:rFonts w:ascii="Cambria" w:hAnsi="Cambria" w:cs="Calibri"/>
          <w:i/>
          <w:iCs/>
        </w:rPr>
        <w:t>College of Health and Human development</w:t>
      </w:r>
      <w:r w:rsidRPr="00B05D39">
        <w:rPr>
          <w:rFonts w:ascii="Cambria" w:hAnsi="Cambria" w:cs="Calibri"/>
        </w:rPr>
        <w:t>. Pennsylvania State University, Pennsylvania.</w:t>
      </w:r>
    </w:p>
    <w:p w14:paraId="4B65DB93"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Gómez-Baggethun, E., Barton, D. (2013). Classifying and valuing ecosystem service in urban planning. </w:t>
      </w:r>
      <w:r w:rsidRPr="00B05D39">
        <w:rPr>
          <w:rFonts w:ascii="Cambria" w:hAnsi="Cambria"/>
          <w:i/>
        </w:rPr>
        <w:t>Ecological Economics</w:t>
      </w:r>
      <w:r w:rsidRPr="00B05D39">
        <w:rPr>
          <w:rFonts w:ascii="Cambria" w:hAnsi="Cambria"/>
        </w:rPr>
        <w:t xml:space="preserve">. 86, 235-245. </w:t>
      </w:r>
      <w:hyperlink r:id="rId62">
        <w:r w:rsidRPr="00B05D39">
          <w:rPr>
            <w:rFonts w:ascii="Cambria" w:hAnsi="Cambria"/>
            <w:color w:val="1155CC"/>
            <w:u w:val="single"/>
          </w:rPr>
          <w:t>https://doi.org/10.1016/j.ecolecon.2012.08.019</w:t>
        </w:r>
      </w:hyperlink>
    </w:p>
    <w:p w14:paraId="1DA57770" w14:textId="77777777" w:rsidR="005D5F7F" w:rsidRPr="00E22D15"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Grier, E., Grier, S. (1958). </w:t>
      </w:r>
      <w:r>
        <w:rPr>
          <w:rFonts w:ascii="Cambria" w:hAnsi="Cambria"/>
          <w:i/>
          <w:iCs/>
          <w:color w:val="000000" w:themeColor="text1"/>
        </w:rPr>
        <w:t>Negros in five New York cities: a study of problems, achievements, and trends</w:t>
      </w:r>
      <w:r>
        <w:rPr>
          <w:rFonts w:ascii="Cambria" w:hAnsi="Cambria"/>
          <w:color w:val="000000" w:themeColor="text1"/>
        </w:rPr>
        <w:t xml:space="preserve">. Retrieved from: </w:t>
      </w:r>
      <w:hyperlink r:id="rId63" w:history="1">
        <w:r w:rsidRPr="007869CE">
          <w:rPr>
            <w:rStyle w:val="Hyperlink"/>
            <w:rFonts w:ascii="Cambria" w:hAnsi="Cambria"/>
          </w:rPr>
          <w:t>https://archive.org/details/negroesinfivenew00newy/page/n3/mode/2up</w:t>
        </w:r>
      </w:hyperlink>
      <w:r>
        <w:rPr>
          <w:rFonts w:ascii="Cambria" w:hAnsi="Cambria"/>
          <w:color w:val="000000" w:themeColor="text1"/>
        </w:rPr>
        <w:t xml:space="preserve"> </w:t>
      </w:r>
      <w:r>
        <w:rPr>
          <w:rFonts w:ascii="Cambria" w:hAnsi="Cambria"/>
          <w:i/>
          <w:iCs/>
          <w:color w:val="000000" w:themeColor="text1"/>
        </w:rPr>
        <w:t xml:space="preserve"> </w:t>
      </w:r>
    </w:p>
    <w:p w14:paraId="6FE3BFC7"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Grove, M., Ogden, L., Pickett, S., Boone, C., Buckely, G., Locke, D., Lord, C., Hall, B. </w:t>
      </w:r>
    </w:p>
    <w:p w14:paraId="51D0F05A" w14:textId="1362A34E" w:rsidR="005D5F7F" w:rsidRPr="001270E4" w:rsidRDefault="005D5F7F" w:rsidP="001270E4">
      <w:pPr>
        <w:pStyle w:val="ListParagraph"/>
        <w:ind w:left="540"/>
        <w:rPr>
          <w:rFonts w:ascii="Cambria" w:hAnsi="Cambria"/>
          <w:color w:val="1155CC"/>
          <w:u w:val="single"/>
        </w:rPr>
      </w:pPr>
      <w:r w:rsidRPr="00B05D39">
        <w:rPr>
          <w:rFonts w:ascii="Cambria" w:hAnsi="Cambria" w:cs="Calibri"/>
        </w:rPr>
        <w:t xml:space="preserve">(2018). The Legacy Effect: Understanding How Segregation and Environmental Injustice Unfold over Time in Baltimore. </w:t>
      </w:r>
      <w:r w:rsidRPr="00B05D39">
        <w:rPr>
          <w:rFonts w:ascii="Cambria" w:hAnsi="Cambria" w:cs="Calibri"/>
          <w:i/>
          <w:iCs/>
        </w:rPr>
        <w:t>Annals of the American Association of American Geographers</w:t>
      </w:r>
      <w:r w:rsidRPr="00B05D39">
        <w:rPr>
          <w:rFonts w:ascii="Cambria" w:hAnsi="Cambria" w:cs="Calibri"/>
        </w:rPr>
        <w:t xml:space="preserve">. 108(2), 524-537. Retrieved from: </w:t>
      </w:r>
      <w:hyperlink r:id="rId64" w:history="1">
        <w:r w:rsidRPr="00B05D39">
          <w:rPr>
            <w:rStyle w:val="Hyperlink"/>
            <w:rFonts w:ascii="Cambria" w:hAnsi="Cambria" w:cs="Calibri"/>
          </w:rPr>
          <w:t>https://par.nsf.gov/servlets/purl/10054884</w:t>
        </w:r>
      </w:hyperlink>
      <w:r w:rsidRPr="00B05D39">
        <w:rPr>
          <w:rFonts w:ascii="Cambria" w:hAnsi="Cambria" w:cs="Calibri"/>
        </w:rPr>
        <w:t xml:space="preserve"> </w:t>
      </w:r>
      <w:r w:rsidRPr="001270E4">
        <w:rPr>
          <w:rFonts w:ascii="Cambria" w:hAnsi="Cambria"/>
          <w:color w:val="000000" w:themeColor="text1"/>
        </w:rPr>
        <w:t xml:space="preserve"> </w:t>
      </w:r>
      <w:r w:rsidRPr="001270E4">
        <w:rPr>
          <w:rFonts w:ascii="Cambria" w:hAnsi="Cambria"/>
          <w:i/>
          <w:iCs/>
          <w:color w:val="000000" w:themeColor="text1"/>
        </w:rPr>
        <w:t xml:space="preserve"> </w:t>
      </w:r>
    </w:p>
    <w:p w14:paraId="57A1869C" w14:textId="77777777" w:rsidR="005D5F7F" w:rsidRPr="00B05D39" w:rsidRDefault="005D5F7F" w:rsidP="005D5F7F">
      <w:pPr>
        <w:pStyle w:val="ListParagraph"/>
        <w:numPr>
          <w:ilvl w:val="0"/>
          <w:numId w:val="1"/>
        </w:numPr>
        <w:rPr>
          <w:rFonts w:ascii="Cambria" w:hAnsi="Cambria"/>
          <w:color w:val="1155CC"/>
          <w:u w:val="single"/>
        </w:rPr>
      </w:pPr>
      <w:r w:rsidRPr="002015CA">
        <w:rPr>
          <w:rFonts w:ascii="Cambria" w:hAnsi="Cambria"/>
        </w:rPr>
        <w:t>Haas, J., Ban, Y. (2017). Mapping and monitoring</w:t>
      </w:r>
      <w:r w:rsidRPr="00B05D39">
        <w:rPr>
          <w:rFonts w:ascii="Cambria" w:hAnsi="Cambria"/>
        </w:rPr>
        <w:t xml:space="preserve"> urban ecosystem services using multitemporal high-resolution satellite data. </w:t>
      </w:r>
      <w:r w:rsidRPr="00B05D39">
        <w:rPr>
          <w:rFonts w:ascii="Cambria" w:hAnsi="Cambria"/>
          <w:i/>
        </w:rPr>
        <w:t>IEEE Journal of Selected Topics in Applied Observations and Remote Sensing</w:t>
      </w:r>
      <w:r w:rsidRPr="00B05D39">
        <w:rPr>
          <w:rFonts w:ascii="Cambria" w:hAnsi="Cambria"/>
        </w:rPr>
        <w:t xml:space="preserve">. 10(2), 669-680. </w:t>
      </w:r>
      <w:hyperlink r:id="rId65">
        <w:r w:rsidRPr="00B05D39">
          <w:rPr>
            <w:rFonts w:ascii="Cambria" w:hAnsi="Cambria"/>
            <w:color w:val="1155CC"/>
            <w:u w:val="single"/>
          </w:rPr>
          <w:t>https://doi.org/10.1109/JSTARS.2016.2586582</w:t>
        </w:r>
      </w:hyperlink>
    </w:p>
    <w:p w14:paraId="6AB5E74F" w14:textId="77777777" w:rsidR="005D5F7F" w:rsidRPr="00161D91" w:rsidRDefault="005D5F7F" w:rsidP="005D5F7F">
      <w:pPr>
        <w:pStyle w:val="ListParagraph"/>
        <w:numPr>
          <w:ilvl w:val="0"/>
          <w:numId w:val="1"/>
        </w:numPr>
        <w:rPr>
          <w:rFonts w:ascii="Cambria" w:hAnsi="Cambria"/>
          <w:color w:val="1155CC"/>
          <w:u w:val="single"/>
        </w:rPr>
      </w:pPr>
      <w:r w:rsidRPr="00B05D39">
        <w:rPr>
          <w:rFonts w:ascii="Cambria" w:hAnsi="Cambria"/>
        </w:rPr>
        <w:t xml:space="preserve">Haase, D., Larondelle, N., Anderson, E., Artmann, M., Borgstrom, S., Breuste, J., Gomez-Baggethun, E., Gren, A., Hamstead, Z., Hansen, R., Kabisch, N., Kremer, P., Langemeyer, J., Rall, E., McPhearson, T., Pauleit, S., Qureshi, S., Schwarz, N., Voigt, A., Wurster, D., Elmqvist, T. (2014). A quantitative review of urban ecosystem service assessments: concepts, models, and implementation. </w:t>
      </w:r>
      <w:r w:rsidRPr="00B05D39">
        <w:rPr>
          <w:rFonts w:ascii="Cambria" w:hAnsi="Cambria"/>
          <w:i/>
        </w:rPr>
        <w:t>Ambio</w:t>
      </w:r>
      <w:r w:rsidRPr="00B05D39">
        <w:rPr>
          <w:rFonts w:ascii="Cambria" w:hAnsi="Cambria"/>
        </w:rPr>
        <w:t>. 43(4), 413-433.</w:t>
      </w:r>
      <w:r>
        <w:rPr>
          <w:rFonts w:ascii="Cambria" w:hAnsi="Cambria"/>
        </w:rPr>
        <w:t xml:space="preserve"> </w:t>
      </w:r>
      <w:hyperlink r:id="rId66">
        <w:r w:rsidRPr="00B05D39">
          <w:rPr>
            <w:rFonts w:ascii="Cambria" w:hAnsi="Cambria"/>
            <w:color w:val="1155CC"/>
            <w:u w:val="single"/>
          </w:rPr>
          <w:t>https://doi.org/10.1007/s13280-014-0504-0</w:t>
        </w:r>
      </w:hyperlink>
    </w:p>
    <w:p w14:paraId="5F77BD54" w14:textId="77777777" w:rsidR="005D5F7F" w:rsidRPr="00FC27D2"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Hackworth, J. (2018). Race and the production of extreme land abandonment in the American Rust Belt. </w:t>
      </w:r>
      <w:r>
        <w:rPr>
          <w:rFonts w:ascii="Cambria" w:hAnsi="Cambria"/>
          <w:i/>
          <w:iCs/>
          <w:color w:val="000000" w:themeColor="text1"/>
        </w:rPr>
        <w:t xml:space="preserve">International Journal of Urban and Regional Research. </w:t>
      </w:r>
      <w:r>
        <w:rPr>
          <w:rFonts w:ascii="Cambria" w:hAnsi="Cambria"/>
          <w:color w:val="000000" w:themeColor="text1"/>
        </w:rPr>
        <w:t xml:space="preserve">42(1), 51-73. </w:t>
      </w:r>
      <w:hyperlink r:id="rId67" w:history="1">
        <w:r w:rsidRPr="001F17B5">
          <w:rPr>
            <w:rStyle w:val="Hyperlink"/>
            <w:rFonts w:ascii="Cambria" w:hAnsi="Cambria"/>
          </w:rPr>
          <w:t>https://doi.org/10.1111/1468-2427.12588</w:t>
        </w:r>
      </w:hyperlink>
      <w:r>
        <w:rPr>
          <w:rFonts w:ascii="Cambria" w:hAnsi="Cambria"/>
          <w:color w:val="000000" w:themeColor="text1"/>
        </w:rPr>
        <w:t xml:space="preserve">  </w:t>
      </w:r>
    </w:p>
    <w:p w14:paraId="0FA7347B"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lastRenderedPageBreak/>
        <w:t xml:space="preserve">Hoffman, J., Shandas, V., Pendleton, N. (2020). The Effects of Historical Housing Policies on Resident Exposure to Intra-Urban Heat: A Study of 108 US Urban Areas. </w:t>
      </w:r>
      <w:r w:rsidRPr="00B05D39">
        <w:rPr>
          <w:rFonts w:ascii="Cambria" w:hAnsi="Cambria"/>
          <w:i/>
        </w:rPr>
        <w:t xml:space="preserve">Climate. </w:t>
      </w:r>
      <w:r w:rsidRPr="00B05D39">
        <w:rPr>
          <w:rFonts w:ascii="Cambria" w:hAnsi="Cambria"/>
        </w:rPr>
        <w:t xml:space="preserve">8(12), 1-15. </w:t>
      </w:r>
      <w:hyperlink r:id="rId68">
        <w:r w:rsidRPr="00B05D39">
          <w:rPr>
            <w:rFonts w:ascii="Cambria" w:hAnsi="Cambria"/>
            <w:color w:val="1155CC"/>
            <w:u w:val="single"/>
          </w:rPr>
          <w:t>http://dx.doi.org/10.3390/cli8010012</w:t>
        </w:r>
      </w:hyperlink>
    </w:p>
    <w:p w14:paraId="1C951AEB"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Hostetler, M., Escobedo, F. (2010). What types of urban greenspace are better for carbon dioxide sequestration? University of Florida IFAS Extension. Retrieved from: </w:t>
      </w:r>
      <w:hyperlink r:id="rId69" w:history="1">
        <w:r w:rsidRPr="00B05D39">
          <w:rPr>
            <w:rStyle w:val="Hyperlink"/>
            <w:rFonts w:ascii="Cambria" w:hAnsi="Cambria"/>
          </w:rPr>
          <w:t>http://www.fonvca.org/agendas/jul2011/news-clips/UW32400.pdf</w:t>
        </w:r>
      </w:hyperlink>
      <w:r w:rsidRPr="00B05D39">
        <w:rPr>
          <w:rFonts w:ascii="Cambria" w:hAnsi="Cambria"/>
        </w:rPr>
        <w:t xml:space="preserve"> </w:t>
      </w:r>
    </w:p>
    <w:p w14:paraId="1F3660BF" w14:textId="77777777" w:rsidR="005D5F7F" w:rsidRPr="00B05D39" w:rsidRDefault="005D5F7F" w:rsidP="005D5F7F">
      <w:pPr>
        <w:pStyle w:val="ListParagraph"/>
        <w:numPr>
          <w:ilvl w:val="0"/>
          <w:numId w:val="1"/>
        </w:numPr>
        <w:rPr>
          <w:rFonts w:ascii="Cambria" w:hAnsi="Cambria"/>
        </w:rPr>
      </w:pPr>
      <w:r w:rsidRPr="00B05D39">
        <w:rPr>
          <w:rFonts w:ascii="Cambria" w:hAnsi="Cambria" w:cs="Calibri"/>
        </w:rPr>
        <w:t xml:space="preserve">Immergluck, D., Balan, T. (2018). Sustainable for whom? Green urban development, environmental gentrification, and the Atlanta Beltline. </w:t>
      </w:r>
      <w:r w:rsidRPr="00B05D39">
        <w:rPr>
          <w:rFonts w:ascii="Cambria" w:hAnsi="Cambria" w:cs="Calibri"/>
          <w:i/>
          <w:iCs/>
        </w:rPr>
        <w:t>Urban Studies Institute</w:t>
      </w:r>
      <w:r w:rsidRPr="00B05D39">
        <w:rPr>
          <w:rFonts w:ascii="Cambria" w:hAnsi="Cambria" w:cs="Calibri"/>
        </w:rPr>
        <w:t xml:space="preserve">. Retrieved from: </w:t>
      </w:r>
      <w:hyperlink r:id="rId70" w:history="1">
        <w:r w:rsidRPr="00B05D39">
          <w:rPr>
            <w:rStyle w:val="Hyperlink"/>
            <w:rFonts w:ascii="Cambria" w:hAnsi="Cambria" w:cs="Calibri"/>
          </w:rPr>
          <w:t>https://scholarworks.gsu.edu/urban_studies_institute/14</w:t>
        </w:r>
      </w:hyperlink>
      <w:r w:rsidRPr="00B05D39">
        <w:rPr>
          <w:rFonts w:ascii="Cambria" w:hAnsi="Cambria" w:cs="Calibri"/>
        </w:rPr>
        <w:t xml:space="preserve">. </w:t>
      </w:r>
    </w:p>
    <w:p w14:paraId="042A3BC8"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Imhoff, M., Zhang, P., Wolfe, R., Bounoua, L. (2010). Remote sensing of urban heat island effect across biomes in the continental USA. </w:t>
      </w:r>
      <w:r w:rsidRPr="00B05D39">
        <w:rPr>
          <w:rFonts w:ascii="Cambria" w:hAnsi="Cambria"/>
          <w:i/>
        </w:rPr>
        <w:t>Remote Sensing of Environment</w:t>
      </w:r>
      <w:r w:rsidRPr="00B05D39">
        <w:rPr>
          <w:rFonts w:ascii="Cambria" w:hAnsi="Cambria"/>
        </w:rPr>
        <w:t xml:space="preserve">. 114(3), 504-513, </w:t>
      </w:r>
      <w:hyperlink r:id="rId71">
        <w:r w:rsidRPr="00B05D39">
          <w:rPr>
            <w:rFonts w:ascii="Cambria" w:hAnsi="Cambria"/>
            <w:color w:val="1155CC"/>
            <w:u w:val="single"/>
          </w:rPr>
          <w:t>https://doi.org/10.1016/j.rse.2009.10.008</w:t>
        </w:r>
      </w:hyperlink>
      <w:r w:rsidRPr="00B05D39">
        <w:rPr>
          <w:rFonts w:ascii="Cambria" w:hAnsi="Cambria"/>
        </w:rPr>
        <w:t xml:space="preserve">.  </w:t>
      </w:r>
    </w:p>
    <w:p w14:paraId="63442A91" w14:textId="77777777" w:rsidR="005D5F7F" w:rsidRPr="00B05D39" w:rsidRDefault="005D5F7F" w:rsidP="005D5F7F">
      <w:pPr>
        <w:pStyle w:val="ListParagraph"/>
        <w:numPr>
          <w:ilvl w:val="0"/>
          <w:numId w:val="1"/>
        </w:numPr>
        <w:rPr>
          <w:rFonts w:ascii="Cambria" w:hAnsi="Cambria"/>
        </w:rPr>
      </w:pPr>
      <w:r w:rsidRPr="00B05D39">
        <w:rPr>
          <w:rFonts w:ascii="Cambria" w:hAnsi="Cambria"/>
          <w:color w:val="000000" w:themeColor="text1"/>
        </w:rPr>
        <w:t>IPCC.</w:t>
      </w:r>
      <w:r w:rsidRPr="00B05D39">
        <w:rPr>
          <w:rFonts w:ascii="Cambria" w:hAnsi="Cambria"/>
        </w:rPr>
        <w:t xml:space="preserve"> (2014): </w:t>
      </w:r>
      <w:r w:rsidRPr="00B05D39">
        <w:rPr>
          <w:rFonts w:ascii="Cambria" w:hAnsi="Cambria"/>
          <w:i/>
          <w:iCs/>
        </w:rPr>
        <w:t>Climate Change 2014: Impacts, Adaptation, and Vulnerability. Part A: Global and Sectoral Aspects. Contribution of Working Group II to the Fifth Assessment Report of the Intergovernmental Panel on Climate Change [</w:t>
      </w:r>
      <w:r w:rsidRPr="00B05D39">
        <w:rPr>
          <w:rFonts w:ascii="Cambria" w:hAnsi="Cambria"/>
        </w:rPr>
        <w:t>Field, C.B., V.R. Barros, D.J. Dokken, K.J. Mach, M.D. Mastrandrea, T.E. Bilir,</w:t>
      </w:r>
      <w:r w:rsidRPr="00B05D39">
        <w:rPr>
          <w:rFonts w:ascii="Cambria" w:hAnsi="Cambria"/>
        </w:rPr>
        <w:br/>
        <w:t xml:space="preserve">M. Chatterjee, K.L. Ebi, Y.O. Estrada, R.C. Genova, B. Girma, E.S. Kissel, A.N. Levy, S. MacCracken, P.R. Mastrandrea, and L.L. White (eds.)]. Cambridge University Press, Cambridge, United Kingdom and New York, NY, USA, 1132 pp. </w:t>
      </w:r>
      <w:r>
        <w:rPr>
          <w:rFonts w:ascii="Cambria" w:hAnsi="Cambria"/>
        </w:rPr>
        <w:t xml:space="preserve">Retrieved from: </w:t>
      </w:r>
      <w:hyperlink r:id="rId72" w:history="1">
        <w:r w:rsidRPr="00AB44D8">
          <w:rPr>
            <w:rStyle w:val="Hyperlink"/>
            <w:rFonts w:ascii="Cambria" w:hAnsi="Cambria"/>
          </w:rPr>
          <w:t>https://www.ipcc.ch/report/ar5/wg2/</w:t>
        </w:r>
      </w:hyperlink>
      <w:r>
        <w:rPr>
          <w:rFonts w:ascii="Cambria" w:hAnsi="Cambria"/>
        </w:rPr>
        <w:t xml:space="preserve"> </w:t>
      </w:r>
    </w:p>
    <w:p w14:paraId="4921DE62" w14:textId="77777777" w:rsidR="005D5F7F" w:rsidRPr="00142B76" w:rsidRDefault="005D5F7F" w:rsidP="005D5F7F">
      <w:pPr>
        <w:pStyle w:val="ListParagraph"/>
        <w:numPr>
          <w:ilvl w:val="0"/>
          <w:numId w:val="1"/>
        </w:numPr>
        <w:rPr>
          <w:rFonts w:ascii="Cambria" w:hAnsi="Cambria"/>
        </w:rPr>
      </w:pPr>
      <w:r w:rsidRPr="00142B76">
        <w:rPr>
          <w:rFonts w:ascii="Cambria" w:hAnsi="Cambria"/>
          <w:color w:val="000000" w:themeColor="text1"/>
        </w:rPr>
        <w:t xml:space="preserve">Jennings, V., Gaither, C., Gragg, R. (2012). Promoting environmental justice through urban green space access: a synopsis. </w:t>
      </w:r>
      <w:r w:rsidRPr="00142B76">
        <w:rPr>
          <w:rFonts w:ascii="Cambria" w:hAnsi="Cambria"/>
          <w:i/>
          <w:color w:val="000000" w:themeColor="text1"/>
        </w:rPr>
        <w:t>Environmental Justice</w:t>
      </w:r>
      <w:r w:rsidRPr="00142B76">
        <w:rPr>
          <w:rFonts w:ascii="Cambria" w:hAnsi="Cambria"/>
          <w:iCs/>
          <w:color w:val="000000" w:themeColor="text1"/>
        </w:rPr>
        <w:t xml:space="preserve">. 5(1), 1-7. </w:t>
      </w:r>
      <w:r w:rsidRPr="00142B76">
        <w:rPr>
          <w:rFonts w:ascii="Cambria" w:hAnsi="Cambria"/>
        </w:rPr>
        <w:t>DOI: 10.1089/env.2011.0007</w:t>
      </w:r>
      <w:r>
        <w:rPr>
          <w:rFonts w:ascii="Cambria" w:hAnsi="Cambria"/>
        </w:rPr>
        <w:t xml:space="preserve"> </w:t>
      </w:r>
      <w:r w:rsidRPr="00142B76">
        <w:rPr>
          <w:rFonts w:ascii="Cambria" w:hAnsi="Cambria"/>
        </w:rPr>
        <w:t xml:space="preserve"> </w:t>
      </w:r>
    </w:p>
    <w:p w14:paraId="335D2A0C"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Jennings, V., Gaither, C. (2015). Approaching environmental heal disparities and green spaces: an ecosystem services perspective. </w:t>
      </w:r>
      <w:r w:rsidRPr="00B05D39">
        <w:rPr>
          <w:rFonts w:ascii="Cambria" w:hAnsi="Cambria"/>
          <w:i/>
        </w:rPr>
        <w:t>International Journal of Environmental Research and Public Health</w:t>
      </w:r>
      <w:r w:rsidRPr="00B05D39">
        <w:rPr>
          <w:rFonts w:ascii="Cambria" w:hAnsi="Cambria"/>
        </w:rPr>
        <w:t xml:space="preserve">. 12(2), 1952-1968. </w:t>
      </w:r>
      <w:r w:rsidRPr="00B05D39">
        <w:rPr>
          <w:rFonts w:ascii="Calibri" w:hAnsi="Calibri" w:cs="Calibri"/>
        </w:rPr>
        <w:t>﻿</w:t>
      </w:r>
      <w:r w:rsidRPr="00B05D39">
        <w:rPr>
          <w:rFonts w:ascii="Cambria" w:hAnsi="Cambria"/>
        </w:rPr>
        <w:t xml:space="preserve">doi:10.3390/ijerph120201952 </w:t>
      </w:r>
    </w:p>
    <w:p w14:paraId="1822DD09" w14:textId="77777777" w:rsidR="005D5F7F" w:rsidRPr="00B05D39" w:rsidRDefault="005D5F7F" w:rsidP="005D5F7F">
      <w:pPr>
        <w:pStyle w:val="ListParagraph"/>
        <w:numPr>
          <w:ilvl w:val="0"/>
          <w:numId w:val="1"/>
        </w:numPr>
        <w:rPr>
          <w:rFonts w:ascii="Cambria" w:hAnsi="Cambria"/>
        </w:rPr>
      </w:pPr>
      <w:r w:rsidRPr="00B05D39">
        <w:rPr>
          <w:rFonts w:ascii="Cambria" w:hAnsi="Cambria" w:cs="Calibri"/>
        </w:rPr>
        <w:t xml:space="preserve">Jennings, V., Larson, L., Yun, J. (2016). Advancing Sustainability through Urban Green Space: Cultural Ecosystem Services, Equity, and Social Determinants of Health. </w:t>
      </w:r>
      <w:r w:rsidRPr="00B05D39">
        <w:rPr>
          <w:rFonts w:ascii="Cambria" w:hAnsi="Cambria" w:cs="Calibri"/>
          <w:i/>
          <w:iCs/>
        </w:rPr>
        <w:t>International Journal of Environmental Research and Public Health</w:t>
      </w:r>
      <w:r w:rsidRPr="00B05D39">
        <w:rPr>
          <w:rFonts w:ascii="Cambria" w:hAnsi="Cambria" w:cstheme="minorHAnsi"/>
        </w:rPr>
        <w:t xml:space="preserve">, 13(2), 1-15. </w:t>
      </w:r>
      <w:r w:rsidRPr="00B05D39">
        <w:rPr>
          <w:rFonts w:ascii="Cambria" w:hAnsi="Cambria" w:cstheme="minorHAnsi"/>
          <w:color w:val="000000" w:themeColor="text1"/>
          <w:shd w:val="clear" w:color="auto" w:fill="FFFFFF"/>
        </w:rPr>
        <w:t>DOI:10.3390/ijerph13020196</w:t>
      </w:r>
    </w:p>
    <w:p w14:paraId="0C867179" w14:textId="77777777" w:rsidR="005D5F7F" w:rsidRPr="00B05D39" w:rsidRDefault="005D5F7F" w:rsidP="005D5F7F">
      <w:pPr>
        <w:pStyle w:val="ListParagraph"/>
        <w:numPr>
          <w:ilvl w:val="0"/>
          <w:numId w:val="1"/>
        </w:numPr>
        <w:rPr>
          <w:rFonts w:ascii="Cambria" w:hAnsi="Cambria"/>
        </w:rPr>
      </w:pPr>
      <w:r w:rsidRPr="00B05D39">
        <w:rPr>
          <w:rFonts w:ascii="Cambria" w:hAnsi="Cambria" w:cs="Calibri"/>
        </w:rPr>
        <w:t xml:space="preserve">Jim, C., Chen, W. (2009). Ecosystem services and valuation of urban forests in China. </w:t>
      </w:r>
      <w:r w:rsidRPr="00B05D39">
        <w:rPr>
          <w:rFonts w:ascii="Cambria" w:hAnsi="Cambria" w:cs="Calibri"/>
          <w:i/>
          <w:iCs/>
        </w:rPr>
        <w:t>Cities</w:t>
      </w:r>
      <w:r w:rsidRPr="00B05D39">
        <w:rPr>
          <w:rFonts w:ascii="Cambria" w:hAnsi="Cambria" w:cs="Calibri"/>
        </w:rPr>
        <w:t xml:space="preserve">, 26(4), 187-194, </w:t>
      </w:r>
      <w:hyperlink r:id="rId73" w:history="1">
        <w:r w:rsidRPr="00B05D39">
          <w:rPr>
            <w:rStyle w:val="Hyperlink"/>
            <w:rFonts w:ascii="Cambria" w:hAnsi="Cambria" w:cs="Calibri"/>
          </w:rPr>
          <w:t>https://doi-org.ezproxy.rit.edu/10.1016/j.cities.2009.03.003</w:t>
        </w:r>
      </w:hyperlink>
      <w:r w:rsidRPr="00B05D39">
        <w:rPr>
          <w:rFonts w:ascii="Cambria" w:hAnsi="Cambria" w:cs="Calibri"/>
        </w:rPr>
        <w:t xml:space="preserve">.   </w:t>
      </w:r>
    </w:p>
    <w:p w14:paraId="1CBBE236"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Jo, H., McPherson, G. (1995). Carbon storage and flux in urban residential greenspace. </w:t>
      </w:r>
      <w:r w:rsidRPr="00B05D39">
        <w:rPr>
          <w:rFonts w:ascii="Cambria" w:hAnsi="Cambria"/>
          <w:i/>
        </w:rPr>
        <w:t>Journal of Environmental Management</w:t>
      </w:r>
      <w:r w:rsidRPr="00B05D39">
        <w:rPr>
          <w:rFonts w:ascii="Cambria" w:hAnsi="Cambria"/>
        </w:rPr>
        <w:t xml:space="preserve">, 45, 109-133. Retrieved from: </w:t>
      </w:r>
      <w:hyperlink r:id="rId74">
        <w:r w:rsidRPr="00B05D39">
          <w:rPr>
            <w:rFonts w:ascii="Cambria" w:hAnsi="Cambria"/>
            <w:color w:val="1155CC"/>
            <w:u w:val="single"/>
          </w:rPr>
          <w:t>http://citeseerx.ist.psu.edu/viewdoc/download?doi=10.1.1.473.3979&amp;rep=rep1&amp;type=pdf</w:t>
        </w:r>
      </w:hyperlink>
    </w:p>
    <w:p w14:paraId="6EE1EE62" w14:textId="77777777" w:rsidR="005D5F7F" w:rsidRPr="00A72517"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Kaplan, R. (1983). The analysis of perception via preference: a strategy for studying how the environment is experienced. </w:t>
      </w:r>
      <w:r w:rsidRPr="00B05D39">
        <w:rPr>
          <w:rFonts w:ascii="Cambria" w:hAnsi="Cambria"/>
          <w:i/>
          <w:iCs/>
          <w:color w:val="000000" w:themeColor="text1"/>
        </w:rPr>
        <w:t>Landscape Planning</w:t>
      </w:r>
      <w:r w:rsidRPr="00B05D39">
        <w:rPr>
          <w:rFonts w:ascii="Cambria" w:hAnsi="Cambria"/>
          <w:color w:val="000000" w:themeColor="text1"/>
        </w:rPr>
        <w:t xml:space="preserve">. 12, 161-176. Retrieved from: </w:t>
      </w:r>
      <w:hyperlink r:id="rId75" w:history="1">
        <w:r w:rsidRPr="00B05D39">
          <w:rPr>
            <w:rStyle w:val="Hyperlink"/>
            <w:rFonts w:ascii="Cambria" w:hAnsi="Cambria"/>
          </w:rPr>
          <w:t>https://citeseerx.ist.psu.edu/viewdoc/download?doi=10.1.1.977.4859&amp;rep=rep1&amp;type=pdf</w:t>
        </w:r>
      </w:hyperlink>
      <w:r w:rsidRPr="00B05D39">
        <w:rPr>
          <w:rFonts w:ascii="Cambria" w:hAnsi="Cambria"/>
          <w:color w:val="000000" w:themeColor="text1"/>
        </w:rPr>
        <w:t xml:space="preserve"> </w:t>
      </w:r>
    </w:p>
    <w:p w14:paraId="6C830B5A" w14:textId="77777777" w:rsidR="005D5F7F" w:rsidRPr="00A72517" w:rsidRDefault="005D5F7F" w:rsidP="005D5F7F">
      <w:pPr>
        <w:pStyle w:val="ListParagraph"/>
        <w:numPr>
          <w:ilvl w:val="0"/>
          <w:numId w:val="1"/>
        </w:numPr>
        <w:rPr>
          <w:rFonts w:ascii="Cambria" w:hAnsi="Cambria"/>
          <w:color w:val="000000" w:themeColor="text1"/>
          <w:u w:val="single"/>
        </w:rPr>
      </w:pPr>
      <w:r w:rsidRPr="00A72517">
        <w:rPr>
          <w:rFonts w:ascii="Cambria" w:hAnsi="Cambria"/>
          <w:color w:val="000000" w:themeColor="text1"/>
        </w:rPr>
        <w:t xml:space="preserve">Karila, K., Matikainen, L., Litkey, P., Hyyppa, J., Puttonen, E. </w:t>
      </w:r>
      <w:r>
        <w:rPr>
          <w:rFonts w:ascii="Cambria" w:hAnsi="Cambria"/>
          <w:color w:val="000000" w:themeColor="text1"/>
        </w:rPr>
        <w:t>(</w:t>
      </w:r>
      <w:r w:rsidRPr="00A72517">
        <w:rPr>
          <w:rFonts w:ascii="Cambria" w:hAnsi="Cambria"/>
          <w:color w:val="000000" w:themeColor="text1"/>
        </w:rPr>
        <w:t>2019</w:t>
      </w:r>
      <w:r>
        <w:rPr>
          <w:rFonts w:ascii="Cambria" w:hAnsi="Cambria"/>
          <w:color w:val="000000" w:themeColor="text1"/>
        </w:rPr>
        <w:t>)</w:t>
      </w:r>
      <w:r w:rsidRPr="00A72517">
        <w:rPr>
          <w:rFonts w:ascii="Cambria" w:hAnsi="Cambria"/>
          <w:color w:val="000000" w:themeColor="text1"/>
        </w:rPr>
        <w:t xml:space="preserve">. The effect of seasonal variation on automated land cover mapping from multispectral airborne laser scanning data. </w:t>
      </w:r>
      <w:r w:rsidRPr="00A72517">
        <w:rPr>
          <w:rFonts w:ascii="Cambria" w:hAnsi="Cambria"/>
          <w:i/>
          <w:iCs/>
          <w:color w:val="000000" w:themeColor="text1"/>
        </w:rPr>
        <w:t>International Journal of Remote Sensing</w:t>
      </w:r>
      <w:r w:rsidRPr="00A72517">
        <w:rPr>
          <w:rFonts w:ascii="Cambria" w:hAnsi="Cambria"/>
          <w:color w:val="000000" w:themeColor="text1"/>
        </w:rPr>
        <w:t xml:space="preserve">. 40(9), 3289-3307. </w:t>
      </w:r>
      <w:hyperlink r:id="rId76" w:history="1">
        <w:r w:rsidRPr="00AB44D8">
          <w:rPr>
            <w:rStyle w:val="Hyperlink"/>
            <w:rFonts w:ascii="Cambria" w:hAnsi="Cambria"/>
          </w:rPr>
          <w:t>https://doi.org/10.1080/01431161.2018.1528023</w:t>
        </w:r>
      </w:hyperlink>
      <w:r>
        <w:rPr>
          <w:rFonts w:ascii="Cambria" w:hAnsi="Cambria"/>
          <w:color w:val="000000" w:themeColor="text1"/>
        </w:rPr>
        <w:t xml:space="preserve"> </w:t>
      </w:r>
      <w:r w:rsidRPr="00A72517">
        <w:rPr>
          <w:rFonts w:ascii="Cambria" w:hAnsi="Cambria"/>
          <w:color w:val="000000" w:themeColor="text1"/>
        </w:rPr>
        <w:t xml:space="preserve"> </w:t>
      </w:r>
    </w:p>
    <w:p w14:paraId="7A576F4E" w14:textId="77777777" w:rsidR="005D5F7F" w:rsidRPr="00836BD4" w:rsidRDefault="005D5F7F" w:rsidP="005D5F7F">
      <w:pPr>
        <w:pStyle w:val="ListParagraph"/>
        <w:numPr>
          <w:ilvl w:val="0"/>
          <w:numId w:val="1"/>
        </w:numPr>
        <w:rPr>
          <w:rFonts w:ascii="Cambria" w:hAnsi="Cambria"/>
          <w:color w:val="1155CC"/>
          <w:u w:val="single"/>
        </w:rPr>
      </w:pPr>
      <w:r>
        <w:rPr>
          <w:rFonts w:ascii="Cambria" w:hAnsi="Cambria"/>
          <w:color w:val="000000" w:themeColor="text1"/>
        </w:rPr>
        <w:lastRenderedPageBreak/>
        <w:t xml:space="preserve">Kassambara, A. (2021). Package ‘rstatix’. Retrieved from: </w:t>
      </w:r>
      <w:hyperlink r:id="rId77" w:history="1">
        <w:r w:rsidRPr="001F17B5">
          <w:rPr>
            <w:rStyle w:val="Hyperlink"/>
            <w:rFonts w:ascii="Cambria" w:hAnsi="Cambria"/>
          </w:rPr>
          <w:t>https://cran.r-project.org/web/packages/rstatix/rstatix.pdf</w:t>
        </w:r>
      </w:hyperlink>
      <w:r>
        <w:rPr>
          <w:rFonts w:ascii="Cambria" w:hAnsi="Cambria"/>
          <w:color w:val="000000" w:themeColor="text1"/>
        </w:rPr>
        <w:t xml:space="preserve"> </w:t>
      </w:r>
    </w:p>
    <w:p w14:paraId="07560E08" w14:textId="77777777" w:rsidR="005D5F7F" w:rsidRPr="00C84998"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Kerth, R., Vinyard, S. (2012). </w:t>
      </w:r>
      <w:r w:rsidRPr="00A13D2C">
        <w:rPr>
          <w:rFonts w:ascii="Cambria" w:hAnsi="Cambria"/>
          <w:i/>
          <w:iCs/>
          <w:color w:val="000000" w:themeColor="text1"/>
        </w:rPr>
        <w:t>Wasting our waterways 2012: toxic industrial pollution and the unfulfilled promise from the clean water act</w:t>
      </w:r>
      <w:r>
        <w:rPr>
          <w:rFonts w:ascii="Cambria" w:hAnsi="Cambria"/>
          <w:color w:val="000000" w:themeColor="text1"/>
        </w:rPr>
        <w:t xml:space="preserve">. Retrieved from Environment America Research and Policy Center: </w:t>
      </w:r>
      <w:hyperlink r:id="rId78" w:history="1">
        <w:r w:rsidRPr="00DE3112">
          <w:rPr>
            <w:rStyle w:val="Hyperlink"/>
            <w:rFonts w:ascii="Cambria" w:hAnsi="Cambria"/>
          </w:rPr>
          <w:t>https://environmentamerica.org/sites/environment/files/reports/Wasting%20Our%20Waterways%20vUS.pdf</w:t>
        </w:r>
      </w:hyperlink>
      <w:r>
        <w:rPr>
          <w:rFonts w:ascii="Cambria" w:hAnsi="Cambria"/>
          <w:color w:val="000000" w:themeColor="text1"/>
        </w:rPr>
        <w:t xml:space="preserve"> </w:t>
      </w:r>
    </w:p>
    <w:p w14:paraId="0B6504C7"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Kremer, P., Hamstead, Z., McPhearson, T. (201</w:t>
      </w:r>
      <w:r>
        <w:rPr>
          <w:rFonts w:ascii="Cambria" w:hAnsi="Cambria"/>
        </w:rPr>
        <w:t>6</w:t>
      </w:r>
      <w:r w:rsidRPr="00B05D39">
        <w:rPr>
          <w:rFonts w:ascii="Cambria" w:hAnsi="Cambria"/>
        </w:rPr>
        <w:t xml:space="preserve">). The value of urban ecosystem services in New York City: A spatially explicit multicriteria analysis of landscape scale valuation scenarios. </w:t>
      </w:r>
      <w:r w:rsidRPr="00B05D39">
        <w:rPr>
          <w:rFonts w:ascii="Cambria" w:hAnsi="Cambria"/>
          <w:i/>
        </w:rPr>
        <w:t>Environmental Science and Policy</w:t>
      </w:r>
      <w:r w:rsidRPr="00B05D39">
        <w:rPr>
          <w:rFonts w:ascii="Cambria" w:hAnsi="Cambria"/>
        </w:rPr>
        <w:t xml:space="preserve">. </w:t>
      </w:r>
      <w:r w:rsidRPr="00161D91">
        <w:rPr>
          <w:rFonts w:ascii="Cambria" w:hAnsi="Cambria"/>
          <w:iCs/>
        </w:rPr>
        <w:t>62, 57–68</w:t>
      </w:r>
      <w:r w:rsidRPr="00B05D39">
        <w:rPr>
          <w:rFonts w:ascii="Cambria" w:hAnsi="Cambria"/>
        </w:rPr>
        <w:t xml:space="preserve">. </w:t>
      </w:r>
      <w:hyperlink r:id="rId79">
        <w:r w:rsidRPr="00B05D39">
          <w:rPr>
            <w:rFonts w:ascii="Cambria" w:hAnsi="Cambria"/>
            <w:color w:val="1155CC"/>
            <w:u w:val="single"/>
          </w:rPr>
          <w:t>https://doi.org/10.1016/j.envsci.2016.04.012</w:t>
        </w:r>
      </w:hyperlink>
    </w:p>
    <w:p w14:paraId="3D74FECA" w14:textId="77777777" w:rsidR="005D5F7F" w:rsidRPr="00B1721C" w:rsidRDefault="005D5F7F" w:rsidP="005D5F7F">
      <w:pPr>
        <w:pStyle w:val="ListParagraph"/>
        <w:numPr>
          <w:ilvl w:val="0"/>
          <w:numId w:val="1"/>
        </w:numPr>
        <w:rPr>
          <w:rFonts w:ascii="Cambria" w:hAnsi="Cambria"/>
        </w:rPr>
      </w:pPr>
      <w:r w:rsidRPr="00B05D39">
        <w:rPr>
          <w:rFonts w:ascii="Cambria" w:hAnsi="Cambria" w:cs="Calibri"/>
        </w:rPr>
        <w:t xml:space="preserve">Lachowycz, K., Jones, A. (2013). Towards a better understanding of the relationship between greenspace and health: Development of a theoretical framework. </w:t>
      </w:r>
      <w:r w:rsidRPr="00B05D39">
        <w:rPr>
          <w:rFonts w:ascii="Cambria" w:hAnsi="Cambria" w:cs="Calibri"/>
          <w:i/>
          <w:iCs/>
        </w:rPr>
        <w:t>Landscape and Urban Planning</w:t>
      </w:r>
      <w:r w:rsidRPr="00B05D39">
        <w:rPr>
          <w:rFonts w:ascii="Cambria" w:hAnsi="Cambria" w:cs="Calibri"/>
        </w:rPr>
        <w:t xml:space="preserve">, 118, 62-69. </w:t>
      </w:r>
      <w:hyperlink r:id="rId80" w:history="1">
        <w:r w:rsidRPr="00B05D39">
          <w:rPr>
            <w:rStyle w:val="Hyperlink"/>
            <w:rFonts w:ascii="Cambria" w:hAnsi="Cambria" w:cs="Calibri"/>
          </w:rPr>
          <w:t>https://doi.org/10.1016/j.landurbplan.2012.10.012</w:t>
        </w:r>
      </w:hyperlink>
      <w:r w:rsidRPr="00B05D39">
        <w:rPr>
          <w:rFonts w:ascii="Cambria" w:hAnsi="Cambria" w:cs="Calibri"/>
        </w:rPr>
        <w:t xml:space="preserve">.  </w:t>
      </w:r>
      <w:r w:rsidRPr="00B1721C">
        <w:rPr>
          <w:rFonts w:ascii="Cambria" w:hAnsi="Cambria"/>
        </w:rPr>
        <w:t xml:space="preserve"> </w:t>
      </w:r>
    </w:p>
    <w:p w14:paraId="4C5F6393"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Lockwood, B., Berland, A. (2019). Socioeconomic factors associated with increasing street tree density and diversity in central Indianapolis. </w:t>
      </w:r>
      <w:r w:rsidRPr="00B05D39">
        <w:rPr>
          <w:rFonts w:ascii="Cambria" w:hAnsi="Cambria"/>
          <w:i/>
        </w:rPr>
        <w:t>Cities and the Environment (CATE)</w:t>
      </w:r>
      <w:r w:rsidRPr="00B05D39">
        <w:rPr>
          <w:rFonts w:ascii="Cambria" w:hAnsi="Cambria"/>
        </w:rPr>
        <w:t xml:space="preserve">, </w:t>
      </w:r>
      <w:r w:rsidRPr="00B05D39">
        <w:rPr>
          <w:rFonts w:ascii="Cambria" w:hAnsi="Cambria"/>
          <w:i/>
        </w:rPr>
        <w:t>12</w:t>
      </w:r>
      <w:r w:rsidRPr="00B05D39">
        <w:rPr>
          <w:rFonts w:ascii="Cambria" w:hAnsi="Cambria"/>
        </w:rPr>
        <w:t xml:space="preserve">(1), 1-19. Available at: </w:t>
      </w:r>
      <w:hyperlink r:id="rId81">
        <w:r w:rsidRPr="00B05D39">
          <w:rPr>
            <w:rFonts w:ascii="Cambria" w:hAnsi="Cambria"/>
            <w:color w:val="1155CC"/>
            <w:u w:val="single"/>
          </w:rPr>
          <w:t>https://digitalcommons.lmu.edu/cate/vol12/iss1/6</w:t>
        </w:r>
      </w:hyperlink>
      <w:r w:rsidRPr="00B05D39">
        <w:rPr>
          <w:rFonts w:ascii="Cambria" w:hAnsi="Cambria"/>
        </w:rPr>
        <w:t xml:space="preserve">  </w:t>
      </w:r>
    </w:p>
    <w:p w14:paraId="027BD03A"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Luederitz, C., Brink E., Gralla, F., Hermelingmeier, V., Meyer, M., Niven, L., Panzer, L. Partelow, S., Rau, A., Sasaki, R., Abson, D., Lang, D., Wamsler, C., von Wehdren, H. (2015). A review of urban ecosystem services: six key challenges for future research. </w:t>
      </w:r>
      <w:r w:rsidRPr="00B05D39">
        <w:rPr>
          <w:rFonts w:ascii="Cambria" w:hAnsi="Cambria"/>
          <w:i/>
          <w:iCs/>
        </w:rPr>
        <w:t>Ecosystem Services</w:t>
      </w:r>
      <w:r w:rsidRPr="00B05D39">
        <w:rPr>
          <w:rFonts w:ascii="Cambria" w:hAnsi="Cambria"/>
        </w:rPr>
        <w:t xml:space="preserve">. 14, 98-112. </w:t>
      </w:r>
      <w:hyperlink r:id="rId82" w:history="1">
        <w:r w:rsidRPr="00B05D39">
          <w:rPr>
            <w:rStyle w:val="Hyperlink"/>
            <w:rFonts w:ascii="Cambria" w:hAnsi="Cambria"/>
          </w:rPr>
          <w:t>https://doi.org/10.1016/j.ecoser.2015.05.001</w:t>
        </w:r>
      </w:hyperlink>
      <w:r w:rsidRPr="00B05D39">
        <w:rPr>
          <w:rFonts w:ascii="Cambria" w:hAnsi="Cambria"/>
        </w:rPr>
        <w:t xml:space="preserve"> </w:t>
      </w:r>
    </w:p>
    <w:p w14:paraId="62F00208"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Lynn, K., MacKendrick, K., Donoghue, E. (2011). </w:t>
      </w:r>
      <w:r w:rsidRPr="00B05D39">
        <w:rPr>
          <w:rFonts w:ascii="Cambria" w:hAnsi="Cambria"/>
          <w:i/>
          <w:iCs/>
        </w:rPr>
        <w:t>Social vulnerability and climate change: synthesis of literature</w:t>
      </w:r>
      <w:r w:rsidRPr="00B05D39">
        <w:rPr>
          <w:rFonts w:ascii="Cambria" w:hAnsi="Cambria"/>
        </w:rPr>
        <w:t xml:space="preserve"> (Report No. PNW-GTR-838). Retrieved from the US Department of Agriculture: </w:t>
      </w:r>
      <w:hyperlink r:id="rId83" w:history="1">
        <w:r w:rsidRPr="00B05D39">
          <w:rPr>
            <w:rStyle w:val="Hyperlink"/>
            <w:rFonts w:ascii="Cambria" w:hAnsi="Cambria"/>
          </w:rPr>
          <w:t>https://www.fs.fed.us/pnw/pubs/pnw_gtr838.pdf</w:t>
        </w:r>
      </w:hyperlink>
      <w:r w:rsidRPr="00B05D39">
        <w:rPr>
          <w:rFonts w:ascii="Cambria" w:hAnsi="Cambria"/>
        </w:rPr>
        <w:t xml:space="preserve">   </w:t>
      </w:r>
    </w:p>
    <w:p w14:paraId="2C8AD942"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MacFaden, S., O'Neil-Dunne, J., Royar, A., Lu, J., Rundle, A. (2012). High-resolution tree canopy mapping of New York City using LIDAR and object-based image analysis. </w:t>
      </w:r>
      <w:r w:rsidRPr="00B05D39">
        <w:rPr>
          <w:rFonts w:ascii="Cambria" w:hAnsi="Cambria"/>
          <w:i/>
        </w:rPr>
        <w:t>Journal of Applied Remote Sensing</w:t>
      </w:r>
      <w:r w:rsidRPr="00B05D39">
        <w:rPr>
          <w:rFonts w:ascii="Cambria" w:hAnsi="Cambria"/>
        </w:rPr>
        <w:t xml:space="preserve">. 6(1). </w:t>
      </w:r>
      <w:hyperlink r:id="rId84">
        <w:r w:rsidRPr="00B05D39">
          <w:rPr>
            <w:rFonts w:ascii="Cambria" w:hAnsi="Cambria"/>
            <w:color w:val="1155CC"/>
            <w:u w:val="single"/>
          </w:rPr>
          <w:t>http://dx.doi.org/10.1117/1.JRS.6.063567</w:t>
        </w:r>
      </w:hyperlink>
      <w:r w:rsidRPr="00B05D39">
        <w:rPr>
          <w:rFonts w:ascii="Cambria" w:hAnsi="Cambria"/>
        </w:rPr>
        <w:t>.</w:t>
      </w:r>
    </w:p>
    <w:p w14:paraId="65BD761E" w14:textId="77777777" w:rsidR="005D5F7F" w:rsidRPr="00B05D39" w:rsidRDefault="005D5F7F" w:rsidP="005D5F7F">
      <w:pPr>
        <w:pStyle w:val="ListParagraph"/>
        <w:numPr>
          <w:ilvl w:val="0"/>
          <w:numId w:val="1"/>
        </w:numPr>
        <w:rPr>
          <w:rFonts w:ascii="Cambria" w:hAnsi="Cambria"/>
          <w:color w:val="000000" w:themeColor="text1"/>
          <w:u w:val="single"/>
        </w:rPr>
      </w:pPr>
      <w:r w:rsidRPr="00B05D39">
        <w:rPr>
          <w:rFonts w:ascii="Cambria" w:hAnsi="Cambria"/>
          <w:color w:val="000000" w:themeColor="text1"/>
        </w:rPr>
        <w:t xml:space="preserve">Manisalidis, I., Stavropoulou, E., Stavropoulos, A., Bezirtoglou, E. (2020). Environmental and health impacts of air pollution: a review. </w:t>
      </w:r>
      <w:r w:rsidRPr="00B05D39">
        <w:rPr>
          <w:rFonts w:ascii="Cambria" w:hAnsi="Cambria"/>
          <w:i/>
          <w:color w:val="000000" w:themeColor="text1"/>
        </w:rPr>
        <w:t>Frontiers in Public Health</w:t>
      </w:r>
      <w:r w:rsidRPr="00B05D39">
        <w:rPr>
          <w:rFonts w:ascii="Cambria" w:hAnsi="Cambria"/>
          <w:iCs/>
          <w:color w:val="000000" w:themeColor="text1"/>
        </w:rPr>
        <w:t xml:space="preserve">. 8(14). </w:t>
      </w:r>
      <w:hyperlink r:id="rId85" w:history="1">
        <w:r w:rsidRPr="00B05D39">
          <w:rPr>
            <w:rStyle w:val="Hyperlink"/>
            <w:rFonts w:ascii="Cambria" w:hAnsi="Cambria" w:cs="Arial"/>
            <w:shd w:val="clear" w:color="auto" w:fill="FFFFFF"/>
          </w:rPr>
          <w:t>https://doi.org/10.3389/fpubh.2020.00014</w:t>
        </w:r>
      </w:hyperlink>
      <w:r w:rsidRPr="00B05D39">
        <w:rPr>
          <w:rFonts w:ascii="Cambria" w:hAnsi="Cambria" w:cs="Arial"/>
          <w:color w:val="000000" w:themeColor="text1"/>
          <w:shd w:val="clear" w:color="auto" w:fill="FFFFFF"/>
        </w:rPr>
        <w:t xml:space="preserve"> </w:t>
      </w:r>
    </w:p>
    <w:p w14:paraId="30693F21" w14:textId="77777777" w:rsidR="005D5F7F" w:rsidRPr="00C84998"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McKelvey, B. (1962). A sesquicentennial review of Rochester’s History. </w:t>
      </w:r>
      <w:r>
        <w:rPr>
          <w:rFonts w:ascii="Cambria" w:hAnsi="Cambria"/>
          <w:i/>
          <w:iCs/>
          <w:color w:val="000000" w:themeColor="text1"/>
        </w:rPr>
        <w:t>Rochester History</w:t>
      </w:r>
      <w:r>
        <w:rPr>
          <w:rFonts w:ascii="Cambria" w:hAnsi="Cambria"/>
          <w:color w:val="000000" w:themeColor="text1"/>
        </w:rPr>
        <w:t xml:space="preserve">. 24(3). Retrieved from: </w:t>
      </w:r>
      <w:hyperlink r:id="rId86" w:history="1">
        <w:r w:rsidRPr="00DE3112">
          <w:rPr>
            <w:rStyle w:val="Hyperlink"/>
            <w:rFonts w:ascii="Cambria" w:hAnsi="Cambria"/>
          </w:rPr>
          <w:t>https://www.hillside.com/wp-content/uploads/2015/01/Rochester-History-Vol24.pdf</w:t>
        </w:r>
      </w:hyperlink>
      <w:r>
        <w:rPr>
          <w:rFonts w:ascii="Cambria" w:hAnsi="Cambria"/>
          <w:color w:val="000000" w:themeColor="text1"/>
        </w:rPr>
        <w:t xml:space="preserve"> </w:t>
      </w:r>
    </w:p>
    <w:p w14:paraId="50A7B3D9"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McPhearson, T., Kremer, P., Hamstead, Z. (2013). Mapping ecosystem services in New York City: Applying a social-ecological approach in urban vacant land. </w:t>
      </w:r>
      <w:r w:rsidRPr="00B05D39">
        <w:rPr>
          <w:rFonts w:ascii="Cambria" w:hAnsi="Cambria"/>
          <w:i/>
        </w:rPr>
        <w:t>Ecosystem Services</w:t>
      </w:r>
      <w:r w:rsidRPr="00B05D39">
        <w:rPr>
          <w:rFonts w:ascii="Cambria" w:hAnsi="Cambria"/>
        </w:rPr>
        <w:t xml:space="preserve">. </w:t>
      </w:r>
      <w:r w:rsidRPr="00B05D39">
        <w:rPr>
          <w:rFonts w:ascii="Cambria" w:hAnsi="Cambria"/>
          <w:i/>
        </w:rPr>
        <w:t>5</w:t>
      </w:r>
      <w:r w:rsidRPr="00B05D39">
        <w:rPr>
          <w:rFonts w:ascii="Cambria" w:hAnsi="Cambria"/>
        </w:rPr>
        <w:t xml:space="preserve">, 11–26. </w:t>
      </w:r>
      <w:hyperlink r:id="rId87">
        <w:r w:rsidRPr="00B05D39">
          <w:rPr>
            <w:rFonts w:ascii="Cambria" w:hAnsi="Cambria"/>
            <w:color w:val="1155CC"/>
            <w:u w:val="single"/>
          </w:rPr>
          <w:t>https://doi.org/10.1016/j.ecoser.2013.06.005</w:t>
        </w:r>
      </w:hyperlink>
    </w:p>
    <w:p w14:paraId="4CAB6406"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McPhearson, T., Anderson, E., Emlqivst, T., Frantzeskaki. (2015). Resilience of and through urban ecosystem services. </w:t>
      </w:r>
      <w:r w:rsidRPr="00B05D39">
        <w:rPr>
          <w:rFonts w:ascii="Cambria" w:hAnsi="Cambria" w:cs="Calibri"/>
          <w:i/>
          <w:iCs/>
        </w:rPr>
        <w:t>Ecosystem Services</w:t>
      </w:r>
      <w:r w:rsidRPr="00B05D39">
        <w:rPr>
          <w:rFonts w:ascii="Cambria" w:hAnsi="Cambria" w:cs="Calibri"/>
        </w:rPr>
        <w:t xml:space="preserve">, 12, 152-156. </w:t>
      </w:r>
      <w:hyperlink r:id="rId88" w:history="1">
        <w:r w:rsidRPr="00B05D39">
          <w:rPr>
            <w:rStyle w:val="Hyperlink"/>
            <w:rFonts w:ascii="Cambria" w:hAnsi="Cambria" w:cs="Calibri"/>
          </w:rPr>
          <w:t>https://doi.org/10.1016/j.ecoser.2014.07.012</w:t>
        </w:r>
      </w:hyperlink>
      <w:r w:rsidRPr="00B05D39">
        <w:rPr>
          <w:rFonts w:ascii="Cambria" w:hAnsi="Cambria" w:cs="Calibri"/>
        </w:rPr>
        <w:t xml:space="preserve"> </w:t>
      </w:r>
    </w:p>
    <w:p w14:paraId="66290C00"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Meerow, S., Newell, J. </w:t>
      </w:r>
      <w:r w:rsidRPr="00B05D39">
        <w:rPr>
          <w:rFonts w:ascii="Calibri" w:hAnsi="Calibri" w:cs="Calibri"/>
        </w:rPr>
        <w:t>﻿</w:t>
      </w:r>
      <w:r w:rsidRPr="00B05D39">
        <w:rPr>
          <w:rFonts w:ascii="Cambria" w:hAnsi="Cambria"/>
        </w:rPr>
        <w:t xml:space="preserve">(2017). Spatial planning for multifunctional green infrastructure: Growing resilience in Detroit. </w:t>
      </w:r>
      <w:r w:rsidRPr="00B05D39">
        <w:rPr>
          <w:rFonts w:ascii="Cambria" w:hAnsi="Cambria"/>
          <w:i/>
        </w:rPr>
        <w:t>Landscape and Urban Planning</w:t>
      </w:r>
      <w:r w:rsidRPr="00B05D39">
        <w:rPr>
          <w:rFonts w:ascii="Cambria" w:hAnsi="Cambria"/>
        </w:rPr>
        <w:t xml:space="preserve">. 159, 62-75. </w:t>
      </w:r>
      <w:hyperlink r:id="rId89">
        <w:r w:rsidRPr="00B05D39">
          <w:rPr>
            <w:rFonts w:ascii="Cambria" w:hAnsi="Cambria"/>
            <w:color w:val="1155CC"/>
            <w:u w:val="single"/>
          </w:rPr>
          <w:t>https://doi.org/10.1016/j.landurbplan.2016.10.005</w:t>
        </w:r>
      </w:hyperlink>
    </w:p>
    <w:p w14:paraId="4FBE4353" w14:textId="77777777" w:rsidR="005D5F7F" w:rsidRPr="00B05D39" w:rsidRDefault="005D5F7F" w:rsidP="005D5F7F">
      <w:pPr>
        <w:pStyle w:val="ListParagraph"/>
        <w:numPr>
          <w:ilvl w:val="0"/>
          <w:numId w:val="1"/>
        </w:numPr>
        <w:rPr>
          <w:rFonts w:ascii="Cambria" w:hAnsi="Cambria"/>
          <w:color w:val="000000" w:themeColor="text1"/>
          <w:u w:val="single"/>
        </w:rPr>
      </w:pPr>
      <w:r w:rsidRPr="00B05D39">
        <w:rPr>
          <w:rFonts w:ascii="Cambria" w:hAnsi="Cambria"/>
          <w:color w:val="000000" w:themeColor="text1"/>
        </w:rPr>
        <w:t xml:space="preserve">Miles, R., Coutts, C., Mohamadi, A. (2012). Neighborhood urban form, social environment, and depression. </w:t>
      </w:r>
      <w:r w:rsidRPr="00B05D39">
        <w:rPr>
          <w:rFonts w:ascii="Cambria" w:hAnsi="Cambria"/>
          <w:i/>
          <w:iCs/>
          <w:color w:val="000000" w:themeColor="text1"/>
        </w:rPr>
        <w:t>Journal of Urban Health</w:t>
      </w:r>
      <w:r w:rsidRPr="00B05D39">
        <w:rPr>
          <w:rFonts w:ascii="Cambria" w:hAnsi="Cambria"/>
          <w:color w:val="000000" w:themeColor="text1"/>
        </w:rPr>
        <w:t xml:space="preserve">. 89, 1-18. </w:t>
      </w:r>
      <w:hyperlink r:id="rId90" w:history="1">
        <w:r w:rsidRPr="00B05D39">
          <w:rPr>
            <w:rStyle w:val="Hyperlink"/>
            <w:rFonts w:ascii="Cambria" w:hAnsi="Cambria" w:cs="Segoe UI"/>
            <w:shd w:val="clear" w:color="auto" w:fill="FCFCFC"/>
          </w:rPr>
          <w:t>https://doi.org/10.1007/s11524-011-9621-2</w:t>
        </w:r>
      </w:hyperlink>
      <w:r w:rsidRPr="00B05D39">
        <w:rPr>
          <w:rFonts w:ascii="Cambria" w:hAnsi="Cambria" w:cs="Segoe UI"/>
          <w:color w:val="000000" w:themeColor="text1"/>
          <w:shd w:val="clear" w:color="auto" w:fill="FCFCFC"/>
        </w:rPr>
        <w:t xml:space="preserve"> </w:t>
      </w:r>
    </w:p>
    <w:p w14:paraId="5129B37F"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lastRenderedPageBreak/>
        <w:t xml:space="preserve">Millennium Ecosystem Assessment (MA). (2005). </w:t>
      </w:r>
      <w:r w:rsidRPr="00B05D39">
        <w:rPr>
          <w:rFonts w:ascii="Cambria" w:hAnsi="Cambria"/>
          <w:i/>
          <w:iCs/>
          <w:color w:val="000000" w:themeColor="text1"/>
        </w:rPr>
        <w:t>Ecosystem and human well-being: health synthesis</w:t>
      </w:r>
      <w:r w:rsidRPr="00B05D39">
        <w:rPr>
          <w:rFonts w:ascii="Cambria" w:hAnsi="Cambria"/>
          <w:color w:val="000000" w:themeColor="text1"/>
        </w:rPr>
        <w:t xml:space="preserve">. Washington D.C.: Island Press. Retrieved from: </w:t>
      </w:r>
      <w:hyperlink r:id="rId91" w:history="1">
        <w:r w:rsidRPr="00B05D39">
          <w:rPr>
            <w:rStyle w:val="Hyperlink"/>
            <w:rFonts w:ascii="Cambria" w:hAnsi="Cambria"/>
          </w:rPr>
          <w:t>https://www.millenniumassessment.org/documents/document.357.aspx.pdf</w:t>
        </w:r>
      </w:hyperlink>
      <w:r w:rsidRPr="00B05D39">
        <w:rPr>
          <w:rFonts w:ascii="Cambria" w:hAnsi="Cambria"/>
          <w:color w:val="000000" w:themeColor="text1"/>
        </w:rPr>
        <w:t xml:space="preserve"> </w:t>
      </w:r>
    </w:p>
    <w:p w14:paraId="47D80200"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Miller, S., Montalto, F. (2019). Stakeholder perceptions of ecosystem services provided by green infrastructure in New York City. </w:t>
      </w:r>
      <w:r w:rsidRPr="00B05D39">
        <w:rPr>
          <w:rFonts w:ascii="Cambria" w:hAnsi="Cambria"/>
          <w:i/>
          <w:iCs/>
          <w:color w:val="000000" w:themeColor="text1"/>
        </w:rPr>
        <w:t>Ecosystem Services</w:t>
      </w:r>
      <w:r w:rsidRPr="00B05D39">
        <w:rPr>
          <w:rFonts w:ascii="Cambria" w:hAnsi="Cambria"/>
          <w:color w:val="000000" w:themeColor="text1"/>
        </w:rPr>
        <w:t xml:space="preserve">. 37. </w:t>
      </w:r>
      <w:hyperlink r:id="rId92" w:history="1">
        <w:r w:rsidRPr="00B05D39">
          <w:rPr>
            <w:rStyle w:val="Hyperlink"/>
            <w:rFonts w:ascii="Cambria" w:hAnsi="Cambria"/>
          </w:rPr>
          <w:t>https://doi.org/10.1016/j.ecoser.2019.100928</w:t>
        </w:r>
      </w:hyperlink>
      <w:r w:rsidRPr="00B05D39">
        <w:rPr>
          <w:rFonts w:ascii="Cambria" w:hAnsi="Cambria"/>
          <w:color w:val="000000" w:themeColor="text1"/>
        </w:rPr>
        <w:t xml:space="preserve">  </w:t>
      </w:r>
    </w:p>
    <w:p w14:paraId="44D1A54C"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Mitchell, B., Franco, R. (2018). HOLC “redlining” maps: the persistent structure of segregation and economic inequality. Retrieved from: </w:t>
      </w:r>
      <w:hyperlink r:id="rId93" w:history="1">
        <w:r w:rsidRPr="00B05D39">
          <w:rPr>
            <w:rStyle w:val="Hyperlink"/>
            <w:rFonts w:ascii="Cambria" w:hAnsi="Cambria"/>
          </w:rPr>
          <w:t>https://ncrc.org/wp-content/uploads/dlm_uploads/2018/02/NCRC-Research-HOLC-10.pdf</w:t>
        </w:r>
      </w:hyperlink>
      <w:r w:rsidRPr="00B05D39">
        <w:rPr>
          <w:rFonts w:ascii="Cambria" w:hAnsi="Cambria"/>
          <w:color w:val="000000" w:themeColor="text1"/>
        </w:rPr>
        <w:t xml:space="preserve"> </w:t>
      </w:r>
    </w:p>
    <w:p w14:paraId="39BF32A5"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Mohai, P., Pellow, D., Timmons, J. (2009). Environmental Justice. </w:t>
      </w:r>
      <w:r w:rsidRPr="00B05D39">
        <w:rPr>
          <w:rFonts w:ascii="Cambria" w:hAnsi="Cambria" w:cs="Calibri"/>
          <w:i/>
          <w:iCs/>
        </w:rPr>
        <w:t>The Annual Review of Environment and Resources</w:t>
      </w:r>
      <w:r w:rsidRPr="00B05D39">
        <w:rPr>
          <w:rFonts w:ascii="Cambria" w:hAnsi="Cambria" w:cs="Calibri"/>
        </w:rPr>
        <w:t xml:space="preserve">, 34, 405-430. </w:t>
      </w:r>
      <w:hyperlink r:id="rId94" w:history="1">
        <w:r w:rsidRPr="00B05D39">
          <w:rPr>
            <w:rStyle w:val="Hyperlink"/>
            <w:rFonts w:ascii="Cambria" w:hAnsi="Cambria" w:cs="Calibri"/>
          </w:rPr>
          <w:t>https://doi.org/10.1146/annurev-environ-082508-094348</w:t>
        </w:r>
      </w:hyperlink>
      <w:r w:rsidRPr="00B05D39">
        <w:rPr>
          <w:rFonts w:ascii="Cambria" w:hAnsi="Cambria" w:cs="Calibri"/>
        </w:rPr>
        <w:t xml:space="preserve"> </w:t>
      </w:r>
    </w:p>
    <w:p w14:paraId="7706BC34" w14:textId="77777777" w:rsidR="005D5F7F" w:rsidRPr="00E74E06"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Mohajerani, A., Bakaric, J., Jeffrey-Bailey, T. (2017). The urban heat island effect, it’s causes, and mitigation, with reference to the thermal properties of asphalt concrete. </w:t>
      </w:r>
      <w:r>
        <w:rPr>
          <w:rFonts w:ascii="Cambria" w:hAnsi="Cambria"/>
          <w:i/>
          <w:iCs/>
          <w:color w:val="000000" w:themeColor="text1"/>
        </w:rPr>
        <w:t>Journal of Environmental Management</w:t>
      </w:r>
      <w:r>
        <w:rPr>
          <w:rFonts w:ascii="Cambria" w:hAnsi="Cambria"/>
          <w:color w:val="000000" w:themeColor="text1"/>
        </w:rPr>
        <w:t xml:space="preserve">. 197, 522-538. </w:t>
      </w:r>
      <w:hyperlink r:id="rId95" w:history="1">
        <w:r w:rsidRPr="001F17B5">
          <w:rPr>
            <w:rStyle w:val="Hyperlink"/>
            <w:rFonts w:ascii="Cambria" w:hAnsi="Cambria"/>
          </w:rPr>
          <w:t>https://doi.org/10.1016/j.jenvman.2017.03.095</w:t>
        </w:r>
      </w:hyperlink>
      <w:r>
        <w:rPr>
          <w:rFonts w:ascii="Cambria" w:hAnsi="Cambria"/>
          <w:color w:val="000000" w:themeColor="text1"/>
        </w:rPr>
        <w:t xml:space="preserve">  </w:t>
      </w:r>
    </w:p>
    <w:p w14:paraId="586F160B" w14:textId="77777777" w:rsidR="005D5F7F" w:rsidRPr="001E0939"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Monroe GIS Department. (2020). Parks within the city of Rochester. Retrieved from: </w:t>
      </w:r>
      <w:hyperlink r:id="rId96" w:history="1">
        <w:r w:rsidRPr="00654B78">
          <w:rPr>
            <w:rStyle w:val="Hyperlink"/>
            <w:rFonts w:ascii="Cambria" w:hAnsi="Cambria"/>
          </w:rPr>
          <w:t>https://www.monroecounty.gov/gis</w:t>
        </w:r>
      </w:hyperlink>
      <w:r>
        <w:rPr>
          <w:rFonts w:ascii="Cambria" w:hAnsi="Cambria"/>
          <w:color w:val="000000" w:themeColor="text1"/>
        </w:rPr>
        <w:t xml:space="preserve"> </w:t>
      </w:r>
    </w:p>
    <w:p w14:paraId="38AD8747" w14:textId="77777777" w:rsidR="005D5F7F" w:rsidRPr="004B7E65" w:rsidRDefault="005D5F7F" w:rsidP="005D5F7F">
      <w:pPr>
        <w:pStyle w:val="ListParagraph"/>
        <w:numPr>
          <w:ilvl w:val="0"/>
          <w:numId w:val="1"/>
        </w:numPr>
        <w:rPr>
          <w:rFonts w:ascii="Cambria" w:hAnsi="Cambria"/>
          <w:color w:val="1155CC"/>
          <w:u w:val="single"/>
        </w:rPr>
      </w:pPr>
      <w:r>
        <w:rPr>
          <w:rFonts w:ascii="Cambria" w:hAnsi="Cambria"/>
          <w:color w:val="000000" w:themeColor="text1"/>
        </w:rPr>
        <w:t xml:space="preserve">Murphy, J. (2018). Decade of legal segregation shape Rochester’s city schools today. </w:t>
      </w:r>
      <w:r>
        <w:rPr>
          <w:rFonts w:ascii="Cambria" w:hAnsi="Cambria"/>
          <w:i/>
          <w:iCs/>
          <w:color w:val="000000" w:themeColor="text1"/>
        </w:rPr>
        <w:t>Democrat &amp; Chronicle</w:t>
      </w:r>
      <w:r>
        <w:rPr>
          <w:rFonts w:ascii="Cambria" w:hAnsi="Cambria"/>
          <w:color w:val="000000" w:themeColor="text1"/>
        </w:rPr>
        <w:t xml:space="preserve">. Retrieved from: </w:t>
      </w:r>
      <w:hyperlink r:id="rId97" w:history="1">
        <w:r w:rsidRPr="007869CE">
          <w:rPr>
            <w:rStyle w:val="Hyperlink"/>
            <w:rFonts w:ascii="Cambria" w:hAnsi="Cambria"/>
          </w:rPr>
          <w:t>https://www.democratandchronicle.com/story/local/communities/time-to-educate/stories/2018/06/06/rochester-ny-rcsd-city-schools-history-racial-segregation/642138002/</w:t>
        </w:r>
      </w:hyperlink>
      <w:r>
        <w:rPr>
          <w:rFonts w:ascii="Cambria" w:hAnsi="Cambria"/>
          <w:color w:val="000000" w:themeColor="text1"/>
        </w:rPr>
        <w:t xml:space="preserve"> </w:t>
      </w:r>
    </w:p>
    <w:p w14:paraId="742B7C1E"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Namin, S., Xu, W., Zhou, Y., Beyer, K. (2020). The legacy of the HomeOwners’ Loan Corporation and the political ecology of urban trees and air pollution in the United States. </w:t>
      </w:r>
      <w:r w:rsidRPr="00B05D39">
        <w:rPr>
          <w:rFonts w:ascii="Cambria" w:hAnsi="Cambria"/>
          <w:i/>
        </w:rPr>
        <w:t>Social Science &amp; Medicine</w:t>
      </w:r>
      <w:r w:rsidRPr="00B05D39">
        <w:rPr>
          <w:rFonts w:ascii="Cambria" w:hAnsi="Cambria"/>
        </w:rPr>
        <w:t xml:space="preserve">. 246. </w:t>
      </w:r>
      <w:hyperlink r:id="rId98">
        <w:r w:rsidRPr="00B05D39">
          <w:rPr>
            <w:rFonts w:ascii="Cambria" w:hAnsi="Cambria"/>
            <w:color w:val="1155CC"/>
            <w:u w:val="single"/>
          </w:rPr>
          <w:t>https://doi.org/10.1016/j.socscimed.2019.112758</w:t>
        </w:r>
      </w:hyperlink>
    </w:p>
    <w:p w14:paraId="4345761F" w14:textId="77777777" w:rsidR="005D5F7F" w:rsidRPr="006A2DC2" w:rsidRDefault="005D5F7F" w:rsidP="005D5F7F">
      <w:pPr>
        <w:pStyle w:val="ListParagraph"/>
        <w:numPr>
          <w:ilvl w:val="0"/>
          <w:numId w:val="1"/>
        </w:numPr>
        <w:rPr>
          <w:rFonts w:ascii="Cambria" w:hAnsi="Cambria"/>
          <w:color w:val="1155CC"/>
          <w:u w:val="single"/>
        </w:rPr>
      </w:pPr>
      <w:r w:rsidRPr="00B05D39">
        <w:rPr>
          <w:rFonts w:ascii="Cambria" w:hAnsi="Cambria"/>
        </w:rPr>
        <w:t xml:space="preserve">Nebal, V., Brom, J. (2018). Impact of highway construction on land surface energy balance and local climate derived from LANDSAT satellite data. </w:t>
      </w:r>
      <w:r w:rsidRPr="00B05D39">
        <w:rPr>
          <w:rFonts w:ascii="Cambria" w:hAnsi="Cambria"/>
          <w:i/>
        </w:rPr>
        <w:t>Science of the Tool Environment</w:t>
      </w:r>
      <w:r w:rsidRPr="00B05D39">
        <w:rPr>
          <w:rFonts w:ascii="Cambria" w:hAnsi="Cambria"/>
        </w:rPr>
        <w:t xml:space="preserve">. 633, 658-667. </w:t>
      </w:r>
      <w:hyperlink r:id="rId99">
        <w:r w:rsidRPr="00B05D39">
          <w:rPr>
            <w:rFonts w:ascii="Cambria" w:hAnsi="Cambria"/>
            <w:color w:val="1155CC"/>
            <w:u w:val="single"/>
          </w:rPr>
          <w:t>https://doi.org/10.1016/j.scitotenv.2018.03.220</w:t>
        </w:r>
      </w:hyperlink>
    </w:p>
    <w:p w14:paraId="5AD15A67"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Nelson, R., Winling, L., Marciano, R., Connolly, N. (2019). “Mapping Inequality,” American Panorama, ed. Robert K. Nelson and Edward L. Ayers, accessed December 10, 2019. </w:t>
      </w:r>
      <w:hyperlink r:id="rId100" w:anchor="loc=12/43.189/-77.614&amp;city=rochester-ny">
        <w:r w:rsidRPr="00B05D39">
          <w:rPr>
            <w:rFonts w:ascii="Cambria" w:hAnsi="Cambria"/>
            <w:color w:val="1155CC"/>
            <w:u w:val="single"/>
          </w:rPr>
          <w:t>https://dsl.richmond.edu/panorama/redlining/#loc=12/43.189/-77.614&amp;city=rochester-ny</w:t>
        </w:r>
      </w:hyperlink>
      <w:r w:rsidRPr="00B05D39">
        <w:rPr>
          <w:rFonts w:ascii="Cambria" w:hAnsi="Cambria"/>
        </w:rPr>
        <w:t xml:space="preserve">. </w:t>
      </w:r>
    </w:p>
    <w:p w14:paraId="2C8604C6" w14:textId="77777777" w:rsidR="005D5F7F" w:rsidRDefault="005D5F7F" w:rsidP="005D5F7F">
      <w:pPr>
        <w:pStyle w:val="ListParagraph"/>
        <w:numPr>
          <w:ilvl w:val="0"/>
          <w:numId w:val="1"/>
        </w:numPr>
        <w:rPr>
          <w:rFonts w:ascii="Cambria" w:hAnsi="Cambria"/>
        </w:rPr>
      </w:pPr>
      <w:r>
        <w:rPr>
          <w:rFonts w:ascii="Cambria" w:hAnsi="Cambria"/>
        </w:rPr>
        <w:t xml:space="preserve">Nowak, D., Crane, D. (2002). Carbon storage and sequestration by urban trees in the USA. </w:t>
      </w:r>
      <w:r>
        <w:rPr>
          <w:rFonts w:ascii="Cambria" w:hAnsi="Cambria"/>
          <w:i/>
          <w:iCs/>
        </w:rPr>
        <w:t>Environmental Pollution</w:t>
      </w:r>
      <w:r>
        <w:rPr>
          <w:rFonts w:ascii="Cambria" w:hAnsi="Cambria"/>
        </w:rPr>
        <w:t xml:space="preserve">. 116(3), 381-389. </w:t>
      </w:r>
      <w:hyperlink r:id="rId101" w:history="1">
        <w:r w:rsidRPr="001F17B5">
          <w:rPr>
            <w:rStyle w:val="Hyperlink"/>
            <w:rFonts w:ascii="Cambria" w:hAnsi="Cambria"/>
          </w:rPr>
          <w:t>https://doi.org/10.1016/S0269-7491(01)00214-7</w:t>
        </w:r>
      </w:hyperlink>
      <w:r>
        <w:rPr>
          <w:rFonts w:ascii="Cambria" w:hAnsi="Cambria"/>
        </w:rPr>
        <w:t xml:space="preserve"> </w:t>
      </w:r>
    </w:p>
    <w:p w14:paraId="2C71F43A"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Nowak, D., Crane, D., Stevens, J. (2006). Air pollution removal by urban trees and shrubs in the United States. </w:t>
      </w:r>
      <w:r w:rsidRPr="00B05D39">
        <w:rPr>
          <w:rFonts w:ascii="Cambria" w:hAnsi="Cambria"/>
          <w:i/>
        </w:rPr>
        <w:t>Urban Forestry and Urban Greening</w:t>
      </w:r>
      <w:r w:rsidRPr="00B05D39">
        <w:rPr>
          <w:rFonts w:ascii="Cambria" w:hAnsi="Cambria"/>
        </w:rPr>
        <w:t>. 4(3-4), 115-123.</w:t>
      </w:r>
      <w:r>
        <w:rPr>
          <w:rFonts w:ascii="Cambria" w:hAnsi="Cambria"/>
        </w:rPr>
        <w:t xml:space="preserve"> </w:t>
      </w:r>
      <w:hyperlink r:id="rId102" w:history="1">
        <w:r w:rsidRPr="00AB44D8">
          <w:rPr>
            <w:rStyle w:val="Hyperlink"/>
            <w:rFonts w:ascii="Cambria" w:hAnsi="Cambria"/>
          </w:rPr>
          <w:t>https://doi.org/10.1016/j.ufug.2006.01.007</w:t>
        </w:r>
      </w:hyperlink>
      <w:r w:rsidRPr="00B05D39">
        <w:rPr>
          <w:rFonts w:ascii="Cambria" w:hAnsi="Cambria"/>
        </w:rPr>
        <w:t xml:space="preserve">. </w:t>
      </w:r>
    </w:p>
    <w:p w14:paraId="2AB315CF" w14:textId="77777777" w:rsidR="005D5F7F" w:rsidRPr="003F02ED" w:rsidRDefault="005D5F7F" w:rsidP="005D5F7F">
      <w:pPr>
        <w:pStyle w:val="ListParagraph"/>
        <w:numPr>
          <w:ilvl w:val="0"/>
          <w:numId w:val="1"/>
        </w:numPr>
        <w:rPr>
          <w:rFonts w:ascii="Cambria" w:hAnsi="Cambria"/>
          <w:color w:val="1155CC"/>
          <w:u w:val="single"/>
        </w:rPr>
      </w:pPr>
      <w:r w:rsidRPr="00B05D39">
        <w:rPr>
          <w:rFonts w:ascii="Cambria" w:hAnsi="Cambria"/>
        </w:rPr>
        <w:t xml:space="preserve">Nowak, D., Greenfield E., Hoehn, R., Lapoint, E. (2013). Carbon storage and sequestration by trees in urban community areas of the United States. </w:t>
      </w:r>
      <w:r w:rsidRPr="00B05D39">
        <w:rPr>
          <w:rFonts w:ascii="Cambria" w:hAnsi="Cambria"/>
          <w:i/>
        </w:rPr>
        <w:t xml:space="preserve">Journal of Environmental Pollution. </w:t>
      </w:r>
      <w:r w:rsidRPr="00B05D39">
        <w:rPr>
          <w:rFonts w:ascii="Cambria" w:hAnsi="Cambria"/>
        </w:rPr>
        <w:t>178, 229-236</w:t>
      </w:r>
      <w:r w:rsidRPr="00B05D39">
        <w:rPr>
          <w:rFonts w:ascii="Cambria" w:hAnsi="Cambria"/>
          <w:i/>
        </w:rPr>
        <w:t xml:space="preserve">. </w:t>
      </w:r>
      <w:hyperlink r:id="rId103">
        <w:r w:rsidRPr="00B05D39">
          <w:rPr>
            <w:rFonts w:ascii="Cambria" w:hAnsi="Cambria"/>
            <w:color w:val="1155CC"/>
            <w:u w:val="single"/>
          </w:rPr>
          <w:t>https://doi.org/10.1016/j.envpol.2013.03.019</w:t>
        </w:r>
      </w:hyperlink>
    </w:p>
    <w:p w14:paraId="64D8D571"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lastRenderedPageBreak/>
        <w:t xml:space="preserve">Nyelele, C., Kroll, C. (2020). The equity of urban forest ecosystem services and benefits in the Bronx, NY. </w:t>
      </w:r>
      <w:r w:rsidRPr="00B05D39">
        <w:rPr>
          <w:rFonts w:ascii="Cambria" w:hAnsi="Cambria"/>
          <w:i/>
        </w:rPr>
        <w:t>Urban Forestry &amp; Urban Greening</w:t>
      </w:r>
      <w:r w:rsidRPr="00B05D39">
        <w:rPr>
          <w:rFonts w:ascii="Cambria" w:hAnsi="Cambria"/>
        </w:rPr>
        <w:t xml:space="preserve">. 53. </w:t>
      </w:r>
      <w:hyperlink r:id="rId104">
        <w:r w:rsidRPr="00B05D39">
          <w:rPr>
            <w:rFonts w:ascii="Cambria" w:hAnsi="Cambria"/>
            <w:color w:val="1155CC"/>
            <w:u w:val="single"/>
          </w:rPr>
          <w:t>https://doi.org/10.1016/j.ufug.2020.126723</w:t>
        </w:r>
      </w:hyperlink>
    </w:p>
    <w:p w14:paraId="6D813A39"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Pais, J., South, S., Crowder, K. (2008). White flight revisited: a multiethnic perspective on neighborhood out-migration. </w:t>
      </w:r>
      <w:r w:rsidRPr="00B05D39">
        <w:rPr>
          <w:rFonts w:ascii="Cambria" w:hAnsi="Cambria"/>
          <w:i/>
          <w:iCs/>
          <w:color w:val="000000" w:themeColor="text1"/>
        </w:rPr>
        <w:t>Population Research and Policy Review</w:t>
      </w:r>
      <w:r w:rsidRPr="00B05D39">
        <w:rPr>
          <w:rFonts w:ascii="Cambria" w:hAnsi="Cambria"/>
          <w:color w:val="000000" w:themeColor="text1"/>
        </w:rPr>
        <w:t xml:space="preserve">. 28, 321-346. </w:t>
      </w:r>
      <w:hyperlink r:id="rId105" w:history="1">
        <w:r w:rsidRPr="00B05D39">
          <w:rPr>
            <w:rStyle w:val="Hyperlink"/>
            <w:rFonts w:ascii="Cambria" w:hAnsi="Cambria"/>
          </w:rPr>
          <w:t>https://doi.org/10.1007/s11113-008-9101-x</w:t>
        </w:r>
      </w:hyperlink>
      <w:r w:rsidRPr="00B05D39">
        <w:rPr>
          <w:rFonts w:ascii="Cambria" w:hAnsi="Cambria"/>
          <w:color w:val="000000" w:themeColor="text1"/>
        </w:rPr>
        <w:t xml:space="preserve"> </w:t>
      </w:r>
    </w:p>
    <w:p w14:paraId="11A3854F"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Patton, A., Perkins, J., Zamore, W., Levy, J., Brugge, D., Durant, J. (2014). Spatial and temporal differences in traffic-related air pollution in three urban neighborhoods near an interstate highway. </w:t>
      </w:r>
      <w:r w:rsidRPr="00B05D39">
        <w:rPr>
          <w:rFonts w:ascii="Cambria" w:hAnsi="Cambria"/>
          <w:i/>
        </w:rPr>
        <w:t>Atmospheric Environment</w:t>
      </w:r>
      <w:r w:rsidRPr="00B05D39">
        <w:rPr>
          <w:rFonts w:ascii="Cambria" w:hAnsi="Cambria"/>
        </w:rPr>
        <w:t xml:space="preserve">. 99, 309-321. </w:t>
      </w:r>
      <w:hyperlink r:id="rId106">
        <w:r w:rsidRPr="00B05D39">
          <w:rPr>
            <w:rFonts w:ascii="Cambria" w:hAnsi="Cambria"/>
            <w:color w:val="1155CC"/>
            <w:u w:val="single"/>
          </w:rPr>
          <w:t>https://doi.org/10.1016/j.atmosenv.2014.09.072</w:t>
        </w:r>
      </w:hyperlink>
    </w:p>
    <w:p w14:paraId="493DF10E"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Peters, K., Elands, B., Buijs, A. (2010). Social interactions in urban parks: stimulating social cohesion. </w:t>
      </w:r>
      <w:r w:rsidRPr="00B05D39">
        <w:rPr>
          <w:rFonts w:ascii="Cambria" w:hAnsi="Cambria"/>
          <w:i/>
          <w:iCs/>
          <w:color w:val="000000" w:themeColor="text1"/>
        </w:rPr>
        <w:t>Urban Forestry and Urban Greening</w:t>
      </w:r>
      <w:r w:rsidRPr="00B05D39">
        <w:rPr>
          <w:rFonts w:ascii="Cambria" w:hAnsi="Cambria"/>
          <w:color w:val="000000" w:themeColor="text1"/>
        </w:rPr>
        <w:t xml:space="preserve">. 9(2), 93-100. </w:t>
      </w:r>
      <w:hyperlink r:id="rId107" w:history="1">
        <w:r w:rsidRPr="00B05D39">
          <w:rPr>
            <w:rStyle w:val="Hyperlink"/>
            <w:rFonts w:ascii="Cambria" w:hAnsi="Cambria"/>
          </w:rPr>
          <w:t>https://doi.org/10.1016/j.ufug.2009.11.003</w:t>
        </w:r>
      </w:hyperlink>
      <w:r w:rsidRPr="00B05D39">
        <w:rPr>
          <w:rFonts w:ascii="Cambria" w:hAnsi="Cambria"/>
          <w:color w:val="000000" w:themeColor="text1"/>
        </w:rPr>
        <w:t xml:space="preserve"> </w:t>
      </w:r>
    </w:p>
    <w:p w14:paraId="68557941"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Petti, J. (2017). A geospatial analysis of physical and economic consequences of Rochester’s inner loop. </w:t>
      </w:r>
      <w:r w:rsidRPr="00B05D39">
        <w:rPr>
          <w:rFonts w:ascii="Cambria" w:hAnsi="Cambria"/>
          <w:i/>
          <w:iCs/>
          <w:color w:val="000000" w:themeColor="text1"/>
        </w:rPr>
        <w:t xml:space="preserve">Cornell Policy Review. </w:t>
      </w:r>
      <w:r w:rsidRPr="00B05D39">
        <w:rPr>
          <w:rFonts w:ascii="Cambria" w:hAnsi="Cambria"/>
          <w:color w:val="000000" w:themeColor="text1"/>
        </w:rPr>
        <w:t xml:space="preserve">Retrieved from: </w:t>
      </w:r>
      <w:hyperlink r:id="rId108" w:history="1">
        <w:r w:rsidRPr="00B05D39">
          <w:rPr>
            <w:rStyle w:val="Hyperlink"/>
            <w:rFonts w:ascii="Cambria" w:hAnsi="Cambria"/>
          </w:rPr>
          <w:t>http://www.cornellpolicyreview.com/a-geospatial-analysis-of-the-physical-and-economic-consequences-of-rochesters-inner-loop/</w:t>
        </w:r>
      </w:hyperlink>
      <w:r w:rsidRPr="00B05D39">
        <w:rPr>
          <w:rFonts w:ascii="Cambria" w:hAnsi="Cambria"/>
          <w:color w:val="000000" w:themeColor="text1"/>
        </w:rPr>
        <w:t xml:space="preserve"> </w:t>
      </w:r>
    </w:p>
    <w:p w14:paraId="3219A448"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Pham, T., Apparicio, P., Seguin, A., Landry S., Gagnon, M. (2012). Spatial distribution of vegetation in Montreal: an uneven distribution of environmental inequity? </w:t>
      </w:r>
      <w:r w:rsidRPr="00B05D39">
        <w:rPr>
          <w:rFonts w:ascii="Cambria" w:hAnsi="Cambria"/>
          <w:i/>
        </w:rPr>
        <w:t>Landscape and Urban Planning</w:t>
      </w:r>
      <w:r w:rsidRPr="00B05D39">
        <w:rPr>
          <w:rFonts w:ascii="Cambria" w:hAnsi="Cambria"/>
        </w:rPr>
        <w:t xml:space="preserve">. 107(3), 214-224. </w:t>
      </w:r>
      <w:hyperlink r:id="rId109">
        <w:r w:rsidRPr="00B05D39">
          <w:rPr>
            <w:rFonts w:ascii="Cambria" w:hAnsi="Cambria"/>
            <w:color w:val="1155CC"/>
            <w:u w:val="single"/>
          </w:rPr>
          <w:t>https://doi.org/10.1016/j.landurbplan.2012.06.002</w:t>
        </w:r>
      </w:hyperlink>
    </w:p>
    <w:p w14:paraId="1CC026B0"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Pickett, S., Grove, J. (2009). Urban ecosystems: what would Tansley do? </w:t>
      </w:r>
      <w:r w:rsidRPr="00B05D39">
        <w:rPr>
          <w:rFonts w:ascii="Cambria" w:hAnsi="Cambria"/>
          <w:i/>
          <w:iCs/>
        </w:rPr>
        <w:t>Urban Ecosystems</w:t>
      </w:r>
      <w:r w:rsidRPr="00B05D39">
        <w:rPr>
          <w:rFonts w:ascii="Cambria" w:hAnsi="Cambria"/>
        </w:rPr>
        <w:t xml:space="preserve">. 12, 1-8. </w:t>
      </w:r>
      <w:hyperlink r:id="rId110" w:history="1">
        <w:r w:rsidRPr="00B05D39">
          <w:rPr>
            <w:rStyle w:val="Hyperlink"/>
            <w:rFonts w:ascii="Cambria" w:hAnsi="Cambria"/>
          </w:rPr>
          <w:t>https://doi.org/10.1007/s11252-008-0079-2</w:t>
        </w:r>
      </w:hyperlink>
      <w:r w:rsidRPr="00B05D39">
        <w:rPr>
          <w:rFonts w:ascii="Cambria" w:hAnsi="Cambria"/>
        </w:rPr>
        <w:t xml:space="preserve"> </w:t>
      </w:r>
    </w:p>
    <w:p w14:paraId="12990130" w14:textId="77777777" w:rsidR="005D5F7F" w:rsidRDefault="005D5F7F" w:rsidP="005D5F7F">
      <w:pPr>
        <w:pStyle w:val="ListParagraph"/>
        <w:numPr>
          <w:ilvl w:val="0"/>
          <w:numId w:val="1"/>
        </w:numPr>
        <w:rPr>
          <w:rFonts w:ascii="Cambria" w:hAnsi="Cambria"/>
        </w:rPr>
      </w:pPr>
      <w:r w:rsidRPr="00B05D39">
        <w:rPr>
          <w:rFonts w:ascii="Cambria" w:hAnsi="Cambria"/>
        </w:rPr>
        <w:t xml:space="preserve">Pickett, S., Cadenasso, M., Rosi-Marshall, E., Belt, K., Groffman, P., Grove, J., Irwin, E., Kaushal, S., LaDeau, S., Nilon, C., Swan, C., Warren, P. (2017). Dynamic heterogeneity: a framework to promote ecological integration and hypothesis generation in urban systems. </w:t>
      </w:r>
      <w:r w:rsidRPr="00B05D39">
        <w:rPr>
          <w:rFonts w:ascii="Cambria" w:hAnsi="Cambria"/>
          <w:i/>
          <w:iCs/>
        </w:rPr>
        <w:t>Urban Ecosystems</w:t>
      </w:r>
      <w:r w:rsidRPr="00B05D39">
        <w:rPr>
          <w:rFonts w:ascii="Cambria" w:hAnsi="Cambria"/>
        </w:rPr>
        <w:t xml:space="preserve">. 20(1), 1-14. </w:t>
      </w:r>
      <w:hyperlink r:id="rId111" w:history="1">
        <w:r w:rsidRPr="00B05D39">
          <w:rPr>
            <w:rStyle w:val="Hyperlink"/>
            <w:rFonts w:ascii="Cambria" w:hAnsi="Cambria"/>
          </w:rPr>
          <w:t>https://doi.org/10.1007/s11252-016-0574-9</w:t>
        </w:r>
      </w:hyperlink>
      <w:r w:rsidRPr="00B05D39">
        <w:rPr>
          <w:rFonts w:ascii="Cambria" w:hAnsi="Cambria"/>
        </w:rPr>
        <w:t xml:space="preserve"> </w:t>
      </w:r>
    </w:p>
    <w:p w14:paraId="12CF3A59" w14:textId="77777777" w:rsidR="005D5F7F" w:rsidRPr="00FC27D2" w:rsidRDefault="005D5F7F" w:rsidP="005D5F7F">
      <w:pPr>
        <w:pStyle w:val="ListParagraph"/>
        <w:numPr>
          <w:ilvl w:val="0"/>
          <w:numId w:val="1"/>
        </w:numPr>
        <w:rPr>
          <w:rFonts w:ascii="Cambria" w:hAnsi="Cambria"/>
        </w:rPr>
      </w:pPr>
      <w:r w:rsidRPr="00FC27D2">
        <w:rPr>
          <w:rFonts w:ascii="Cambria" w:hAnsi="Cambria"/>
        </w:rPr>
        <w:t xml:space="preserve">Pottie-Sherman, Y. (2019). Rust and reinvention: im/migration and urban change in the American Rust Belt. </w:t>
      </w:r>
      <w:r w:rsidRPr="00FC27D2">
        <w:rPr>
          <w:rFonts w:ascii="Cambria" w:hAnsi="Cambria"/>
          <w:i/>
          <w:iCs/>
        </w:rPr>
        <w:t>Geography Compass</w:t>
      </w:r>
      <w:r w:rsidRPr="00FC27D2">
        <w:rPr>
          <w:rFonts w:ascii="Cambria" w:hAnsi="Cambria"/>
        </w:rPr>
        <w:t xml:space="preserve">. 14, 1-13. </w:t>
      </w:r>
      <w:hyperlink r:id="rId112" w:history="1">
        <w:r w:rsidRPr="001F17B5">
          <w:rPr>
            <w:rStyle w:val="Hyperlink"/>
            <w:rFonts w:ascii="Cambria" w:hAnsi="Cambria"/>
          </w:rPr>
          <w:t>https://doi.org/10.1111/gec3.12482</w:t>
        </w:r>
      </w:hyperlink>
      <w:r>
        <w:rPr>
          <w:rFonts w:ascii="Cambria" w:hAnsi="Cambria"/>
        </w:rPr>
        <w:t xml:space="preserve"> </w:t>
      </w:r>
      <w:r w:rsidRPr="00FC27D2">
        <w:rPr>
          <w:rFonts w:ascii="Lato" w:hAnsi="Lato"/>
          <w:sz w:val="14"/>
          <w:szCs w:val="14"/>
        </w:rPr>
        <w:t xml:space="preserve"> </w:t>
      </w:r>
    </w:p>
    <w:p w14:paraId="32FE2CBE"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Pouyat, R., Yesilonis, I., Nowak, D. (2006). Carbon storage by urban soils in the United States. </w:t>
      </w:r>
      <w:r w:rsidRPr="00B05D39">
        <w:rPr>
          <w:rFonts w:ascii="Cambria" w:hAnsi="Cambria"/>
          <w:i/>
        </w:rPr>
        <w:t>Journal of Environmental Quality</w:t>
      </w:r>
      <w:r w:rsidRPr="00B05D39">
        <w:rPr>
          <w:rFonts w:ascii="Cambria" w:hAnsi="Cambria"/>
        </w:rPr>
        <w:t>. 35, 1566-1575. doi:10.2134/jeq2005.0215</w:t>
      </w:r>
      <w:r>
        <w:rPr>
          <w:rFonts w:ascii="Cambria" w:hAnsi="Cambria"/>
        </w:rPr>
        <w:t xml:space="preserve"> </w:t>
      </w:r>
      <w:r w:rsidRPr="00B05D39">
        <w:rPr>
          <w:rFonts w:ascii="Cambria" w:hAnsi="Cambria"/>
        </w:rPr>
        <w:t xml:space="preserve">  </w:t>
      </w:r>
    </w:p>
    <w:p w14:paraId="5C0748A4" w14:textId="77777777" w:rsidR="005D5F7F" w:rsidRPr="003E0AB9" w:rsidRDefault="005D5F7F" w:rsidP="005D5F7F">
      <w:pPr>
        <w:pStyle w:val="ListParagraph"/>
        <w:numPr>
          <w:ilvl w:val="0"/>
          <w:numId w:val="1"/>
        </w:numPr>
        <w:rPr>
          <w:rFonts w:ascii="Cambria" w:hAnsi="Cambria"/>
        </w:rPr>
      </w:pPr>
      <w:r w:rsidRPr="003E0AB9">
        <w:rPr>
          <w:rFonts w:ascii="Cambria" w:hAnsi="Cambria"/>
        </w:rPr>
        <w:t xml:space="preserve">Rall, E., Bieling, C., Zytynska, S., Haase, D. (2017). Exploring city-wide patterns of cultural ecosystem service perceptions and use. </w:t>
      </w:r>
      <w:r w:rsidRPr="003E0AB9">
        <w:rPr>
          <w:rFonts w:ascii="Cambria" w:hAnsi="Cambria"/>
          <w:i/>
          <w:iCs/>
        </w:rPr>
        <w:t>Ecological Indicators</w:t>
      </w:r>
      <w:r w:rsidRPr="003E0AB9">
        <w:rPr>
          <w:rFonts w:ascii="Cambria" w:hAnsi="Cambria"/>
        </w:rPr>
        <w:t xml:space="preserve">. 77, 80-95. </w:t>
      </w:r>
      <w:hyperlink r:id="rId113" w:history="1">
        <w:r w:rsidRPr="003E0AB9">
          <w:rPr>
            <w:rStyle w:val="Hyperlink"/>
            <w:rFonts w:ascii="Cambria" w:hAnsi="Cambria"/>
          </w:rPr>
          <w:t>https://doi.org/10.1016/j.ecolind.2017.02.001</w:t>
        </w:r>
      </w:hyperlink>
      <w:r w:rsidRPr="003E0AB9">
        <w:rPr>
          <w:rFonts w:ascii="Cambria" w:hAnsi="Cambria"/>
        </w:rPr>
        <w:t xml:space="preserve"> </w:t>
      </w:r>
    </w:p>
    <w:p w14:paraId="1E7AB0B2"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Rigolon, A. (2016). A complex landscape of inequity in access to urban parks: A literature review. </w:t>
      </w:r>
      <w:r w:rsidRPr="00B05D39">
        <w:rPr>
          <w:rFonts w:ascii="Cambria" w:hAnsi="Cambria"/>
          <w:i/>
        </w:rPr>
        <w:t>Landscape and Urban Planning</w:t>
      </w:r>
      <w:r w:rsidRPr="00B05D39">
        <w:rPr>
          <w:rFonts w:ascii="Cambria" w:hAnsi="Cambria"/>
        </w:rPr>
        <w:t xml:space="preserve">. 153, 160-169. </w:t>
      </w:r>
      <w:r w:rsidRPr="00B05D39">
        <w:rPr>
          <w:rFonts w:ascii="Calibri" w:hAnsi="Calibri" w:cs="Calibri"/>
        </w:rPr>
        <w:t>﻿</w:t>
      </w:r>
      <w:hyperlink r:id="rId114">
        <w:r w:rsidRPr="00B05D39">
          <w:rPr>
            <w:rFonts w:ascii="Cambria" w:hAnsi="Cambria"/>
            <w:color w:val="1155CC"/>
            <w:u w:val="single"/>
          </w:rPr>
          <w:t>http://dx.doi.org/10.1016/j. landurbplan.2016.05.017</w:t>
        </w:r>
      </w:hyperlink>
      <w:r w:rsidRPr="00B05D39">
        <w:rPr>
          <w:rFonts w:ascii="Cambria" w:hAnsi="Cambria"/>
        </w:rPr>
        <w:t xml:space="preserve">. </w:t>
      </w:r>
    </w:p>
    <w:p w14:paraId="63D94C77" w14:textId="77777777" w:rsidR="005D5F7F" w:rsidRPr="00B05D39" w:rsidRDefault="005D5F7F" w:rsidP="005D5F7F">
      <w:pPr>
        <w:pStyle w:val="ListParagraph"/>
        <w:numPr>
          <w:ilvl w:val="0"/>
          <w:numId w:val="1"/>
        </w:numPr>
        <w:rPr>
          <w:rFonts w:ascii="Cambria" w:hAnsi="Cambria"/>
          <w:color w:val="2E74B5"/>
        </w:rPr>
      </w:pPr>
      <w:r w:rsidRPr="00B05D39">
        <w:rPr>
          <w:rFonts w:ascii="Cambria" w:hAnsi="Cambria"/>
        </w:rPr>
        <w:t xml:space="preserve">Rigolon, A., Browning, M., Jennings V. (2018). Inequalities in the quality of urban park systems: an environmental justice investigation of cities in the United States. </w:t>
      </w:r>
      <w:r w:rsidRPr="00B05D39">
        <w:rPr>
          <w:rFonts w:ascii="Cambria" w:hAnsi="Cambria"/>
          <w:i/>
        </w:rPr>
        <w:t>Landscape and Urban Planning.</w:t>
      </w:r>
      <w:r w:rsidRPr="00B05D39">
        <w:rPr>
          <w:rFonts w:ascii="Cambria" w:hAnsi="Cambria"/>
        </w:rPr>
        <w:t xml:space="preserve"> 178, 156-169</w:t>
      </w:r>
      <w:r w:rsidRPr="00B05D39">
        <w:rPr>
          <w:rFonts w:ascii="Cambria" w:hAnsi="Cambria"/>
          <w:color w:val="0563C1"/>
        </w:rPr>
        <w:t xml:space="preserve">. </w:t>
      </w:r>
      <w:hyperlink r:id="rId115">
        <w:r w:rsidRPr="00B05D39">
          <w:rPr>
            <w:rFonts w:ascii="Cambria" w:hAnsi="Cambria"/>
            <w:color w:val="1155CC"/>
            <w:u w:val="single"/>
          </w:rPr>
          <w:t>https://doi.org/10.1016/j.landurbplan.2018.05.026</w:t>
        </w:r>
      </w:hyperlink>
      <w:r w:rsidRPr="00B05D39">
        <w:rPr>
          <w:rFonts w:ascii="Cambria" w:hAnsi="Cambria"/>
          <w:color w:val="2E74B5"/>
        </w:rPr>
        <w:t xml:space="preserve">    </w:t>
      </w:r>
    </w:p>
    <w:p w14:paraId="22576D17" w14:textId="77777777" w:rsidR="005D5F7F" w:rsidRPr="004F617E" w:rsidRDefault="005D5F7F" w:rsidP="005D5F7F">
      <w:pPr>
        <w:pStyle w:val="ListParagraph"/>
        <w:numPr>
          <w:ilvl w:val="0"/>
          <w:numId w:val="1"/>
        </w:numPr>
        <w:rPr>
          <w:rFonts w:ascii="Cambria" w:hAnsi="Cambria"/>
          <w:color w:val="1155CC"/>
          <w:u w:val="single"/>
        </w:rPr>
      </w:pPr>
      <w:r w:rsidRPr="004F617E">
        <w:rPr>
          <w:rFonts w:ascii="Cambria" w:hAnsi="Cambria"/>
        </w:rPr>
        <w:t xml:space="preserve">Riley, C., Gardiner, M. (2020). Examining the distributional equity of urban tree canopy cover and ecosystem services across United States cities. </w:t>
      </w:r>
      <w:r w:rsidRPr="004F617E">
        <w:rPr>
          <w:rFonts w:ascii="Cambria" w:hAnsi="Cambria"/>
          <w:i/>
        </w:rPr>
        <w:t>PLoS One</w:t>
      </w:r>
      <w:r w:rsidRPr="004F617E">
        <w:rPr>
          <w:rFonts w:ascii="Cambria" w:hAnsi="Cambria"/>
        </w:rPr>
        <w:t xml:space="preserve">. 15(3). </w:t>
      </w:r>
      <w:hyperlink r:id="rId116">
        <w:r w:rsidRPr="004F617E">
          <w:rPr>
            <w:rFonts w:ascii="Cambria" w:hAnsi="Cambria"/>
            <w:color w:val="1155CC"/>
            <w:u w:val="single"/>
          </w:rPr>
          <w:t>https://doi.org/10.1371/journal.pone.0230398</w:t>
        </w:r>
      </w:hyperlink>
    </w:p>
    <w:p w14:paraId="0F00C880" w14:textId="77777777" w:rsidR="005D5F7F" w:rsidRPr="00E52F31" w:rsidRDefault="005D5F7F" w:rsidP="005D5F7F">
      <w:pPr>
        <w:pStyle w:val="ListParagraph"/>
        <w:numPr>
          <w:ilvl w:val="0"/>
          <w:numId w:val="1"/>
        </w:numPr>
        <w:rPr>
          <w:rFonts w:ascii="Cambria" w:hAnsi="Cambria"/>
          <w:color w:val="1155CC"/>
          <w:u w:val="single"/>
        </w:rPr>
      </w:pPr>
      <w:r w:rsidRPr="00E52F31">
        <w:rPr>
          <w:rFonts w:ascii="Cambria" w:hAnsi="Cambria"/>
          <w:color w:val="000000" w:themeColor="text1"/>
        </w:rPr>
        <w:lastRenderedPageBreak/>
        <w:t xml:space="preserve">Rodriguez, J., Beard Jr., T., Bennett, E., Cumming, G., Cork, S., </w:t>
      </w:r>
      <w:proofErr w:type="spellStart"/>
      <w:r w:rsidRPr="00E52F31">
        <w:rPr>
          <w:rFonts w:ascii="Cambria" w:hAnsi="Cambria"/>
          <w:color w:val="000000" w:themeColor="text1"/>
        </w:rPr>
        <w:t>Agard</w:t>
      </w:r>
      <w:proofErr w:type="spellEnd"/>
      <w:r w:rsidRPr="00E52F31">
        <w:rPr>
          <w:rFonts w:ascii="Cambria" w:hAnsi="Cambria"/>
          <w:color w:val="000000" w:themeColor="text1"/>
        </w:rPr>
        <w:t xml:space="preserve">, J., Dobson, A., Peterson, G. (2006). Trade-offs across space, time, and ecosystem services. </w:t>
      </w:r>
      <w:r w:rsidRPr="00E52F31">
        <w:rPr>
          <w:rFonts w:ascii="Cambria" w:hAnsi="Cambria"/>
          <w:i/>
          <w:iCs/>
          <w:color w:val="000000" w:themeColor="text1"/>
        </w:rPr>
        <w:t>Ecology and Society</w:t>
      </w:r>
      <w:r w:rsidRPr="00E52F31">
        <w:rPr>
          <w:rFonts w:ascii="Cambria" w:hAnsi="Cambria"/>
          <w:color w:val="000000" w:themeColor="text1"/>
        </w:rPr>
        <w:t xml:space="preserve">. 11(1). Retrieved from: </w:t>
      </w:r>
      <w:hyperlink r:id="rId117" w:history="1">
        <w:r w:rsidRPr="00E52F31">
          <w:rPr>
            <w:rStyle w:val="Hyperlink"/>
            <w:rFonts w:ascii="Cambria" w:hAnsi="Cambria"/>
          </w:rPr>
          <w:t>http://www.ecologyandsociety.org/vol11/iss1/art28/</w:t>
        </w:r>
      </w:hyperlink>
      <w:r w:rsidRPr="00E52F31">
        <w:rPr>
          <w:rFonts w:ascii="Cambria" w:hAnsi="Cambria"/>
        </w:rPr>
        <w:t xml:space="preserve"> </w:t>
      </w:r>
    </w:p>
    <w:p w14:paraId="2C18925F"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Roman, L., Conway, T., Eisenman, T., Koeser, A., Barona C., Locke, D., Jenerette, D., Ostberg, J., Vogt, J. (2020). Beyond “trees are good”: disservices, management costs, and tradeoffs in urban forestry. </w:t>
      </w:r>
      <w:r w:rsidRPr="00B05D39">
        <w:rPr>
          <w:rFonts w:ascii="Cambria" w:hAnsi="Cambria"/>
          <w:i/>
          <w:iCs/>
        </w:rPr>
        <w:t>Ambio</w:t>
      </w:r>
      <w:r w:rsidRPr="00B05D39">
        <w:rPr>
          <w:rFonts w:ascii="Cambria" w:hAnsi="Cambria"/>
        </w:rPr>
        <w:t xml:space="preserve">. 50, 615-630. </w:t>
      </w:r>
      <w:hyperlink r:id="rId118" w:history="1">
        <w:r w:rsidRPr="00B05D39">
          <w:rPr>
            <w:rStyle w:val="Hyperlink"/>
            <w:rFonts w:ascii="Cambria" w:hAnsi="Cambria" w:cs="Segoe UI"/>
            <w:shd w:val="clear" w:color="auto" w:fill="FCFCFC"/>
          </w:rPr>
          <w:t>https://doi.org/10.1007/s13280-020-01396-8</w:t>
        </w:r>
      </w:hyperlink>
      <w:r w:rsidRPr="00B05D39">
        <w:rPr>
          <w:rFonts w:ascii="Cambria" w:hAnsi="Cambria" w:cs="Segoe UI"/>
          <w:color w:val="333333"/>
          <w:shd w:val="clear" w:color="auto" w:fill="FCFCFC"/>
        </w:rPr>
        <w:t xml:space="preserve"> </w:t>
      </w:r>
    </w:p>
    <w:p w14:paraId="45B3FF02" w14:textId="77777777" w:rsidR="005D5F7F" w:rsidRDefault="005D5F7F" w:rsidP="005D5F7F">
      <w:pPr>
        <w:pStyle w:val="ListParagraph"/>
        <w:numPr>
          <w:ilvl w:val="0"/>
          <w:numId w:val="1"/>
        </w:numPr>
        <w:rPr>
          <w:rFonts w:ascii="Cambria" w:hAnsi="Cambria"/>
        </w:rPr>
      </w:pPr>
      <w:r>
        <w:rPr>
          <w:rFonts w:ascii="Cambria" w:hAnsi="Cambria"/>
        </w:rPr>
        <w:t xml:space="preserve">Rosenburg-Naparsteck, R. (1988). Frankfort: birthplace of Rochester’s industry. </w:t>
      </w:r>
      <w:r>
        <w:rPr>
          <w:rFonts w:ascii="Cambria" w:hAnsi="Cambria"/>
          <w:i/>
          <w:iCs/>
        </w:rPr>
        <w:t>Rochester History</w:t>
      </w:r>
      <w:r>
        <w:rPr>
          <w:rFonts w:ascii="Cambria" w:hAnsi="Cambria"/>
        </w:rPr>
        <w:t xml:space="preserve">. 50(3), 1-23. Retrieved from: </w:t>
      </w:r>
      <w:hyperlink r:id="rId119" w:history="1">
        <w:r w:rsidRPr="00DE3112">
          <w:rPr>
            <w:rStyle w:val="Hyperlink"/>
            <w:rFonts w:ascii="Cambria" w:hAnsi="Cambria"/>
          </w:rPr>
          <w:t>https://www.libraryweb.org/~rochhist/v50_1988/v50i3.pdf</w:t>
        </w:r>
      </w:hyperlink>
      <w:r>
        <w:rPr>
          <w:rFonts w:ascii="Cambria" w:hAnsi="Cambria"/>
        </w:rPr>
        <w:t xml:space="preserve"> </w:t>
      </w:r>
    </w:p>
    <w:p w14:paraId="254AC7EB"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Roy, S., Byrne, J., Pickering, C. (2012). A systematic quantitative review of urban tree benefits, costs, and assessment methods across cities in different climatic zones. </w:t>
      </w:r>
      <w:r w:rsidRPr="00B05D39">
        <w:rPr>
          <w:rFonts w:ascii="Cambria" w:hAnsi="Cambria"/>
          <w:i/>
          <w:iCs/>
        </w:rPr>
        <w:t>Urban Forestry and Urban Greening</w:t>
      </w:r>
      <w:r w:rsidRPr="00B05D39">
        <w:rPr>
          <w:rFonts w:ascii="Cambria" w:hAnsi="Cambria"/>
        </w:rPr>
        <w:t xml:space="preserve">. 11(4), 351-363. </w:t>
      </w:r>
      <w:hyperlink r:id="rId120" w:history="1">
        <w:r w:rsidRPr="00B05D39">
          <w:rPr>
            <w:rStyle w:val="Hyperlink"/>
            <w:rFonts w:ascii="Cambria" w:hAnsi="Cambria"/>
          </w:rPr>
          <w:t>https://doi.org/10.1016/j.ufug.2012.06.006</w:t>
        </w:r>
      </w:hyperlink>
      <w:r w:rsidRPr="00B05D39">
        <w:rPr>
          <w:rFonts w:ascii="Cambria" w:hAnsi="Cambria"/>
        </w:rPr>
        <w:t xml:space="preserve"> </w:t>
      </w:r>
    </w:p>
    <w:p w14:paraId="40E45431" w14:textId="77777777" w:rsidR="005D5F7F" w:rsidRDefault="005D5F7F" w:rsidP="005D5F7F">
      <w:pPr>
        <w:pStyle w:val="ListParagraph"/>
        <w:numPr>
          <w:ilvl w:val="0"/>
          <w:numId w:val="1"/>
        </w:numPr>
        <w:rPr>
          <w:rFonts w:ascii="Cambria" w:hAnsi="Cambria"/>
        </w:rPr>
      </w:pPr>
      <w:r>
        <w:rPr>
          <w:rFonts w:ascii="Cambria" w:hAnsi="Cambria"/>
        </w:rPr>
        <w:t xml:space="preserve">R Core Team. (2021). R: a language and environmental for statistical computing. </w:t>
      </w:r>
      <w:r>
        <w:rPr>
          <w:rFonts w:ascii="Cambria" w:hAnsi="Cambria"/>
          <w:i/>
          <w:iCs/>
        </w:rPr>
        <w:t xml:space="preserve">R Foundation for Statistical Computing, Vienna, Austria. </w:t>
      </w:r>
      <w:r>
        <w:rPr>
          <w:rFonts w:ascii="Cambria" w:hAnsi="Cambria"/>
        </w:rPr>
        <w:t xml:space="preserve">Retrieved from: </w:t>
      </w:r>
      <w:hyperlink r:id="rId121" w:history="1">
        <w:r w:rsidRPr="001F17B5">
          <w:rPr>
            <w:rStyle w:val="Hyperlink"/>
            <w:rFonts w:ascii="Cambria" w:hAnsi="Cambria"/>
          </w:rPr>
          <w:t>https://www.r-project.org</w:t>
        </w:r>
      </w:hyperlink>
      <w:r>
        <w:rPr>
          <w:rFonts w:ascii="Cambria" w:hAnsi="Cambria"/>
        </w:rPr>
        <w:t xml:space="preserve"> </w:t>
      </w:r>
    </w:p>
    <w:p w14:paraId="127EC321" w14:textId="77777777" w:rsidR="005D5F7F" w:rsidRDefault="005D5F7F" w:rsidP="005D5F7F">
      <w:pPr>
        <w:pStyle w:val="ListParagraph"/>
        <w:numPr>
          <w:ilvl w:val="0"/>
          <w:numId w:val="1"/>
        </w:numPr>
        <w:rPr>
          <w:rFonts w:ascii="Cambria" w:hAnsi="Cambria"/>
        </w:rPr>
      </w:pPr>
      <w:r>
        <w:rPr>
          <w:rFonts w:ascii="Cambria" w:hAnsi="Cambria"/>
        </w:rPr>
        <w:t xml:space="preserve">RStudio Team. (2020). RStudio: integrated development of R. </w:t>
      </w:r>
      <w:r>
        <w:rPr>
          <w:rFonts w:ascii="Cambria" w:hAnsi="Cambria"/>
          <w:i/>
          <w:iCs/>
        </w:rPr>
        <w:t xml:space="preserve">RStudio, PBC, Boston, MA. </w:t>
      </w:r>
      <w:r>
        <w:rPr>
          <w:rFonts w:ascii="Cambria" w:hAnsi="Cambria"/>
        </w:rPr>
        <w:t xml:space="preserve">Retrieved from: </w:t>
      </w:r>
      <w:hyperlink r:id="rId122" w:history="1">
        <w:r w:rsidRPr="001F17B5">
          <w:rPr>
            <w:rStyle w:val="Hyperlink"/>
            <w:rFonts w:ascii="Cambria" w:hAnsi="Cambria"/>
          </w:rPr>
          <w:t>http://www.rstudio.com/</w:t>
        </w:r>
      </w:hyperlink>
      <w:r>
        <w:rPr>
          <w:rFonts w:ascii="Cambria" w:hAnsi="Cambria"/>
        </w:rPr>
        <w:t xml:space="preserve"> </w:t>
      </w:r>
    </w:p>
    <w:p w14:paraId="24108EF9"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Rwanga, S., Ndambuki, J. (2017). Accuracy assessment of land use/land cover classification using remote sensing and GIS. </w:t>
      </w:r>
      <w:r w:rsidRPr="00B05D39">
        <w:rPr>
          <w:rFonts w:ascii="Cambria" w:hAnsi="Cambria"/>
          <w:i/>
        </w:rPr>
        <w:t>International Journal of Geoscience</w:t>
      </w:r>
      <w:r w:rsidRPr="00B05D39">
        <w:rPr>
          <w:rFonts w:ascii="Cambria" w:hAnsi="Cambria"/>
        </w:rPr>
        <w:t xml:space="preserve">. 8, 611-622. </w:t>
      </w:r>
      <w:hyperlink r:id="rId123">
        <w:r w:rsidRPr="00B05D39">
          <w:rPr>
            <w:rFonts w:ascii="Cambria" w:hAnsi="Cambria"/>
            <w:color w:val="1155CC"/>
            <w:u w:val="single"/>
          </w:rPr>
          <w:t>https://doi.org/10.4236/ijg.2017.84033</w:t>
        </w:r>
      </w:hyperlink>
      <w:r w:rsidRPr="00B05D39">
        <w:rPr>
          <w:rFonts w:ascii="Cambria" w:hAnsi="Cambria"/>
        </w:rPr>
        <w:t xml:space="preserve">   </w:t>
      </w:r>
    </w:p>
    <w:p w14:paraId="2A49B2F6" w14:textId="77777777" w:rsidR="005D5F7F" w:rsidRDefault="005D5F7F" w:rsidP="005D5F7F">
      <w:pPr>
        <w:pStyle w:val="ListParagraph"/>
        <w:numPr>
          <w:ilvl w:val="0"/>
          <w:numId w:val="1"/>
        </w:numPr>
        <w:rPr>
          <w:rFonts w:ascii="Cambria" w:hAnsi="Cambria"/>
        </w:rPr>
      </w:pPr>
      <w:r>
        <w:rPr>
          <w:rFonts w:ascii="Cambria" w:hAnsi="Cambria"/>
          <w:color w:val="000000" w:themeColor="text1"/>
        </w:rPr>
        <w:t xml:space="preserve">Sanon, S., Hein, T., </w:t>
      </w:r>
      <w:proofErr w:type="spellStart"/>
      <w:r>
        <w:rPr>
          <w:rFonts w:ascii="Cambria" w:hAnsi="Cambria"/>
          <w:color w:val="000000" w:themeColor="text1"/>
        </w:rPr>
        <w:t>Douven</w:t>
      </w:r>
      <w:proofErr w:type="spellEnd"/>
      <w:r>
        <w:rPr>
          <w:rFonts w:ascii="Cambria" w:hAnsi="Cambria"/>
          <w:color w:val="000000" w:themeColor="text1"/>
        </w:rPr>
        <w:t xml:space="preserve">, W., Winkler, P. (2012). Quantifying ecosystem service trade-offs: the case for an urban floodplain in Vienna, Austria. </w:t>
      </w:r>
      <w:r>
        <w:rPr>
          <w:rFonts w:ascii="Cambria" w:hAnsi="Cambria"/>
          <w:i/>
          <w:iCs/>
          <w:color w:val="000000" w:themeColor="text1"/>
        </w:rPr>
        <w:t>Journal of Environmental Management</w:t>
      </w:r>
      <w:r>
        <w:rPr>
          <w:rFonts w:ascii="Cambria" w:hAnsi="Cambria"/>
          <w:color w:val="000000" w:themeColor="text1"/>
        </w:rPr>
        <w:t xml:space="preserve">. 111, 159-172. </w:t>
      </w:r>
      <w:hyperlink r:id="rId124" w:history="1">
        <w:r w:rsidRPr="007869CE">
          <w:rPr>
            <w:rStyle w:val="Hyperlink"/>
            <w:rFonts w:ascii="Cambria" w:hAnsi="Cambria"/>
          </w:rPr>
          <w:t>https://doi.org/10.1016/j.jenvman.2012.06.008</w:t>
        </w:r>
      </w:hyperlink>
      <w:r>
        <w:rPr>
          <w:rFonts w:ascii="Cambria" w:hAnsi="Cambria"/>
          <w:color w:val="000000" w:themeColor="text1"/>
        </w:rPr>
        <w:t xml:space="preserve"> </w:t>
      </w:r>
    </w:p>
    <w:p w14:paraId="68634C4D" w14:textId="77777777" w:rsidR="005D5F7F" w:rsidRDefault="005D5F7F" w:rsidP="005D5F7F">
      <w:pPr>
        <w:pStyle w:val="ListParagraph"/>
        <w:numPr>
          <w:ilvl w:val="0"/>
          <w:numId w:val="1"/>
        </w:numPr>
        <w:rPr>
          <w:rFonts w:ascii="Cambria" w:hAnsi="Cambria"/>
        </w:rPr>
      </w:pPr>
      <w:r>
        <w:rPr>
          <w:rFonts w:ascii="Cambria" w:hAnsi="Cambria"/>
        </w:rPr>
        <w:t xml:space="preserve">Schnieder, K. (2016). Taking out a highway that hemmed Rochester in. </w:t>
      </w:r>
      <w:r>
        <w:rPr>
          <w:rFonts w:ascii="Cambria" w:hAnsi="Cambria"/>
          <w:i/>
          <w:iCs/>
        </w:rPr>
        <w:t>The New York Times</w:t>
      </w:r>
      <w:r>
        <w:rPr>
          <w:rFonts w:ascii="Cambria" w:hAnsi="Cambria"/>
        </w:rPr>
        <w:t xml:space="preserve">. Retrieved from: </w:t>
      </w:r>
      <w:hyperlink r:id="rId125" w:history="1">
        <w:r w:rsidRPr="001F17B5">
          <w:rPr>
            <w:rStyle w:val="Hyperlink"/>
            <w:rFonts w:ascii="Cambria" w:hAnsi="Cambria"/>
          </w:rPr>
          <w:t>https://www.nytimes.com/2016/11/02/business/old-highway-paves-road-for-recovery-in-rochester.html?_r=1</w:t>
        </w:r>
      </w:hyperlink>
      <w:r>
        <w:rPr>
          <w:rFonts w:ascii="Cambria" w:hAnsi="Cambria"/>
        </w:rPr>
        <w:t xml:space="preserve"> </w:t>
      </w:r>
    </w:p>
    <w:p w14:paraId="44730402"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Schwartz, K., Fragias, M., Boone, C., Zhou, W., McHale, M., Grove, J., O'Neil-Dunne, J, McFadden, J., Buckley, G., Childers, D., Ogden, L., Pincetl, S., Pataki, D., Whitmer, A., Cadenasso, M. (2015). Trees grow on money: Urban tree canopy cover and environmental justice. </w:t>
      </w:r>
      <w:r w:rsidRPr="00B05D39">
        <w:rPr>
          <w:rFonts w:ascii="Cambria" w:hAnsi="Cambria"/>
          <w:i/>
        </w:rPr>
        <w:t>PLoS One</w:t>
      </w:r>
      <w:r w:rsidRPr="00B05D39">
        <w:rPr>
          <w:rFonts w:ascii="Cambria" w:hAnsi="Cambria"/>
        </w:rPr>
        <w:t xml:space="preserve">. 10(4), 1-17. </w:t>
      </w:r>
      <w:hyperlink r:id="rId126">
        <w:r w:rsidRPr="00B05D39">
          <w:rPr>
            <w:rFonts w:ascii="Cambria" w:hAnsi="Cambria"/>
            <w:color w:val="1155CC"/>
            <w:u w:val="single"/>
          </w:rPr>
          <w:t>https://doi.org/10.1371/journal.pone.0122051</w:t>
        </w:r>
      </w:hyperlink>
      <w:r w:rsidRPr="00B05D39">
        <w:rPr>
          <w:rFonts w:ascii="Cambria" w:hAnsi="Cambria"/>
        </w:rPr>
        <w:t xml:space="preserve">. </w:t>
      </w:r>
    </w:p>
    <w:p w14:paraId="0B6D98FF" w14:textId="77777777" w:rsidR="005D5F7F" w:rsidRPr="00E52F31" w:rsidRDefault="005D5F7F" w:rsidP="005D5F7F">
      <w:pPr>
        <w:pStyle w:val="ListParagraph"/>
        <w:numPr>
          <w:ilvl w:val="0"/>
          <w:numId w:val="1"/>
        </w:numPr>
        <w:rPr>
          <w:rFonts w:ascii="Cambria" w:hAnsi="Cambria"/>
        </w:rPr>
      </w:pPr>
      <w:r w:rsidRPr="00B05D39">
        <w:rPr>
          <w:rFonts w:ascii="Cambria" w:hAnsi="Cambria"/>
        </w:rPr>
        <w:t xml:space="preserve">Shackleton, C., Ruwanza, S., Sinasson Sanni, G., Bennett, S., Lacy, P., Modipa, R., Mtati, N., Sachikonye, M., Thondhlana, G. (2016). Unpacking pandora’s box: understanding and categorizing ecosystem disservices for environmental management and human wellbeing. </w:t>
      </w:r>
      <w:r w:rsidRPr="00B05D39">
        <w:rPr>
          <w:rFonts w:ascii="Cambria" w:hAnsi="Cambria"/>
          <w:i/>
          <w:iCs/>
        </w:rPr>
        <w:t>Ecosystems</w:t>
      </w:r>
      <w:r w:rsidRPr="00B05D39">
        <w:rPr>
          <w:rFonts w:ascii="Cambria" w:hAnsi="Cambria"/>
        </w:rPr>
        <w:t>. 19(4), 587-600</w:t>
      </w:r>
      <w:r w:rsidRPr="00B05D39">
        <w:rPr>
          <w:rFonts w:ascii="Cambria" w:hAnsi="Cambria"/>
          <w:color w:val="000000" w:themeColor="text1"/>
        </w:rPr>
        <w:t xml:space="preserve">. </w:t>
      </w:r>
      <w:r w:rsidRPr="00B05D39">
        <w:rPr>
          <w:rFonts w:ascii="Cambria" w:hAnsi="Cambria"/>
          <w:color w:val="000000" w:themeColor="text1"/>
          <w:shd w:val="clear" w:color="auto" w:fill="FFFFFF"/>
        </w:rPr>
        <w:t>DOI:10.1007/s10021-015-9952-z</w:t>
      </w:r>
    </w:p>
    <w:p w14:paraId="06932111" w14:textId="77777777" w:rsidR="005D5F7F" w:rsidRPr="00B05D39" w:rsidRDefault="005D5F7F" w:rsidP="005D5F7F">
      <w:pPr>
        <w:pStyle w:val="ListParagraph"/>
        <w:numPr>
          <w:ilvl w:val="0"/>
          <w:numId w:val="1"/>
        </w:numPr>
        <w:rPr>
          <w:rFonts w:ascii="Cambria" w:hAnsi="Cambria"/>
        </w:rPr>
      </w:pPr>
      <w:r w:rsidRPr="00B05D39">
        <w:rPr>
          <w:rFonts w:ascii="Cambria" w:hAnsi="Cambria" w:cs="Calibri"/>
        </w:rPr>
        <w:t xml:space="preserve">Singh, G., Kogan, M., Van Dyck, P., Siahpush, M. </w:t>
      </w:r>
      <w:r>
        <w:rPr>
          <w:rFonts w:ascii="Cambria" w:hAnsi="Cambria" w:cs="Calibri"/>
        </w:rPr>
        <w:t>(</w:t>
      </w:r>
      <w:r w:rsidRPr="00B05D39">
        <w:rPr>
          <w:rFonts w:ascii="Cambria" w:hAnsi="Cambria" w:cs="Calibri"/>
        </w:rPr>
        <w:t>2008</w:t>
      </w:r>
      <w:r>
        <w:rPr>
          <w:rFonts w:ascii="Cambria" w:hAnsi="Cambria" w:cs="Calibri"/>
        </w:rPr>
        <w:t>)</w:t>
      </w:r>
      <w:r w:rsidRPr="00B05D39">
        <w:rPr>
          <w:rFonts w:ascii="Cambria" w:hAnsi="Cambria" w:cs="Calibri"/>
        </w:rPr>
        <w:t xml:space="preserve">. Racial/Ethnic, Socioeconomic, and Behavioral Determinants of Childhood and Adolescent Obesity in the United States: Analyzing Independent and Joint Associations. </w:t>
      </w:r>
      <w:r w:rsidRPr="00B05D39">
        <w:rPr>
          <w:rFonts w:ascii="Cambria" w:hAnsi="Cambria" w:cs="Calibri"/>
          <w:i/>
          <w:iCs/>
        </w:rPr>
        <w:t>Annals of Epidemiology</w:t>
      </w:r>
      <w:r w:rsidRPr="00B05D39">
        <w:rPr>
          <w:rFonts w:ascii="Cambria" w:hAnsi="Cambria" w:cs="Calibri"/>
        </w:rPr>
        <w:t xml:space="preserve">. 18(9), 682-695. </w:t>
      </w:r>
      <w:hyperlink r:id="rId127" w:history="1">
        <w:r w:rsidRPr="00B05D39">
          <w:rPr>
            <w:rStyle w:val="Hyperlink"/>
            <w:rFonts w:ascii="Cambria" w:hAnsi="Cambria" w:cs="Calibri"/>
          </w:rPr>
          <w:t>https://doi.org/10.1016/j.annepidem.2008.05.001</w:t>
        </w:r>
      </w:hyperlink>
      <w:r w:rsidRPr="00B05D39">
        <w:rPr>
          <w:rFonts w:ascii="Cambria" w:hAnsi="Cambria" w:cs="Calibri"/>
        </w:rPr>
        <w:t xml:space="preserve">  </w:t>
      </w:r>
    </w:p>
    <w:p w14:paraId="55684604"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Skelhorn, C., Lindley, S., Levermore, G. </w:t>
      </w:r>
      <w:r>
        <w:rPr>
          <w:rFonts w:ascii="Cambria" w:hAnsi="Cambria"/>
        </w:rPr>
        <w:t>(</w:t>
      </w:r>
      <w:r w:rsidRPr="00B05D39">
        <w:rPr>
          <w:rFonts w:ascii="Cambria" w:hAnsi="Cambria"/>
        </w:rPr>
        <w:t>2014</w:t>
      </w:r>
      <w:r>
        <w:rPr>
          <w:rFonts w:ascii="Cambria" w:hAnsi="Cambria"/>
        </w:rPr>
        <w:t>).</w:t>
      </w:r>
      <w:r w:rsidRPr="00B05D39">
        <w:rPr>
          <w:rFonts w:ascii="Cambria" w:hAnsi="Cambria"/>
        </w:rPr>
        <w:t xml:space="preserve"> </w:t>
      </w:r>
      <w:r w:rsidRPr="00B05D39">
        <w:rPr>
          <w:rFonts w:ascii="Calibri" w:hAnsi="Calibri" w:cs="Calibri"/>
        </w:rPr>
        <w:t>﻿</w:t>
      </w:r>
      <w:r w:rsidRPr="00B05D39">
        <w:rPr>
          <w:rFonts w:ascii="Cambria" w:hAnsi="Cambria"/>
        </w:rPr>
        <w:t xml:space="preserve">The impact of vegetation types on air and surface temperatures in a temperate city: a fine scale assessment in Manchester, </w:t>
      </w:r>
      <w:r w:rsidRPr="00B05D39">
        <w:rPr>
          <w:rFonts w:ascii="Cambria" w:hAnsi="Cambria"/>
        </w:rPr>
        <w:lastRenderedPageBreak/>
        <w:t xml:space="preserve">UK. </w:t>
      </w:r>
      <w:r w:rsidRPr="00B05D39">
        <w:rPr>
          <w:rFonts w:ascii="Cambria" w:hAnsi="Cambria"/>
          <w:i/>
        </w:rPr>
        <w:t>Landscape and Urban Planning</w:t>
      </w:r>
      <w:r w:rsidRPr="00B05D39">
        <w:rPr>
          <w:rFonts w:ascii="Cambria" w:hAnsi="Cambria"/>
        </w:rPr>
        <w:t xml:space="preserve">. 121, 129–140. </w:t>
      </w:r>
      <w:hyperlink r:id="rId128">
        <w:r w:rsidRPr="00B05D39">
          <w:rPr>
            <w:rFonts w:ascii="Cambria" w:hAnsi="Cambria"/>
            <w:color w:val="1155CC"/>
            <w:u w:val="single"/>
          </w:rPr>
          <w:t>https://doi.org/10.1016/j.landurbplan.2013.09.012</w:t>
        </w:r>
      </w:hyperlink>
    </w:p>
    <w:p w14:paraId="6DF9F295" w14:textId="3194FAD9" w:rsidR="00D545B2" w:rsidRPr="00D545B2" w:rsidRDefault="00D545B2" w:rsidP="00D545B2">
      <w:pPr>
        <w:pStyle w:val="ListParagraph"/>
        <w:numPr>
          <w:ilvl w:val="0"/>
          <w:numId w:val="1"/>
        </w:numPr>
        <w:rPr>
          <w:rFonts w:ascii="Cambria" w:hAnsi="Cambria"/>
          <w:color w:val="1155CC"/>
          <w:u w:val="single"/>
        </w:rPr>
      </w:pPr>
      <w:r>
        <w:rPr>
          <w:rFonts w:ascii="Cambria" w:hAnsi="Cambria"/>
          <w:color w:val="000000" w:themeColor="text1"/>
        </w:rPr>
        <w:t xml:space="preserve">Sleeter, B., </w:t>
      </w:r>
      <w:proofErr w:type="spellStart"/>
      <w:r>
        <w:rPr>
          <w:rFonts w:ascii="Cambria" w:hAnsi="Cambria"/>
          <w:color w:val="000000" w:themeColor="text1"/>
        </w:rPr>
        <w:t>Sohl</w:t>
      </w:r>
      <w:proofErr w:type="spellEnd"/>
      <w:r>
        <w:rPr>
          <w:rFonts w:ascii="Cambria" w:hAnsi="Cambria"/>
          <w:color w:val="000000" w:themeColor="text1"/>
        </w:rPr>
        <w:t xml:space="preserve">, T., Loveland, T., Auch, R., Acevedo, W., Drummond, M., </w:t>
      </w:r>
      <w:proofErr w:type="spellStart"/>
      <w:r>
        <w:rPr>
          <w:rFonts w:ascii="Cambria" w:hAnsi="Cambria"/>
          <w:color w:val="000000" w:themeColor="text1"/>
        </w:rPr>
        <w:t>Sayler</w:t>
      </w:r>
      <w:proofErr w:type="spellEnd"/>
      <w:r>
        <w:rPr>
          <w:rFonts w:ascii="Cambria" w:hAnsi="Cambria"/>
          <w:color w:val="000000" w:themeColor="text1"/>
        </w:rPr>
        <w:t xml:space="preserve">, K., Stehman, S. (2013). Land-cover change in the conterminous United States from 1973-2000. </w:t>
      </w:r>
      <w:r>
        <w:rPr>
          <w:rFonts w:ascii="Cambria" w:hAnsi="Cambria"/>
          <w:i/>
          <w:iCs/>
          <w:color w:val="000000" w:themeColor="text1"/>
        </w:rPr>
        <w:t>Global Environmental Change</w:t>
      </w:r>
      <w:r>
        <w:rPr>
          <w:rFonts w:ascii="Cambria" w:hAnsi="Cambria"/>
          <w:color w:val="000000" w:themeColor="text1"/>
        </w:rPr>
        <w:t xml:space="preserve">. 23(4), 733-748. </w:t>
      </w:r>
      <w:hyperlink r:id="rId129" w:history="1">
        <w:r w:rsidRPr="00017519">
          <w:rPr>
            <w:rStyle w:val="Hyperlink"/>
            <w:rFonts w:ascii="Cambria" w:hAnsi="Cambria"/>
          </w:rPr>
          <w:t>https://doi.org/10.1016/j.gloenvcha.2013.03.006</w:t>
        </w:r>
      </w:hyperlink>
      <w:r>
        <w:rPr>
          <w:rFonts w:ascii="Cambria" w:hAnsi="Cambria"/>
          <w:color w:val="000000" w:themeColor="text1"/>
        </w:rPr>
        <w:t xml:space="preserve"> </w:t>
      </w:r>
    </w:p>
    <w:p w14:paraId="70ABF5A3" w14:textId="3F1A45F1" w:rsidR="00D545B2" w:rsidRPr="00D545B2" w:rsidRDefault="005D5F7F" w:rsidP="00D545B2">
      <w:pPr>
        <w:pStyle w:val="ListParagraph"/>
        <w:numPr>
          <w:ilvl w:val="0"/>
          <w:numId w:val="1"/>
        </w:numPr>
        <w:rPr>
          <w:rFonts w:ascii="Cambria" w:hAnsi="Cambria"/>
          <w:color w:val="1155CC"/>
          <w:u w:val="single"/>
        </w:rPr>
      </w:pPr>
      <w:r>
        <w:rPr>
          <w:rFonts w:ascii="Cambria" w:hAnsi="Cambria"/>
          <w:color w:val="000000" w:themeColor="text1"/>
        </w:rPr>
        <w:t xml:space="preserve">Southwest Tribune. (2019). The first black settlers who shaped Rochester’s minority neighborhoods. Retrieved from: </w:t>
      </w:r>
      <w:hyperlink r:id="rId130" w:history="1">
        <w:r w:rsidRPr="00654B78">
          <w:rPr>
            <w:rStyle w:val="Hyperlink"/>
            <w:rFonts w:ascii="Cambria" w:hAnsi="Cambria"/>
          </w:rPr>
          <w:t>https://southwesttribune.com/news/first-black-settlers-shaped-rochesters-minority-neighborhoods/</w:t>
        </w:r>
      </w:hyperlink>
      <w:r>
        <w:rPr>
          <w:rFonts w:ascii="Cambria" w:hAnsi="Cambria"/>
          <w:color w:val="000000" w:themeColor="text1"/>
        </w:rPr>
        <w:t xml:space="preserve"> </w:t>
      </w:r>
    </w:p>
    <w:p w14:paraId="356E2B54" w14:textId="7BC2866D"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s="Calibri"/>
        </w:rPr>
        <w:t xml:space="preserve">Strom, S. </w:t>
      </w:r>
      <w:r>
        <w:rPr>
          <w:rFonts w:ascii="Cambria" w:hAnsi="Cambria" w:cs="Calibri"/>
        </w:rPr>
        <w:t>(</w:t>
      </w:r>
      <w:r w:rsidRPr="00B05D39">
        <w:rPr>
          <w:rFonts w:ascii="Cambria" w:hAnsi="Cambria" w:cs="Calibri"/>
        </w:rPr>
        <w:t>2007</w:t>
      </w:r>
      <w:r>
        <w:rPr>
          <w:rFonts w:ascii="Cambria" w:hAnsi="Cambria" w:cs="Calibri"/>
        </w:rPr>
        <w:t>)</w:t>
      </w:r>
      <w:r w:rsidRPr="00B05D39">
        <w:rPr>
          <w:rFonts w:ascii="Cambria" w:hAnsi="Cambria" w:cs="Calibri"/>
        </w:rPr>
        <w:t xml:space="preserve">. Urban and community forestry: Planning and design. In J. Kuser (Eds.) </w:t>
      </w:r>
      <w:r w:rsidRPr="00B05D39">
        <w:rPr>
          <w:rFonts w:ascii="Cambria" w:hAnsi="Cambria" w:cs="Calibri"/>
          <w:i/>
          <w:iCs/>
        </w:rPr>
        <w:t>Urban and community Forestry in the Northeast, 2</w:t>
      </w:r>
      <w:r w:rsidRPr="00B05D39">
        <w:rPr>
          <w:rFonts w:ascii="Cambria" w:hAnsi="Cambria" w:cs="Calibri"/>
          <w:i/>
          <w:iCs/>
          <w:position w:val="8"/>
        </w:rPr>
        <w:t xml:space="preserve">nd </w:t>
      </w:r>
      <w:r w:rsidRPr="00B05D39">
        <w:rPr>
          <w:rFonts w:ascii="Cambria" w:hAnsi="Cambria" w:cs="Calibri"/>
          <w:i/>
          <w:iCs/>
        </w:rPr>
        <w:t xml:space="preserve">ed. </w:t>
      </w:r>
      <w:r w:rsidRPr="00B05D39">
        <w:rPr>
          <w:rFonts w:ascii="Cambria" w:hAnsi="Cambria" w:cs="Calibri"/>
        </w:rPr>
        <w:t>(pp. 99-118). Retrieved from:</w:t>
      </w:r>
      <w:r w:rsidRPr="00B05D39">
        <w:rPr>
          <w:rFonts w:ascii="Cambria" w:hAnsi="Cambria"/>
          <w:color w:val="1155CC"/>
          <w:u w:val="single"/>
        </w:rPr>
        <w:t xml:space="preserve"> </w:t>
      </w:r>
      <w:hyperlink r:id="rId131" w:history="1">
        <w:r w:rsidRPr="00B05D39">
          <w:rPr>
            <w:rStyle w:val="Hyperlink"/>
            <w:rFonts w:ascii="Cambria" w:hAnsi="Cambria"/>
          </w:rPr>
          <w:t>https://link.springer.com/content/pdf/10.1007/978-1-4020-4289-8_6.pdf</w:t>
        </w:r>
      </w:hyperlink>
      <w:r w:rsidRPr="00B05D39">
        <w:rPr>
          <w:rFonts w:ascii="Cambria" w:hAnsi="Cambria"/>
          <w:color w:val="1155CC"/>
          <w:u w:val="single"/>
        </w:rPr>
        <w:t xml:space="preserve"> </w:t>
      </w:r>
    </w:p>
    <w:p w14:paraId="5E810C35"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Svara, J., Brunet, J. (2005). Social equity is a pillar of public administration. </w:t>
      </w:r>
      <w:r w:rsidRPr="00B05D39">
        <w:rPr>
          <w:rFonts w:ascii="Cambria" w:hAnsi="Cambria"/>
          <w:i/>
          <w:iCs/>
          <w:color w:val="000000" w:themeColor="text1"/>
        </w:rPr>
        <w:t>Journal of Public Affairs Education</w:t>
      </w:r>
      <w:r w:rsidRPr="00B05D39">
        <w:rPr>
          <w:rFonts w:ascii="Cambria" w:hAnsi="Cambria"/>
          <w:color w:val="000000" w:themeColor="text1"/>
        </w:rPr>
        <w:t xml:space="preserve">. 11(3), 253-258. </w:t>
      </w:r>
      <w:hyperlink r:id="rId132" w:history="1">
        <w:r w:rsidRPr="00B05D39">
          <w:rPr>
            <w:rStyle w:val="Hyperlink"/>
            <w:rFonts w:ascii="Cambria" w:hAnsi="Cambria"/>
          </w:rPr>
          <w:t>https://doi.org/10.1080/15236803.2005.12001398</w:t>
        </w:r>
      </w:hyperlink>
      <w:r w:rsidRPr="00B05D39">
        <w:rPr>
          <w:rFonts w:ascii="Cambria" w:hAnsi="Cambria"/>
          <w:color w:val="000000" w:themeColor="text1"/>
        </w:rPr>
        <w:t xml:space="preserve"> </w:t>
      </w:r>
    </w:p>
    <w:p w14:paraId="17BE2D2A"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Tallis, M., Taylor, G., Sinnett, D., Freer-Smith, P. (2011). Estimating the removal of atmospheric particulate pollution by the urban tree canopy of London, under current and future environments. </w:t>
      </w:r>
      <w:r w:rsidRPr="00B05D39">
        <w:rPr>
          <w:rFonts w:ascii="Cambria" w:hAnsi="Cambria"/>
          <w:i/>
          <w:iCs/>
          <w:color w:val="000000" w:themeColor="text1"/>
        </w:rPr>
        <w:t>Landscape and Urban Planning</w:t>
      </w:r>
      <w:r w:rsidRPr="00B05D39">
        <w:rPr>
          <w:rFonts w:ascii="Cambria" w:hAnsi="Cambria"/>
          <w:color w:val="000000" w:themeColor="text1"/>
        </w:rPr>
        <w:t xml:space="preserve">. 103(2), 129-138. </w:t>
      </w:r>
      <w:hyperlink r:id="rId133" w:history="1">
        <w:r w:rsidRPr="00B05D39">
          <w:rPr>
            <w:rStyle w:val="Hyperlink"/>
            <w:rFonts w:ascii="Cambria" w:hAnsi="Cambria"/>
          </w:rPr>
          <w:t>https://doi.org/10.1016/j.landurbplan.2011.07.003</w:t>
        </w:r>
      </w:hyperlink>
      <w:r w:rsidRPr="00B05D39">
        <w:rPr>
          <w:rFonts w:ascii="Cambria" w:hAnsi="Cambria"/>
          <w:color w:val="000000" w:themeColor="text1"/>
        </w:rPr>
        <w:t xml:space="preserve"> </w:t>
      </w:r>
    </w:p>
    <w:p w14:paraId="75D76AEA"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color w:val="000000" w:themeColor="text1"/>
        </w:rPr>
        <w:t xml:space="preserve">The economics of ecosystems and Biodiversity (TEEB). (2010). </w:t>
      </w:r>
      <w:r w:rsidRPr="00B05D39">
        <w:rPr>
          <w:rFonts w:ascii="Cambria" w:hAnsi="Cambria"/>
          <w:i/>
          <w:iCs/>
          <w:color w:val="000000" w:themeColor="text1"/>
        </w:rPr>
        <w:t>TEEB manual for cities: ecosystem services in urban management</w:t>
      </w:r>
      <w:r w:rsidRPr="00B05D39">
        <w:rPr>
          <w:rFonts w:ascii="Cambria" w:hAnsi="Cambria"/>
          <w:color w:val="000000" w:themeColor="text1"/>
        </w:rPr>
        <w:t xml:space="preserve">. Geneva. Retrieved from: </w:t>
      </w:r>
      <w:hyperlink r:id="rId134" w:history="1">
        <w:r w:rsidRPr="00B05D39">
          <w:rPr>
            <w:rStyle w:val="Hyperlink"/>
            <w:rFonts w:ascii="Cambria" w:hAnsi="Cambria"/>
          </w:rPr>
          <w:t>http://www.teebweb.org/wp-content/uploads/Study%20and%20Reports/Additional%20Reports/Manual%20for%20Cities/TEEB%20Manual%20for%20Cities_English.pdf</w:t>
        </w:r>
      </w:hyperlink>
      <w:r w:rsidRPr="00B05D39">
        <w:rPr>
          <w:rFonts w:ascii="Cambria" w:hAnsi="Cambria"/>
          <w:color w:val="000000" w:themeColor="text1"/>
        </w:rPr>
        <w:t xml:space="preserve"> </w:t>
      </w:r>
    </w:p>
    <w:p w14:paraId="642D77DC"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Templeton, D. (2019). </w:t>
      </w:r>
      <w:r w:rsidRPr="00B05D39">
        <w:rPr>
          <w:rFonts w:ascii="Calibri" w:hAnsi="Calibri" w:cs="Calibri"/>
        </w:rPr>
        <w:t>﻿</w:t>
      </w:r>
      <w:r w:rsidRPr="00B05D39">
        <w:rPr>
          <w:rFonts w:ascii="Cambria" w:hAnsi="Cambria"/>
        </w:rPr>
        <w:t xml:space="preserve">Re-imagining downtown Rochester creation of an equitable urban master plan (Master’s Thesis). Retrieved from: </w:t>
      </w:r>
      <w:hyperlink r:id="rId135">
        <w:r w:rsidRPr="00B05D39">
          <w:rPr>
            <w:rFonts w:ascii="Cambria" w:hAnsi="Cambria"/>
            <w:color w:val="1155CC"/>
            <w:u w:val="single"/>
          </w:rPr>
          <w:t>https://search.proquest.com/docview/2236102301?pq-origsite=gscholar&amp;fromopenview=true</w:t>
        </w:r>
      </w:hyperlink>
    </w:p>
    <w:p w14:paraId="3F5C1FA5" w14:textId="77777777" w:rsidR="005D5F7F" w:rsidRPr="00B05D39" w:rsidRDefault="005D5F7F" w:rsidP="005D5F7F">
      <w:pPr>
        <w:pStyle w:val="ListParagraph"/>
        <w:numPr>
          <w:ilvl w:val="0"/>
          <w:numId w:val="1"/>
        </w:numPr>
        <w:rPr>
          <w:rFonts w:ascii="Cambria" w:hAnsi="Cambria"/>
          <w:color w:val="1155CC"/>
          <w:highlight w:val="white"/>
          <w:u w:val="single"/>
        </w:rPr>
      </w:pPr>
      <w:r w:rsidRPr="00B05D39">
        <w:rPr>
          <w:rFonts w:ascii="Cambria" w:hAnsi="Cambria"/>
          <w:color w:val="000000" w:themeColor="text1"/>
          <w:highlight w:val="white"/>
        </w:rPr>
        <w:t xml:space="preserve">Ulrich, R. (1981). Natural versus urban scenes: some psychophysiological effects. </w:t>
      </w:r>
      <w:r w:rsidRPr="00B05D39">
        <w:rPr>
          <w:rFonts w:ascii="Cambria" w:hAnsi="Cambria"/>
          <w:i/>
          <w:iCs/>
          <w:color w:val="000000" w:themeColor="text1"/>
          <w:highlight w:val="white"/>
        </w:rPr>
        <w:t>Environment and Behavior</w:t>
      </w:r>
      <w:r w:rsidRPr="00B05D39">
        <w:rPr>
          <w:rFonts w:ascii="Cambria" w:hAnsi="Cambria"/>
          <w:color w:val="000000" w:themeColor="text1"/>
          <w:highlight w:val="white"/>
        </w:rPr>
        <w:t xml:space="preserve">. 13(5), 523-556. </w:t>
      </w:r>
      <w:hyperlink r:id="rId136" w:history="1">
        <w:r w:rsidRPr="00B05D39">
          <w:rPr>
            <w:rStyle w:val="Hyperlink"/>
            <w:rFonts w:ascii="Cambria" w:hAnsi="Cambria"/>
          </w:rPr>
          <w:t>https://doi.org/10.1177%2F0013916581135001</w:t>
        </w:r>
      </w:hyperlink>
      <w:r w:rsidRPr="00B05D39">
        <w:rPr>
          <w:rFonts w:ascii="Cambria" w:hAnsi="Cambria"/>
          <w:color w:val="000000" w:themeColor="text1"/>
        </w:rPr>
        <w:t xml:space="preserve"> </w:t>
      </w:r>
    </w:p>
    <w:p w14:paraId="4C36C5EC" w14:textId="77777777" w:rsidR="005D5F7F" w:rsidRPr="00B05D39" w:rsidRDefault="005D5F7F" w:rsidP="005D5F7F">
      <w:pPr>
        <w:pStyle w:val="ListParagraph"/>
        <w:numPr>
          <w:ilvl w:val="0"/>
          <w:numId w:val="1"/>
        </w:numPr>
        <w:rPr>
          <w:rFonts w:ascii="Cambria" w:hAnsi="Cambria"/>
          <w:color w:val="000000" w:themeColor="text1"/>
          <w:highlight w:val="white"/>
          <w:u w:val="single"/>
        </w:rPr>
      </w:pPr>
      <w:r w:rsidRPr="00B05D39">
        <w:rPr>
          <w:rFonts w:ascii="Cambria" w:hAnsi="Cambria" w:cs="Calibri"/>
          <w:color w:val="000000" w:themeColor="text1"/>
        </w:rPr>
        <w:t>United Church of Christ Commission for Racial Justice. (1987). T</w:t>
      </w:r>
      <w:r w:rsidRPr="00B05D39">
        <w:rPr>
          <w:rFonts w:ascii="Cambria" w:hAnsi="Cambria" w:cs="Calibri"/>
          <w:i/>
          <w:iCs/>
          <w:color w:val="000000" w:themeColor="text1"/>
        </w:rPr>
        <w:t>oxic waste and race in the United States: A national report on the racial and socio-economic characteristics of communities with hazardous waste sites</w:t>
      </w:r>
      <w:r w:rsidRPr="00B05D39">
        <w:rPr>
          <w:rFonts w:ascii="Cambria" w:hAnsi="Cambria" w:cs="Calibri"/>
          <w:color w:val="000000" w:themeColor="text1"/>
        </w:rPr>
        <w:t xml:space="preserve">. Public Data Access. New York: United Church of Christ Commission for Racial Justice. Retrieved from: </w:t>
      </w:r>
      <w:hyperlink r:id="rId137" w:history="1">
        <w:r w:rsidRPr="00B05D39">
          <w:rPr>
            <w:rStyle w:val="Hyperlink"/>
            <w:rFonts w:ascii="Cambria" w:hAnsi="Cambria" w:cs="Calibri"/>
          </w:rPr>
          <w:t>https://www.nrc.gov/docs/ML1310/ML13109A339.pdf</w:t>
        </w:r>
      </w:hyperlink>
      <w:r w:rsidRPr="00B05D39">
        <w:rPr>
          <w:rFonts w:ascii="Cambria" w:hAnsi="Cambria" w:cs="Calibri"/>
          <w:color w:val="000000" w:themeColor="text1"/>
        </w:rPr>
        <w:t xml:space="preserve"> </w:t>
      </w:r>
    </w:p>
    <w:p w14:paraId="6C53C56D" w14:textId="77777777" w:rsidR="005D5F7F" w:rsidRPr="00B05D39" w:rsidRDefault="005D5F7F" w:rsidP="005D5F7F">
      <w:pPr>
        <w:pStyle w:val="ListParagraph"/>
        <w:numPr>
          <w:ilvl w:val="0"/>
          <w:numId w:val="1"/>
        </w:numPr>
        <w:rPr>
          <w:rFonts w:ascii="Cambria" w:hAnsi="Cambria"/>
          <w:color w:val="1155CC"/>
          <w:highlight w:val="white"/>
          <w:u w:val="single"/>
        </w:rPr>
      </w:pPr>
      <w:r w:rsidRPr="00B05D39">
        <w:rPr>
          <w:rFonts w:ascii="Cambria" w:hAnsi="Cambria"/>
        </w:rPr>
        <w:t xml:space="preserve">US Census Bureau. (2018). </w:t>
      </w:r>
      <w:r w:rsidRPr="00B05D39">
        <w:rPr>
          <w:rFonts w:ascii="Cambria" w:hAnsi="Cambria"/>
          <w:highlight w:val="white"/>
        </w:rPr>
        <w:t>2013-2017 American Community Survey 5-Year Estimates. Retrieved from:</w:t>
      </w:r>
      <w:r>
        <w:rPr>
          <w:rFonts w:ascii="Cambria" w:hAnsi="Cambria"/>
        </w:rPr>
        <w:t xml:space="preserve"> </w:t>
      </w:r>
      <w:hyperlink r:id="rId138" w:history="1">
        <w:r w:rsidRPr="00AB44D8">
          <w:rPr>
            <w:rStyle w:val="Hyperlink"/>
            <w:rFonts w:ascii="Cambria" w:hAnsi="Cambria"/>
            <w:highlight w:val="white"/>
          </w:rPr>
          <w:t>https://factfinder.census.gov/faces/tableservices/jsf/pages/productview.xhtml?src=bkmk</w:t>
        </w:r>
      </w:hyperlink>
    </w:p>
    <w:p w14:paraId="64C9C681" w14:textId="77777777" w:rsidR="005D5F7F" w:rsidRPr="00113774" w:rsidRDefault="005D5F7F" w:rsidP="005D5F7F">
      <w:pPr>
        <w:pStyle w:val="ListParagraph"/>
        <w:numPr>
          <w:ilvl w:val="0"/>
          <w:numId w:val="1"/>
        </w:numPr>
        <w:rPr>
          <w:rFonts w:ascii="Cambria" w:hAnsi="Cambria"/>
          <w:color w:val="1155CC"/>
          <w:highlight w:val="white"/>
          <w:u w:val="single"/>
        </w:rPr>
      </w:pPr>
      <w:r w:rsidRPr="00113774">
        <w:rPr>
          <w:rFonts w:ascii="Cambria" w:hAnsi="Cambria" w:cstheme="minorHAnsi"/>
          <w:color w:val="000000" w:themeColor="text1"/>
        </w:rPr>
        <w:t xml:space="preserve">United Nations, Department of Economic and Social Affairs, Population Division (2019). </w:t>
      </w:r>
      <w:r w:rsidRPr="00113774">
        <w:rPr>
          <w:rFonts w:ascii="Cambria" w:hAnsi="Cambria" w:cstheme="minorHAnsi"/>
          <w:i/>
          <w:iCs/>
          <w:color w:val="000000" w:themeColor="text1"/>
        </w:rPr>
        <w:t>World Urbanization Prospects: The 2018 Revision (ST/ESA/SER.A/420)</w:t>
      </w:r>
      <w:r w:rsidRPr="00113774">
        <w:rPr>
          <w:rFonts w:ascii="Cambria" w:hAnsi="Cambria" w:cstheme="minorHAnsi"/>
          <w:color w:val="000000" w:themeColor="text1"/>
        </w:rPr>
        <w:t>. New York: United Nations.</w:t>
      </w:r>
    </w:p>
    <w:p w14:paraId="2BD12FE3" w14:textId="77777777" w:rsidR="005D5F7F" w:rsidRPr="00983F3C" w:rsidRDefault="005D5F7F" w:rsidP="005D5F7F">
      <w:pPr>
        <w:pStyle w:val="ListParagraph"/>
        <w:numPr>
          <w:ilvl w:val="0"/>
          <w:numId w:val="1"/>
        </w:numPr>
        <w:rPr>
          <w:rFonts w:ascii="Cambria" w:hAnsi="Cambria"/>
          <w:color w:val="1155CC"/>
          <w:highlight w:val="white"/>
          <w:u w:val="single"/>
        </w:rPr>
      </w:pPr>
      <w:r w:rsidRPr="00113774">
        <w:rPr>
          <w:rFonts w:ascii="Cambria" w:hAnsi="Cambria"/>
          <w:color w:val="000000" w:themeColor="text1"/>
          <w:highlight w:val="white"/>
        </w:rPr>
        <w:t>United States Environmental</w:t>
      </w:r>
      <w:r>
        <w:rPr>
          <w:rFonts w:ascii="Cambria" w:hAnsi="Cambria"/>
          <w:color w:val="000000" w:themeColor="text1"/>
          <w:highlight w:val="white"/>
        </w:rPr>
        <w:t xml:space="preserve"> Protection Agency. (1998). </w:t>
      </w:r>
      <w:r w:rsidRPr="00142B76">
        <w:rPr>
          <w:rFonts w:ascii="Calibri" w:hAnsi="Calibri" w:cs="Calibri"/>
          <w:color w:val="000000" w:themeColor="text1"/>
        </w:rPr>
        <w:t>﻿</w:t>
      </w:r>
      <w:r w:rsidRPr="00142B76">
        <w:rPr>
          <w:rFonts w:ascii="Cambria" w:hAnsi="Cambria"/>
          <w:i/>
          <w:iCs/>
          <w:color w:val="000000" w:themeColor="text1"/>
        </w:rPr>
        <w:t>Final guidance for incorporating environmental justice concerns in EPA’s NEPA compliance analyses</w:t>
      </w:r>
      <w:r>
        <w:rPr>
          <w:rFonts w:ascii="Cambria" w:hAnsi="Cambria"/>
          <w:color w:val="000000" w:themeColor="text1"/>
        </w:rPr>
        <w:t xml:space="preserve">. </w:t>
      </w:r>
      <w:r>
        <w:rPr>
          <w:rFonts w:ascii="Cambria" w:hAnsi="Cambria"/>
          <w:color w:val="000000" w:themeColor="text1"/>
        </w:rPr>
        <w:lastRenderedPageBreak/>
        <w:t xml:space="preserve">Retrieved from: </w:t>
      </w:r>
      <w:hyperlink r:id="rId139" w:history="1">
        <w:r w:rsidRPr="00AB44D8">
          <w:rPr>
            <w:rStyle w:val="Hyperlink"/>
            <w:rFonts w:ascii="Cambria" w:hAnsi="Cambria"/>
          </w:rPr>
          <w:t>https://www.epa.gov/sites/production/files/2015-02/documents/ej_guidance_nepa_epa0498.pdf</w:t>
        </w:r>
      </w:hyperlink>
      <w:r>
        <w:rPr>
          <w:rStyle w:val="Hyperlink"/>
          <w:rFonts w:ascii="Cambria" w:hAnsi="Cambria"/>
        </w:rPr>
        <w:t xml:space="preserve"> </w:t>
      </w:r>
      <w:r>
        <w:rPr>
          <w:rFonts w:ascii="Cambria" w:hAnsi="Cambria"/>
          <w:color w:val="000000" w:themeColor="text1"/>
        </w:rPr>
        <w:t xml:space="preserve">  </w:t>
      </w:r>
    </w:p>
    <w:p w14:paraId="1326D5F5" w14:textId="77777777" w:rsidR="005D5F7F" w:rsidRPr="00C34FE7" w:rsidRDefault="005D5F7F" w:rsidP="005D5F7F">
      <w:pPr>
        <w:pStyle w:val="ListParagraph"/>
        <w:numPr>
          <w:ilvl w:val="0"/>
          <w:numId w:val="1"/>
        </w:numPr>
        <w:rPr>
          <w:rFonts w:ascii="Cambria" w:hAnsi="Cambria"/>
          <w:color w:val="1155CC"/>
          <w:highlight w:val="white"/>
          <w:u w:val="single"/>
        </w:rPr>
      </w:pPr>
      <w:r>
        <w:rPr>
          <w:rFonts w:ascii="Cambria" w:hAnsi="Cambria"/>
          <w:color w:val="000000" w:themeColor="text1"/>
          <w:highlight w:val="white"/>
        </w:rPr>
        <w:t xml:space="preserve">United States Environmental Protection Agency. (2014). </w:t>
      </w:r>
      <w:r>
        <w:rPr>
          <w:rFonts w:ascii="Cambria" w:hAnsi="Cambria"/>
          <w:i/>
          <w:iCs/>
          <w:color w:val="000000" w:themeColor="text1"/>
          <w:highlight w:val="white"/>
        </w:rPr>
        <w:t>Case summary: bankruptcy settlements reached with the Eastman Kodak Company worth $49 million</w:t>
      </w:r>
      <w:r>
        <w:rPr>
          <w:rFonts w:ascii="Cambria" w:hAnsi="Cambria"/>
          <w:color w:val="000000" w:themeColor="text1"/>
          <w:highlight w:val="white"/>
        </w:rPr>
        <w:t xml:space="preserve">. Retrieved from: </w:t>
      </w:r>
      <w:hyperlink r:id="rId140" w:history="1">
        <w:r w:rsidRPr="001F17B5">
          <w:rPr>
            <w:rStyle w:val="Hyperlink"/>
            <w:rFonts w:ascii="Cambria" w:hAnsi="Cambria"/>
          </w:rPr>
          <w:t>https://www.epa.gov/enforcement/case-summary-bankruptcy-settlements-reached-eastman-kodak-company-worth-49-million</w:t>
        </w:r>
      </w:hyperlink>
      <w:r>
        <w:rPr>
          <w:rFonts w:ascii="Cambria" w:hAnsi="Cambria"/>
          <w:color w:val="000000" w:themeColor="text1"/>
        </w:rPr>
        <w:t xml:space="preserve"> </w:t>
      </w:r>
    </w:p>
    <w:p w14:paraId="66A01750" w14:textId="3E1DC07D" w:rsidR="00A21CC8" w:rsidRPr="00A21CC8" w:rsidRDefault="00A21CC8" w:rsidP="005D5F7F">
      <w:pPr>
        <w:pStyle w:val="ListParagraph"/>
        <w:numPr>
          <w:ilvl w:val="0"/>
          <w:numId w:val="1"/>
        </w:numPr>
        <w:rPr>
          <w:rFonts w:ascii="Cambria" w:hAnsi="Cambria"/>
          <w:color w:val="1155CC"/>
          <w:highlight w:val="white"/>
          <w:u w:val="single"/>
        </w:rPr>
      </w:pPr>
      <w:r>
        <w:rPr>
          <w:rFonts w:ascii="Cambria" w:hAnsi="Cambria"/>
          <w:color w:val="000000" w:themeColor="text1"/>
          <w:highlight w:val="white"/>
        </w:rPr>
        <w:t xml:space="preserve">United States Environmental Protection Agency. (2021). </w:t>
      </w:r>
      <w:r>
        <w:rPr>
          <w:rFonts w:ascii="Cambria" w:hAnsi="Cambria"/>
          <w:i/>
          <w:iCs/>
          <w:color w:val="000000" w:themeColor="text1"/>
          <w:highlight w:val="white"/>
        </w:rPr>
        <w:t>2019 TRI Factsheet: City – Rochester, NY</w:t>
      </w:r>
      <w:r>
        <w:rPr>
          <w:rFonts w:ascii="Cambria" w:hAnsi="Cambria"/>
          <w:color w:val="000000" w:themeColor="text1"/>
          <w:highlight w:val="white"/>
        </w:rPr>
        <w:t xml:space="preserve">. Retrieved from: </w:t>
      </w:r>
      <w:hyperlink r:id="rId141" w:history="1">
        <w:r w:rsidRPr="008316DA">
          <w:rPr>
            <w:rStyle w:val="Hyperlink"/>
            <w:rFonts w:ascii="Cambria" w:hAnsi="Cambria"/>
          </w:rPr>
          <w:t>https://enviro.epa.gov/triexplorer/tri_factsheet.factsheet?pzip=&amp;pstate=NY&amp;pcity=ROCHESTER&amp;pcounty=&amp;pyear=2019&amp;pParent=TRI&amp;pDataSet=TRIQ1</w:t>
        </w:r>
      </w:hyperlink>
      <w:r>
        <w:rPr>
          <w:rFonts w:ascii="Cambria" w:hAnsi="Cambria"/>
          <w:color w:val="000000" w:themeColor="text1"/>
        </w:rPr>
        <w:t xml:space="preserve"> </w:t>
      </w:r>
    </w:p>
    <w:p w14:paraId="53EADE36" w14:textId="0791275F" w:rsidR="005D5F7F" w:rsidRPr="00B05D39" w:rsidRDefault="005D5F7F" w:rsidP="005D5F7F">
      <w:pPr>
        <w:pStyle w:val="ListParagraph"/>
        <w:numPr>
          <w:ilvl w:val="0"/>
          <w:numId w:val="1"/>
        </w:numPr>
        <w:rPr>
          <w:rFonts w:ascii="Cambria" w:hAnsi="Cambria"/>
          <w:color w:val="1155CC"/>
          <w:highlight w:val="white"/>
          <w:u w:val="single"/>
        </w:rPr>
      </w:pPr>
      <w:r w:rsidRPr="00B05D39">
        <w:rPr>
          <w:rFonts w:ascii="Cambria" w:hAnsi="Cambria" w:cs="Calibri"/>
        </w:rPr>
        <w:t xml:space="preserve">Walker, G. (2009). Globalizing environmental justice: The geography and politics of frame contextualization and evolution. </w:t>
      </w:r>
      <w:r w:rsidRPr="00B05D39">
        <w:rPr>
          <w:rFonts w:ascii="Cambria" w:hAnsi="Cambria" w:cs="Calibri"/>
          <w:i/>
          <w:iCs/>
        </w:rPr>
        <w:t>Journal of Global Social Policy</w:t>
      </w:r>
      <w:r w:rsidRPr="00B05D39">
        <w:rPr>
          <w:rFonts w:ascii="Cambria" w:hAnsi="Cambria" w:cs="Calibri"/>
        </w:rPr>
        <w:t xml:space="preserve">, 9(3), 335-382. </w:t>
      </w:r>
      <w:r w:rsidRPr="00B05D39">
        <w:rPr>
          <w:rFonts w:ascii="Cambria" w:hAnsi="Cambria"/>
        </w:rPr>
        <w:t xml:space="preserve">DOI:10.1177/1468018109343640 </w:t>
      </w:r>
    </w:p>
    <w:p w14:paraId="745B9F05" w14:textId="77777777" w:rsidR="005D5F7F" w:rsidRPr="00B05D39" w:rsidRDefault="005D5F7F" w:rsidP="005D5F7F">
      <w:pPr>
        <w:pStyle w:val="ListParagraph"/>
        <w:numPr>
          <w:ilvl w:val="0"/>
          <w:numId w:val="1"/>
        </w:numPr>
        <w:rPr>
          <w:rFonts w:ascii="Cambria" w:hAnsi="Cambria"/>
          <w:color w:val="1155CC"/>
          <w:highlight w:val="white"/>
          <w:u w:val="single"/>
        </w:rPr>
      </w:pPr>
      <w:r w:rsidRPr="00B05D39">
        <w:rPr>
          <w:rFonts w:ascii="Cambria" w:hAnsi="Cambria" w:cs="Calibri"/>
        </w:rPr>
        <w:t xml:space="preserve">Watkins, S., Gerrish, E. (2018). The relationship between urban forests and race: A meta-analysis. </w:t>
      </w:r>
      <w:r w:rsidRPr="00B05D39">
        <w:rPr>
          <w:rFonts w:ascii="Cambria" w:hAnsi="Cambria" w:cs="Calibri"/>
          <w:i/>
          <w:iCs/>
        </w:rPr>
        <w:t>Journal of Environmental Management</w:t>
      </w:r>
      <w:r w:rsidRPr="00B05D39">
        <w:rPr>
          <w:rFonts w:ascii="Cambria" w:hAnsi="Cambria" w:cs="Calibri"/>
        </w:rPr>
        <w:t xml:space="preserve">, 209(1), 152-168. </w:t>
      </w:r>
      <w:hyperlink r:id="rId142" w:history="1">
        <w:r w:rsidRPr="00B05D39">
          <w:rPr>
            <w:rStyle w:val="Hyperlink"/>
            <w:rFonts w:ascii="Cambria" w:hAnsi="Cambria" w:cs="Calibri"/>
          </w:rPr>
          <w:t>https://doi.org/10.1016/j.jenvman.2017.12.021</w:t>
        </w:r>
      </w:hyperlink>
      <w:r w:rsidRPr="00B05D39">
        <w:rPr>
          <w:rFonts w:ascii="Cambria" w:hAnsi="Cambria" w:cs="Calibri"/>
        </w:rPr>
        <w:t xml:space="preserve">. </w:t>
      </w:r>
    </w:p>
    <w:p w14:paraId="79F0881C" w14:textId="77777777" w:rsidR="005D5F7F" w:rsidRPr="00B05D39" w:rsidRDefault="005D5F7F" w:rsidP="005D5F7F">
      <w:pPr>
        <w:pStyle w:val="ListParagraph"/>
        <w:numPr>
          <w:ilvl w:val="0"/>
          <w:numId w:val="1"/>
        </w:numPr>
        <w:rPr>
          <w:rFonts w:ascii="Cambria" w:hAnsi="Cambria"/>
          <w:color w:val="0563C1"/>
        </w:rPr>
      </w:pPr>
      <w:r w:rsidRPr="00B05D39">
        <w:rPr>
          <w:rFonts w:ascii="Cambria" w:hAnsi="Cambria"/>
        </w:rPr>
        <w:t xml:space="preserve">Weiss, C., Purciel, M., Bader, M., Quinn, J., Lovasi, G., Neckerman, K., Rundle, A. (2011). Reconsidering access: park facilities and neighborhood disamenities in New York </w:t>
      </w:r>
      <w:r w:rsidRPr="00B05D39">
        <w:rPr>
          <w:rFonts w:ascii="Cambria" w:hAnsi="Cambria"/>
          <w:i/>
        </w:rPr>
        <w:t xml:space="preserve">City. </w:t>
      </w:r>
      <w:r w:rsidRPr="00B05D39">
        <w:rPr>
          <w:rFonts w:ascii="Calibri" w:hAnsi="Calibri" w:cs="Calibri"/>
          <w:i/>
        </w:rPr>
        <w:t>﻿</w:t>
      </w:r>
      <w:r w:rsidRPr="00B05D39">
        <w:rPr>
          <w:rFonts w:ascii="Cambria" w:hAnsi="Cambria"/>
          <w:i/>
        </w:rPr>
        <w:t>Journal of Urban Health: Bulletin of the New York Academy of Medicine</w:t>
      </w:r>
      <w:r w:rsidRPr="00B05D39">
        <w:rPr>
          <w:rFonts w:ascii="Cambria" w:hAnsi="Cambria"/>
        </w:rPr>
        <w:t xml:space="preserve">. 8(2), 297-310. </w:t>
      </w:r>
      <w:r w:rsidRPr="00B05D39">
        <w:rPr>
          <w:rFonts w:ascii="Calibri" w:hAnsi="Calibri" w:cs="Calibri"/>
        </w:rPr>
        <w:t>﻿</w:t>
      </w:r>
      <w:r w:rsidRPr="00B05D39">
        <w:rPr>
          <w:rFonts w:ascii="Cambria" w:hAnsi="Cambria"/>
          <w:color w:val="0563C1"/>
        </w:rPr>
        <w:t xml:space="preserve">doi:10.1007/s11524-011-9551-z </w:t>
      </w:r>
    </w:p>
    <w:p w14:paraId="1BA29FC6" w14:textId="77777777" w:rsidR="005D5F7F" w:rsidRPr="00B05D39" w:rsidRDefault="005D5F7F" w:rsidP="005D5F7F">
      <w:pPr>
        <w:pStyle w:val="ListParagraph"/>
        <w:numPr>
          <w:ilvl w:val="0"/>
          <w:numId w:val="1"/>
        </w:numPr>
        <w:rPr>
          <w:rFonts w:ascii="Cambria" w:hAnsi="Cambria"/>
          <w:color w:val="0563C1"/>
        </w:rPr>
      </w:pPr>
      <w:r w:rsidRPr="00B05D39">
        <w:rPr>
          <w:rFonts w:ascii="Cambria" w:hAnsi="Cambria"/>
          <w:color w:val="000000" w:themeColor="text1"/>
        </w:rPr>
        <w:t xml:space="preserve">West, S., Shores, K., Mudd, L. (2012). Association of available parkland, physical activity, and overweight in America’s largest cities. </w:t>
      </w:r>
      <w:r w:rsidRPr="00B05D39">
        <w:rPr>
          <w:rFonts w:ascii="Cambria" w:hAnsi="Cambria"/>
          <w:i/>
          <w:iCs/>
          <w:color w:val="000000" w:themeColor="text1"/>
        </w:rPr>
        <w:t>Journal of Public Health Management and Practice</w:t>
      </w:r>
      <w:r w:rsidRPr="00B05D39">
        <w:rPr>
          <w:rFonts w:ascii="Cambria" w:hAnsi="Cambria"/>
          <w:color w:val="000000" w:themeColor="text1"/>
        </w:rPr>
        <w:t xml:space="preserve">. 18(5), 423-430. </w:t>
      </w:r>
      <w:r w:rsidRPr="00B05D39">
        <w:rPr>
          <w:rFonts w:ascii="Cambria" w:hAnsi="Cambria" w:cs="Arial"/>
          <w:color w:val="000000" w:themeColor="text1"/>
          <w:shd w:val="clear" w:color="auto" w:fill="FFFFFF"/>
        </w:rPr>
        <w:t xml:space="preserve">doi: 10.1097/PHH.0b013e318238ea27 </w:t>
      </w:r>
    </w:p>
    <w:p w14:paraId="48D81D4F" w14:textId="77777777" w:rsidR="005D5F7F" w:rsidRPr="00B05D39" w:rsidRDefault="005D5F7F" w:rsidP="005D5F7F">
      <w:pPr>
        <w:pStyle w:val="ListParagraph"/>
        <w:numPr>
          <w:ilvl w:val="0"/>
          <w:numId w:val="1"/>
        </w:numPr>
        <w:rPr>
          <w:rFonts w:ascii="Cambria" w:hAnsi="Cambria"/>
          <w:color w:val="0563C1"/>
        </w:rPr>
      </w:pPr>
      <w:r w:rsidRPr="00B05D39">
        <w:rPr>
          <w:rFonts w:ascii="Cambria" w:hAnsi="Cambria"/>
          <w:color w:val="000000" w:themeColor="text1"/>
        </w:rPr>
        <w:t xml:space="preserve">Wolch, J., Byrne, J., Newell, J. (2014). Urban green space, public health, and environmental justice: the challenge of making cities “just green enough”. </w:t>
      </w:r>
      <w:r w:rsidRPr="00B05D39">
        <w:rPr>
          <w:rFonts w:ascii="Cambria" w:hAnsi="Cambria"/>
          <w:i/>
          <w:iCs/>
          <w:color w:val="000000" w:themeColor="text1"/>
        </w:rPr>
        <w:t xml:space="preserve">Landscape and Urban Planning. </w:t>
      </w:r>
      <w:r w:rsidRPr="00B05D39">
        <w:rPr>
          <w:rFonts w:ascii="Cambria" w:hAnsi="Cambria"/>
          <w:color w:val="000000" w:themeColor="text1"/>
        </w:rPr>
        <w:t xml:space="preserve">125, 234-244. </w:t>
      </w:r>
      <w:hyperlink r:id="rId143" w:history="1">
        <w:r w:rsidRPr="00B05D39">
          <w:rPr>
            <w:rStyle w:val="Hyperlink"/>
            <w:rFonts w:ascii="Cambria" w:hAnsi="Cambria"/>
          </w:rPr>
          <w:t>https://doi.org/10.1016/j.landurbplan.2014.01.017</w:t>
        </w:r>
      </w:hyperlink>
      <w:r w:rsidRPr="00B05D39">
        <w:rPr>
          <w:rFonts w:ascii="Cambria" w:hAnsi="Cambria"/>
          <w:color w:val="000000" w:themeColor="text1"/>
        </w:rPr>
        <w:t xml:space="preserve"> </w:t>
      </w:r>
    </w:p>
    <w:p w14:paraId="25E94A40" w14:textId="77777777" w:rsidR="005D5F7F" w:rsidRPr="00B05D39" w:rsidRDefault="005D5F7F" w:rsidP="005D5F7F">
      <w:pPr>
        <w:pStyle w:val="ListParagraph"/>
        <w:numPr>
          <w:ilvl w:val="0"/>
          <w:numId w:val="1"/>
        </w:numPr>
        <w:rPr>
          <w:rFonts w:ascii="Cambria" w:hAnsi="Cambria"/>
          <w:color w:val="0563C1"/>
        </w:rPr>
      </w:pPr>
      <w:r w:rsidRPr="00B05D39">
        <w:rPr>
          <w:rFonts w:ascii="Cambria" w:hAnsi="Cambria"/>
        </w:rPr>
        <w:t xml:space="preserve">Wolch, J., Wilson, J., Fehrenbach, J. (2005). Parks and park funding in Los Angeles: An equity mapping analysis. </w:t>
      </w:r>
      <w:r w:rsidRPr="00B05D39">
        <w:rPr>
          <w:rFonts w:ascii="Cambria" w:hAnsi="Cambria"/>
          <w:i/>
        </w:rPr>
        <w:t>Journal of Urban Geography</w:t>
      </w:r>
      <w:r w:rsidRPr="00B05D39">
        <w:rPr>
          <w:rFonts w:ascii="Cambria" w:hAnsi="Cambria"/>
        </w:rPr>
        <w:t xml:space="preserve">. 26(1), 4-35. This report is available at: </w:t>
      </w:r>
      <w:r w:rsidRPr="00B05D39">
        <w:rPr>
          <w:rFonts w:ascii="Cambria" w:hAnsi="Cambria"/>
          <w:color w:val="0563C1"/>
        </w:rPr>
        <w:t>http://www.usc.edu/dept/geography/ESPE</w:t>
      </w:r>
    </w:p>
    <w:p w14:paraId="01D237F8" w14:textId="77777777" w:rsidR="005D5F7F" w:rsidRPr="00B05D39" w:rsidRDefault="005D5F7F" w:rsidP="005D5F7F">
      <w:pPr>
        <w:pStyle w:val="ListParagraph"/>
        <w:numPr>
          <w:ilvl w:val="0"/>
          <w:numId w:val="1"/>
        </w:numPr>
        <w:rPr>
          <w:rFonts w:ascii="Cambria" w:hAnsi="Cambria"/>
        </w:rPr>
      </w:pPr>
      <w:r w:rsidRPr="00B05D39">
        <w:rPr>
          <w:rFonts w:ascii="Cambria" w:hAnsi="Cambria"/>
        </w:rPr>
        <w:t xml:space="preserve">World Population Review. (2020). </w:t>
      </w:r>
      <w:r w:rsidRPr="00B05D39">
        <w:rPr>
          <w:rFonts w:ascii="Cambria" w:hAnsi="Cambria"/>
          <w:i/>
        </w:rPr>
        <w:t>Rochester, New York Population 2020</w:t>
      </w:r>
      <w:r w:rsidRPr="00B05D39">
        <w:rPr>
          <w:rFonts w:ascii="Cambria" w:hAnsi="Cambria"/>
        </w:rPr>
        <w:t xml:space="preserve">. Retrieved from: </w:t>
      </w:r>
      <w:hyperlink r:id="rId144">
        <w:r w:rsidRPr="00B05D39">
          <w:rPr>
            <w:rFonts w:ascii="Cambria" w:hAnsi="Cambria"/>
            <w:color w:val="1155CC"/>
            <w:u w:val="single"/>
          </w:rPr>
          <w:t>https://worldpopulationreview.com/us-cities/rochester-population/</w:t>
        </w:r>
      </w:hyperlink>
      <w:r w:rsidRPr="00B05D39">
        <w:rPr>
          <w:rFonts w:ascii="Cambria" w:hAnsi="Cambria"/>
        </w:rPr>
        <w:t xml:space="preserve">  </w:t>
      </w:r>
    </w:p>
    <w:p w14:paraId="78B9D9D7" w14:textId="77777777" w:rsidR="005D5F7F" w:rsidRDefault="005D5F7F" w:rsidP="005D5F7F">
      <w:pPr>
        <w:pStyle w:val="ListParagraph"/>
        <w:numPr>
          <w:ilvl w:val="0"/>
          <w:numId w:val="1"/>
        </w:numPr>
        <w:rPr>
          <w:rFonts w:ascii="Cambria" w:hAnsi="Cambria"/>
          <w:shd w:val="clear" w:color="auto" w:fill="FCFCFC"/>
        </w:rPr>
      </w:pPr>
      <w:r>
        <w:rPr>
          <w:rFonts w:ascii="Cambria" w:hAnsi="Cambria"/>
          <w:shd w:val="clear" w:color="auto" w:fill="FCFCFC"/>
        </w:rPr>
        <w:t>World Population Review. (2021</w:t>
      </w:r>
      <w:r>
        <w:rPr>
          <w:rFonts w:ascii="Cambria" w:hAnsi="Cambria"/>
          <w:shd w:val="clear" w:color="auto" w:fill="FCFCFC"/>
          <w:vertAlign w:val="subscript"/>
        </w:rPr>
        <w:t>a</w:t>
      </w:r>
      <w:r>
        <w:rPr>
          <w:rFonts w:ascii="Cambria" w:hAnsi="Cambria"/>
          <w:shd w:val="clear" w:color="auto" w:fill="FCFCFC"/>
        </w:rPr>
        <w:t xml:space="preserve">). </w:t>
      </w:r>
      <w:r>
        <w:rPr>
          <w:rFonts w:ascii="Cambria" w:hAnsi="Cambria"/>
          <w:i/>
          <w:iCs/>
          <w:shd w:val="clear" w:color="auto" w:fill="FCFCFC"/>
        </w:rPr>
        <w:t>Syracuse</w:t>
      </w:r>
      <w:r w:rsidRPr="006F2603">
        <w:rPr>
          <w:rFonts w:ascii="Cambria" w:hAnsi="Cambria"/>
          <w:i/>
          <w:iCs/>
          <w:shd w:val="clear" w:color="auto" w:fill="FCFCFC"/>
        </w:rPr>
        <w:t>, New York Population 2021</w:t>
      </w:r>
      <w:r>
        <w:rPr>
          <w:rFonts w:ascii="Cambria" w:hAnsi="Cambria"/>
          <w:shd w:val="clear" w:color="auto" w:fill="FCFCFC"/>
        </w:rPr>
        <w:t xml:space="preserve">. Retrieved from: </w:t>
      </w:r>
      <w:hyperlink r:id="rId145" w:history="1">
        <w:r w:rsidRPr="001F17B5">
          <w:rPr>
            <w:rStyle w:val="Hyperlink"/>
            <w:rFonts w:ascii="Cambria" w:hAnsi="Cambria"/>
            <w:shd w:val="clear" w:color="auto" w:fill="FCFCFC"/>
          </w:rPr>
          <w:t>https://worldpopulationreview.com/us-cities/syracuse-ny-population</w:t>
        </w:r>
      </w:hyperlink>
      <w:r>
        <w:rPr>
          <w:rFonts w:ascii="Cambria" w:hAnsi="Cambria"/>
          <w:shd w:val="clear" w:color="auto" w:fill="FCFCFC"/>
        </w:rPr>
        <w:t xml:space="preserve"> </w:t>
      </w:r>
    </w:p>
    <w:p w14:paraId="0CE70885" w14:textId="77777777" w:rsidR="005D5F7F" w:rsidRDefault="005D5F7F" w:rsidP="005D5F7F">
      <w:pPr>
        <w:pStyle w:val="ListParagraph"/>
        <w:numPr>
          <w:ilvl w:val="0"/>
          <w:numId w:val="1"/>
        </w:numPr>
        <w:rPr>
          <w:rFonts w:ascii="Cambria" w:hAnsi="Cambria"/>
          <w:shd w:val="clear" w:color="auto" w:fill="FCFCFC"/>
        </w:rPr>
      </w:pPr>
      <w:r>
        <w:rPr>
          <w:rFonts w:ascii="Cambria" w:hAnsi="Cambria"/>
          <w:shd w:val="clear" w:color="auto" w:fill="FCFCFC"/>
        </w:rPr>
        <w:t>World Population Review (2021</w:t>
      </w:r>
      <w:r>
        <w:rPr>
          <w:rFonts w:ascii="Cambria" w:hAnsi="Cambria"/>
          <w:shd w:val="clear" w:color="auto" w:fill="FCFCFC"/>
          <w:vertAlign w:val="subscript"/>
        </w:rPr>
        <w:t>b</w:t>
      </w:r>
      <w:r>
        <w:rPr>
          <w:rFonts w:ascii="Cambria" w:hAnsi="Cambria"/>
          <w:shd w:val="clear" w:color="auto" w:fill="FCFCFC"/>
        </w:rPr>
        <w:t xml:space="preserve">). </w:t>
      </w:r>
      <w:r w:rsidRPr="006F2603">
        <w:rPr>
          <w:rFonts w:ascii="Cambria" w:hAnsi="Cambria"/>
          <w:i/>
          <w:iCs/>
          <w:shd w:val="clear" w:color="auto" w:fill="FCFCFC"/>
        </w:rPr>
        <w:t>Buffalo</w:t>
      </w:r>
      <w:r>
        <w:rPr>
          <w:rFonts w:ascii="Cambria" w:hAnsi="Cambria"/>
          <w:i/>
          <w:iCs/>
          <w:shd w:val="clear" w:color="auto" w:fill="FCFCFC"/>
        </w:rPr>
        <w:t>, New York Population 2021</w:t>
      </w:r>
      <w:r>
        <w:rPr>
          <w:rFonts w:ascii="Cambria" w:hAnsi="Cambria"/>
          <w:shd w:val="clear" w:color="auto" w:fill="FCFCFC"/>
        </w:rPr>
        <w:t xml:space="preserve">. Retrieved from: </w:t>
      </w:r>
      <w:hyperlink r:id="rId146" w:history="1">
        <w:r w:rsidRPr="001F17B5">
          <w:rPr>
            <w:rStyle w:val="Hyperlink"/>
            <w:rFonts w:ascii="Cambria" w:hAnsi="Cambria"/>
            <w:shd w:val="clear" w:color="auto" w:fill="FCFCFC"/>
          </w:rPr>
          <w:t>https://worldpopulationreview.com/us-cities/buffalo-ny-population</w:t>
        </w:r>
      </w:hyperlink>
      <w:r>
        <w:rPr>
          <w:rFonts w:ascii="Cambria" w:hAnsi="Cambria"/>
          <w:shd w:val="clear" w:color="auto" w:fill="FCFCFC"/>
        </w:rPr>
        <w:t xml:space="preserve"> </w:t>
      </w:r>
    </w:p>
    <w:p w14:paraId="163E80A7" w14:textId="77777777" w:rsidR="005D5F7F" w:rsidRPr="00B05D39" w:rsidRDefault="005D5F7F" w:rsidP="005D5F7F">
      <w:pPr>
        <w:pStyle w:val="ListParagraph"/>
        <w:numPr>
          <w:ilvl w:val="0"/>
          <w:numId w:val="1"/>
        </w:numPr>
        <w:rPr>
          <w:rFonts w:ascii="Cambria" w:hAnsi="Cambria"/>
          <w:shd w:val="clear" w:color="auto" w:fill="FCFCFC"/>
        </w:rPr>
      </w:pPr>
      <w:r w:rsidRPr="00B05D39">
        <w:rPr>
          <w:rFonts w:ascii="Cambria" w:hAnsi="Cambria"/>
          <w:shd w:val="clear" w:color="auto" w:fill="FCFCFC"/>
        </w:rPr>
        <w:t xml:space="preserve">Wu, C., </w:t>
      </w:r>
      <w:proofErr w:type="spellStart"/>
      <w:r w:rsidRPr="00B05D39">
        <w:rPr>
          <w:rFonts w:ascii="Cambria" w:hAnsi="Cambria"/>
          <w:shd w:val="clear" w:color="auto" w:fill="FCFCFC"/>
        </w:rPr>
        <w:t>McNeeley</w:t>
      </w:r>
      <w:proofErr w:type="spellEnd"/>
      <w:r w:rsidRPr="00B05D39">
        <w:rPr>
          <w:rFonts w:ascii="Cambria" w:hAnsi="Cambria"/>
          <w:shd w:val="clear" w:color="auto" w:fill="FCFCFC"/>
        </w:rPr>
        <w:t xml:space="preserve">, E., Cedeno-Laurent, J., Pan, W., </w:t>
      </w:r>
      <w:proofErr w:type="spellStart"/>
      <w:r w:rsidRPr="00B05D39">
        <w:rPr>
          <w:rFonts w:ascii="Cambria" w:hAnsi="Cambria"/>
          <w:shd w:val="clear" w:color="auto" w:fill="FCFCFC"/>
        </w:rPr>
        <w:t>Adamkiewicz</w:t>
      </w:r>
      <w:proofErr w:type="spellEnd"/>
      <w:r w:rsidRPr="00B05D39">
        <w:rPr>
          <w:rFonts w:ascii="Cambria" w:hAnsi="Cambria"/>
          <w:shd w:val="clear" w:color="auto" w:fill="FCFCFC"/>
        </w:rPr>
        <w:t xml:space="preserve">, G., </w:t>
      </w:r>
      <w:proofErr w:type="spellStart"/>
      <w:r w:rsidRPr="00B05D39">
        <w:rPr>
          <w:rFonts w:ascii="Cambria" w:hAnsi="Cambria"/>
          <w:shd w:val="clear" w:color="auto" w:fill="FCFCFC"/>
        </w:rPr>
        <w:t>Dominici</w:t>
      </w:r>
      <w:proofErr w:type="spellEnd"/>
      <w:r w:rsidRPr="00B05D39">
        <w:rPr>
          <w:rFonts w:ascii="Cambria" w:hAnsi="Cambria"/>
          <w:shd w:val="clear" w:color="auto" w:fill="FCFCFC"/>
        </w:rPr>
        <w:t xml:space="preserve">, F., Lung, S., </w:t>
      </w:r>
      <w:proofErr w:type="spellStart"/>
      <w:r w:rsidRPr="00B05D39">
        <w:rPr>
          <w:rFonts w:ascii="Cambria" w:hAnsi="Cambria"/>
          <w:shd w:val="clear" w:color="auto" w:fill="FCFCFC"/>
        </w:rPr>
        <w:t>Su</w:t>
      </w:r>
      <w:proofErr w:type="spellEnd"/>
      <w:r w:rsidRPr="00B05D39">
        <w:rPr>
          <w:rFonts w:ascii="Cambria" w:hAnsi="Cambria"/>
          <w:shd w:val="clear" w:color="auto" w:fill="FCFCFC"/>
        </w:rPr>
        <w:t xml:space="preserve">, H., Spengler, J. (2014). Linking student performance in Massachusetts elementary schools with the “greenness” of school surroundings using remote sensing. </w:t>
      </w:r>
      <w:proofErr w:type="spellStart"/>
      <w:r w:rsidRPr="00B05D39">
        <w:rPr>
          <w:rFonts w:ascii="Cambria" w:hAnsi="Cambria"/>
          <w:i/>
          <w:iCs/>
          <w:shd w:val="clear" w:color="auto" w:fill="FCFCFC"/>
        </w:rPr>
        <w:t>Plos</w:t>
      </w:r>
      <w:proofErr w:type="spellEnd"/>
      <w:r w:rsidRPr="00B05D39">
        <w:rPr>
          <w:rFonts w:ascii="Cambria" w:hAnsi="Cambria"/>
          <w:i/>
          <w:iCs/>
          <w:shd w:val="clear" w:color="auto" w:fill="FCFCFC"/>
        </w:rPr>
        <w:t xml:space="preserve"> One</w:t>
      </w:r>
      <w:r w:rsidRPr="00B05D39">
        <w:rPr>
          <w:rFonts w:ascii="Cambria" w:hAnsi="Cambria"/>
          <w:shd w:val="clear" w:color="auto" w:fill="FCFCFC"/>
        </w:rPr>
        <w:t xml:space="preserve">. 9(10), 1-9. </w:t>
      </w:r>
      <w:hyperlink r:id="rId147" w:history="1">
        <w:r w:rsidRPr="00B05D39">
          <w:rPr>
            <w:rStyle w:val="Hyperlink"/>
            <w:rFonts w:ascii="Cambria" w:hAnsi="Cambria"/>
            <w:shd w:val="clear" w:color="auto" w:fill="FCFCFC"/>
          </w:rPr>
          <w:t>https://doi.org/10.1371/journal.pone.0108548</w:t>
        </w:r>
      </w:hyperlink>
      <w:r w:rsidRPr="00B05D39">
        <w:rPr>
          <w:rFonts w:ascii="Cambria" w:hAnsi="Cambria"/>
          <w:shd w:val="clear" w:color="auto" w:fill="FCFCFC"/>
        </w:rPr>
        <w:t xml:space="preserve"> </w:t>
      </w:r>
    </w:p>
    <w:p w14:paraId="76DA5231" w14:textId="77777777" w:rsidR="005D5F7F" w:rsidRPr="00B05D39" w:rsidRDefault="005D5F7F" w:rsidP="005D5F7F">
      <w:pPr>
        <w:pStyle w:val="ListParagraph"/>
        <w:numPr>
          <w:ilvl w:val="0"/>
          <w:numId w:val="1"/>
        </w:numPr>
        <w:rPr>
          <w:rFonts w:ascii="Cambria" w:hAnsi="Cambria"/>
          <w:shd w:val="clear" w:color="auto" w:fill="FCFCFC"/>
        </w:rPr>
      </w:pPr>
      <w:r w:rsidRPr="00B05D39">
        <w:rPr>
          <w:rFonts w:ascii="Cambria" w:hAnsi="Cambria"/>
        </w:rPr>
        <w:t xml:space="preserve">Xie, M., Wang, Y., Chang, Q., Fu, M., Ye, M. (2013). Assessment of landscape patterns affecting land surface temperature in different biophysical gradients in Shenzhen, China. </w:t>
      </w:r>
      <w:r w:rsidRPr="00B05D39">
        <w:rPr>
          <w:rFonts w:ascii="Cambria" w:hAnsi="Cambria"/>
          <w:i/>
        </w:rPr>
        <w:t>Journal of Urban Ecosystems</w:t>
      </w:r>
      <w:r w:rsidRPr="00B05D39">
        <w:rPr>
          <w:rFonts w:ascii="Cambria" w:hAnsi="Cambria"/>
        </w:rPr>
        <w:t xml:space="preserve">. 16(4), 871-886, </w:t>
      </w:r>
      <w:hyperlink r:id="rId148">
        <w:r w:rsidRPr="00B05D39">
          <w:rPr>
            <w:rFonts w:ascii="Cambria" w:hAnsi="Cambria"/>
            <w:color w:val="1155CC"/>
            <w:u w:val="single"/>
            <w:shd w:val="clear" w:color="auto" w:fill="FCFCFC"/>
          </w:rPr>
          <w:t>https://doi.org/10.1007/s11252-013-0325-0</w:t>
        </w:r>
      </w:hyperlink>
      <w:r w:rsidRPr="00B05D39">
        <w:rPr>
          <w:rFonts w:ascii="Cambria" w:hAnsi="Cambria"/>
          <w:shd w:val="clear" w:color="auto" w:fill="FCFCFC"/>
        </w:rPr>
        <w:t>.</w:t>
      </w:r>
    </w:p>
    <w:p w14:paraId="3090259A"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lastRenderedPageBreak/>
        <w:t xml:space="preserve">Yang, Y., Diez-Roux, A. (2012). Walking distance by trip purpose and population subgroups. </w:t>
      </w:r>
      <w:r w:rsidRPr="00B05D39">
        <w:rPr>
          <w:rFonts w:ascii="Cambria" w:hAnsi="Cambria"/>
          <w:i/>
        </w:rPr>
        <w:t>American Journal of Preventative Medicine</w:t>
      </w:r>
      <w:r w:rsidRPr="00B05D39">
        <w:rPr>
          <w:rFonts w:ascii="Cambria" w:hAnsi="Cambria"/>
        </w:rPr>
        <w:t xml:space="preserve">. 43(1), 11-19. doi: </w:t>
      </w:r>
      <w:hyperlink r:id="rId149">
        <w:r w:rsidRPr="00B05D39">
          <w:rPr>
            <w:rFonts w:ascii="Cambria" w:hAnsi="Cambria"/>
            <w:color w:val="1155CC"/>
            <w:u w:val="single"/>
          </w:rPr>
          <w:t>10.1016/j.amepre.2012.03.015</w:t>
        </w:r>
      </w:hyperlink>
    </w:p>
    <w:p w14:paraId="24FF4BE8" w14:textId="77777777" w:rsidR="005D5F7F" w:rsidRPr="00B05D39" w:rsidRDefault="005D5F7F" w:rsidP="005D5F7F">
      <w:pPr>
        <w:pStyle w:val="ListParagraph"/>
        <w:numPr>
          <w:ilvl w:val="0"/>
          <w:numId w:val="1"/>
        </w:numPr>
        <w:rPr>
          <w:rFonts w:ascii="Cambria" w:hAnsi="Cambria"/>
          <w:color w:val="0563C1"/>
        </w:rPr>
      </w:pPr>
      <w:r w:rsidRPr="00B05D39">
        <w:rPr>
          <w:rFonts w:ascii="Cambria" w:hAnsi="Cambria"/>
        </w:rPr>
        <w:t xml:space="preserve">Yang, J., Yu, Q., Gong, P. (2008). Quantifying air pollution removal by green roofs in Chicago. </w:t>
      </w:r>
      <w:r w:rsidRPr="00B05D39">
        <w:rPr>
          <w:rFonts w:ascii="Cambria" w:hAnsi="Cambria"/>
          <w:i/>
        </w:rPr>
        <w:t>Atmospheric Environment</w:t>
      </w:r>
      <w:r w:rsidRPr="00B05D39">
        <w:rPr>
          <w:rFonts w:ascii="Cambria" w:hAnsi="Cambria"/>
        </w:rPr>
        <w:t xml:space="preserve">. 42(31), 7266-7273, </w:t>
      </w:r>
      <w:hyperlink r:id="rId150">
        <w:r w:rsidRPr="00B05D39">
          <w:rPr>
            <w:rFonts w:ascii="Cambria" w:hAnsi="Cambria"/>
            <w:color w:val="1155CC"/>
            <w:u w:val="single"/>
          </w:rPr>
          <w:t>https://doi.org/10.1016/j.atmosenv.2008.07.003</w:t>
        </w:r>
      </w:hyperlink>
      <w:r w:rsidRPr="00B05D39">
        <w:rPr>
          <w:rFonts w:ascii="Cambria" w:hAnsi="Cambria"/>
          <w:color w:val="0563C1"/>
        </w:rPr>
        <w:t>.</w:t>
      </w:r>
    </w:p>
    <w:p w14:paraId="710FB747" w14:textId="77777777" w:rsidR="005D5F7F" w:rsidRPr="00B05D39" w:rsidRDefault="005D5F7F" w:rsidP="005D5F7F">
      <w:pPr>
        <w:pStyle w:val="ListParagraph"/>
        <w:numPr>
          <w:ilvl w:val="0"/>
          <w:numId w:val="1"/>
        </w:numPr>
        <w:rPr>
          <w:rFonts w:ascii="Cambria" w:hAnsi="Cambria"/>
          <w:color w:val="1155CC"/>
          <w:u w:val="single"/>
        </w:rPr>
      </w:pPr>
      <w:r w:rsidRPr="00B05D39">
        <w:rPr>
          <w:rFonts w:ascii="Cambria" w:hAnsi="Cambria"/>
        </w:rPr>
        <w:t xml:space="preserve">Ye, S., Pontius, R. (2018). A review of accuracy assessment for object-based image analysis: From per-pixel to per-polygon approaches. </w:t>
      </w:r>
      <w:r w:rsidRPr="00B05D39">
        <w:rPr>
          <w:rFonts w:ascii="Cambria" w:hAnsi="Cambria"/>
          <w:i/>
        </w:rPr>
        <w:t xml:space="preserve">ISPRS Journal of Photogrammetry and Remote Sensing. </w:t>
      </w:r>
      <w:r w:rsidRPr="00B05D39">
        <w:rPr>
          <w:rFonts w:ascii="Cambria" w:hAnsi="Cambria"/>
        </w:rPr>
        <w:t xml:space="preserve">141, 137-147. </w:t>
      </w:r>
      <w:hyperlink r:id="rId151">
        <w:r w:rsidRPr="00B05D39">
          <w:rPr>
            <w:rFonts w:ascii="Cambria" w:hAnsi="Cambria"/>
            <w:color w:val="1155CC"/>
            <w:u w:val="single"/>
          </w:rPr>
          <w:t>https://doi.org/10.1016/j.isprsjprs.2018.04.002</w:t>
        </w:r>
      </w:hyperlink>
    </w:p>
    <w:p w14:paraId="02F7213F" w14:textId="77777777" w:rsidR="005D5F7F" w:rsidRDefault="005D5F7F" w:rsidP="005D5F7F">
      <w:pPr>
        <w:pStyle w:val="ListParagraph"/>
        <w:numPr>
          <w:ilvl w:val="0"/>
          <w:numId w:val="1"/>
        </w:numPr>
        <w:rPr>
          <w:rFonts w:ascii="Cambria" w:hAnsi="Cambria"/>
        </w:rPr>
      </w:pPr>
      <w:r>
        <w:rPr>
          <w:rFonts w:ascii="Cambria" w:hAnsi="Cambria"/>
        </w:rPr>
        <w:t xml:space="preserve">Ziter, C., Pederson, E., </w:t>
      </w:r>
      <w:proofErr w:type="spellStart"/>
      <w:r>
        <w:rPr>
          <w:rFonts w:ascii="Cambria" w:hAnsi="Cambria"/>
        </w:rPr>
        <w:t>Kucharik</w:t>
      </w:r>
      <w:proofErr w:type="spellEnd"/>
      <w:r>
        <w:rPr>
          <w:rFonts w:ascii="Cambria" w:hAnsi="Cambria"/>
        </w:rPr>
        <w:t xml:space="preserve">, C., Turner, M. (2019). Scale-dependent interactions between tree canopy cover and impervious surfaces reduce daytime urban heat during summer. </w:t>
      </w:r>
      <w:r>
        <w:rPr>
          <w:rFonts w:ascii="Cambria" w:hAnsi="Cambria"/>
          <w:i/>
          <w:iCs/>
        </w:rPr>
        <w:t>PNAS</w:t>
      </w:r>
      <w:r>
        <w:rPr>
          <w:rFonts w:ascii="Cambria" w:hAnsi="Cambria"/>
        </w:rPr>
        <w:t xml:space="preserve">. 116(15), 7575-7580. Retrieved from: </w:t>
      </w:r>
      <w:hyperlink r:id="rId152" w:history="1">
        <w:r w:rsidRPr="001F17B5">
          <w:rPr>
            <w:rStyle w:val="Hyperlink"/>
            <w:rFonts w:ascii="Cambria" w:hAnsi="Cambria"/>
          </w:rPr>
          <w:t>https://www.pnas.org/content/pnas/116/15/7575.full.pdf</w:t>
        </w:r>
      </w:hyperlink>
      <w:r>
        <w:rPr>
          <w:rFonts w:ascii="Cambria" w:hAnsi="Cambria"/>
        </w:rPr>
        <w:t xml:space="preserve"> </w:t>
      </w:r>
    </w:p>
    <w:p w14:paraId="5DC32A81" w14:textId="77777777" w:rsidR="005D5F7F" w:rsidRPr="00D629FF" w:rsidRDefault="005D5F7F" w:rsidP="005D5F7F">
      <w:pPr>
        <w:pStyle w:val="ListParagraph"/>
        <w:numPr>
          <w:ilvl w:val="0"/>
          <w:numId w:val="1"/>
        </w:numPr>
        <w:rPr>
          <w:rFonts w:ascii="Cambria" w:hAnsi="Cambria"/>
        </w:rPr>
      </w:pPr>
      <w:r w:rsidRPr="00D629FF">
        <w:rPr>
          <w:rFonts w:ascii="Cambria" w:hAnsi="Cambria"/>
        </w:rPr>
        <w:t xml:space="preserve">Zuk, M., Bierbaum, A., Chapple, K., Gorska, K., Loukaitou-Sideris, A. (2018). Gentrification, displacement, and the role of public investment. </w:t>
      </w:r>
      <w:r w:rsidRPr="00D629FF">
        <w:rPr>
          <w:rFonts w:ascii="Cambria" w:hAnsi="Cambria"/>
          <w:i/>
        </w:rPr>
        <w:t>Journal of Planning Literature</w:t>
      </w:r>
      <w:r w:rsidRPr="00D629FF">
        <w:rPr>
          <w:rFonts w:ascii="Cambria" w:hAnsi="Cambria"/>
        </w:rPr>
        <w:t xml:space="preserve">. 33(1). </w:t>
      </w:r>
      <w:r w:rsidRPr="00D629FF">
        <w:rPr>
          <w:rFonts w:ascii="Calibri" w:hAnsi="Calibri" w:cs="Calibri"/>
        </w:rPr>
        <w:t>﻿</w:t>
      </w:r>
      <w:r w:rsidRPr="00D629FF">
        <w:rPr>
          <w:rFonts w:ascii="Cambria" w:hAnsi="Cambria"/>
          <w:color w:val="0563C1"/>
        </w:rPr>
        <w:t>doi: 10.1177/0885412217716439</w:t>
      </w:r>
    </w:p>
    <w:p w14:paraId="170C5B2C" w14:textId="4B7EA7F1" w:rsidR="0000787B" w:rsidRPr="00041EBF" w:rsidRDefault="0000787B" w:rsidP="00041EBF">
      <w:pPr>
        <w:rPr>
          <w:rFonts w:ascii="Cambria" w:hAnsi="Cambria"/>
        </w:rPr>
      </w:pPr>
    </w:p>
    <w:p w14:paraId="6F0AA5A9" w14:textId="77777777" w:rsidR="0000787B" w:rsidRDefault="0000787B" w:rsidP="0019438D">
      <w:pPr>
        <w:spacing w:line="360" w:lineRule="auto"/>
        <w:rPr>
          <w:rFonts w:asciiTheme="minorHAnsi" w:hAnsiTheme="minorHAnsi"/>
          <w:b/>
          <w:bCs/>
          <w:sz w:val="28"/>
          <w:szCs w:val="28"/>
        </w:rPr>
      </w:pPr>
    </w:p>
    <w:p w14:paraId="4CE7E644" w14:textId="77777777" w:rsidR="0000787B" w:rsidRDefault="0000787B" w:rsidP="0019438D">
      <w:pPr>
        <w:spacing w:line="360" w:lineRule="auto"/>
        <w:rPr>
          <w:rFonts w:asciiTheme="minorHAnsi" w:hAnsiTheme="minorHAnsi"/>
          <w:b/>
          <w:bCs/>
          <w:sz w:val="28"/>
          <w:szCs w:val="28"/>
        </w:rPr>
      </w:pPr>
    </w:p>
    <w:p w14:paraId="0D990CC9" w14:textId="77777777" w:rsidR="0000787B" w:rsidRDefault="0000787B" w:rsidP="0019438D">
      <w:pPr>
        <w:spacing w:line="360" w:lineRule="auto"/>
        <w:rPr>
          <w:rFonts w:asciiTheme="minorHAnsi" w:hAnsiTheme="minorHAnsi"/>
          <w:b/>
          <w:bCs/>
          <w:sz w:val="28"/>
          <w:szCs w:val="28"/>
        </w:rPr>
      </w:pPr>
    </w:p>
    <w:p w14:paraId="749E4745" w14:textId="77777777" w:rsidR="0000787B" w:rsidRDefault="0000787B" w:rsidP="0019438D">
      <w:pPr>
        <w:spacing w:line="360" w:lineRule="auto"/>
        <w:rPr>
          <w:rFonts w:asciiTheme="minorHAnsi" w:hAnsiTheme="minorHAnsi"/>
          <w:b/>
          <w:bCs/>
          <w:sz w:val="28"/>
          <w:szCs w:val="28"/>
        </w:rPr>
      </w:pPr>
    </w:p>
    <w:p w14:paraId="4C97098A" w14:textId="77777777" w:rsidR="0000787B" w:rsidRDefault="0000787B" w:rsidP="0019438D">
      <w:pPr>
        <w:spacing w:line="360" w:lineRule="auto"/>
        <w:rPr>
          <w:rFonts w:asciiTheme="minorHAnsi" w:hAnsiTheme="minorHAnsi"/>
          <w:b/>
          <w:bCs/>
          <w:sz w:val="28"/>
          <w:szCs w:val="28"/>
        </w:rPr>
      </w:pPr>
    </w:p>
    <w:p w14:paraId="4A40CE2A" w14:textId="77777777" w:rsidR="0000787B" w:rsidRDefault="0000787B" w:rsidP="0019438D">
      <w:pPr>
        <w:spacing w:line="360" w:lineRule="auto"/>
        <w:rPr>
          <w:rFonts w:asciiTheme="minorHAnsi" w:hAnsiTheme="minorHAnsi"/>
          <w:b/>
          <w:bCs/>
          <w:sz w:val="28"/>
          <w:szCs w:val="28"/>
        </w:rPr>
      </w:pPr>
    </w:p>
    <w:p w14:paraId="2140EB53" w14:textId="77777777" w:rsidR="0000787B" w:rsidRDefault="0000787B" w:rsidP="0019438D">
      <w:pPr>
        <w:spacing w:line="360" w:lineRule="auto"/>
        <w:rPr>
          <w:rFonts w:asciiTheme="minorHAnsi" w:hAnsiTheme="minorHAnsi"/>
          <w:b/>
          <w:bCs/>
          <w:sz w:val="28"/>
          <w:szCs w:val="28"/>
        </w:rPr>
      </w:pPr>
    </w:p>
    <w:p w14:paraId="0D072B21" w14:textId="77777777" w:rsidR="0000787B" w:rsidRDefault="0000787B" w:rsidP="0019438D">
      <w:pPr>
        <w:spacing w:line="360" w:lineRule="auto"/>
        <w:rPr>
          <w:rFonts w:asciiTheme="minorHAnsi" w:hAnsiTheme="minorHAnsi"/>
          <w:b/>
          <w:bCs/>
          <w:sz w:val="28"/>
          <w:szCs w:val="28"/>
        </w:rPr>
      </w:pPr>
    </w:p>
    <w:p w14:paraId="2A23125E" w14:textId="77777777" w:rsidR="0000787B" w:rsidRDefault="0000787B" w:rsidP="0019438D">
      <w:pPr>
        <w:spacing w:line="360" w:lineRule="auto"/>
        <w:rPr>
          <w:rFonts w:asciiTheme="minorHAnsi" w:hAnsiTheme="minorHAnsi"/>
          <w:b/>
          <w:bCs/>
          <w:sz w:val="28"/>
          <w:szCs w:val="28"/>
        </w:rPr>
      </w:pPr>
    </w:p>
    <w:p w14:paraId="5AB3374E" w14:textId="77777777" w:rsidR="0000787B" w:rsidRDefault="0000787B" w:rsidP="0019438D">
      <w:pPr>
        <w:spacing w:line="360" w:lineRule="auto"/>
        <w:rPr>
          <w:rFonts w:asciiTheme="minorHAnsi" w:hAnsiTheme="minorHAnsi"/>
          <w:b/>
          <w:bCs/>
          <w:sz w:val="28"/>
          <w:szCs w:val="28"/>
        </w:rPr>
      </w:pPr>
    </w:p>
    <w:p w14:paraId="33E7E87C" w14:textId="77777777" w:rsidR="0076248A" w:rsidRDefault="0076248A" w:rsidP="00B85BB3">
      <w:pPr>
        <w:rPr>
          <w:rFonts w:asciiTheme="minorHAnsi" w:hAnsiTheme="minorHAnsi"/>
          <w:b/>
          <w:bCs/>
          <w:sz w:val="28"/>
          <w:szCs w:val="28"/>
        </w:rPr>
      </w:pPr>
    </w:p>
    <w:p w14:paraId="2BF25AAD" w14:textId="77777777" w:rsidR="0076248A" w:rsidRDefault="0076248A" w:rsidP="00B85BB3">
      <w:pPr>
        <w:rPr>
          <w:rFonts w:asciiTheme="minorHAnsi" w:hAnsiTheme="minorHAnsi"/>
          <w:b/>
          <w:bCs/>
          <w:sz w:val="28"/>
          <w:szCs w:val="28"/>
        </w:rPr>
      </w:pPr>
    </w:p>
    <w:p w14:paraId="2AAD9970" w14:textId="77777777" w:rsidR="007F6B93" w:rsidRDefault="007F6B93" w:rsidP="00B85BB3">
      <w:pPr>
        <w:rPr>
          <w:rFonts w:asciiTheme="minorHAnsi" w:hAnsiTheme="minorHAnsi"/>
          <w:b/>
          <w:bCs/>
          <w:sz w:val="28"/>
          <w:szCs w:val="28"/>
        </w:rPr>
      </w:pPr>
    </w:p>
    <w:p w14:paraId="2C477DD5" w14:textId="77777777" w:rsidR="007F6B93" w:rsidRDefault="007F6B93" w:rsidP="00B85BB3">
      <w:pPr>
        <w:rPr>
          <w:rFonts w:asciiTheme="minorHAnsi" w:hAnsiTheme="minorHAnsi"/>
          <w:b/>
          <w:bCs/>
          <w:sz w:val="28"/>
          <w:szCs w:val="28"/>
        </w:rPr>
      </w:pPr>
    </w:p>
    <w:p w14:paraId="6A4F3690" w14:textId="77777777" w:rsidR="007F6B93" w:rsidRDefault="007F6B93" w:rsidP="00B85BB3">
      <w:pPr>
        <w:rPr>
          <w:rFonts w:asciiTheme="minorHAnsi" w:hAnsiTheme="minorHAnsi"/>
          <w:b/>
          <w:bCs/>
          <w:sz w:val="28"/>
          <w:szCs w:val="28"/>
        </w:rPr>
      </w:pPr>
    </w:p>
    <w:p w14:paraId="51DDCFFC" w14:textId="77777777" w:rsidR="007F6B93" w:rsidRDefault="007F6B93" w:rsidP="00B85BB3">
      <w:pPr>
        <w:rPr>
          <w:rFonts w:asciiTheme="minorHAnsi" w:hAnsiTheme="minorHAnsi"/>
          <w:b/>
          <w:bCs/>
          <w:sz w:val="28"/>
          <w:szCs w:val="28"/>
        </w:rPr>
      </w:pPr>
    </w:p>
    <w:p w14:paraId="78D5C27F" w14:textId="77777777" w:rsidR="007F6B93" w:rsidRDefault="007F6B93" w:rsidP="00B85BB3">
      <w:pPr>
        <w:rPr>
          <w:rFonts w:asciiTheme="minorHAnsi" w:hAnsiTheme="minorHAnsi"/>
          <w:b/>
          <w:bCs/>
          <w:sz w:val="28"/>
          <w:szCs w:val="28"/>
        </w:rPr>
      </w:pPr>
    </w:p>
    <w:p w14:paraId="0A4E12C8" w14:textId="77777777" w:rsidR="00BB6905" w:rsidRDefault="00BB6905" w:rsidP="00B85BB3">
      <w:pPr>
        <w:rPr>
          <w:rFonts w:asciiTheme="minorHAnsi" w:hAnsiTheme="minorHAnsi"/>
          <w:b/>
          <w:bCs/>
          <w:sz w:val="28"/>
          <w:szCs w:val="28"/>
        </w:rPr>
      </w:pPr>
    </w:p>
    <w:p w14:paraId="06B1E754" w14:textId="77777777" w:rsidR="00817709" w:rsidRDefault="00817709" w:rsidP="00B85BB3">
      <w:pPr>
        <w:rPr>
          <w:rFonts w:asciiTheme="minorHAnsi" w:hAnsiTheme="minorHAnsi"/>
          <w:b/>
          <w:bCs/>
          <w:sz w:val="28"/>
          <w:szCs w:val="28"/>
        </w:rPr>
      </w:pPr>
    </w:p>
    <w:p w14:paraId="08E059CF" w14:textId="245FB510" w:rsidR="008D1639" w:rsidRDefault="007F6B93" w:rsidP="00B85BB3">
      <w:pPr>
        <w:rPr>
          <w:rFonts w:asciiTheme="minorHAnsi" w:hAnsiTheme="minorHAnsi"/>
          <w:b/>
          <w:bCs/>
          <w:sz w:val="28"/>
          <w:szCs w:val="28"/>
        </w:rPr>
      </w:pPr>
      <w:r>
        <w:rPr>
          <w:rFonts w:asciiTheme="minorHAnsi" w:hAnsiTheme="minorHAnsi"/>
          <w:b/>
          <w:bCs/>
          <w:sz w:val="28"/>
          <w:szCs w:val="28"/>
        </w:rPr>
        <w:lastRenderedPageBreak/>
        <w:t>Appendices</w:t>
      </w:r>
    </w:p>
    <w:p w14:paraId="646D4697" w14:textId="532C4B77" w:rsidR="00A47E52" w:rsidRPr="00817709" w:rsidRDefault="009050C6" w:rsidP="00B85BB3">
      <w:pPr>
        <w:rPr>
          <w:rFonts w:asciiTheme="minorHAnsi" w:hAnsiTheme="minorHAnsi"/>
          <w:b/>
          <w:bCs/>
          <w:sz w:val="28"/>
          <w:szCs w:val="28"/>
        </w:rPr>
      </w:pPr>
      <w:r>
        <w:rPr>
          <w:rFonts w:asciiTheme="minorHAnsi" w:hAnsiTheme="minorHAnsi"/>
          <w:b/>
          <w:bCs/>
          <w:noProof/>
          <w:sz w:val="28"/>
          <w:szCs w:val="28"/>
        </w:rPr>
        <w:drawing>
          <wp:anchor distT="0" distB="0" distL="114300" distR="114300" simplePos="0" relativeHeight="251736064" behindDoc="0" locked="0" layoutInCell="1" allowOverlap="1" wp14:anchorId="4EC9883A" wp14:editId="13A10D6B">
            <wp:simplePos x="0" y="0"/>
            <wp:positionH relativeFrom="margin">
              <wp:posOffset>596900</wp:posOffset>
            </wp:positionH>
            <wp:positionV relativeFrom="page">
              <wp:posOffset>1356604</wp:posOffset>
            </wp:positionV>
            <wp:extent cx="4745355" cy="6400800"/>
            <wp:effectExtent l="0" t="0" r="4445" b="0"/>
            <wp:wrapTopAndBottom/>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rotWithShape="1">
                    <a:blip r:embed="rId153" cstate="print">
                      <a:extLst>
                        <a:ext uri="{28A0092B-C50C-407E-A947-70E740481C1C}">
                          <a14:useLocalDpi xmlns:a14="http://schemas.microsoft.com/office/drawing/2010/main" val="0"/>
                        </a:ext>
                      </a:extLst>
                    </a:blip>
                    <a:srcRect l="5565" t="2530" r="1952" b="1086"/>
                    <a:stretch/>
                  </pic:blipFill>
                  <pic:spPr bwMode="auto">
                    <a:xfrm>
                      <a:off x="0" y="0"/>
                      <a:ext cx="4745355" cy="640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1254F9" w14:textId="6066648C" w:rsidR="00B22C36" w:rsidRDefault="00B85BB3" w:rsidP="00B85BB3">
      <w:pPr>
        <w:rPr>
          <w:rFonts w:asciiTheme="minorHAnsi" w:hAnsiTheme="minorHAnsi"/>
        </w:rPr>
      </w:pPr>
      <w:r>
        <w:rPr>
          <w:rFonts w:asciiTheme="minorHAnsi" w:hAnsiTheme="minorHAnsi"/>
          <w:i/>
          <w:iCs/>
        </w:rPr>
        <w:t xml:space="preserve">Appendix Figure 1: An LULC map of the entire city of Rochester, NY. </w:t>
      </w:r>
      <w:r>
        <w:rPr>
          <w:rFonts w:asciiTheme="minorHAnsi" w:hAnsiTheme="minorHAnsi"/>
        </w:rPr>
        <w:t xml:space="preserve">This map classifies the surfaces within the city into eight different classes. </w:t>
      </w:r>
      <w:r w:rsidR="00817709">
        <w:rPr>
          <w:rFonts w:asciiTheme="minorHAnsi" w:hAnsiTheme="minorHAnsi"/>
        </w:rPr>
        <w:t>Most of</w:t>
      </w:r>
      <w:r>
        <w:rPr>
          <w:rFonts w:asciiTheme="minorHAnsi" w:hAnsiTheme="minorHAnsi"/>
        </w:rPr>
        <w:t xml:space="preserve"> the surfaces within the center part of the city are impervious while the outer contour of the city has higher percentages of vegetative surfaces. </w:t>
      </w:r>
    </w:p>
    <w:p w14:paraId="5F08F19D" w14:textId="603207D4" w:rsidR="00B85BB3" w:rsidRDefault="00B85BB3" w:rsidP="00B85BB3">
      <w:pPr>
        <w:rPr>
          <w:rFonts w:asciiTheme="minorHAnsi" w:hAnsiTheme="minorHAnsi"/>
        </w:rPr>
      </w:pPr>
    </w:p>
    <w:p w14:paraId="65E20D2C" w14:textId="2C204340" w:rsidR="00B85BB3" w:rsidRDefault="00B85BB3" w:rsidP="00B85BB3">
      <w:pPr>
        <w:rPr>
          <w:rFonts w:asciiTheme="minorHAnsi" w:hAnsiTheme="minorHAnsi"/>
        </w:rPr>
      </w:pPr>
    </w:p>
    <w:p w14:paraId="6CC0C829" w14:textId="3ACBCBE6" w:rsidR="00B85BB3" w:rsidRDefault="00B85BB3" w:rsidP="00B85BB3">
      <w:pPr>
        <w:rPr>
          <w:rFonts w:asciiTheme="minorHAnsi" w:hAnsiTheme="minorHAnsi"/>
        </w:rPr>
      </w:pPr>
    </w:p>
    <w:p w14:paraId="375A0BE6" w14:textId="14874C20" w:rsidR="00B85BB3" w:rsidRDefault="00B85BB3" w:rsidP="00B85BB3">
      <w:pPr>
        <w:rPr>
          <w:rFonts w:asciiTheme="minorHAnsi" w:hAnsiTheme="minorHAnsi"/>
        </w:rPr>
      </w:pPr>
    </w:p>
    <w:p w14:paraId="25802BBD" w14:textId="59C9046D" w:rsidR="00B85BB3" w:rsidRPr="00FC49B4" w:rsidRDefault="00B85BB3" w:rsidP="00B85BB3">
      <w:pPr>
        <w:rPr>
          <w:rFonts w:asciiTheme="minorHAnsi" w:hAnsiTheme="minorHAnsi"/>
        </w:rPr>
      </w:pPr>
      <w:r>
        <w:rPr>
          <w:rFonts w:asciiTheme="minorHAnsi" w:hAnsiTheme="minorHAnsi"/>
          <w:i/>
          <w:iCs/>
          <w:noProof/>
        </w:rPr>
        <w:drawing>
          <wp:anchor distT="0" distB="0" distL="114300" distR="114300" simplePos="0" relativeHeight="251737088" behindDoc="0" locked="0" layoutInCell="1" allowOverlap="1" wp14:anchorId="1175A020" wp14:editId="248C73A0">
            <wp:simplePos x="0" y="0"/>
            <wp:positionH relativeFrom="margin">
              <wp:align>center</wp:align>
            </wp:positionH>
            <wp:positionV relativeFrom="paragraph">
              <wp:posOffset>12700</wp:posOffset>
            </wp:positionV>
            <wp:extent cx="5916484" cy="4572000"/>
            <wp:effectExtent l="12700" t="12700" r="14605" b="12700"/>
            <wp:wrapTopAndBottom/>
            <wp:docPr id="10" name="Picture 10"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Qr code&#10;&#10;Description automatically generated"/>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5916484" cy="4572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C49B4">
        <w:rPr>
          <w:rFonts w:asciiTheme="minorHAnsi" w:hAnsiTheme="minorHAnsi"/>
          <w:i/>
          <w:iCs/>
        </w:rPr>
        <w:t>Appendix Figure 2: Comparisons between the LULC map and 2015 orthoimagery for areas of interest within the city.</w:t>
      </w:r>
      <w:r w:rsidR="00FC49B4">
        <w:rPr>
          <w:rFonts w:asciiTheme="minorHAnsi" w:hAnsiTheme="minorHAnsi"/>
        </w:rPr>
        <w:t xml:space="preserve"> This figure shows the variation of landcover between various areas within the city. Areas such as residential streets and parks have high amounts of vegetative surfaces. While areas such as downtown and industrial parks within the city have greater amounts of impervious surfaces. </w:t>
      </w:r>
    </w:p>
    <w:p w14:paraId="70B7A7BE" w14:textId="5B494522" w:rsidR="0000787B" w:rsidRDefault="0000787B" w:rsidP="0019438D">
      <w:pPr>
        <w:spacing w:line="360" w:lineRule="auto"/>
        <w:rPr>
          <w:rFonts w:asciiTheme="minorHAnsi" w:hAnsiTheme="minorHAnsi"/>
          <w:b/>
          <w:bCs/>
          <w:sz w:val="28"/>
          <w:szCs w:val="28"/>
        </w:rPr>
      </w:pPr>
    </w:p>
    <w:p w14:paraId="24EE1E04" w14:textId="5E02522C" w:rsidR="00FC49B4" w:rsidRDefault="00FC49B4" w:rsidP="0019438D">
      <w:pPr>
        <w:spacing w:line="360" w:lineRule="auto"/>
        <w:rPr>
          <w:rFonts w:asciiTheme="minorHAnsi" w:hAnsiTheme="minorHAnsi"/>
          <w:b/>
          <w:bCs/>
          <w:sz w:val="28"/>
          <w:szCs w:val="28"/>
        </w:rPr>
      </w:pPr>
    </w:p>
    <w:p w14:paraId="1A175035" w14:textId="0B6CBC27" w:rsidR="00FC49B4" w:rsidRDefault="00FC49B4" w:rsidP="0019438D">
      <w:pPr>
        <w:spacing w:line="360" w:lineRule="auto"/>
        <w:rPr>
          <w:rFonts w:asciiTheme="minorHAnsi" w:hAnsiTheme="minorHAnsi"/>
          <w:b/>
          <w:bCs/>
          <w:sz w:val="28"/>
          <w:szCs w:val="28"/>
        </w:rPr>
      </w:pPr>
    </w:p>
    <w:p w14:paraId="657ACECD" w14:textId="335C75E0" w:rsidR="00FC49B4" w:rsidRDefault="00FC49B4" w:rsidP="0019438D">
      <w:pPr>
        <w:spacing w:line="360" w:lineRule="auto"/>
        <w:rPr>
          <w:rFonts w:asciiTheme="minorHAnsi" w:hAnsiTheme="minorHAnsi"/>
          <w:b/>
          <w:bCs/>
          <w:sz w:val="28"/>
          <w:szCs w:val="28"/>
        </w:rPr>
      </w:pPr>
    </w:p>
    <w:p w14:paraId="7D22DF53" w14:textId="3DDE61E6" w:rsidR="00FC49B4" w:rsidRDefault="00FC49B4" w:rsidP="0019438D">
      <w:pPr>
        <w:spacing w:line="360" w:lineRule="auto"/>
        <w:rPr>
          <w:rFonts w:asciiTheme="minorHAnsi" w:hAnsiTheme="minorHAnsi"/>
          <w:b/>
          <w:bCs/>
          <w:sz w:val="28"/>
          <w:szCs w:val="28"/>
        </w:rPr>
      </w:pPr>
    </w:p>
    <w:p w14:paraId="175E7A04" w14:textId="1E7BAD8B" w:rsidR="00FC49B4" w:rsidRDefault="00FC49B4" w:rsidP="0019438D">
      <w:pPr>
        <w:spacing w:line="360" w:lineRule="auto"/>
        <w:rPr>
          <w:rFonts w:asciiTheme="minorHAnsi" w:hAnsiTheme="minorHAnsi"/>
          <w:b/>
          <w:bCs/>
          <w:sz w:val="28"/>
          <w:szCs w:val="28"/>
        </w:rPr>
      </w:pPr>
    </w:p>
    <w:p w14:paraId="09BD68EB" w14:textId="77777777" w:rsidR="00FC49B4" w:rsidRDefault="00FC49B4" w:rsidP="0019438D">
      <w:pPr>
        <w:spacing w:line="360" w:lineRule="auto"/>
        <w:rPr>
          <w:rFonts w:asciiTheme="minorHAnsi" w:hAnsiTheme="minorHAnsi"/>
          <w:b/>
          <w:bCs/>
          <w:sz w:val="28"/>
          <w:szCs w:val="28"/>
        </w:rPr>
      </w:pPr>
    </w:p>
    <w:p w14:paraId="41CA341B" w14:textId="77777777" w:rsidR="00BB6905" w:rsidRDefault="00BB6905" w:rsidP="00FB0582">
      <w:pPr>
        <w:rPr>
          <w:rFonts w:asciiTheme="minorHAnsi" w:hAnsiTheme="minorHAnsi"/>
          <w:i/>
          <w:iCs/>
        </w:rPr>
      </w:pPr>
    </w:p>
    <w:p w14:paraId="2D00E396" w14:textId="4644360A" w:rsidR="0066497D" w:rsidRPr="00E7512C" w:rsidRDefault="00FB0582" w:rsidP="00FB0582">
      <w:pPr>
        <w:rPr>
          <w:rFonts w:asciiTheme="minorHAnsi" w:hAnsiTheme="minorHAnsi" w:cs="Arial"/>
          <w:color w:val="000000" w:themeColor="text1"/>
          <w:shd w:val="clear" w:color="auto" w:fill="FFFFFF"/>
        </w:rPr>
      </w:pPr>
      <w:r>
        <w:rPr>
          <w:rFonts w:asciiTheme="minorHAnsi" w:hAnsiTheme="minorHAnsi"/>
          <w:i/>
          <w:iCs/>
        </w:rPr>
        <w:lastRenderedPageBreak/>
        <w:t>Appendix Table</w:t>
      </w:r>
      <w:r w:rsidR="00B85BB3">
        <w:rPr>
          <w:rFonts w:asciiTheme="minorHAnsi" w:hAnsiTheme="minorHAnsi"/>
          <w:i/>
          <w:iCs/>
        </w:rPr>
        <w:t xml:space="preserve"> 1:</w:t>
      </w:r>
      <w:r w:rsidRPr="001E5D4B">
        <w:rPr>
          <w:rFonts w:asciiTheme="minorHAnsi" w:hAnsiTheme="minorHAnsi"/>
          <w:i/>
          <w:iCs/>
        </w:rPr>
        <w:t xml:space="preserve"> Confusion matrix accuracy assessment for the six class LULC map of Rochester, NY.</w:t>
      </w:r>
      <w:r w:rsidRPr="006E5A45">
        <w:rPr>
          <w:rFonts w:asciiTheme="minorHAnsi" w:hAnsiTheme="minorHAnsi"/>
        </w:rPr>
        <w:t xml:space="preserve"> The user’s accuracy demonstrates</w:t>
      </w:r>
      <w:r w:rsidRPr="006E5A45">
        <w:rPr>
          <w:rFonts w:asciiTheme="minorHAnsi" w:hAnsiTheme="minorHAnsi"/>
          <w:color w:val="000000" w:themeColor="text1"/>
        </w:rPr>
        <w:t xml:space="preserve"> </w:t>
      </w:r>
      <w:r w:rsidRPr="006E5A45">
        <w:rPr>
          <w:rFonts w:asciiTheme="minorHAnsi" w:hAnsiTheme="minorHAnsi" w:cs="Arial"/>
          <w:color w:val="000000" w:themeColor="text1"/>
          <w:shd w:val="clear" w:color="auto" w:fill="FFFFFF"/>
        </w:rPr>
        <w:t>how often the class on the map will actually be present on the ground</w:t>
      </w:r>
      <w:r>
        <w:rPr>
          <w:rFonts w:asciiTheme="minorHAnsi" w:hAnsiTheme="minorHAnsi" w:cs="Arial"/>
          <w:color w:val="000000" w:themeColor="text1"/>
          <w:shd w:val="clear" w:color="auto" w:fill="FFFFFF"/>
        </w:rPr>
        <w:t>,</w:t>
      </w:r>
      <w:r w:rsidRPr="006E5A45">
        <w:rPr>
          <w:rFonts w:asciiTheme="minorHAnsi" w:hAnsiTheme="minorHAnsi" w:cs="Arial"/>
          <w:color w:val="000000" w:themeColor="text1"/>
          <w:shd w:val="clear" w:color="auto" w:fill="FFFFFF"/>
        </w:rPr>
        <w:t xml:space="preserve"> while producer’s accuracy demonstrates how often a real feature on the ground is correctly classified as such. The overall accuracy (OA) states what percentage of the entire map </w:t>
      </w:r>
      <w:r>
        <w:rPr>
          <w:rFonts w:asciiTheme="minorHAnsi" w:hAnsiTheme="minorHAnsi" w:cs="Arial"/>
          <w:color w:val="000000" w:themeColor="text1"/>
          <w:shd w:val="clear" w:color="auto" w:fill="FFFFFF"/>
        </w:rPr>
        <w:t xml:space="preserve">that </w:t>
      </w:r>
      <w:r w:rsidRPr="006E5A45">
        <w:rPr>
          <w:rFonts w:asciiTheme="minorHAnsi" w:hAnsiTheme="minorHAnsi" w:cs="Arial"/>
          <w:color w:val="000000" w:themeColor="text1"/>
          <w:shd w:val="clear" w:color="auto" w:fill="FFFFFF"/>
        </w:rPr>
        <w:t>is correct</w:t>
      </w:r>
      <w:r>
        <w:rPr>
          <w:rFonts w:asciiTheme="minorHAnsi" w:hAnsiTheme="minorHAnsi" w:cs="Arial"/>
          <w:color w:val="000000" w:themeColor="text1"/>
          <w:shd w:val="clear" w:color="auto" w:fill="FFFFFF"/>
        </w:rPr>
        <w:t>,</w:t>
      </w:r>
      <w:r w:rsidRPr="006E5A45">
        <w:rPr>
          <w:rFonts w:asciiTheme="minorHAnsi" w:hAnsiTheme="minorHAnsi" w:cs="Arial"/>
          <w:color w:val="000000" w:themeColor="text1"/>
          <w:shd w:val="clear" w:color="auto" w:fill="FFFFFF"/>
        </w:rPr>
        <w:t xml:space="preserve"> while the kappa value states how accurate the classification is compared to a randomly generated one. </w:t>
      </w:r>
    </w:p>
    <w:tbl>
      <w:tblPr>
        <w:tblStyle w:val="PlainTable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
        <w:gridCol w:w="1081"/>
        <w:gridCol w:w="1042"/>
        <w:gridCol w:w="1101"/>
        <w:gridCol w:w="1042"/>
        <w:gridCol w:w="1395"/>
        <w:gridCol w:w="1131"/>
        <w:gridCol w:w="1163"/>
      </w:tblGrid>
      <w:tr w:rsidR="00FB0582" w:rsidRPr="00384002" w14:paraId="7662A43F" w14:textId="77777777" w:rsidTr="00C93F2A">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746" w:type="pct"/>
          </w:tcPr>
          <w:p w14:paraId="5D6624BF" w14:textId="3C3B547A" w:rsidR="00FB0582" w:rsidRPr="00B22C36" w:rsidRDefault="00FB0582" w:rsidP="00612BB0">
            <w:pPr>
              <w:spacing w:line="360" w:lineRule="auto"/>
              <w:rPr>
                <w:rFonts w:asciiTheme="minorHAnsi" w:hAnsiTheme="minorHAnsi"/>
                <w:iCs/>
                <w:sz w:val="22"/>
                <w:szCs w:val="22"/>
              </w:rPr>
            </w:pPr>
          </w:p>
        </w:tc>
        <w:tc>
          <w:tcPr>
            <w:tcW w:w="578" w:type="pct"/>
            <w:vAlign w:val="center"/>
          </w:tcPr>
          <w:p w14:paraId="329CA966" w14:textId="77777777" w:rsidR="00FB0582" w:rsidRPr="00B22C36" w:rsidRDefault="00FB0582" w:rsidP="00C93F2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i/>
                <w:sz w:val="22"/>
                <w:szCs w:val="22"/>
              </w:rPr>
            </w:pPr>
            <w:r w:rsidRPr="00B22C36">
              <w:rPr>
                <w:rFonts w:asciiTheme="minorHAnsi" w:hAnsiTheme="minorHAnsi"/>
                <w:b w:val="0"/>
                <w:bCs w:val="0"/>
                <w:i/>
                <w:sz w:val="22"/>
                <w:szCs w:val="22"/>
              </w:rPr>
              <w:t>Water</w:t>
            </w:r>
          </w:p>
        </w:tc>
        <w:tc>
          <w:tcPr>
            <w:tcW w:w="557" w:type="pct"/>
            <w:vAlign w:val="center"/>
          </w:tcPr>
          <w:p w14:paraId="3F1B8B1E" w14:textId="77777777" w:rsidR="00FB0582" w:rsidRPr="00B22C36" w:rsidRDefault="00FB0582" w:rsidP="00C93F2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i/>
                <w:sz w:val="22"/>
                <w:szCs w:val="22"/>
              </w:rPr>
            </w:pPr>
            <w:r w:rsidRPr="00B22C36">
              <w:rPr>
                <w:rFonts w:asciiTheme="minorHAnsi" w:hAnsiTheme="minorHAnsi"/>
                <w:b w:val="0"/>
                <w:bCs w:val="0"/>
                <w:i/>
                <w:sz w:val="22"/>
                <w:szCs w:val="22"/>
              </w:rPr>
              <w:t>Bare Soil</w:t>
            </w:r>
          </w:p>
        </w:tc>
        <w:tc>
          <w:tcPr>
            <w:tcW w:w="589" w:type="pct"/>
            <w:vAlign w:val="center"/>
          </w:tcPr>
          <w:p w14:paraId="1EB4C84E" w14:textId="77777777" w:rsidR="00FB0582" w:rsidRPr="00B22C36" w:rsidRDefault="00FB0582" w:rsidP="00C93F2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i/>
                <w:sz w:val="22"/>
                <w:szCs w:val="22"/>
              </w:rPr>
            </w:pPr>
            <w:r w:rsidRPr="00B22C36">
              <w:rPr>
                <w:rFonts w:asciiTheme="minorHAnsi" w:hAnsiTheme="minorHAnsi"/>
                <w:b w:val="0"/>
                <w:bCs w:val="0"/>
                <w:i/>
                <w:sz w:val="22"/>
                <w:szCs w:val="22"/>
              </w:rPr>
              <w:t>Coarse Veg.</w:t>
            </w:r>
          </w:p>
        </w:tc>
        <w:tc>
          <w:tcPr>
            <w:tcW w:w="557" w:type="pct"/>
            <w:vAlign w:val="center"/>
          </w:tcPr>
          <w:p w14:paraId="187519FA" w14:textId="77777777" w:rsidR="00FB0582" w:rsidRPr="00B22C36" w:rsidRDefault="00FB0582" w:rsidP="00C93F2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i/>
                <w:sz w:val="22"/>
                <w:szCs w:val="22"/>
              </w:rPr>
            </w:pPr>
            <w:r w:rsidRPr="00B22C36">
              <w:rPr>
                <w:rFonts w:asciiTheme="minorHAnsi" w:hAnsiTheme="minorHAnsi"/>
                <w:b w:val="0"/>
                <w:bCs w:val="0"/>
                <w:i/>
                <w:sz w:val="22"/>
                <w:szCs w:val="22"/>
              </w:rPr>
              <w:t>Fine Veg.</w:t>
            </w:r>
          </w:p>
        </w:tc>
        <w:tc>
          <w:tcPr>
            <w:tcW w:w="746" w:type="pct"/>
            <w:vAlign w:val="center"/>
          </w:tcPr>
          <w:p w14:paraId="5F7243CA" w14:textId="77777777" w:rsidR="00FB0582" w:rsidRPr="00B22C36" w:rsidRDefault="00FB0582" w:rsidP="00C93F2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i/>
                <w:sz w:val="22"/>
                <w:szCs w:val="22"/>
              </w:rPr>
            </w:pPr>
            <w:r w:rsidRPr="00B22C36">
              <w:rPr>
                <w:rFonts w:asciiTheme="minorHAnsi" w:hAnsiTheme="minorHAnsi"/>
                <w:b w:val="0"/>
                <w:bCs w:val="0"/>
                <w:i/>
                <w:sz w:val="22"/>
                <w:szCs w:val="22"/>
              </w:rPr>
              <w:t>Impervious Surfaces</w:t>
            </w:r>
          </w:p>
        </w:tc>
        <w:tc>
          <w:tcPr>
            <w:tcW w:w="605" w:type="pct"/>
            <w:vAlign w:val="center"/>
          </w:tcPr>
          <w:p w14:paraId="3D9F9086" w14:textId="77777777" w:rsidR="00FB0582" w:rsidRPr="00B22C36" w:rsidRDefault="00FB0582" w:rsidP="00C93F2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i/>
                <w:sz w:val="22"/>
                <w:szCs w:val="22"/>
              </w:rPr>
            </w:pPr>
            <w:r w:rsidRPr="00B22C36">
              <w:rPr>
                <w:rFonts w:asciiTheme="minorHAnsi" w:hAnsiTheme="minorHAnsi"/>
                <w:b w:val="0"/>
                <w:bCs w:val="0"/>
                <w:i/>
                <w:sz w:val="22"/>
                <w:szCs w:val="22"/>
              </w:rPr>
              <w:t>Shadow</w:t>
            </w:r>
          </w:p>
        </w:tc>
        <w:tc>
          <w:tcPr>
            <w:tcW w:w="623" w:type="pct"/>
            <w:vAlign w:val="center"/>
          </w:tcPr>
          <w:p w14:paraId="2D782CFD" w14:textId="77777777" w:rsidR="00FB0582" w:rsidRPr="00B22C36" w:rsidRDefault="00FB0582" w:rsidP="00C93F2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User’s Accuracy</w:t>
            </w:r>
          </w:p>
        </w:tc>
      </w:tr>
      <w:tr w:rsidR="00FB0582" w:rsidRPr="00384002" w14:paraId="4E657FDF" w14:textId="77777777" w:rsidTr="00801B6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46" w:type="pct"/>
            <w:vAlign w:val="center"/>
          </w:tcPr>
          <w:p w14:paraId="414409E2" w14:textId="77777777" w:rsidR="00FB0582" w:rsidRPr="00B22C36" w:rsidRDefault="00FB0582" w:rsidP="00C93F2A">
            <w:pPr>
              <w:jc w:val="center"/>
              <w:rPr>
                <w:rFonts w:asciiTheme="minorHAnsi" w:hAnsiTheme="minorHAnsi"/>
                <w:b w:val="0"/>
                <w:bCs w:val="0"/>
                <w:i/>
                <w:sz w:val="22"/>
                <w:szCs w:val="22"/>
              </w:rPr>
            </w:pPr>
            <w:r w:rsidRPr="00B22C36">
              <w:rPr>
                <w:rFonts w:asciiTheme="minorHAnsi" w:hAnsiTheme="minorHAnsi"/>
                <w:b w:val="0"/>
                <w:bCs w:val="0"/>
                <w:i/>
                <w:sz w:val="22"/>
                <w:szCs w:val="22"/>
              </w:rPr>
              <w:t>Water</w:t>
            </w:r>
          </w:p>
        </w:tc>
        <w:tc>
          <w:tcPr>
            <w:tcW w:w="578" w:type="pct"/>
            <w:vAlign w:val="center"/>
          </w:tcPr>
          <w:p w14:paraId="6A3C0CD3"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45</w:t>
            </w:r>
          </w:p>
        </w:tc>
        <w:tc>
          <w:tcPr>
            <w:tcW w:w="557" w:type="pct"/>
            <w:vAlign w:val="center"/>
          </w:tcPr>
          <w:p w14:paraId="1CC4DFCF"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589" w:type="pct"/>
            <w:vAlign w:val="center"/>
          </w:tcPr>
          <w:p w14:paraId="47CAC3EB"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557" w:type="pct"/>
            <w:vAlign w:val="center"/>
          </w:tcPr>
          <w:p w14:paraId="48CADF4B"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746" w:type="pct"/>
            <w:vAlign w:val="center"/>
          </w:tcPr>
          <w:p w14:paraId="29E520AE"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4</w:t>
            </w:r>
          </w:p>
        </w:tc>
        <w:tc>
          <w:tcPr>
            <w:tcW w:w="605" w:type="pct"/>
            <w:vAlign w:val="center"/>
          </w:tcPr>
          <w:p w14:paraId="56238448"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623" w:type="pct"/>
            <w:vAlign w:val="center"/>
          </w:tcPr>
          <w:p w14:paraId="2B96AC87"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92%</w:t>
            </w:r>
          </w:p>
        </w:tc>
      </w:tr>
      <w:tr w:rsidR="00FB0582" w:rsidRPr="00384002" w14:paraId="2D0BF31C" w14:textId="77777777" w:rsidTr="00801B69">
        <w:trPr>
          <w:trHeight w:val="288"/>
        </w:trPr>
        <w:tc>
          <w:tcPr>
            <w:cnfStyle w:val="001000000000" w:firstRow="0" w:lastRow="0" w:firstColumn="1" w:lastColumn="0" w:oddVBand="0" w:evenVBand="0" w:oddHBand="0" w:evenHBand="0" w:firstRowFirstColumn="0" w:firstRowLastColumn="0" w:lastRowFirstColumn="0" w:lastRowLastColumn="0"/>
            <w:tcW w:w="746" w:type="pct"/>
            <w:vAlign w:val="center"/>
          </w:tcPr>
          <w:p w14:paraId="26E77D22" w14:textId="77777777" w:rsidR="00FB0582" w:rsidRPr="00B22C36" w:rsidRDefault="00FB0582" w:rsidP="00C93F2A">
            <w:pPr>
              <w:jc w:val="center"/>
              <w:rPr>
                <w:rFonts w:asciiTheme="minorHAnsi" w:hAnsiTheme="minorHAnsi"/>
                <w:b w:val="0"/>
                <w:bCs w:val="0"/>
                <w:i/>
                <w:sz w:val="22"/>
                <w:szCs w:val="22"/>
              </w:rPr>
            </w:pPr>
            <w:r w:rsidRPr="00B22C36">
              <w:rPr>
                <w:rFonts w:asciiTheme="minorHAnsi" w:hAnsiTheme="minorHAnsi"/>
                <w:b w:val="0"/>
                <w:bCs w:val="0"/>
                <w:i/>
                <w:sz w:val="22"/>
                <w:szCs w:val="22"/>
              </w:rPr>
              <w:t>Bare Soil</w:t>
            </w:r>
          </w:p>
        </w:tc>
        <w:tc>
          <w:tcPr>
            <w:tcW w:w="578" w:type="pct"/>
            <w:vAlign w:val="center"/>
          </w:tcPr>
          <w:p w14:paraId="19B84324"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557" w:type="pct"/>
            <w:vAlign w:val="center"/>
          </w:tcPr>
          <w:p w14:paraId="4CF481FC"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20</w:t>
            </w:r>
          </w:p>
        </w:tc>
        <w:tc>
          <w:tcPr>
            <w:tcW w:w="589" w:type="pct"/>
            <w:vAlign w:val="center"/>
          </w:tcPr>
          <w:p w14:paraId="5B2B8C71"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13</w:t>
            </w:r>
          </w:p>
        </w:tc>
        <w:tc>
          <w:tcPr>
            <w:tcW w:w="557" w:type="pct"/>
            <w:vAlign w:val="center"/>
          </w:tcPr>
          <w:p w14:paraId="30B7BA78"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9</w:t>
            </w:r>
          </w:p>
        </w:tc>
        <w:tc>
          <w:tcPr>
            <w:tcW w:w="746" w:type="pct"/>
            <w:vAlign w:val="center"/>
          </w:tcPr>
          <w:p w14:paraId="13796B42"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13</w:t>
            </w:r>
          </w:p>
        </w:tc>
        <w:tc>
          <w:tcPr>
            <w:tcW w:w="605" w:type="pct"/>
            <w:vAlign w:val="center"/>
          </w:tcPr>
          <w:p w14:paraId="34147867"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623" w:type="pct"/>
            <w:vAlign w:val="center"/>
          </w:tcPr>
          <w:p w14:paraId="105BCE74" w14:textId="77777777" w:rsidR="00FB0582" w:rsidRPr="00B22C36" w:rsidRDefault="00FB0582" w:rsidP="00C93F2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36%</w:t>
            </w:r>
          </w:p>
        </w:tc>
      </w:tr>
      <w:tr w:rsidR="00FB0582" w:rsidRPr="00384002" w14:paraId="4D9CE7BC" w14:textId="77777777" w:rsidTr="00801B6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746" w:type="pct"/>
            <w:vAlign w:val="center"/>
          </w:tcPr>
          <w:p w14:paraId="3E7A5123" w14:textId="77D9479C" w:rsidR="00FB0582" w:rsidRPr="00B22C36" w:rsidRDefault="00FB0582" w:rsidP="00C93F2A">
            <w:pPr>
              <w:jc w:val="center"/>
              <w:rPr>
                <w:rFonts w:asciiTheme="minorHAnsi" w:hAnsiTheme="minorHAnsi"/>
                <w:b w:val="0"/>
                <w:bCs w:val="0"/>
                <w:i/>
                <w:sz w:val="22"/>
                <w:szCs w:val="22"/>
              </w:rPr>
            </w:pPr>
            <w:r w:rsidRPr="00B22C36">
              <w:rPr>
                <w:rFonts w:asciiTheme="minorHAnsi" w:hAnsiTheme="minorHAnsi"/>
                <w:b w:val="0"/>
                <w:bCs w:val="0"/>
                <w:i/>
                <w:sz w:val="22"/>
                <w:szCs w:val="22"/>
              </w:rPr>
              <w:t>Coarse Veg.</w:t>
            </w:r>
          </w:p>
        </w:tc>
        <w:tc>
          <w:tcPr>
            <w:tcW w:w="578" w:type="pct"/>
            <w:vAlign w:val="center"/>
          </w:tcPr>
          <w:p w14:paraId="75878EFE"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557" w:type="pct"/>
            <w:vAlign w:val="center"/>
          </w:tcPr>
          <w:p w14:paraId="6C8599F6"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589" w:type="pct"/>
            <w:vAlign w:val="center"/>
          </w:tcPr>
          <w:p w14:paraId="5C705D97"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430</w:t>
            </w:r>
          </w:p>
        </w:tc>
        <w:tc>
          <w:tcPr>
            <w:tcW w:w="557" w:type="pct"/>
            <w:vAlign w:val="center"/>
          </w:tcPr>
          <w:p w14:paraId="5DC340FF"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47</w:t>
            </w:r>
          </w:p>
        </w:tc>
        <w:tc>
          <w:tcPr>
            <w:tcW w:w="746" w:type="pct"/>
            <w:vAlign w:val="center"/>
          </w:tcPr>
          <w:p w14:paraId="26A159FE"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87</w:t>
            </w:r>
          </w:p>
        </w:tc>
        <w:tc>
          <w:tcPr>
            <w:tcW w:w="605" w:type="pct"/>
            <w:vAlign w:val="center"/>
          </w:tcPr>
          <w:p w14:paraId="17063992"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623" w:type="pct"/>
            <w:vAlign w:val="center"/>
          </w:tcPr>
          <w:p w14:paraId="64DB56C6"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77%</w:t>
            </w:r>
          </w:p>
        </w:tc>
      </w:tr>
      <w:tr w:rsidR="00FB0582" w:rsidRPr="00384002" w14:paraId="7E3D4810" w14:textId="77777777" w:rsidTr="00801B69">
        <w:trPr>
          <w:trHeight w:val="277"/>
        </w:trPr>
        <w:tc>
          <w:tcPr>
            <w:cnfStyle w:val="001000000000" w:firstRow="0" w:lastRow="0" w:firstColumn="1" w:lastColumn="0" w:oddVBand="0" w:evenVBand="0" w:oddHBand="0" w:evenHBand="0" w:firstRowFirstColumn="0" w:firstRowLastColumn="0" w:lastRowFirstColumn="0" w:lastRowLastColumn="0"/>
            <w:tcW w:w="746" w:type="pct"/>
            <w:vAlign w:val="center"/>
          </w:tcPr>
          <w:p w14:paraId="1772F02A" w14:textId="77777777" w:rsidR="00FB0582" w:rsidRPr="00B22C36" w:rsidRDefault="00FB0582" w:rsidP="00C93F2A">
            <w:pPr>
              <w:jc w:val="center"/>
              <w:rPr>
                <w:rFonts w:asciiTheme="minorHAnsi" w:hAnsiTheme="minorHAnsi"/>
                <w:b w:val="0"/>
                <w:bCs w:val="0"/>
                <w:i/>
                <w:sz w:val="22"/>
                <w:szCs w:val="22"/>
              </w:rPr>
            </w:pPr>
            <w:r w:rsidRPr="00B22C36">
              <w:rPr>
                <w:rFonts w:asciiTheme="minorHAnsi" w:hAnsiTheme="minorHAnsi"/>
                <w:b w:val="0"/>
                <w:bCs w:val="0"/>
                <w:i/>
                <w:sz w:val="22"/>
                <w:szCs w:val="22"/>
              </w:rPr>
              <w:t>Fine Veg.</w:t>
            </w:r>
          </w:p>
        </w:tc>
        <w:tc>
          <w:tcPr>
            <w:tcW w:w="578" w:type="pct"/>
            <w:vAlign w:val="center"/>
          </w:tcPr>
          <w:p w14:paraId="2F743F12"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557" w:type="pct"/>
            <w:vAlign w:val="center"/>
          </w:tcPr>
          <w:p w14:paraId="19A457C7"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1</w:t>
            </w:r>
          </w:p>
        </w:tc>
        <w:tc>
          <w:tcPr>
            <w:tcW w:w="589" w:type="pct"/>
            <w:vAlign w:val="center"/>
          </w:tcPr>
          <w:p w14:paraId="50C836A6"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26</w:t>
            </w:r>
          </w:p>
        </w:tc>
        <w:tc>
          <w:tcPr>
            <w:tcW w:w="557" w:type="pct"/>
            <w:vAlign w:val="center"/>
          </w:tcPr>
          <w:p w14:paraId="2BE5517A"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268</w:t>
            </w:r>
          </w:p>
        </w:tc>
        <w:tc>
          <w:tcPr>
            <w:tcW w:w="746" w:type="pct"/>
            <w:vAlign w:val="center"/>
          </w:tcPr>
          <w:p w14:paraId="177380A0"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4</w:t>
            </w:r>
          </w:p>
        </w:tc>
        <w:tc>
          <w:tcPr>
            <w:tcW w:w="605" w:type="pct"/>
            <w:vAlign w:val="center"/>
          </w:tcPr>
          <w:p w14:paraId="451A42A8"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623" w:type="pct"/>
            <w:vAlign w:val="center"/>
          </w:tcPr>
          <w:p w14:paraId="1B7BFA47" w14:textId="77777777" w:rsidR="00FB0582" w:rsidRPr="00B22C36" w:rsidRDefault="00FB0582" w:rsidP="00C93F2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90%</w:t>
            </w:r>
          </w:p>
        </w:tc>
      </w:tr>
      <w:tr w:rsidR="00FB0582" w:rsidRPr="00384002" w14:paraId="046AD194" w14:textId="77777777" w:rsidTr="00801B6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746" w:type="pct"/>
            <w:vAlign w:val="center"/>
          </w:tcPr>
          <w:p w14:paraId="10027897" w14:textId="77777777" w:rsidR="00FB0582" w:rsidRPr="00B22C36" w:rsidRDefault="00FB0582" w:rsidP="00C93F2A">
            <w:pPr>
              <w:jc w:val="center"/>
              <w:rPr>
                <w:rFonts w:asciiTheme="minorHAnsi" w:hAnsiTheme="minorHAnsi"/>
                <w:b w:val="0"/>
                <w:bCs w:val="0"/>
                <w:i/>
                <w:sz w:val="22"/>
                <w:szCs w:val="22"/>
              </w:rPr>
            </w:pPr>
            <w:r w:rsidRPr="00B22C36">
              <w:rPr>
                <w:rFonts w:asciiTheme="minorHAnsi" w:hAnsiTheme="minorHAnsi"/>
                <w:b w:val="0"/>
                <w:bCs w:val="0"/>
                <w:i/>
                <w:sz w:val="22"/>
                <w:szCs w:val="22"/>
              </w:rPr>
              <w:t>Impervious Surfaces</w:t>
            </w:r>
          </w:p>
        </w:tc>
        <w:tc>
          <w:tcPr>
            <w:tcW w:w="578" w:type="pct"/>
            <w:vAlign w:val="center"/>
          </w:tcPr>
          <w:p w14:paraId="49D8E630"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6</w:t>
            </w:r>
          </w:p>
        </w:tc>
        <w:tc>
          <w:tcPr>
            <w:tcW w:w="557" w:type="pct"/>
            <w:vAlign w:val="center"/>
          </w:tcPr>
          <w:p w14:paraId="21039528"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10</w:t>
            </w:r>
          </w:p>
        </w:tc>
        <w:tc>
          <w:tcPr>
            <w:tcW w:w="589" w:type="pct"/>
            <w:vAlign w:val="center"/>
          </w:tcPr>
          <w:p w14:paraId="217DF194"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49</w:t>
            </w:r>
          </w:p>
        </w:tc>
        <w:tc>
          <w:tcPr>
            <w:tcW w:w="557" w:type="pct"/>
            <w:vAlign w:val="center"/>
          </w:tcPr>
          <w:p w14:paraId="77A990A1"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49</w:t>
            </w:r>
          </w:p>
        </w:tc>
        <w:tc>
          <w:tcPr>
            <w:tcW w:w="746" w:type="pct"/>
            <w:vAlign w:val="center"/>
          </w:tcPr>
          <w:p w14:paraId="3F1E76D6"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838</w:t>
            </w:r>
          </w:p>
        </w:tc>
        <w:tc>
          <w:tcPr>
            <w:tcW w:w="605" w:type="pct"/>
            <w:vAlign w:val="center"/>
          </w:tcPr>
          <w:p w14:paraId="0EC1BD72" w14:textId="77777777" w:rsidR="00FB0582" w:rsidRPr="00B22C36" w:rsidRDefault="00FB0582" w:rsidP="00801B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p>
        </w:tc>
        <w:tc>
          <w:tcPr>
            <w:tcW w:w="623" w:type="pct"/>
            <w:vAlign w:val="center"/>
          </w:tcPr>
          <w:p w14:paraId="398D7FC1"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88%</w:t>
            </w:r>
          </w:p>
        </w:tc>
      </w:tr>
      <w:tr w:rsidR="00FB0582" w:rsidRPr="00384002" w14:paraId="2A3DBF7D" w14:textId="77777777" w:rsidTr="00801B69">
        <w:trPr>
          <w:trHeight w:val="288"/>
        </w:trPr>
        <w:tc>
          <w:tcPr>
            <w:cnfStyle w:val="001000000000" w:firstRow="0" w:lastRow="0" w:firstColumn="1" w:lastColumn="0" w:oddVBand="0" w:evenVBand="0" w:oddHBand="0" w:evenHBand="0" w:firstRowFirstColumn="0" w:firstRowLastColumn="0" w:lastRowFirstColumn="0" w:lastRowLastColumn="0"/>
            <w:tcW w:w="746" w:type="pct"/>
            <w:vAlign w:val="center"/>
          </w:tcPr>
          <w:p w14:paraId="10F6D2AA" w14:textId="77777777" w:rsidR="00FB0582" w:rsidRPr="00B22C36" w:rsidRDefault="00FB0582" w:rsidP="00C93F2A">
            <w:pPr>
              <w:jc w:val="center"/>
              <w:rPr>
                <w:rFonts w:asciiTheme="minorHAnsi" w:hAnsiTheme="minorHAnsi"/>
                <w:b w:val="0"/>
                <w:bCs w:val="0"/>
                <w:i/>
                <w:sz w:val="22"/>
                <w:szCs w:val="22"/>
              </w:rPr>
            </w:pPr>
            <w:r w:rsidRPr="00B22C36">
              <w:rPr>
                <w:rFonts w:asciiTheme="minorHAnsi" w:hAnsiTheme="minorHAnsi"/>
                <w:b w:val="0"/>
                <w:bCs w:val="0"/>
                <w:i/>
                <w:sz w:val="22"/>
                <w:szCs w:val="22"/>
              </w:rPr>
              <w:t>Shadow</w:t>
            </w:r>
          </w:p>
        </w:tc>
        <w:tc>
          <w:tcPr>
            <w:tcW w:w="578" w:type="pct"/>
            <w:vAlign w:val="center"/>
          </w:tcPr>
          <w:p w14:paraId="67FC8A90"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4</w:t>
            </w:r>
          </w:p>
        </w:tc>
        <w:tc>
          <w:tcPr>
            <w:tcW w:w="557" w:type="pct"/>
            <w:vAlign w:val="center"/>
          </w:tcPr>
          <w:p w14:paraId="5E5CA91A"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589" w:type="pct"/>
            <w:vAlign w:val="center"/>
          </w:tcPr>
          <w:p w14:paraId="23D02EC7"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3</w:t>
            </w:r>
          </w:p>
        </w:tc>
        <w:tc>
          <w:tcPr>
            <w:tcW w:w="557" w:type="pct"/>
            <w:vAlign w:val="center"/>
          </w:tcPr>
          <w:p w14:paraId="049F4417"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0</w:t>
            </w:r>
          </w:p>
        </w:tc>
        <w:tc>
          <w:tcPr>
            <w:tcW w:w="746" w:type="pct"/>
            <w:vAlign w:val="center"/>
          </w:tcPr>
          <w:p w14:paraId="6D03D7E1"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9</w:t>
            </w:r>
          </w:p>
        </w:tc>
        <w:tc>
          <w:tcPr>
            <w:tcW w:w="605" w:type="pct"/>
            <w:vAlign w:val="center"/>
          </w:tcPr>
          <w:p w14:paraId="477DD56A" w14:textId="77777777" w:rsidR="00FB0582" w:rsidRPr="00B22C36" w:rsidRDefault="00FB0582" w:rsidP="00801B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iCs/>
                <w:sz w:val="22"/>
                <w:szCs w:val="22"/>
              </w:rPr>
            </w:pPr>
            <w:r w:rsidRPr="00B22C36">
              <w:rPr>
                <w:rFonts w:asciiTheme="minorHAnsi" w:hAnsiTheme="minorHAnsi"/>
                <w:iCs/>
                <w:sz w:val="22"/>
                <w:szCs w:val="22"/>
              </w:rPr>
              <w:t>69</w:t>
            </w:r>
          </w:p>
        </w:tc>
        <w:tc>
          <w:tcPr>
            <w:tcW w:w="623" w:type="pct"/>
            <w:vAlign w:val="center"/>
          </w:tcPr>
          <w:p w14:paraId="417114F5" w14:textId="77777777" w:rsidR="00FB0582" w:rsidRPr="00B22C36" w:rsidRDefault="00FB0582" w:rsidP="00C93F2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81%</w:t>
            </w:r>
          </w:p>
        </w:tc>
      </w:tr>
      <w:tr w:rsidR="00FB0582" w:rsidRPr="00384002" w14:paraId="051E88AF" w14:textId="77777777" w:rsidTr="00C93F2A">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746" w:type="pct"/>
            <w:vAlign w:val="center"/>
          </w:tcPr>
          <w:p w14:paraId="1DE7F900" w14:textId="77777777" w:rsidR="00FB0582" w:rsidRPr="00B22C36" w:rsidRDefault="00FB0582" w:rsidP="00C93F2A">
            <w:pPr>
              <w:jc w:val="center"/>
              <w:rPr>
                <w:rFonts w:asciiTheme="minorHAnsi" w:hAnsiTheme="minorHAnsi"/>
                <w:iCs/>
                <w:sz w:val="22"/>
                <w:szCs w:val="22"/>
              </w:rPr>
            </w:pPr>
            <w:r w:rsidRPr="00B22C36">
              <w:rPr>
                <w:rFonts w:asciiTheme="minorHAnsi" w:hAnsiTheme="minorHAnsi"/>
                <w:iCs/>
                <w:sz w:val="22"/>
                <w:szCs w:val="22"/>
              </w:rPr>
              <w:t>Producer’s Accuracy</w:t>
            </w:r>
          </w:p>
        </w:tc>
        <w:tc>
          <w:tcPr>
            <w:tcW w:w="578" w:type="pct"/>
            <w:vAlign w:val="center"/>
          </w:tcPr>
          <w:p w14:paraId="67483FA0"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82%</w:t>
            </w:r>
          </w:p>
        </w:tc>
        <w:tc>
          <w:tcPr>
            <w:tcW w:w="557" w:type="pct"/>
            <w:vAlign w:val="center"/>
          </w:tcPr>
          <w:p w14:paraId="59BDDA07"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65%</w:t>
            </w:r>
          </w:p>
        </w:tc>
        <w:tc>
          <w:tcPr>
            <w:tcW w:w="589" w:type="pct"/>
            <w:vAlign w:val="center"/>
          </w:tcPr>
          <w:p w14:paraId="636236E0"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83%</w:t>
            </w:r>
          </w:p>
        </w:tc>
        <w:tc>
          <w:tcPr>
            <w:tcW w:w="557" w:type="pct"/>
            <w:vAlign w:val="center"/>
          </w:tcPr>
          <w:p w14:paraId="49E024A3"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72%</w:t>
            </w:r>
          </w:p>
        </w:tc>
        <w:tc>
          <w:tcPr>
            <w:tcW w:w="746" w:type="pct"/>
            <w:vAlign w:val="center"/>
          </w:tcPr>
          <w:p w14:paraId="36EA6552"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88%</w:t>
            </w:r>
          </w:p>
        </w:tc>
        <w:tc>
          <w:tcPr>
            <w:tcW w:w="605" w:type="pct"/>
            <w:vAlign w:val="center"/>
          </w:tcPr>
          <w:p w14:paraId="593DC80A"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iCs/>
                <w:sz w:val="22"/>
                <w:szCs w:val="22"/>
              </w:rPr>
            </w:pPr>
            <w:r w:rsidRPr="00B22C36">
              <w:rPr>
                <w:rFonts w:asciiTheme="minorHAnsi" w:hAnsiTheme="minorHAnsi"/>
                <w:b/>
                <w:bCs/>
                <w:iCs/>
                <w:sz w:val="22"/>
                <w:szCs w:val="22"/>
              </w:rPr>
              <w:t>100%</w:t>
            </w:r>
          </w:p>
        </w:tc>
        <w:tc>
          <w:tcPr>
            <w:tcW w:w="623" w:type="pct"/>
            <w:vAlign w:val="center"/>
          </w:tcPr>
          <w:p w14:paraId="32300BE3"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b/>
                <w:bCs/>
                <w:iCs/>
                <w:sz w:val="22"/>
                <w:szCs w:val="22"/>
              </w:rPr>
              <w:t>OA:</w:t>
            </w:r>
            <w:r w:rsidRPr="00B22C36">
              <w:rPr>
                <w:rFonts w:asciiTheme="minorHAnsi" w:hAnsiTheme="minorHAnsi"/>
                <w:iCs/>
                <w:sz w:val="22"/>
                <w:szCs w:val="22"/>
              </w:rPr>
              <w:t xml:space="preserve"> 83.2%</w:t>
            </w:r>
          </w:p>
          <w:p w14:paraId="7844DEA6" w14:textId="77777777" w:rsidR="00FB0582" w:rsidRPr="00B22C36" w:rsidRDefault="00FB0582" w:rsidP="00C93F2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iCs/>
                <w:sz w:val="22"/>
                <w:szCs w:val="22"/>
              </w:rPr>
            </w:pPr>
            <w:r w:rsidRPr="00B22C36">
              <w:rPr>
                <w:rFonts w:asciiTheme="minorHAnsi" w:hAnsiTheme="minorHAnsi"/>
                <w:b/>
                <w:bCs/>
                <w:iCs/>
                <w:sz w:val="22"/>
                <w:szCs w:val="22"/>
              </w:rPr>
              <w:t>Kappa:</w:t>
            </w:r>
            <w:r w:rsidRPr="00B22C36">
              <w:rPr>
                <w:rFonts w:asciiTheme="minorHAnsi" w:hAnsiTheme="minorHAnsi"/>
                <w:iCs/>
                <w:sz w:val="22"/>
                <w:szCs w:val="22"/>
              </w:rPr>
              <w:t xml:space="preserve"> 0.75</w:t>
            </w:r>
          </w:p>
        </w:tc>
      </w:tr>
    </w:tbl>
    <w:p w14:paraId="26F7059B" w14:textId="77777777" w:rsidR="00BB6905" w:rsidRPr="00C56EE2" w:rsidRDefault="00BB6905" w:rsidP="00C93F2A">
      <w:pPr>
        <w:spacing w:line="360" w:lineRule="auto"/>
        <w:rPr>
          <w:color w:val="000000" w:themeColor="text1"/>
        </w:rPr>
      </w:pPr>
    </w:p>
    <w:sectPr w:rsidR="00BB6905" w:rsidRPr="00C56EE2" w:rsidSect="009842C5">
      <w:type w:val="continuous"/>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69F12C" w14:textId="77777777" w:rsidR="00240ACF" w:rsidRDefault="00240ACF">
      <w:r>
        <w:separator/>
      </w:r>
    </w:p>
  </w:endnote>
  <w:endnote w:type="continuationSeparator" w:id="0">
    <w:p w14:paraId="33A9B683" w14:textId="77777777" w:rsidR="00240ACF" w:rsidRDefault="0024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Segoe UI">
    <w:panose1 w:val="020B0604020202020204"/>
    <w:charset w:val="00"/>
    <w:family w:val="swiss"/>
    <w:pitch w:val="variable"/>
    <w:sig w:usb0="E4002EFF" w:usb1="C000E47F" w:usb2="00000009" w:usb3="00000000" w:csb0="000001FF" w:csb1="00000000"/>
  </w:font>
  <w:font w:name="Lato">
    <w:altName w:val="Segoe UI"/>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5342693"/>
      <w:docPartObj>
        <w:docPartGallery w:val="Page Numbers (Bottom of Page)"/>
        <w:docPartUnique/>
      </w:docPartObj>
    </w:sdtPr>
    <w:sdtEndPr>
      <w:rPr>
        <w:rStyle w:val="PageNumber"/>
      </w:rPr>
    </w:sdtEndPr>
    <w:sdtContent>
      <w:p w14:paraId="045357FA" w14:textId="42C82DE9" w:rsidR="00690187" w:rsidRDefault="00690187" w:rsidP="00283D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F07AC">
          <w:rPr>
            <w:rStyle w:val="PageNumber"/>
            <w:noProof/>
          </w:rPr>
          <w:t>II</w:t>
        </w:r>
        <w:r>
          <w:rPr>
            <w:rStyle w:val="PageNumber"/>
          </w:rPr>
          <w:fldChar w:fldCharType="end"/>
        </w:r>
      </w:p>
    </w:sdtContent>
  </w:sdt>
  <w:p w14:paraId="7FDAB4B4" w14:textId="77777777" w:rsidR="00690187" w:rsidRDefault="00690187" w:rsidP="001908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8531698"/>
      <w:docPartObj>
        <w:docPartGallery w:val="Page Numbers (Bottom of Page)"/>
        <w:docPartUnique/>
      </w:docPartObj>
    </w:sdtPr>
    <w:sdtEndPr>
      <w:rPr>
        <w:rStyle w:val="PageNumber"/>
      </w:rPr>
    </w:sdtEndPr>
    <w:sdtContent>
      <w:p w14:paraId="53E7EA87" w14:textId="287C8F6E" w:rsidR="00283D51" w:rsidRDefault="00283D51" w:rsidP="00283D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87242">
          <w:rPr>
            <w:rStyle w:val="PageNumber"/>
            <w:noProof/>
          </w:rPr>
          <w:t>76</w:t>
        </w:r>
        <w:r>
          <w:rPr>
            <w:rStyle w:val="PageNumber"/>
          </w:rPr>
          <w:fldChar w:fldCharType="end"/>
        </w:r>
      </w:p>
    </w:sdtContent>
  </w:sdt>
  <w:p w14:paraId="307D479B" w14:textId="77777777" w:rsidR="00690187" w:rsidRDefault="00690187" w:rsidP="001908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082D68" w14:textId="77777777" w:rsidR="00240ACF" w:rsidRDefault="00240ACF">
      <w:r>
        <w:separator/>
      </w:r>
    </w:p>
  </w:footnote>
  <w:footnote w:type="continuationSeparator" w:id="0">
    <w:p w14:paraId="222C18AC" w14:textId="77777777" w:rsidR="00240ACF" w:rsidRDefault="0024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B82C4" w14:textId="77777777" w:rsidR="00690187" w:rsidRDefault="006901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A54C8"/>
    <w:multiLevelType w:val="multilevel"/>
    <w:tmpl w:val="931AE7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624704"/>
    <w:multiLevelType w:val="multilevel"/>
    <w:tmpl w:val="4E20B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895535"/>
    <w:multiLevelType w:val="multilevel"/>
    <w:tmpl w:val="4920E0C0"/>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016D7C"/>
    <w:multiLevelType w:val="multilevel"/>
    <w:tmpl w:val="152A4730"/>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195794"/>
    <w:multiLevelType w:val="multilevel"/>
    <w:tmpl w:val="35B8362A"/>
    <w:lvl w:ilvl="0">
      <w:start w:val="1"/>
      <w:numFmt w:val="decimal"/>
      <w:lvlText w:val="%1"/>
      <w:lvlJc w:val="left"/>
      <w:pPr>
        <w:ind w:left="360" w:hanging="360"/>
      </w:pPr>
      <w:rPr>
        <w:rFonts w:hint="default"/>
      </w:rPr>
    </w:lvl>
    <w:lvl w:ilvl="1">
      <w:start w:val="1"/>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000" w:hanging="1800"/>
      </w:pPr>
      <w:rPr>
        <w:rFonts w:hint="default"/>
      </w:rPr>
    </w:lvl>
  </w:abstractNum>
  <w:abstractNum w:abstractNumId="5" w15:restartNumberingAfterBreak="0">
    <w:nsid w:val="0A966003"/>
    <w:multiLevelType w:val="multilevel"/>
    <w:tmpl w:val="561856BA"/>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F63418"/>
    <w:multiLevelType w:val="multilevel"/>
    <w:tmpl w:val="94B08908"/>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EFB64DF"/>
    <w:multiLevelType w:val="multilevel"/>
    <w:tmpl w:val="361E7346"/>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C03B18"/>
    <w:multiLevelType w:val="multilevel"/>
    <w:tmpl w:val="A6FCB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1D5097"/>
    <w:multiLevelType w:val="multilevel"/>
    <w:tmpl w:val="F4865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C7283C"/>
    <w:multiLevelType w:val="multilevel"/>
    <w:tmpl w:val="93549D70"/>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CE230C"/>
    <w:multiLevelType w:val="multilevel"/>
    <w:tmpl w:val="58B6B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FD0DD4"/>
    <w:multiLevelType w:val="multilevel"/>
    <w:tmpl w:val="5222552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9504A0"/>
    <w:multiLevelType w:val="multilevel"/>
    <w:tmpl w:val="1B2E2D2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898093A"/>
    <w:multiLevelType w:val="multilevel"/>
    <w:tmpl w:val="6FF48170"/>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932E9C"/>
    <w:multiLevelType w:val="hybridMultilevel"/>
    <w:tmpl w:val="18500F12"/>
    <w:lvl w:ilvl="0" w:tplc="A34E5CD2">
      <w:start w:val="1"/>
      <w:numFmt w:val="decimal"/>
      <w:lvlText w:val="%1."/>
      <w:lvlJc w:val="left"/>
      <w:pPr>
        <w:ind w:left="540" w:hanging="540"/>
      </w:pPr>
      <w:rPr>
        <w:rFonts w:asciiTheme="minorHAnsi" w:hAnsiTheme="minorHAnsi" w:cstheme="minorHAnsi" w:hint="default"/>
        <w:color w:val="000000" w:themeColor="text1"/>
        <w:sz w:val="24"/>
        <w:szCs w:val="24"/>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06D74BA"/>
    <w:multiLevelType w:val="multilevel"/>
    <w:tmpl w:val="BA96935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692FEF"/>
    <w:multiLevelType w:val="multilevel"/>
    <w:tmpl w:val="4A726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941A91"/>
    <w:multiLevelType w:val="hybridMultilevel"/>
    <w:tmpl w:val="98E06466"/>
    <w:lvl w:ilvl="0" w:tplc="084C8D4E">
      <w:start w:val="1"/>
      <w:numFmt w:val="decimal"/>
      <w:lvlText w:val="%1."/>
      <w:lvlJc w:val="left"/>
      <w:pPr>
        <w:ind w:left="720" w:hanging="576"/>
      </w:pPr>
      <w:rPr>
        <w:rFonts w:hint="default"/>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043361"/>
    <w:multiLevelType w:val="multilevel"/>
    <w:tmpl w:val="8138E534"/>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4A3D58"/>
    <w:multiLevelType w:val="multilevel"/>
    <w:tmpl w:val="3CE81D04"/>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8123FB"/>
    <w:multiLevelType w:val="multilevel"/>
    <w:tmpl w:val="118A3DA8"/>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BA460E"/>
    <w:multiLevelType w:val="hybridMultilevel"/>
    <w:tmpl w:val="B95C7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733A0C"/>
    <w:multiLevelType w:val="multilevel"/>
    <w:tmpl w:val="5B8EB87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B10769"/>
    <w:multiLevelType w:val="hybridMultilevel"/>
    <w:tmpl w:val="E662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CC4180"/>
    <w:multiLevelType w:val="hybridMultilevel"/>
    <w:tmpl w:val="3E1629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4E58DD"/>
    <w:multiLevelType w:val="multilevel"/>
    <w:tmpl w:val="9D02D21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ED709B"/>
    <w:multiLevelType w:val="multilevel"/>
    <w:tmpl w:val="7B90AB04"/>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3C1DFD"/>
    <w:multiLevelType w:val="multilevel"/>
    <w:tmpl w:val="6D62E17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C7F068E"/>
    <w:multiLevelType w:val="multilevel"/>
    <w:tmpl w:val="2ABCB34A"/>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377C2B"/>
    <w:multiLevelType w:val="multilevel"/>
    <w:tmpl w:val="8B4ECB8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9165B1"/>
    <w:multiLevelType w:val="multilevel"/>
    <w:tmpl w:val="2B76AAEE"/>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C17A57"/>
    <w:multiLevelType w:val="multilevel"/>
    <w:tmpl w:val="7B667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1A43F9"/>
    <w:multiLevelType w:val="multilevel"/>
    <w:tmpl w:val="DE8AF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D92A61"/>
    <w:multiLevelType w:val="multilevel"/>
    <w:tmpl w:val="67CA3B96"/>
    <w:lvl w:ilvl="0">
      <w:start w:val="1"/>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4B574B"/>
    <w:multiLevelType w:val="hybridMultilevel"/>
    <w:tmpl w:val="4E9E7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4"/>
  </w:num>
  <w:num w:numId="3">
    <w:abstractNumId w:val="0"/>
  </w:num>
  <w:num w:numId="4">
    <w:abstractNumId w:val="4"/>
  </w:num>
  <w:num w:numId="5">
    <w:abstractNumId w:val="13"/>
  </w:num>
  <w:num w:numId="6">
    <w:abstractNumId w:val="28"/>
  </w:num>
  <w:num w:numId="7">
    <w:abstractNumId w:val="25"/>
  </w:num>
  <w:num w:numId="8">
    <w:abstractNumId w:val="35"/>
  </w:num>
  <w:num w:numId="9">
    <w:abstractNumId w:val="18"/>
  </w:num>
  <w:num w:numId="10">
    <w:abstractNumId w:val="22"/>
  </w:num>
  <w:num w:numId="11">
    <w:abstractNumId w:val="10"/>
  </w:num>
  <w:num w:numId="12">
    <w:abstractNumId w:val="2"/>
  </w:num>
  <w:num w:numId="13">
    <w:abstractNumId w:val="1"/>
  </w:num>
  <w:num w:numId="14">
    <w:abstractNumId w:val="14"/>
  </w:num>
  <w:num w:numId="15">
    <w:abstractNumId w:val="21"/>
  </w:num>
  <w:num w:numId="16">
    <w:abstractNumId w:val="26"/>
  </w:num>
  <w:num w:numId="17">
    <w:abstractNumId w:val="29"/>
  </w:num>
  <w:num w:numId="18">
    <w:abstractNumId w:val="9"/>
  </w:num>
  <w:num w:numId="19">
    <w:abstractNumId w:val="19"/>
  </w:num>
  <w:num w:numId="20">
    <w:abstractNumId w:val="33"/>
  </w:num>
  <w:num w:numId="21">
    <w:abstractNumId w:val="7"/>
  </w:num>
  <w:num w:numId="22">
    <w:abstractNumId w:val="3"/>
  </w:num>
  <w:num w:numId="23">
    <w:abstractNumId w:val="32"/>
  </w:num>
  <w:num w:numId="24">
    <w:abstractNumId w:val="11"/>
  </w:num>
  <w:num w:numId="25">
    <w:abstractNumId w:val="20"/>
  </w:num>
  <w:num w:numId="26">
    <w:abstractNumId w:val="31"/>
  </w:num>
  <w:num w:numId="27">
    <w:abstractNumId w:val="8"/>
  </w:num>
  <w:num w:numId="28">
    <w:abstractNumId w:val="16"/>
  </w:num>
  <w:num w:numId="29">
    <w:abstractNumId w:val="27"/>
  </w:num>
  <w:num w:numId="30">
    <w:abstractNumId w:val="17"/>
  </w:num>
  <w:num w:numId="31">
    <w:abstractNumId w:val="5"/>
  </w:num>
  <w:num w:numId="32">
    <w:abstractNumId w:val="12"/>
  </w:num>
  <w:num w:numId="33">
    <w:abstractNumId w:val="30"/>
  </w:num>
  <w:num w:numId="34">
    <w:abstractNumId w:val="24"/>
  </w:num>
  <w:num w:numId="35">
    <w:abstractNumId w:val="23"/>
  </w:num>
  <w:num w:numId="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474"/>
    <w:rsid w:val="00000C7E"/>
    <w:rsid w:val="0000787B"/>
    <w:rsid w:val="00010D79"/>
    <w:rsid w:val="00012B01"/>
    <w:rsid w:val="000138D2"/>
    <w:rsid w:val="00015ABA"/>
    <w:rsid w:val="00022814"/>
    <w:rsid w:val="00022E7C"/>
    <w:rsid w:val="000253CA"/>
    <w:rsid w:val="00025ED7"/>
    <w:rsid w:val="0002639B"/>
    <w:rsid w:val="00030C13"/>
    <w:rsid w:val="00031887"/>
    <w:rsid w:val="000324CF"/>
    <w:rsid w:val="00032ED2"/>
    <w:rsid w:val="00033A55"/>
    <w:rsid w:val="0003453E"/>
    <w:rsid w:val="0003480B"/>
    <w:rsid w:val="00035444"/>
    <w:rsid w:val="00041EBF"/>
    <w:rsid w:val="0004484B"/>
    <w:rsid w:val="00045005"/>
    <w:rsid w:val="00045051"/>
    <w:rsid w:val="00045A70"/>
    <w:rsid w:val="00053DCA"/>
    <w:rsid w:val="0005422E"/>
    <w:rsid w:val="00054B4D"/>
    <w:rsid w:val="00056F04"/>
    <w:rsid w:val="00057C8C"/>
    <w:rsid w:val="00065D08"/>
    <w:rsid w:val="00066377"/>
    <w:rsid w:val="00067CC7"/>
    <w:rsid w:val="00071D2E"/>
    <w:rsid w:val="00071E9C"/>
    <w:rsid w:val="000747AA"/>
    <w:rsid w:val="00075885"/>
    <w:rsid w:val="00077082"/>
    <w:rsid w:val="0007791A"/>
    <w:rsid w:val="00081592"/>
    <w:rsid w:val="00084BBC"/>
    <w:rsid w:val="00085004"/>
    <w:rsid w:val="0008760F"/>
    <w:rsid w:val="0009105E"/>
    <w:rsid w:val="0009218F"/>
    <w:rsid w:val="00093529"/>
    <w:rsid w:val="000936D1"/>
    <w:rsid w:val="00093A29"/>
    <w:rsid w:val="000975C5"/>
    <w:rsid w:val="000A4965"/>
    <w:rsid w:val="000A4A29"/>
    <w:rsid w:val="000A4B75"/>
    <w:rsid w:val="000B25A2"/>
    <w:rsid w:val="000B2B46"/>
    <w:rsid w:val="000B4438"/>
    <w:rsid w:val="000C0BF9"/>
    <w:rsid w:val="000C100C"/>
    <w:rsid w:val="000C22BD"/>
    <w:rsid w:val="000C3813"/>
    <w:rsid w:val="000C4651"/>
    <w:rsid w:val="000C4ED8"/>
    <w:rsid w:val="000C57D5"/>
    <w:rsid w:val="000C58DE"/>
    <w:rsid w:val="000C6B51"/>
    <w:rsid w:val="000D13BF"/>
    <w:rsid w:val="000D1A2A"/>
    <w:rsid w:val="000D6AD7"/>
    <w:rsid w:val="000E09E8"/>
    <w:rsid w:val="000E279D"/>
    <w:rsid w:val="000E59BA"/>
    <w:rsid w:val="000F0E68"/>
    <w:rsid w:val="000F133F"/>
    <w:rsid w:val="000F1C35"/>
    <w:rsid w:val="000F2FC9"/>
    <w:rsid w:val="000F3F77"/>
    <w:rsid w:val="00105105"/>
    <w:rsid w:val="0010564F"/>
    <w:rsid w:val="001066F1"/>
    <w:rsid w:val="00107B1E"/>
    <w:rsid w:val="001176EC"/>
    <w:rsid w:val="001218DC"/>
    <w:rsid w:val="00121E45"/>
    <w:rsid w:val="0012227B"/>
    <w:rsid w:val="00124249"/>
    <w:rsid w:val="001255C5"/>
    <w:rsid w:val="001270E4"/>
    <w:rsid w:val="00130D9E"/>
    <w:rsid w:val="001326D8"/>
    <w:rsid w:val="0013398E"/>
    <w:rsid w:val="00134A21"/>
    <w:rsid w:val="00142DDD"/>
    <w:rsid w:val="00142FB2"/>
    <w:rsid w:val="00143099"/>
    <w:rsid w:val="00144DD2"/>
    <w:rsid w:val="00145497"/>
    <w:rsid w:val="00146225"/>
    <w:rsid w:val="00147C03"/>
    <w:rsid w:val="00151DC9"/>
    <w:rsid w:val="00153D51"/>
    <w:rsid w:val="00155D50"/>
    <w:rsid w:val="0015655E"/>
    <w:rsid w:val="0015678F"/>
    <w:rsid w:val="00156DA7"/>
    <w:rsid w:val="001572AC"/>
    <w:rsid w:val="00166B4A"/>
    <w:rsid w:val="00171EBA"/>
    <w:rsid w:val="00172CBB"/>
    <w:rsid w:val="00173A11"/>
    <w:rsid w:val="00174351"/>
    <w:rsid w:val="00176054"/>
    <w:rsid w:val="00176536"/>
    <w:rsid w:val="00177662"/>
    <w:rsid w:val="001808AB"/>
    <w:rsid w:val="001827AA"/>
    <w:rsid w:val="0018412E"/>
    <w:rsid w:val="00184431"/>
    <w:rsid w:val="00185875"/>
    <w:rsid w:val="0019081E"/>
    <w:rsid w:val="00193A23"/>
    <w:rsid w:val="0019438D"/>
    <w:rsid w:val="001947D1"/>
    <w:rsid w:val="001956DC"/>
    <w:rsid w:val="00195FA9"/>
    <w:rsid w:val="00196B88"/>
    <w:rsid w:val="00196E16"/>
    <w:rsid w:val="00197A68"/>
    <w:rsid w:val="001A21C7"/>
    <w:rsid w:val="001A2BEB"/>
    <w:rsid w:val="001A713A"/>
    <w:rsid w:val="001B0BE9"/>
    <w:rsid w:val="001B1E84"/>
    <w:rsid w:val="001B368D"/>
    <w:rsid w:val="001B4580"/>
    <w:rsid w:val="001B5C6C"/>
    <w:rsid w:val="001B5FD0"/>
    <w:rsid w:val="001B7C66"/>
    <w:rsid w:val="001C5B2A"/>
    <w:rsid w:val="001D116C"/>
    <w:rsid w:val="001D5225"/>
    <w:rsid w:val="001E0C25"/>
    <w:rsid w:val="001E3BF2"/>
    <w:rsid w:val="001E3F4C"/>
    <w:rsid w:val="001E4B17"/>
    <w:rsid w:val="001E5D4B"/>
    <w:rsid w:val="001F2343"/>
    <w:rsid w:val="001F3609"/>
    <w:rsid w:val="001F39D4"/>
    <w:rsid w:val="001F5EFE"/>
    <w:rsid w:val="00201F29"/>
    <w:rsid w:val="00202E24"/>
    <w:rsid w:val="00203AF3"/>
    <w:rsid w:val="002049ED"/>
    <w:rsid w:val="00206525"/>
    <w:rsid w:val="0021011E"/>
    <w:rsid w:val="00211580"/>
    <w:rsid w:val="00213C96"/>
    <w:rsid w:val="002141F4"/>
    <w:rsid w:val="002165F7"/>
    <w:rsid w:val="00217A3C"/>
    <w:rsid w:val="00221652"/>
    <w:rsid w:val="0022409E"/>
    <w:rsid w:val="00224C02"/>
    <w:rsid w:val="00226394"/>
    <w:rsid w:val="00233937"/>
    <w:rsid w:val="00233B44"/>
    <w:rsid w:val="0023405D"/>
    <w:rsid w:val="00234FAE"/>
    <w:rsid w:val="002376DA"/>
    <w:rsid w:val="00240ACF"/>
    <w:rsid w:val="0024107C"/>
    <w:rsid w:val="0024111A"/>
    <w:rsid w:val="00241D5A"/>
    <w:rsid w:val="00241E26"/>
    <w:rsid w:val="002425AB"/>
    <w:rsid w:val="00243C7E"/>
    <w:rsid w:val="002448B5"/>
    <w:rsid w:val="002474BB"/>
    <w:rsid w:val="0025088C"/>
    <w:rsid w:val="00251589"/>
    <w:rsid w:val="00252153"/>
    <w:rsid w:val="002524AD"/>
    <w:rsid w:val="0025466E"/>
    <w:rsid w:val="00260D9C"/>
    <w:rsid w:val="002614C4"/>
    <w:rsid w:val="00263C3D"/>
    <w:rsid w:val="0026418A"/>
    <w:rsid w:val="00264FD9"/>
    <w:rsid w:val="0026521C"/>
    <w:rsid w:val="0026601F"/>
    <w:rsid w:val="00267207"/>
    <w:rsid w:val="00267D09"/>
    <w:rsid w:val="00270995"/>
    <w:rsid w:val="00270CC5"/>
    <w:rsid w:val="00272CE7"/>
    <w:rsid w:val="00274828"/>
    <w:rsid w:val="00276407"/>
    <w:rsid w:val="0028271A"/>
    <w:rsid w:val="00283D51"/>
    <w:rsid w:val="00290114"/>
    <w:rsid w:val="00291254"/>
    <w:rsid w:val="00292702"/>
    <w:rsid w:val="00293B05"/>
    <w:rsid w:val="00294B39"/>
    <w:rsid w:val="002962CE"/>
    <w:rsid w:val="002A32F0"/>
    <w:rsid w:val="002A3EEC"/>
    <w:rsid w:val="002A5FE8"/>
    <w:rsid w:val="002A6A56"/>
    <w:rsid w:val="002A6E2F"/>
    <w:rsid w:val="002A7D5D"/>
    <w:rsid w:val="002B0A7B"/>
    <w:rsid w:val="002B11FB"/>
    <w:rsid w:val="002B2BE3"/>
    <w:rsid w:val="002B5CD8"/>
    <w:rsid w:val="002B6B34"/>
    <w:rsid w:val="002C5234"/>
    <w:rsid w:val="002C6C73"/>
    <w:rsid w:val="002D0252"/>
    <w:rsid w:val="002D2480"/>
    <w:rsid w:val="002D6FFD"/>
    <w:rsid w:val="002E0DCE"/>
    <w:rsid w:val="002E1152"/>
    <w:rsid w:val="002E1F82"/>
    <w:rsid w:val="002E40D0"/>
    <w:rsid w:val="002E5B37"/>
    <w:rsid w:val="002F00FA"/>
    <w:rsid w:val="002F07AC"/>
    <w:rsid w:val="002F1B26"/>
    <w:rsid w:val="002F2BA8"/>
    <w:rsid w:val="002F406A"/>
    <w:rsid w:val="002F561A"/>
    <w:rsid w:val="002F75CD"/>
    <w:rsid w:val="00300413"/>
    <w:rsid w:val="00303F3F"/>
    <w:rsid w:val="00305BB2"/>
    <w:rsid w:val="00307795"/>
    <w:rsid w:val="00311C13"/>
    <w:rsid w:val="00314012"/>
    <w:rsid w:val="0031439A"/>
    <w:rsid w:val="003166EE"/>
    <w:rsid w:val="00320847"/>
    <w:rsid w:val="003208A8"/>
    <w:rsid w:val="003220BF"/>
    <w:rsid w:val="00322D7C"/>
    <w:rsid w:val="003241F4"/>
    <w:rsid w:val="0032638A"/>
    <w:rsid w:val="0033401C"/>
    <w:rsid w:val="00334169"/>
    <w:rsid w:val="003345AD"/>
    <w:rsid w:val="00334C37"/>
    <w:rsid w:val="003352EA"/>
    <w:rsid w:val="0033530E"/>
    <w:rsid w:val="00336256"/>
    <w:rsid w:val="003406BA"/>
    <w:rsid w:val="0034131A"/>
    <w:rsid w:val="00341980"/>
    <w:rsid w:val="00345780"/>
    <w:rsid w:val="00352C0A"/>
    <w:rsid w:val="00353534"/>
    <w:rsid w:val="00353B3C"/>
    <w:rsid w:val="0035671B"/>
    <w:rsid w:val="00357928"/>
    <w:rsid w:val="00360CE0"/>
    <w:rsid w:val="003626F2"/>
    <w:rsid w:val="0037000F"/>
    <w:rsid w:val="003702C6"/>
    <w:rsid w:val="00371722"/>
    <w:rsid w:val="00380BCE"/>
    <w:rsid w:val="00380C0C"/>
    <w:rsid w:val="0038173C"/>
    <w:rsid w:val="0038185F"/>
    <w:rsid w:val="00384002"/>
    <w:rsid w:val="0038445F"/>
    <w:rsid w:val="00385AC3"/>
    <w:rsid w:val="00391AEC"/>
    <w:rsid w:val="0039377C"/>
    <w:rsid w:val="0039606C"/>
    <w:rsid w:val="003A4E2E"/>
    <w:rsid w:val="003A57A7"/>
    <w:rsid w:val="003B3E1F"/>
    <w:rsid w:val="003B4245"/>
    <w:rsid w:val="003B58BE"/>
    <w:rsid w:val="003B600D"/>
    <w:rsid w:val="003B663E"/>
    <w:rsid w:val="003C09E6"/>
    <w:rsid w:val="003C447C"/>
    <w:rsid w:val="003C4DBE"/>
    <w:rsid w:val="003C53BF"/>
    <w:rsid w:val="003C5C04"/>
    <w:rsid w:val="003C6F05"/>
    <w:rsid w:val="003D219B"/>
    <w:rsid w:val="003E0DF7"/>
    <w:rsid w:val="003E27D9"/>
    <w:rsid w:val="003E4F50"/>
    <w:rsid w:val="003F1421"/>
    <w:rsid w:val="003F15CD"/>
    <w:rsid w:val="003F320C"/>
    <w:rsid w:val="003F37E2"/>
    <w:rsid w:val="003F450D"/>
    <w:rsid w:val="003F629A"/>
    <w:rsid w:val="003F78C6"/>
    <w:rsid w:val="0040149B"/>
    <w:rsid w:val="0040176C"/>
    <w:rsid w:val="00401CB7"/>
    <w:rsid w:val="00403D22"/>
    <w:rsid w:val="00404A7E"/>
    <w:rsid w:val="004058CB"/>
    <w:rsid w:val="00405CB1"/>
    <w:rsid w:val="004060CE"/>
    <w:rsid w:val="004065B4"/>
    <w:rsid w:val="004106AD"/>
    <w:rsid w:val="00410F5E"/>
    <w:rsid w:val="00413610"/>
    <w:rsid w:val="00413F9B"/>
    <w:rsid w:val="00415859"/>
    <w:rsid w:val="00417685"/>
    <w:rsid w:val="00420E46"/>
    <w:rsid w:val="00421D77"/>
    <w:rsid w:val="004231A9"/>
    <w:rsid w:val="0042341A"/>
    <w:rsid w:val="00424515"/>
    <w:rsid w:val="00424BAC"/>
    <w:rsid w:val="00431332"/>
    <w:rsid w:val="0043631E"/>
    <w:rsid w:val="004428A8"/>
    <w:rsid w:val="004457D2"/>
    <w:rsid w:val="00447A95"/>
    <w:rsid w:val="00450292"/>
    <w:rsid w:val="0045067D"/>
    <w:rsid w:val="004511F8"/>
    <w:rsid w:val="00462AEE"/>
    <w:rsid w:val="00464C69"/>
    <w:rsid w:val="0046596D"/>
    <w:rsid w:val="00470327"/>
    <w:rsid w:val="00470877"/>
    <w:rsid w:val="00472C09"/>
    <w:rsid w:val="00474FD7"/>
    <w:rsid w:val="00475851"/>
    <w:rsid w:val="00481464"/>
    <w:rsid w:val="00485A74"/>
    <w:rsid w:val="00486DA4"/>
    <w:rsid w:val="00492069"/>
    <w:rsid w:val="00495882"/>
    <w:rsid w:val="00495EB5"/>
    <w:rsid w:val="00496A55"/>
    <w:rsid w:val="004A11FB"/>
    <w:rsid w:val="004A1207"/>
    <w:rsid w:val="004A5259"/>
    <w:rsid w:val="004A790F"/>
    <w:rsid w:val="004A7B75"/>
    <w:rsid w:val="004B03B4"/>
    <w:rsid w:val="004B0DD0"/>
    <w:rsid w:val="004B100D"/>
    <w:rsid w:val="004B24E2"/>
    <w:rsid w:val="004B3468"/>
    <w:rsid w:val="004B4DF9"/>
    <w:rsid w:val="004B75C1"/>
    <w:rsid w:val="004B7E65"/>
    <w:rsid w:val="004C0471"/>
    <w:rsid w:val="004C0A13"/>
    <w:rsid w:val="004C2985"/>
    <w:rsid w:val="004C4813"/>
    <w:rsid w:val="004C6A41"/>
    <w:rsid w:val="004C7171"/>
    <w:rsid w:val="004C76A1"/>
    <w:rsid w:val="004D11A1"/>
    <w:rsid w:val="004D226F"/>
    <w:rsid w:val="004D2E99"/>
    <w:rsid w:val="004D4299"/>
    <w:rsid w:val="004D48C2"/>
    <w:rsid w:val="004D50C8"/>
    <w:rsid w:val="004E076C"/>
    <w:rsid w:val="004E2B7B"/>
    <w:rsid w:val="004E3CF7"/>
    <w:rsid w:val="004E6573"/>
    <w:rsid w:val="004F12E3"/>
    <w:rsid w:val="004F3DF4"/>
    <w:rsid w:val="004F3EF0"/>
    <w:rsid w:val="004F43CA"/>
    <w:rsid w:val="004F4CA5"/>
    <w:rsid w:val="004F67CB"/>
    <w:rsid w:val="00503771"/>
    <w:rsid w:val="00504119"/>
    <w:rsid w:val="00507652"/>
    <w:rsid w:val="00511723"/>
    <w:rsid w:val="00512078"/>
    <w:rsid w:val="0051399F"/>
    <w:rsid w:val="0051607F"/>
    <w:rsid w:val="00516388"/>
    <w:rsid w:val="0051782B"/>
    <w:rsid w:val="00520BA1"/>
    <w:rsid w:val="005219AA"/>
    <w:rsid w:val="00521D40"/>
    <w:rsid w:val="00523D85"/>
    <w:rsid w:val="00525694"/>
    <w:rsid w:val="005311B9"/>
    <w:rsid w:val="00535479"/>
    <w:rsid w:val="00535501"/>
    <w:rsid w:val="005358A7"/>
    <w:rsid w:val="005368D2"/>
    <w:rsid w:val="00537217"/>
    <w:rsid w:val="00542C57"/>
    <w:rsid w:val="00543D75"/>
    <w:rsid w:val="0054455B"/>
    <w:rsid w:val="00546077"/>
    <w:rsid w:val="00550184"/>
    <w:rsid w:val="005508D6"/>
    <w:rsid w:val="00551D3C"/>
    <w:rsid w:val="00552CE3"/>
    <w:rsid w:val="00553EFA"/>
    <w:rsid w:val="005615F0"/>
    <w:rsid w:val="0056166D"/>
    <w:rsid w:val="00564A0E"/>
    <w:rsid w:val="00565221"/>
    <w:rsid w:val="00567673"/>
    <w:rsid w:val="005704EA"/>
    <w:rsid w:val="005738E2"/>
    <w:rsid w:val="00574F29"/>
    <w:rsid w:val="00581913"/>
    <w:rsid w:val="00582297"/>
    <w:rsid w:val="005833C8"/>
    <w:rsid w:val="00584548"/>
    <w:rsid w:val="00586B53"/>
    <w:rsid w:val="0058721C"/>
    <w:rsid w:val="005877A3"/>
    <w:rsid w:val="005928B8"/>
    <w:rsid w:val="005969BA"/>
    <w:rsid w:val="005A3178"/>
    <w:rsid w:val="005A5D4D"/>
    <w:rsid w:val="005A608E"/>
    <w:rsid w:val="005A65E9"/>
    <w:rsid w:val="005B5198"/>
    <w:rsid w:val="005B6ECA"/>
    <w:rsid w:val="005B76EA"/>
    <w:rsid w:val="005C074E"/>
    <w:rsid w:val="005C737F"/>
    <w:rsid w:val="005C73C2"/>
    <w:rsid w:val="005C7A24"/>
    <w:rsid w:val="005D09BE"/>
    <w:rsid w:val="005D14EC"/>
    <w:rsid w:val="005D3546"/>
    <w:rsid w:val="005D4C82"/>
    <w:rsid w:val="005D561C"/>
    <w:rsid w:val="005D5F7F"/>
    <w:rsid w:val="005E0B28"/>
    <w:rsid w:val="005E1153"/>
    <w:rsid w:val="005E146B"/>
    <w:rsid w:val="005E1607"/>
    <w:rsid w:val="005E1906"/>
    <w:rsid w:val="005E3BA4"/>
    <w:rsid w:val="005F0D83"/>
    <w:rsid w:val="005F392D"/>
    <w:rsid w:val="005F4F3D"/>
    <w:rsid w:val="005F546C"/>
    <w:rsid w:val="005F5FDD"/>
    <w:rsid w:val="00607CEC"/>
    <w:rsid w:val="00612BB0"/>
    <w:rsid w:val="006162C8"/>
    <w:rsid w:val="006164FA"/>
    <w:rsid w:val="0061650F"/>
    <w:rsid w:val="0061693A"/>
    <w:rsid w:val="00620CFA"/>
    <w:rsid w:val="00620D59"/>
    <w:rsid w:val="00626649"/>
    <w:rsid w:val="00632BC5"/>
    <w:rsid w:val="00634295"/>
    <w:rsid w:val="00636B7C"/>
    <w:rsid w:val="006400D8"/>
    <w:rsid w:val="00640450"/>
    <w:rsid w:val="00645FF9"/>
    <w:rsid w:val="00646B01"/>
    <w:rsid w:val="00646C0D"/>
    <w:rsid w:val="00647BB2"/>
    <w:rsid w:val="006513BE"/>
    <w:rsid w:val="006564D5"/>
    <w:rsid w:val="00660BD2"/>
    <w:rsid w:val="00660C97"/>
    <w:rsid w:val="0066497D"/>
    <w:rsid w:val="00672A20"/>
    <w:rsid w:val="006754E3"/>
    <w:rsid w:val="00686760"/>
    <w:rsid w:val="00687A43"/>
    <w:rsid w:val="00690187"/>
    <w:rsid w:val="00690A60"/>
    <w:rsid w:val="00690CB4"/>
    <w:rsid w:val="00691A46"/>
    <w:rsid w:val="00691B8F"/>
    <w:rsid w:val="00693317"/>
    <w:rsid w:val="0069413D"/>
    <w:rsid w:val="006947C8"/>
    <w:rsid w:val="0069511C"/>
    <w:rsid w:val="006A0196"/>
    <w:rsid w:val="006A216B"/>
    <w:rsid w:val="006A50C6"/>
    <w:rsid w:val="006A5DC2"/>
    <w:rsid w:val="006A62D7"/>
    <w:rsid w:val="006B092A"/>
    <w:rsid w:val="006B2437"/>
    <w:rsid w:val="006B2742"/>
    <w:rsid w:val="006B2930"/>
    <w:rsid w:val="006B3020"/>
    <w:rsid w:val="006B31BB"/>
    <w:rsid w:val="006B6BE7"/>
    <w:rsid w:val="006B733D"/>
    <w:rsid w:val="006C1A9F"/>
    <w:rsid w:val="006C4F65"/>
    <w:rsid w:val="006C5D87"/>
    <w:rsid w:val="006C6FF3"/>
    <w:rsid w:val="006D3943"/>
    <w:rsid w:val="006D53A8"/>
    <w:rsid w:val="006E1560"/>
    <w:rsid w:val="006E15F1"/>
    <w:rsid w:val="006E353C"/>
    <w:rsid w:val="006E3770"/>
    <w:rsid w:val="006E5A45"/>
    <w:rsid w:val="006E6A6D"/>
    <w:rsid w:val="006F022C"/>
    <w:rsid w:val="006F084B"/>
    <w:rsid w:val="006F10BD"/>
    <w:rsid w:val="006F3237"/>
    <w:rsid w:val="006F5AB0"/>
    <w:rsid w:val="006F7705"/>
    <w:rsid w:val="00703D9F"/>
    <w:rsid w:val="00703E59"/>
    <w:rsid w:val="00706D47"/>
    <w:rsid w:val="00707D84"/>
    <w:rsid w:val="0071286F"/>
    <w:rsid w:val="00714BF0"/>
    <w:rsid w:val="00716ED0"/>
    <w:rsid w:val="00721A90"/>
    <w:rsid w:val="007230E0"/>
    <w:rsid w:val="00724446"/>
    <w:rsid w:val="007246E4"/>
    <w:rsid w:val="007273A6"/>
    <w:rsid w:val="00731C5F"/>
    <w:rsid w:val="00733A93"/>
    <w:rsid w:val="00735628"/>
    <w:rsid w:val="007356F6"/>
    <w:rsid w:val="00737791"/>
    <w:rsid w:val="00737D0D"/>
    <w:rsid w:val="0074071C"/>
    <w:rsid w:val="007416A7"/>
    <w:rsid w:val="00743AFA"/>
    <w:rsid w:val="00743B96"/>
    <w:rsid w:val="00747347"/>
    <w:rsid w:val="007477CF"/>
    <w:rsid w:val="00751795"/>
    <w:rsid w:val="00754C83"/>
    <w:rsid w:val="0075638E"/>
    <w:rsid w:val="00760EA8"/>
    <w:rsid w:val="0076248A"/>
    <w:rsid w:val="00763AAF"/>
    <w:rsid w:val="00764BFC"/>
    <w:rsid w:val="00772137"/>
    <w:rsid w:val="007725B4"/>
    <w:rsid w:val="00773AD7"/>
    <w:rsid w:val="00775165"/>
    <w:rsid w:val="00776222"/>
    <w:rsid w:val="00777206"/>
    <w:rsid w:val="00781BB9"/>
    <w:rsid w:val="007873B6"/>
    <w:rsid w:val="00791136"/>
    <w:rsid w:val="00793EB4"/>
    <w:rsid w:val="007940C1"/>
    <w:rsid w:val="007943FA"/>
    <w:rsid w:val="00794F93"/>
    <w:rsid w:val="0079584D"/>
    <w:rsid w:val="00796E7E"/>
    <w:rsid w:val="007A0E8F"/>
    <w:rsid w:val="007A1CD2"/>
    <w:rsid w:val="007A54FB"/>
    <w:rsid w:val="007A6480"/>
    <w:rsid w:val="007A7B37"/>
    <w:rsid w:val="007B58A2"/>
    <w:rsid w:val="007C01A5"/>
    <w:rsid w:val="007C06EF"/>
    <w:rsid w:val="007C163D"/>
    <w:rsid w:val="007C1B4B"/>
    <w:rsid w:val="007C547C"/>
    <w:rsid w:val="007C5B2E"/>
    <w:rsid w:val="007C5C76"/>
    <w:rsid w:val="007C5D26"/>
    <w:rsid w:val="007C689D"/>
    <w:rsid w:val="007D0CB2"/>
    <w:rsid w:val="007D59E1"/>
    <w:rsid w:val="007D72DE"/>
    <w:rsid w:val="007D7C37"/>
    <w:rsid w:val="007E0771"/>
    <w:rsid w:val="007E162B"/>
    <w:rsid w:val="007E1819"/>
    <w:rsid w:val="007E3877"/>
    <w:rsid w:val="007E6761"/>
    <w:rsid w:val="007E7865"/>
    <w:rsid w:val="007F034B"/>
    <w:rsid w:val="007F0F82"/>
    <w:rsid w:val="007F228B"/>
    <w:rsid w:val="007F3968"/>
    <w:rsid w:val="007F3A8F"/>
    <w:rsid w:val="007F3CA1"/>
    <w:rsid w:val="007F577B"/>
    <w:rsid w:val="007F6B93"/>
    <w:rsid w:val="008003CF"/>
    <w:rsid w:val="00800BEB"/>
    <w:rsid w:val="00801B69"/>
    <w:rsid w:val="00805854"/>
    <w:rsid w:val="00806B20"/>
    <w:rsid w:val="008100CF"/>
    <w:rsid w:val="00815DB0"/>
    <w:rsid w:val="008165B3"/>
    <w:rsid w:val="00816F46"/>
    <w:rsid w:val="0081733E"/>
    <w:rsid w:val="00817709"/>
    <w:rsid w:val="0081779F"/>
    <w:rsid w:val="00826E1F"/>
    <w:rsid w:val="00827A13"/>
    <w:rsid w:val="00827A88"/>
    <w:rsid w:val="0083433D"/>
    <w:rsid w:val="008346FA"/>
    <w:rsid w:val="00835B2D"/>
    <w:rsid w:val="00836D71"/>
    <w:rsid w:val="008375B2"/>
    <w:rsid w:val="00837C91"/>
    <w:rsid w:val="00840B7E"/>
    <w:rsid w:val="00844DB3"/>
    <w:rsid w:val="00845507"/>
    <w:rsid w:val="00845BA8"/>
    <w:rsid w:val="00847C6F"/>
    <w:rsid w:val="00850610"/>
    <w:rsid w:val="00850D45"/>
    <w:rsid w:val="00851A45"/>
    <w:rsid w:val="00851EF2"/>
    <w:rsid w:val="008523D5"/>
    <w:rsid w:val="00854A84"/>
    <w:rsid w:val="00854F8B"/>
    <w:rsid w:val="00855958"/>
    <w:rsid w:val="0086349F"/>
    <w:rsid w:val="008713E5"/>
    <w:rsid w:val="00871585"/>
    <w:rsid w:val="00871CD7"/>
    <w:rsid w:val="00871FF7"/>
    <w:rsid w:val="0087245F"/>
    <w:rsid w:val="008770B6"/>
    <w:rsid w:val="00877BBF"/>
    <w:rsid w:val="008804B1"/>
    <w:rsid w:val="008822D7"/>
    <w:rsid w:val="008824EE"/>
    <w:rsid w:val="008825B4"/>
    <w:rsid w:val="00882D60"/>
    <w:rsid w:val="00882F5B"/>
    <w:rsid w:val="00883CAF"/>
    <w:rsid w:val="00886080"/>
    <w:rsid w:val="008867B5"/>
    <w:rsid w:val="008910BE"/>
    <w:rsid w:val="00892BB4"/>
    <w:rsid w:val="00894358"/>
    <w:rsid w:val="008A0572"/>
    <w:rsid w:val="008A1179"/>
    <w:rsid w:val="008A464A"/>
    <w:rsid w:val="008A6B74"/>
    <w:rsid w:val="008A7600"/>
    <w:rsid w:val="008A7E7E"/>
    <w:rsid w:val="008B3803"/>
    <w:rsid w:val="008C772F"/>
    <w:rsid w:val="008D1639"/>
    <w:rsid w:val="008D2527"/>
    <w:rsid w:val="008D454B"/>
    <w:rsid w:val="008D50B5"/>
    <w:rsid w:val="008E01E3"/>
    <w:rsid w:val="008E14ED"/>
    <w:rsid w:val="008E4274"/>
    <w:rsid w:val="008E60B5"/>
    <w:rsid w:val="008E6685"/>
    <w:rsid w:val="008E6961"/>
    <w:rsid w:val="008E6B8D"/>
    <w:rsid w:val="008F2ED6"/>
    <w:rsid w:val="008F3AD1"/>
    <w:rsid w:val="008F5FFD"/>
    <w:rsid w:val="009001D7"/>
    <w:rsid w:val="0090222D"/>
    <w:rsid w:val="00903652"/>
    <w:rsid w:val="00904248"/>
    <w:rsid w:val="009050C6"/>
    <w:rsid w:val="0090600A"/>
    <w:rsid w:val="00911866"/>
    <w:rsid w:val="0091228C"/>
    <w:rsid w:val="009143E6"/>
    <w:rsid w:val="0091657B"/>
    <w:rsid w:val="00916D7F"/>
    <w:rsid w:val="00917E78"/>
    <w:rsid w:val="00920078"/>
    <w:rsid w:val="009204FF"/>
    <w:rsid w:val="00920987"/>
    <w:rsid w:val="0092148A"/>
    <w:rsid w:val="00923604"/>
    <w:rsid w:val="009258D0"/>
    <w:rsid w:val="00925AF9"/>
    <w:rsid w:val="00925C0B"/>
    <w:rsid w:val="00926288"/>
    <w:rsid w:val="009274E8"/>
    <w:rsid w:val="009303CB"/>
    <w:rsid w:val="00930B51"/>
    <w:rsid w:val="00932D47"/>
    <w:rsid w:val="00932FBC"/>
    <w:rsid w:val="00935F8D"/>
    <w:rsid w:val="009374F1"/>
    <w:rsid w:val="00937D5C"/>
    <w:rsid w:val="00945DCA"/>
    <w:rsid w:val="0094645A"/>
    <w:rsid w:val="00955DD4"/>
    <w:rsid w:val="009613A6"/>
    <w:rsid w:val="00962758"/>
    <w:rsid w:val="00962BCF"/>
    <w:rsid w:val="00963C15"/>
    <w:rsid w:val="0097261E"/>
    <w:rsid w:val="00972FAB"/>
    <w:rsid w:val="00973CDF"/>
    <w:rsid w:val="009746C5"/>
    <w:rsid w:val="009756CF"/>
    <w:rsid w:val="009761B1"/>
    <w:rsid w:val="009761FE"/>
    <w:rsid w:val="0098028D"/>
    <w:rsid w:val="0098238D"/>
    <w:rsid w:val="0098399B"/>
    <w:rsid w:val="009842C5"/>
    <w:rsid w:val="0098623A"/>
    <w:rsid w:val="0098669E"/>
    <w:rsid w:val="0098716C"/>
    <w:rsid w:val="00987242"/>
    <w:rsid w:val="00991ED5"/>
    <w:rsid w:val="00992747"/>
    <w:rsid w:val="009934F9"/>
    <w:rsid w:val="009A007A"/>
    <w:rsid w:val="009A0915"/>
    <w:rsid w:val="009B014C"/>
    <w:rsid w:val="009B3783"/>
    <w:rsid w:val="009B40A6"/>
    <w:rsid w:val="009B59FE"/>
    <w:rsid w:val="009B6B08"/>
    <w:rsid w:val="009C392B"/>
    <w:rsid w:val="009C3C06"/>
    <w:rsid w:val="009C4016"/>
    <w:rsid w:val="009C542E"/>
    <w:rsid w:val="009C76EE"/>
    <w:rsid w:val="009D0D65"/>
    <w:rsid w:val="009D29FB"/>
    <w:rsid w:val="009D3330"/>
    <w:rsid w:val="009D3F03"/>
    <w:rsid w:val="009D42F4"/>
    <w:rsid w:val="009D6A02"/>
    <w:rsid w:val="009E1574"/>
    <w:rsid w:val="009E2780"/>
    <w:rsid w:val="009E2E97"/>
    <w:rsid w:val="009E3113"/>
    <w:rsid w:val="009E3B41"/>
    <w:rsid w:val="009E3B90"/>
    <w:rsid w:val="009F0295"/>
    <w:rsid w:val="009F0457"/>
    <w:rsid w:val="009F09D8"/>
    <w:rsid w:val="009F195C"/>
    <w:rsid w:val="009F196F"/>
    <w:rsid w:val="009F3405"/>
    <w:rsid w:val="00A01293"/>
    <w:rsid w:val="00A03180"/>
    <w:rsid w:val="00A03AB6"/>
    <w:rsid w:val="00A06067"/>
    <w:rsid w:val="00A06738"/>
    <w:rsid w:val="00A06B67"/>
    <w:rsid w:val="00A12FE6"/>
    <w:rsid w:val="00A159C6"/>
    <w:rsid w:val="00A16EC7"/>
    <w:rsid w:val="00A20824"/>
    <w:rsid w:val="00A21C79"/>
    <w:rsid w:val="00A21CC8"/>
    <w:rsid w:val="00A2319C"/>
    <w:rsid w:val="00A24C18"/>
    <w:rsid w:val="00A26474"/>
    <w:rsid w:val="00A30A91"/>
    <w:rsid w:val="00A312CF"/>
    <w:rsid w:val="00A314E1"/>
    <w:rsid w:val="00A324BB"/>
    <w:rsid w:val="00A33C73"/>
    <w:rsid w:val="00A35EF1"/>
    <w:rsid w:val="00A369BA"/>
    <w:rsid w:val="00A4175C"/>
    <w:rsid w:val="00A43254"/>
    <w:rsid w:val="00A47E52"/>
    <w:rsid w:val="00A53978"/>
    <w:rsid w:val="00A602CA"/>
    <w:rsid w:val="00A6059E"/>
    <w:rsid w:val="00A612FB"/>
    <w:rsid w:val="00A655D3"/>
    <w:rsid w:val="00A71D6A"/>
    <w:rsid w:val="00A72310"/>
    <w:rsid w:val="00A72448"/>
    <w:rsid w:val="00A750A9"/>
    <w:rsid w:val="00A75717"/>
    <w:rsid w:val="00A77AAC"/>
    <w:rsid w:val="00A807EA"/>
    <w:rsid w:val="00A84867"/>
    <w:rsid w:val="00A86641"/>
    <w:rsid w:val="00A8745B"/>
    <w:rsid w:val="00A874D8"/>
    <w:rsid w:val="00A87538"/>
    <w:rsid w:val="00A916D6"/>
    <w:rsid w:val="00A977D3"/>
    <w:rsid w:val="00AA1AA7"/>
    <w:rsid w:val="00AA2598"/>
    <w:rsid w:val="00AA5A48"/>
    <w:rsid w:val="00AA7BEE"/>
    <w:rsid w:val="00AB050C"/>
    <w:rsid w:val="00AB0C77"/>
    <w:rsid w:val="00AB0DDF"/>
    <w:rsid w:val="00AB11F5"/>
    <w:rsid w:val="00AB1636"/>
    <w:rsid w:val="00AB3108"/>
    <w:rsid w:val="00AB4202"/>
    <w:rsid w:val="00AB5462"/>
    <w:rsid w:val="00AB66B6"/>
    <w:rsid w:val="00AC32CB"/>
    <w:rsid w:val="00AC47E8"/>
    <w:rsid w:val="00AD50A7"/>
    <w:rsid w:val="00AD6EC3"/>
    <w:rsid w:val="00AE282F"/>
    <w:rsid w:val="00AE3081"/>
    <w:rsid w:val="00AE4522"/>
    <w:rsid w:val="00AE57C9"/>
    <w:rsid w:val="00AE682D"/>
    <w:rsid w:val="00AE78E2"/>
    <w:rsid w:val="00AF21D7"/>
    <w:rsid w:val="00AF3FF8"/>
    <w:rsid w:val="00AF47D4"/>
    <w:rsid w:val="00AF6474"/>
    <w:rsid w:val="00B031B2"/>
    <w:rsid w:val="00B03CBA"/>
    <w:rsid w:val="00B03F60"/>
    <w:rsid w:val="00B06EF0"/>
    <w:rsid w:val="00B07BD1"/>
    <w:rsid w:val="00B10C11"/>
    <w:rsid w:val="00B14EE8"/>
    <w:rsid w:val="00B150E0"/>
    <w:rsid w:val="00B1721C"/>
    <w:rsid w:val="00B17AAB"/>
    <w:rsid w:val="00B17ED5"/>
    <w:rsid w:val="00B17F8C"/>
    <w:rsid w:val="00B20D5B"/>
    <w:rsid w:val="00B21B08"/>
    <w:rsid w:val="00B22C36"/>
    <w:rsid w:val="00B23591"/>
    <w:rsid w:val="00B260EF"/>
    <w:rsid w:val="00B265FF"/>
    <w:rsid w:val="00B34B31"/>
    <w:rsid w:val="00B3605F"/>
    <w:rsid w:val="00B36DD2"/>
    <w:rsid w:val="00B411C8"/>
    <w:rsid w:val="00B411EF"/>
    <w:rsid w:val="00B50688"/>
    <w:rsid w:val="00B50F84"/>
    <w:rsid w:val="00B51F43"/>
    <w:rsid w:val="00B52315"/>
    <w:rsid w:val="00B52E40"/>
    <w:rsid w:val="00B62B3C"/>
    <w:rsid w:val="00B63F57"/>
    <w:rsid w:val="00B64087"/>
    <w:rsid w:val="00B6502D"/>
    <w:rsid w:val="00B65F15"/>
    <w:rsid w:val="00B7254B"/>
    <w:rsid w:val="00B7473F"/>
    <w:rsid w:val="00B7507A"/>
    <w:rsid w:val="00B75488"/>
    <w:rsid w:val="00B76644"/>
    <w:rsid w:val="00B7746A"/>
    <w:rsid w:val="00B77D9C"/>
    <w:rsid w:val="00B80498"/>
    <w:rsid w:val="00B80522"/>
    <w:rsid w:val="00B81994"/>
    <w:rsid w:val="00B8298A"/>
    <w:rsid w:val="00B82E52"/>
    <w:rsid w:val="00B85BB3"/>
    <w:rsid w:val="00B87844"/>
    <w:rsid w:val="00B91EF7"/>
    <w:rsid w:val="00B92565"/>
    <w:rsid w:val="00B92AE4"/>
    <w:rsid w:val="00B93002"/>
    <w:rsid w:val="00B93A65"/>
    <w:rsid w:val="00B93C80"/>
    <w:rsid w:val="00B94015"/>
    <w:rsid w:val="00B95476"/>
    <w:rsid w:val="00B96FA8"/>
    <w:rsid w:val="00BA15EA"/>
    <w:rsid w:val="00BA2D08"/>
    <w:rsid w:val="00BA3125"/>
    <w:rsid w:val="00BA3825"/>
    <w:rsid w:val="00BA4595"/>
    <w:rsid w:val="00BA52B5"/>
    <w:rsid w:val="00BA5409"/>
    <w:rsid w:val="00BA54AF"/>
    <w:rsid w:val="00BA5516"/>
    <w:rsid w:val="00BA674C"/>
    <w:rsid w:val="00BA76F0"/>
    <w:rsid w:val="00BB20E3"/>
    <w:rsid w:val="00BB27AC"/>
    <w:rsid w:val="00BB537D"/>
    <w:rsid w:val="00BB6905"/>
    <w:rsid w:val="00BC21D0"/>
    <w:rsid w:val="00BC7786"/>
    <w:rsid w:val="00BD1EDC"/>
    <w:rsid w:val="00BD3D56"/>
    <w:rsid w:val="00BD5A57"/>
    <w:rsid w:val="00BD60B4"/>
    <w:rsid w:val="00BD6993"/>
    <w:rsid w:val="00BE0A72"/>
    <w:rsid w:val="00BE26DB"/>
    <w:rsid w:val="00BE68CB"/>
    <w:rsid w:val="00BF78D1"/>
    <w:rsid w:val="00C012E0"/>
    <w:rsid w:val="00C02FAD"/>
    <w:rsid w:val="00C03915"/>
    <w:rsid w:val="00C103D8"/>
    <w:rsid w:val="00C11A34"/>
    <w:rsid w:val="00C11D11"/>
    <w:rsid w:val="00C160DF"/>
    <w:rsid w:val="00C21899"/>
    <w:rsid w:val="00C222E3"/>
    <w:rsid w:val="00C22865"/>
    <w:rsid w:val="00C231E1"/>
    <w:rsid w:val="00C23C36"/>
    <w:rsid w:val="00C27F34"/>
    <w:rsid w:val="00C32260"/>
    <w:rsid w:val="00C324D3"/>
    <w:rsid w:val="00C3535C"/>
    <w:rsid w:val="00C37C24"/>
    <w:rsid w:val="00C37EC5"/>
    <w:rsid w:val="00C4075E"/>
    <w:rsid w:val="00C41B16"/>
    <w:rsid w:val="00C426DF"/>
    <w:rsid w:val="00C42A83"/>
    <w:rsid w:val="00C43D92"/>
    <w:rsid w:val="00C44516"/>
    <w:rsid w:val="00C4676E"/>
    <w:rsid w:val="00C472C9"/>
    <w:rsid w:val="00C47565"/>
    <w:rsid w:val="00C47D9B"/>
    <w:rsid w:val="00C525CF"/>
    <w:rsid w:val="00C53EF5"/>
    <w:rsid w:val="00C54ED5"/>
    <w:rsid w:val="00C56EE2"/>
    <w:rsid w:val="00C62798"/>
    <w:rsid w:val="00C64C2E"/>
    <w:rsid w:val="00C64F98"/>
    <w:rsid w:val="00C65AB5"/>
    <w:rsid w:val="00C66018"/>
    <w:rsid w:val="00C80FAB"/>
    <w:rsid w:val="00C83180"/>
    <w:rsid w:val="00C86013"/>
    <w:rsid w:val="00C93F2A"/>
    <w:rsid w:val="00C95366"/>
    <w:rsid w:val="00CA48FA"/>
    <w:rsid w:val="00CA55F4"/>
    <w:rsid w:val="00CB020A"/>
    <w:rsid w:val="00CB3C29"/>
    <w:rsid w:val="00CB5CD4"/>
    <w:rsid w:val="00CB6AD2"/>
    <w:rsid w:val="00CC0E3A"/>
    <w:rsid w:val="00CC19CF"/>
    <w:rsid w:val="00CC364B"/>
    <w:rsid w:val="00CC3BAB"/>
    <w:rsid w:val="00CC63CC"/>
    <w:rsid w:val="00CD10F3"/>
    <w:rsid w:val="00CD34F5"/>
    <w:rsid w:val="00CD399D"/>
    <w:rsid w:val="00CD7C52"/>
    <w:rsid w:val="00CD7C62"/>
    <w:rsid w:val="00CE0A8F"/>
    <w:rsid w:val="00CE1C43"/>
    <w:rsid w:val="00CE37CF"/>
    <w:rsid w:val="00CE59AD"/>
    <w:rsid w:val="00CE6B41"/>
    <w:rsid w:val="00CE73FF"/>
    <w:rsid w:val="00CE7801"/>
    <w:rsid w:val="00CF028F"/>
    <w:rsid w:val="00CF24E6"/>
    <w:rsid w:val="00CF4DF0"/>
    <w:rsid w:val="00CF7EEA"/>
    <w:rsid w:val="00CF7FCF"/>
    <w:rsid w:val="00D048B2"/>
    <w:rsid w:val="00D1218E"/>
    <w:rsid w:val="00D12C09"/>
    <w:rsid w:val="00D12F4F"/>
    <w:rsid w:val="00D15274"/>
    <w:rsid w:val="00D245D6"/>
    <w:rsid w:val="00D26070"/>
    <w:rsid w:val="00D26704"/>
    <w:rsid w:val="00D26B61"/>
    <w:rsid w:val="00D33246"/>
    <w:rsid w:val="00D33BD2"/>
    <w:rsid w:val="00D411C6"/>
    <w:rsid w:val="00D44938"/>
    <w:rsid w:val="00D44E5C"/>
    <w:rsid w:val="00D50334"/>
    <w:rsid w:val="00D51D2E"/>
    <w:rsid w:val="00D53E81"/>
    <w:rsid w:val="00D545B2"/>
    <w:rsid w:val="00D5614B"/>
    <w:rsid w:val="00D56E1F"/>
    <w:rsid w:val="00D63073"/>
    <w:rsid w:val="00D66974"/>
    <w:rsid w:val="00D66FA5"/>
    <w:rsid w:val="00D66FCB"/>
    <w:rsid w:val="00D71821"/>
    <w:rsid w:val="00D72218"/>
    <w:rsid w:val="00D72BAF"/>
    <w:rsid w:val="00D75BD3"/>
    <w:rsid w:val="00D80A4A"/>
    <w:rsid w:val="00D8160F"/>
    <w:rsid w:val="00D82ABD"/>
    <w:rsid w:val="00D84A78"/>
    <w:rsid w:val="00D87B0C"/>
    <w:rsid w:val="00D9052F"/>
    <w:rsid w:val="00D92F8D"/>
    <w:rsid w:val="00D9307E"/>
    <w:rsid w:val="00D93BDF"/>
    <w:rsid w:val="00D95C4D"/>
    <w:rsid w:val="00D9703A"/>
    <w:rsid w:val="00DA021F"/>
    <w:rsid w:val="00DA33A6"/>
    <w:rsid w:val="00DA4721"/>
    <w:rsid w:val="00DA5165"/>
    <w:rsid w:val="00DA7CA5"/>
    <w:rsid w:val="00DB29EF"/>
    <w:rsid w:val="00DB531E"/>
    <w:rsid w:val="00DB56EE"/>
    <w:rsid w:val="00DB7C09"/>
    <w:rsid w:val="00DC3922"/>
    <w:rsid w:val="00DC5A3F"/>
    <w:rsid w:val="00DC61F1"/>
    <w:rsid w:val="00DD3A41"/>
    <w:rsid w:val="00DD74ED"/>
    <w:rsid w:val="00DE103C"/>
    <w:rsid w:val="00DE121D"/>
    <w:rsid w:val="00DE2463"/>
    <w:rsid w:val="00DE2E64"/>
    <w:rsid w:val="00DE42D3"/>
    <w:rsid w:val="00DE74FF"/>
    <w:rsid w:val="00DE7825"/>
    <w:rsid w:val="00DF04FB"/>
    <w:rsid w:val="00DF0AA8"/>
    <w:rsid w:val="00DF3C83"/>
    <w:rsid w:val="00DF5441"/>
    <w:rsid w:val="00DF7997"/>
    <w:rsid w:val="00E01F36"/>
    <w:rsid w:val="00E02213"/>
    <w:rsid w:val="00E02EE4"/>
    <w:rsid w:val="00E04FA6"/>
    <w:rsid w:val="00E05A4F"/>
    <w:rsid w:val="00E06420"/>
    <w:rsid w:val="00E06D3E"/>
    <w:rsid w:val="00E120FD"/>
    <w:rsid w:val="00E1303C"/>
    <w:rsid w:val="00E1344D"/>
    <w:rsid w:val="00E14DA5"/>
    <w:rsid w:val="00E16D15"/>
    <w:rsid w:val="00E20E1F"/>
    <w:rsid w:val="00E216C5"/>
    <w:rsid w:val="00E22D15"/>
    <w:rsid w:val="00E22DAE"/>
    <w:rsid w:val="00E3588D"/>
    <w:rsid w:val="00E40403"/>
    <w:rsid w:val="00E416EE"/>
    <w:rsid w:val="00E41E8F"/>
    <w:rsid w:val="00E43827"/>
    <w:rsid w:val="00E454A3"/>
    <w:rsid w:val="00E46DB9"/>
    <w:rsid w:val="00E52950"/>
    <w:rsid w:val="00E52F31"/>
    <w:rsid w:val="00E53AEF"/>
    <w:rsid w:val="00E55D0C"/>
    <w:rsid w:val="00E56061"/>
    <w:rsid w:val="00E6017E"/>
    <w:rsid w:val="00E603F2"/>
    <w:rsid w:val="00E61D40"/>
    <w:rsid w:val="00E6353B"/>
    <w:rsid w:val="00E655DD"/>
    <w:rsid w:val="00E656D8"/>
    <w:rsid w:val="00E70A0D"/>
    <w:rsid w:val="00E720BE"/>
    <w:rsid w:val="00E72DFA"/>
    <w:rsid w:val="00E74330"/>
    <w:rsid w:val="00E74F75"/>
    <w:rsid w:val="00E7512C"/>
    <w:rsid w:val="00E75F6F"/>
    <w:rsid w:val="00E82F8D"/>
    <w:rsid w:val="00E86721"/>
    <w:rsid w:val="00E877B0"/>
    <w:rsid w:val="00EA50AC"/>
    <w:rsid w:val="00EA518C"/>
    <w:rsid w:val="00EB262A"/>
    <w:rsid w:val="00EB2F80"/>
    <w:rsid w:val="00EB4E9D"/>
    <w:rsid w:val="00EC26C6"/>
    <w:rsid w:val="00EC39A0"/>
    <w:rsid w:val="00EC510B"/>
    <w:rsid w:val="00EC586F"/>
    <w:rsid w:val="00EC6549"/>
    <w:rsid w:val="00ED28E3"/>
    <w:rsid w:val="00ED3FF0"/>
    <w:rsid w:val="00ED53DC"/>
    <w:rsid w:val="00ED6143"/>
    <w:rsid w:val="00ED636B"/>
    <w:rsid w:val="00ED6CFA"/>
    <w:rsid w:val="00EE1108"/>
    <w:rsid w:val="00EE2478"/>
    <w:rsid w:val="00EE4013"/>
    <w:rsid w:val="00EE4316"/>
    <w:rsid w:val="00EE7476"/>
    <w:rsid w:val="00EE775E"/>
    <w:rsid w:val="00EF264F"/>
    <w:rsid w:val="00EF3680"/>
    <w:rsid w:val="00EF4AAB"/>
    <w:rsid w:val="00EF5359"/>
    <w:rsid w:val="00EF53BB"/>
    <w:rsid w:val="00EF698D"/>
    <w:rsid w:val="00EF7715"/>
    <w:rsid w:val="00F00BF9"/>
    <w:rsid w:val="00F0299B"/>
    <w:rsid w:val="00F02DB9"/>
    <w:rsid w:val="00F03490"/>
    <w:rsid w:val="00F046CD"/>
    <w:rsid w:val="00F06256"/>
    <w:rsid w:val="00F1279D"/>
    <w:rsid w:val="00F13AA3"/>
    <w:rsid w:val="00F15709"/>
    <w:rsid w:val="00F15AE1"/>
    <w:rsid w:val="00F20882"/>
    <w:rsid w:val="00F213FB"/>
    <w:rsid w:val="00F21F6E"/>
    <w:rsid w:val="00F248D8"/>
    <w:rsid w:val="00F251A7"/>
    <w:rsid w:val="00F27125"/>
    <w:rsid w:val="00F32064"/>
    <w:rsid w:val="00F328E3"/>
    <w:rsid w:val="00F32D56"/>
    <w:rsid w:val="00F3674C"/>
    <w:rsid w:val="00F36D64"/>
    <w:rsid w:val="00F37F80"/>
    <w:rsid w:val="00F40926"/>
    <w:rsid w:val="00F41854"/>
    <w:rsid w:val="00F42060"/>
    <w:rsid w:val="00F423E4"/>
    <w:rsid w:val="00F4303D"/>
    <w:rsid w:val="00F4463B"/>
    <w:rsid w:val="00F45055"/>
    <w:rsid w:val="00F462D0"/>
    <w:rsid w:val="00F46FC1"/>
    <w:rsid w:val="00F500E3"/>
    <w:rsid w:val="00F510CA"/>
    <w:rsid w:val="00F53C83"/>
    <w:rsid w:val="00F557B0"/>
    <w:rsid w:val="00F56CB5"/>
    <w:rsid w:val="00F56DD4"/>
    <w:rsid w:val="00F57320"/>
    <w:rsid w:val="00F60468"/>
    <w:rsid w:val="00F60490"/>
    <w:rsid w:val="00F6060E"/>
    <w:rsid w:val="00F61AD0"/>
    <w:rsid w:val="00F64C20"/>
    <w:rsid w:val="00F6512A"/>
    <w:rsid w:val="00F718F2"/>
    <w:rsid w:val="00F72C86"/>
    <w:rsid w:val="00F7385B"/>
    <w:rsid w:val="00F76CE1"/>
    <w:rsid w:val="00F772D3"/>
    <w:rsid w:val="00F776F8"/>
    <w:rsid w:val="00F8085C"/>
    <w:rsid w:val="00F8095D"/>
    <w:rsid w:val="00F80E05"/>
    <w:rsid w:val="00F844B9"/>
    <w:rsid w:val="00F87C2D"/>
    <w:rsid w:val="00F90754"/>
    <w:rsid w:val="00F90B2E"/>
    <w:rsid w:val="00F90CCA"/>
    <w:rsid w:val="00F92305"/>
    <w:rsid w:val="00F92DCD"/>
    <w:rsid w:val="00F95E6E"/>
    <w:rsid w:val="00F9682B"/>
    <w:rsid w:val="00FA3FCD"/>
    <w:rsid w:val="00FA6D42"/>
    <w:rsid w:val="00FB0582"/>
    <w:rsid w:val="00FB0AF3"/>
    <w:rsid w:val="00FB1618"/>
    <w:rsid w:val="00FB1700"/>
    <w:rsid w:val="00FB2871"/>
    <w:rsid w:val="00FB44A2"/>
    <w:rsid w:val="00FB7478"/>
    <w:rsid w:val="00FC0479"/>
    <w:rsid w:val="00FC06CA"/>
    <w:rsid w:val="00FC21E5"/>
    <w:rsid w:val="00FC281F"/>
    <w:rsid w:val="00FC3420"/>
    <w:rsid w:val="00FC49B4"/>
    <w:rsid w:val="00FC4CE2"/>
    <w:rsid w:val="00FC4F46"/>
    <w:rsid w:val="00FC625B"/>
    <w:rsid w:val="00FC706A"/>
    <w:rsid w:val="00FD0BD6"/>
    <w:rsid w:val="00FD0C81"/>
    <w:rsid w:val="00FD0FBA"/>
    <w:rsid w:val="00FD1352"/>
    <w:rsid w:val="00FD281F"/>
    <w:rsid w:val="00FD2FDF"/>
    <w:rsid w:val="00FD4128"/>
    <w:rsid w:val="00FD6DAC"/>
    <w:rsid w:val="00FE0BCB"/>
    <w:rsid w:val="00FE464C"/>
    <w:rsid w:val="00FE5956"/>
    <w:rsid w:val="00FF0AD7"/>
    <w:rsid w:val="00FF56E7"/>
    <w:rsid w:val="00FF5FE1"/>
    <w:rsid w:val="00FF70CE"/>
    <w:rsid w:val="00FF7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F7D12"/>
  <w15:docId w15:val="{5169DBF6-A93C-CF4D-BA52-321EA5EE1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MS Mincho" w:hAnsi="Arial" w:cs="Arial"/>
        <w:sz w:val="22"/>
        <w:szCs w:val="22"/>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002"/>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pPr>
      <w:keepNext/>
      <w:keepLines/>
      <w:spacing w:before="400" w:after="120" w:line="276" w:lineRule="auto"/>
      <w:outlineLvl w:val="0"/>
    </w:pPr>
    <w:rPr>
      <w:rFonts w:ascii="Arial" w:eastAsia="MS Mincho" w:hAnsi="Arial" w:cs="Arial"/>
      <w:sz w:val="40"/>
      <w:szCs w:val="40"/>
      <w:lang w:val="en"/>
    </w:rPr>
  </w:style>
  <w:style w:type="paragraph" w:styleId="Heading2">
    <w:name w:val="heading 2"/>
    <w:basedOn w:val="Normal"/>
    <w:next w:val="Normal"/>
    <w:link w:val="Heading2Char"/>
    <w:uiPriority w:val="9"/>
    <w:semiHidden/>
    <w:unhideWhenUsed/>
    <w:qFormat/>
    <w:pPr>
      <w:keepNext/>
      <w:keepLines/>
      <w:spacing w:before="360" w:after="120" w:line="276" w:lineRule="auto"/>
      <w:outlineLvl w:val="1"/>
    </w:pPr>
    <w:rPr>
      <w:rFonts w:ascii="Arial" w:eastAsia="MS Mincho" w:hAnsi="Arial" w:cs="Arial"/>
      <w:sz w:val="32"/>
      <w:szCs w:val="32"/>
      <w:lang w:val="en"/>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line="276" w:lineRule="auto"/>
    </w:pPr>
    <w:rPr>
      <w:rFonts w:ascii="Arial" w:eastAsia="MS Mincho" w:hAnsi="Arial" w:cs="Arial"/>
      <w:sz w:val="52"/>
      <w:szCs w:val="52"/>
      <w:lang w:val="en"/>
    </w:rPr>
  </w:style>
  <w:style w:type="paragraph" w:styleId="Subtitle">
    <w:name w:val="Subtitle"/>
    <w:basedOn w:val="Normal"/>
    <w:next w:val="Normal"/>
    <w:link w:val="SubtitleChar"/>
    <w:uiPriority w:val="11"/>
    <w:qFormat/>
    <w:pPr>
      <w:keepNext/>
      <w:keepLines/>
      <w:spacing w:after="320" w:line="276" w:lineRule="auto"/>
    </w:pPr>
    <w:rPr>
      <w:rFonts w:ascii="Arial" w:eastAsia="MS Mincho" w:hAnsi="Arial" w:cs="Arial"/>
      <w:color w:val="666666"/>
      <w:sz w:val="30"/>
      <w:szCs w:val="30"/>
      <w:lang w:val="en"/>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Pr>
      <w:rFonts w:ascii="Arial" w:eastAsia="MS Mincho" w:hAnsi="Arial" w:cs="Arial"/>
      <w:sz w:val="20"/>
      <w:szCs w:val="20"/>
      <w:lang w:val="en"/>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5E3BA4"/>
    <w:rPr>
      <w:color w:val="0000FF" w:themeColor="hyperlink"/>
      <w:u w:val="single"/>
    </w:rPr>
  </w:style>
  <w:style w:type="character" w:customStyle="1" w:styleId="UnresolvedMention1">
    <w:name w:val="Unresolved Mention1"/>
    <w:basedOn w:val="DefaultParagraphFont"/>
    <w:uiPriority w:val="99"/>
    <w:semiHidden/>
    <w:unhideWhenUsed/>
    <w:rsid w:val="005E3BA4"/>
    <w:rPr>
      <w:color w:val="605E5C"/>
      <w:shd w:val="clear" w:color="auto" w:fill="E1DFDD"/>
    </w:rPr>
  </w:style>
  <w:style w:type="paragraph" w:styleId="NormalWeb">
    <w:name w:val="Normal (Web)"/>
    <w:basedOn w:val="Normal"/>
    <w:uiPriority w:val="99"/>
    <w:unhideWhenUsed/>
    <w:rsid w:val="0022409E"/>
    <w:pPr>
      <w:spacing w:before="100" w:beforeAutospacing="1" w:after="100" w:afterAutospacing="1"/>
    </w:pPr>
  </w:style>
  <w:style w:type="paragraph" w:styleId="ListParagraph">
    <w:name w:val="List Paragraph"/>
    <w:basedOn w:val="Normal"/>
    <w:uiPriority w:val="34"/>
    <w:qFormat/>
    <w:rsid w:val="00920078"/>
    <w:pPr>
      <w:ind w:left="720"/>
      <w:contextualSpacing/>
    </w:pPr>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E720BE"/>
    <w:rPr>
      <w:b/>
      <w:bCs/>
    </w:rPr>
  </w:style>
  <w:style w:type="character" w:customStyle="1" w:styleId="CommentSubjectChar">
    <w:name w:val="Comment Subject Char"/>
    <w:basedOn w:val="CommentTextChar"/>
    <w:link w:val="CommentSubject"/>
    <w:uiPriority w:val="99"/>
    <w:semiHidden/>
    <w:rsid w:val="00E720BE"/>
    <w:rPr>
      <w:b/>
      <w:bCs/>
      <w:sz w:val="20"/>
      <w:szCs w:val="20"/>
    </w:rPr>
  </w:style>
  <w:style w:type="table" w:styleId="TableGrid">
    <w:name w:val="Table Grid"/>
    <w:basedOn w:val="TableNormal"/>
    <w:uiPriority w:val="39"/>
    <w:rsid w:val="00845BA8"/>
    <w:rPr>
      <w:rFonts w:asciiTheme="minorHAnsi" w:eastAsiaTheme="minorHAnsi" w:hAnsiTheme="minorHAnsi"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E70A0D"/>
    <w:rPr>
      <w:rFonts w:asciiTheme="minorHAnsi" w:eastAsiaTheme="minorHAnsi" w:hAnsiTheme="minorHAnsi" w:cstheme="minorBidi"/>
      <w:sz w:val="24"/>
      <w:szCs w:val="24"/>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Header">
    <w:name w:val="header"/>
    <w:basedOn w:val="Normal"/>
    <w:link w:val="HeaderChar"/>
    <w:uiPriority w:val="99"/>
    <w:unhideWhenUsed/>
    <w:rsid w:val="00777206"/>
    <w:pPr>
      <w:tabs>
        <w:tab w:val="center" w:pos="4680"/>
        <w:tab w:val="right" w:pos="9360"/>
      </w:tabs>
    </w:pPr>
    <w:rPr>
      <w:rFonts w:ascii="Arial" w:eastAsia="MS Mincho" w:hAnsi="Arial" w:cs="Arial"/>
      <w:sz w:val="22"/>
      <w:szCs w:val="22"/>
      <w:lang w:val="en"/>
    </w:rPr>
  </w:style>
  <w:style w:type="character" w:customStyle="1" w:styleId="HeaderChar">
    <w:name w:val="Header Char"/>
    <w:basedOn w:val="DefaultParagraphFont"/>
    <w:link w:val="Header"/>
    <w:uiPriority w:val="99"/>
    <w:rsid w:val="00777206"/>
  </w:style>
  <w:style w:type="paragraph" w:styleId="Footer">
    <w:name w:val="footer"/>
    <w:basedOn w:val="Normal"/>
    <w:link w:val="FooterChar"/>
    <w:uiPriority w:val="99"/>
    <w:unhideWhenUsed/>
    <w:rsid w:val="00777206"/>
    <w:pPr>
      <w:tabs>
        <w:tab w:val="center" w:pos="4680"/>
        <w:tab w:val="right" w:pos="9360"/>
      </w:tabs>
    </w:pPr>
    <w:rPr>
      <w:rFonts w:ascii="Arial" w:eastAsia="MS Mincho" w:hAnsi="Arial" w:cs="Arial"/>
      <w:sz w:val="22"/>
      <w:szCs w:val="22"/>
      <w:lang w:val="en"/>
    </w:rPr>
  </w:style>
  <w:style w:type="character" w:customStyle="1" w:styleId="FooterChar">
    <w:name w:val="Footer Char"/>
    <w:basedOn w:val="DefaultParagraphFont"/>
    <w:link w:val="Footer"/>
    <w:uiPriority w:val="99"/>
    <w:rsid w:val="00777206"/>
  </w:style>
  <w:style w:type="character" w:styleId="FollowedHyperlink">
    <w:name w:val="FollowedHyperlink"/>
    <w:basedOn w:val="DefaultParagraphFont"/>
    <w:uiPriority w:val="99"/>
    <w:semiHidden/>
    <w:unhideWhenUsed/>
    <w:rsid w:val="00AE78E2"/>
    <w:rPr>
      <w:color w:val="800080" w:themeColor="followedHyperlink"/>
      <w:u w:val="single"/>
    </w:rPr>
  </w:style>
  <w:style w:type="paragraph" w:styleId="NoSpacing">
    <w:name w:val="No Spacing"/>
    <w:uiPriority w:val="1"/>
    <w:qFormat/>
    <w:rsid w:val="004060CE"/>
  </w:style>
  <w:style w:type="character" w:customStyle="1" w:styleId="apple-converted-space">
    <w:name w:val="apple-converted-space"/>
    <w:basedOn w:val="DefaultParagraphFont"/>
    <w:rsid w:val="008E6685"/>
  </w:style>
  <w:style w:type="character" w:styleId="PageNumber">
    <w:name w:val="page number"/>
    <w:basedOn w:val="DefaultParagraphFont"/>
    <w:uiPriority w:val="99"/>
    <w:semiHidden/>
    <w:unhideWhenUsed/>
    <w:rsid w:val="00470327"/>
  </w:style>
  <w:style w:type="paragraph" w:styleId="BalloonText">
    <w:name w:val="Balloon Text"/>
    <w:basedOn w:val="Normal"/>
    <w:link w:val="BalloonTextChar"/>
    <w:uiPriority w:val="99"/>
    <w:semiHidden/>
    <w:unhideWhenUsed/>
    <w:rsid w:val="007E162B"/>
    <w:rPr>
      <w:sz w:val="18"/>
      <w:szCs w:val="18"/>
    </w:rPr>
  </w:style>
  <w:style w:type="character" w:customStyle="1" w:styleId="BalloonTextChar">
    <w:name w:val="Balloon Text Char"/>
    <w:basedOn w:val="DefaultParagraphFont"/>
    <w:link w:val="BalloonText"/>
    <w:uiPriority w:val="99"/>
    <w:semiHidden/>
    <w:rsid w:val="007E162B"/>
    <w:rPr>
      <w:rFonts w:ascii="Times New Roman" w:eastAsia="Times New Roman" w:hAnsi="Times New Roman" w:cs="Times New Roman"/>
      <w:sz w:val="18"/>
      <w:szCs w:val="18"/>
      <w:lang w:val="en-US"/>
    </w:rPr>
  </w:style>
  <w:style w:type="character" w:customStyle="1" w:styleId="title-text">
    <w:name w:val="title-text"/>
    <w:basedOn w:val="DefaultParagraphFont"/>
    <w:rsid w:val="007E162B"/>
  </w:style>
  <w:style w:type="character" w:styleId="HTMLCite">
    <w:name w:val="HTML Cite"/>
    <w:basedOn w:val="DefaultParagraphFont"/>
    <w:uiPriority w:val="99"/>
    <w:semiHidden/>
    <w:unhideWhenUsed/>
    <w:rsid w:val="007E162B"/>
    <w:rPr>
      <w:i/>
      <w:iCs/>
    </w:rPr>
  </w:style>
  <w:style w:type="character" w:styleId="LineNumber">
    <w:name w:val="line number"/>
    <w:basedOn w:val="DefaultParagraphFont"/>
    <w:uiPriority w:val="99"/>
    <w:semiHidden/>
    <w:unhideWhenUsed/>
    <w:rsid w:val="007E162B"/>
  </w:style>
  <w:style w:type="character" w:customStyle="1" w:styleId="Heading1Char">
    <w:name w:val="Heading 1 Char"/>
    <w:basedOn w:val="DefaultParagraphFont"/>
    <w:link w:val="Heading1"/>
    <w:uiPriority w:val="9"/>
    <w:rsid w:val="007E162B"/>
    <w:rPr>
      <w:sz w:val="40"/>
      <w:szCs w:val="40"/>
    </w:rPr>
  </w:style>
  <w:style w:type="paragraph" w:styleId="Revision">
    <w:name w:val="Revision"/>
    <w:hidden/>
    <w:uiPriority w:val="99"/>
    <w:semiHidden/>
    <w:rsid w:val="008910BE"/>
  </w:style>
  <w:style w:type="table" w:styleId="PlainTable4">
    <w:name w:val="Plain Table 4"/>
    <w:basedOn w:val="TableNormal"/>
    <w:uiPriority w:val="44"/>
    <w:rsid w:val="00AA5A48"/>
    <w:rPr>
      <w:rFonts w:asciiTheme="minorHAnsi" w:hAnsiTheme="minorHAnsi" w:cstheme="minorBidi"/>
      <w:sz w:val="24"/>
      <w:szCs w:val="24"/>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219A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322D7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38400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semiHidden/>
    <w:rsid w:val="0000787B"/>
    <w:rPr>
      <w:sz w:val="32"/>
      <w:szCs w:val="32"/>
    </w:rPr>
  </w:style>
  <w:style w:type="character" w:customStyle="1" w:styleId="Heading3Char">
    <w:name w:val="Heading 3 Char"/>
    <w:basedOn w:val="DefaultParagraphFont"/>
    <w:link w:val="Heading3"/>
    <w:uiPriority w:val="9"/>
    <w:semiHidden/>
    <w:rsid w:val="0000787B"/>
    <w:rPr>
      <w:rFonts w:ascii="Times New Roman" w:eastAsia="Times New Roman" w:hAnsi="Times New Roman" w:cs="Times New Roman"/>
      <w:color w:val="434343"/>
      <w:sz w:val="28"/>
      <w:szCs w:val="28"/>
      <w:lang w:val="en-US"/>
    </w:rPr>
  </w:style>
  <w:style w:type="character" w:customStyle="1" w:styleId="Heading4Char">
    <w:name w:val="Heading 4 Char"/>
    <w:basedOn w:val="DefaultParagraphFont"/>
    <w:link w:val="Heading4"/>
    <w:uiPriority w:val="9"/>
    <w:semiHidden/>
    <w:rsid w:val="0000787B"/>
    <w:rPr>
      <w:rFonts w:ascii="Times New Roman" w:eastAsia="Times New Roman" w:hAnsi="Times New Roman" w:cs="Times New Roman"/>
      <w:color w:val="666666"/>
      <w:sz w:val="24"/>
      <w:szCs w:val="24"/>
      <w:lang w:val="en-US"/>
    </w:rPr>
  </w:style>
  <w:style w:type="character" w:customStyle="1" w:styleId="Heading5Char">
    <w:name w:val="Heading 5 Char"/>
    <w:basedOn w:val="DefaultParagraphFont"/>
    <w:link w:val="Heading5"/>
    <w:uiPriority w:val="9"/>
    <w:semiHidden/>
    <w:rsid w:val="0000787B"/>
    <w:rPr>
      <w:rFonts w:ascii="Times New Roman" w:eastAsia="Times New Roman" w:hAnsi="Times New Roman" w:cs="Times New Roman"/>
      <w:color w:val="666666"/>
      <w:sz w:val="24"/>
      <w:szCs w:val="24"/>
      <w:lang w:val="en-US"/>
    </w:rPr>
  </w:style>
  <w:style w:type="character" w:customStyle="1" w:styleId="Heading6Char">
    <w:name w:val="Heading 6 Char"/>
    <w:basedOn w:val="DefaultParagraphFont"/>
    <w:link w:val="Heading6"/>
    <w:uiPriority w:val="9"/>
    <w:semiHidden/>
    <w:rsid w:val="0000787B"/>
    <w:rPr>
      <w:rFonts w:ascii="Times New Roman" w:eastAsia="Times New Roman" w:hAnsi="Times New Roman" w:cs="Times New Roman"/>
      <w:i/>
      <w:color w:val="666666"/>
      <w:sz w:val="24"/>
      <w:szCs w:val="24"/>
      <w:lang w:val="en-US"/>
    </w:rPr>
  </w:style>
  <w:style w:type="character" w:customStyle="1" w:styleId="TitleChar">
    <w:name w:val="Title Char"/>
    <w:basedOn w:val="DefaultParagraphFont"/>
    <w:link w:val="Title"/>
    <w:uiPriority w:val="10"/>
    <w:rsid w:val="0000787B"/>
    <w:rPr>
      <w:sz w:val="52"/>
      <w:szCs w:val="52"/>
    </w:rPr>
  </w:style>
  <w:style w:type="character" w:customStyle="1" w:styleId="SubtitleChar">
    <w:name w:val="Subtitle Char"/>
    <w:basedOn w:val="DefaultParagraphFont"/>
    <w:link w:val="Subtitle"/>
    <w:uiPriority w:val="11"/>
    <w:rsid w:val="0000787B"/>
    <w:rPr>
      <w:color w:val="666666"/>
      <w:sz w:val="30"/>
      <w:szCs w:val="30"/>
    </w:rPr>
  </w:style>
  <w:style w:type="character" w:styleId="UnresolvedMention">
    <w:name w:val="Unresolved Mention"/>
    <w:basedOn w:val="DefaultParagraphFont"/>
    <w:uiPriority w:val="99"/>
    <w:semiHidden/>
    <w:unhideWhenUsed/>
    <w:rsid w:val="00D545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156275">
      <w:bodyDiv w:val="1"/>
      <w:marLeft w:val="0"/>
      <w:marRight w:val="0"/>
      <w:marTop w:val="0"/>
      <w:marBottom w:val="0"/>
      <w:divBdr>
        <w:top w:val="none" w:sz="0" w:space="0" w:color="auto"/>
        <w:left w:val="none" w:sz="0" w:space="0" w:color="auto"/>
        <w:bottom w:val="none" w:sz="0" w:space="0" w:color="auto"/>
        <w:right w:val="none" w:sz="0" w:space="0" w:color="auto"/>
      </w:divBdr>
      <w:divsChild>
        <w:div w:id="2143379329">
          <w:marLeft w:val="0"/>
          <w:marRight w:val="0"/>
          <w:marTop w:val="0"/>
          <w:marBottom w:val="0"/>
          <w:divBdr>
            <w:top w:val="none" w:sz="0" w:space="0" w:color="auto"/>
            <w:left w:val="none" w:sz="0" w:space="0" w:color="auto"/>
            <w:bottom w:val="none" w:sz="0" w:space="0" w:color="auto"/>
            <w:right w:val="none" w:sz="0" w:space="0" w:color="auto"/>
          </w:divBdr>
          <w:divsChild>
            <w:div w:id="1957322412">
              <w:marLeft w:val="0"/>
              <w:marRight w:val="0"/>
              <w:marTop w:val="0"/>
              <w:marBottom w:val="0"/>
              <w:divBdr>
                <w:top w:val="none" w:sz="0" w:space="0" w:color="auto"/>
                <w:left w:val="none" w:sz="0" w:space="0" w:color="auto"/>
                <w:bottom w:val="none" w:sz="0" w:space="0" w:color="auto"/>
                <w:right w:val="none" w:sz="0" w:space="0" w:color="auto"/>
              </w:divBdr>
              <w:divsChild>
                <w:div w:id="16281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3418">
      <w:bodyDiv w:val="1"/>
      <w:marLeft w:val="0"/>
      <w:marRight w:val="0"/>
      <w:marTop w:val="0"/>
      <w:marBottom w:val="0"/>
      <w:divBdr>
        <w:top w:val="none" w:sz="0" w:space="0" w:color="auto"/>
        <w:left w:val="none" w:sz="0" w:space="0" w:color="auto"/>
        <w:bottom w:val="none" w:sz="0" w:space="0" w:color="auto"/>
        <w:right w:val="none" w:sz="0" w:space="0" w:color="auto"/>
      </w:divBdr>
      <w:divsChild>
        <w:div w:id="1996177089">
          <w:marLeft w:val="0"/>
          <w:marRight w:val="0"/>
          <w:marTop w:val="0"/>
          <w:marBottom w:val="0"/>
          <w:divBdr>
            <w:top w:val="none" w:sz="0" w:space="0" w:color="auto"/>
            <w:left w:val="none" w:sz="0" w:space="0" w:color="auto"/>
            <w:bottom w:val="none" w:sz="0" w:space="0" w:color="auto"/>
            <w:right w:val="none" w:sz="0" w:space="0" w:color="auto"/>
          </w:divBdr>
          <w:divsChild>
            <w:div w:id="1594321894">
              <w:marLeft w:val="0"/>
              <w:marRight w:val="0"/>
              <w:marTop w:val="0"/>
              <w:marBottom w:val="0"/>
              <w:divBdr>
                <w:top w:val="none" w:sz="0" w:space="0" w:color="auto"/>
                <w:left w:val="none" w:sz="0" w:space="0" w:color="auto"/>
                <w:bottom w:val="none" w:sz="0" w:space="0" w:color="auto"/>
                <w:right w:val="none" w:sz="0" w:space="0" w:color="auto"/>
              </w:divBdr>
              <w:divsChild>
                <w:div w:id="1951861129">
                  <w:marLeft w:val="0"/>
                  <w:marRight w:val="0"/>
                  <w:marTop w:val="0"/>
                  <w:marBottom w:val="0"/>
                  <w:divBdr>
                    <w:top w:val="none" w:sz="0" w:space="0" w:color="auto"/>
                    <w:left w:val="none" w:sz="0" w:space="0" w:color="auto"/>
                    <w:bottom w:val="none" w:sz="0" w:space="0" w:color="auto"/>
                    <w:right w:val="none" w:sz="0" w:space="0" w:color="auto"/>
                  </w:divBdr>
                  <w:divsChild>
                    <w:div w:id="5730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1690">
      <w:bodyDiv w:val="1"/>
      <w:marLeft w:val="0"/>
      <w:marRight w:val="0"/>
      <w:marTop w:val="0"/>
      <w:marBottom w:val="0"/>
      <w:divBdr>
        <w:top w:val="none" w:sz="0" w:space="0" w:color="auto"/>
        <w:left w:val="none" w:sz="0" w:space="0" w:color="auto"/>
        <w:bottom w:val="none" w:sz="0" w:space="0" w:color="auto"/>
        <w:right w:val="none" w:sz="0" w:space="0" w:color="auto"/>
      </w:divBdr>
      <w:divsChild>
        <w:div w:id="1579553059">
          <w:marLeft w:val="0"/>
          <w:marRight w:val="0"/>
          <w:marTop w:val="0"/>
          <w:marBottom w:val="0"/>
          <w:divBdr>
            <w:top w:val="none" w:sz="0" w:space="0" w:color="auto"/>
            <w:left w:val="none" w:sz="0" w:space="0" w:color="auto"/>
            <w:bottom w:val="none" w:sz="0" w:space="0" w:color="auto"/>
            <w:right w:val="none" w:sz="0" w:space="0" w:color="auto"/>
          </w:divBdr>
          <w:divsChild>
            <w:div w:id="1691103064">
              <w:marLeft w:val="0"/>
              <w:marRight w:val="0"/>
              <w:marTop w:val="0"/>
              <w:marBottom w:val="0"/>
              <w:divBdr>
                <w:top w:val="none" w:sz="0" w:space="0" w:color="auto"/>
                <w:left w:val="none" w:sz="0" w:space="0" w:color="auto"/>
                <w:bottom w:val="none" w:sz="0" w:space="0" w:color="auto"/>
                <w:right w:val="none" w:sz="0" w:space="0" w:color="auto"/>
              </w:divBdr>
              <w:divsChild>
                <w:div w:id="59651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23911">
      <w:bodyDiv w:val="1"/>
      <w:marLeft w:val="0"/>
      <w:marRight w:val="0"/>
      <w:marTop w:val="0"/>
      <w:marBottom w:val="0"/>
      <w:divBdr>
        <w:top w:val="none" w:sz="0" w:space="0" w:color="auto"/>
        <w:left w:val="none" w:sz="0" w:space="0" w:color="auto"/>
        <w:bottom w:val="none" w:sz="0" w:space="0" w:color="auto"/>
        <w:right w:val="none" w:sz="0" w:space="0" w:color="auto"/>
      </w:divBdr>
    </w:div>
    <w:div w:id="202595119">
      <w:bodyDiv w:val="1"/>
      <w:marLeft w:val="0"/>
      <w:marRight w:val="0"/>
      <w:marTop w:val="0"/>
      <w:marBottom w:val="0"/>
      <w:divBdr>
        <w:top w:val="none" w:sz="0" w:space="0" w:color="auto"/>
        <w:left w:val="none" w:sz="0" w:space="0" w:color="auto"/>
        <w:bottom w:val="none" w:sz="0" w:space="0" w:color="auto"/>
        <w:right w:val="none" w:sz="0" w:space="0" w:color="auto"/>
      </w:divBdr>
    </w:div>
    <w:div w:id="238642370">
      <w:bodyDiv w:val="1"/>
      <w:marLeft w:val="0"/>
      <w:marRight w:val="0"/>
      <w:marTop w:val="0"/>
      <w:marBottom w:val="0"/>
      <w:divBdr>
        <w:top w:val="none" w:sz="0" w:space="0" w:color="auto"/>
        <w:left w:val="none" w:sz="0" w:space="0" w:color="auto"/>
        <w:bottom w:val="none" w:sz="0" w:space="0" w:color="auto"/>
        <w:right w:val="none" w:sz="0" w:space="0" w:color="auto"/>
      </w:divBdr>
      <w:divsChild>
        <w:div w:id="711271644">
          <w:marLeft w:val="0"/>
          <w:marRight w:val="0"/>
          <w:marTop w:val="0"/>
          <w:marBottom w:val="0"/>
          <w:divBdr>
            <w:top w:val="none" w:sz="0" w:space="0" w:color="auto"/>
            <w:left w:val="none" w:sz="0" w:space="0" w:color="auto"/>
            <w:bottom w:val="none" w:sz="0" w:space="0" w:color="auto"/>
            <w:right w:val="none" w:sz="0" w:space="0" w:color="auto"/>
          </w:divBdr>
          <w:divsChild>
            <w:div w:id="634915872">
              <w:marLeft w:val="0"/>
              <w:marRight w:val="0"/>
              <w:marTop w:val="0"/>
              <w:marBottom w:val="0"/>
              <w:divBdr>
                <w:top w:val="none" w:sz="0" w:space="0" w:color="auto"/>
                <w:left w:val="none" w:sz="0" w:space="0" w:color="auto"/>
                <w:bottom w:val="none" w:sz="0" w:space="0" w:color="auto"/>
                <w:right w:val="none" w:sz="0" w:space="0" w:color="auto"/>
              </w:divBdr>
              <w:divsChild>
                <w:div w:id="102717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104333">
      <w:bodyDiv w:val="1"/>
      <w:marLeft w:val="0"/>
      <w:marRight w:val="0"/>
      <w:marTop w:val="0"/>
      <w:marBottom w:val="0"/>
      <w:divBdr>
        <w:top w:val="none" w:sz="0" w:space="0" w:color="auto"/>
        <w:left w:val="none" w:sz="0" w:space="0" w:color="auto"/>
        <w:bottom w:val="none" w:sz="0" w:space="0" w:color="auto"/>
        <w:right w:val="none" w:sz="0" w:space="0" w:color="auto"/>
      </w:divBdr>
    </w:div>
    <w:div w:id="355541862">
      <w:bodyDiv w:val="1"/>
      <w:marLeft w:val="0"/>
      <w:marRight w:val="0"/>
      <w:marTop w:val="0"/>
      <w:marBottom w:val="0"/>
      <w:divBdr>
        <w:top w:val="none" w:sz="0" w:space="0" w:color="auto"/>
        <w:left w:val="none" w:sz="0" w:space="0" w:color="auto"/>
        <w:bottom w:val="none" w:sz="0" w:space="0" w:color="auto"/>
        <w:right w:val="none" w:sz="0" w:space="0" w:color="auto"/>
      </w:divBdr>
      <w:divsChild>
        <w:div w:id="768622353">
          <w:marLeft w:val="0"/>
          <w:marRight w:val="0"/>
          <w:marTop w:val="0"/>
          <w:marBottom w:val="0"/>
          <w:divBdr>
            <w:top w:val="none" w:sz="0" w:space="0" w:color="auto"/>
            <w:left w:val="none" w:sz="0" w:space="0" w:color="auto"/>
            <w:bottom w:val="none" w:sz="0" w:space="0" w:color="auto"/>
            <w:right w:val="none" w:sz="0" w:space="0" w:color="auto"/>
          </w:divBdr>
          <w:divsChild>
            <w:div w:id="502890239">
              <w:marLeft w:val="0"/>
              <w:marRight w:val="0"/>
              <w:marTop w:val="0"/>
              <w:marBottom w:val="0"/>
              <w:divBdr>
                <w:top w:val="none" w:sz="0" w:space="0" w:color="auto"/>
                <w:left w:val="none" w:sz="0" w:space="0" w:color="auto"/>
                <w:bottom w:val="none" w:sz="0" w:space="0" w:color="auto"/>
                <w:right w:val="none" w:sz="0" w:space="0" w:color="auto"/>
              </w:divBdr>
              <w:divsChild>
                <w:div w:id="13268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21146">
          <w:marLeft w:val="0"/>
          <w:marRight w:val="0"/>
          <w:marTop w:val="0"/>
          <w:marBottom w:val="0"/>
          <w:divBdr>
            <w:top w:val="none" w:sz="0" w:space="0" w:color="auto"/>
            <w:left w:val="none" w:sz="0" w:space="0" w:color="auto"/>
            <w:bottom w:val="none" w:sz="0" w:space="0" w:color="auto"/>
            <w:right w:val="none" w:sz="0" w:space="0" w:color="auto"/>
          </w:divBdr>
          <w:divsChild>
            <w:div w:id="1189947411">
              <w:marLeft w:val="0"/>
              <w:marRight w:val="0"/>
              <w:marTop w:val="0"/>
              <w:marBottom w:val="0"/>
              <w:divBdr>
                <w:top w:val="none" w:sz="0" w:space="0" w:color="auto"/>
                <w:left w:val="none" w:sz="0" w:space="0" w:color="auto"/>
                <w:bottom w:val="none" w:sz="0" w:space="0" w:color="auto"/>
                <w:right w:val="none" w:sz="0" w:space="0" w:color="auto"/>
              </w:divBdr>
              <w:divsChild>
                <w:div w:id="1195970920">
                  <w:marLeft w:val="0"/>
                  <w:marRight w:val="0"/>
                  <w:marTop w:val="0"/>
                  <w:marBottom w:val="0"/>
                  <w:divBdr>
                    <w:top w:val="none" w:sz="0" w:space="0" w:color="auto"/>
                    <w:left w:val="none" w:sz="0" w:space="0" w:color="auto"/>
                    <w:bottom w:val="none" w:sz="0" w:space="0" w:color="auto"/>
                    <w:right w:val="none" w:sz="0" w:space="0" w:color="auto"/>
                  </w:divBdr>
                </w:div>
              </w:divsChild>
            </w:div>
            <w:div w:id="1364139225">
              <w:marLeft w:val="0"/>
              <w:marRight w:val="0"/>
              <w:marTop w:val="0"/>
              <w:marBottom w:val="0"/>
              <w:divBdr>
                <w:top w:val="none" w:sz="0" w:space="0" w:color="auto"/>
                <w:left w:val="none" w:sz="0" w:space="0" w:color="auto"/>
                <w:bottom w:val="none" w:sz="0" w:space="0" w:color="auto"/>
                <w:right w:val="none" w:sz="0" w:space="0" w:color="auto"/>
              </w:divBdr>
              <w:divsChild>
                <w:div w:id="10134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719595">
      <w:bodyDiv w:val="1"/>
      <w:marLeft w:val="0"/>
      <w:marRight w:val="0"/>
      <w:marTop w:val="0"/>
      <w:marBottom w:val="0"/>
      <w:divBdr>
        <w:top w:val="none" w:sz="0" w:space="0" w:color="auto"/>
        <w:left w:val="none" w:sz="0" w:space="0" w:color="auto"/>
        <w:bottom w:val="none" w:sz="0" w:space="0" w:color="auto"/>
        <w:right w:val="none" w:sz="0" w:space="0" w:color="auto"/>
      </w:divBdr>
      <w:divsChild>
        <w:div w:id="105661365">
          <w:marLeft w:val="0"/>
          <w:marRight w:val="0"/>
          <w:marTop w:val="0"/>
          <w:marBottom w:val="0"/>
          <w:divBdr>
            <w:top w:val="none" w:sz="0" w:space="0" w:color="auto"/>
            <w:left w:val="none" w:sz="0" w:space="0" w:color="auto"/>
            <w:bottom w:val="none" w:sz="0" w:space="0" w:color="auto"/>
            <w:right w:val="none" w:sz="0" w:space="0" w:color="auto"/>
          </w:divBdr>
          <w:divsChild>
            <w:div w:id="1347827786">
              <w:marLeft w:val="0"/>
              <w:marRight w:val="0"/>
              <w:marTop w:val="0"/>
              <w:marBottom w:val="0"/>
              <w:divBdr>
                <w:top w:val="none" w:sz="0" w:space="0" w:color="auto"/>
                <w:left w:val="none" w:sz="0" w:space="0" w:color="auto"/>
                <w:bottom w:val="none" w:sz="0" w:space="0" w:color="auto"/>
                <w:right w:val="none" w:sz="0" w:space="0" w:color="auto"/>
              </w:divBdr>
              <w:divsChild>
                <w:div w:id="958148406">
                  <w:marLeft w:val="0"/>
                  <w:marRight w:val="0"/>
                  <w:marTop w:val="0"/>
                  <w:marBottom w:val="0"/>
                  <w:divBdr>
                    <w:top w:val="none" w:sz="0" w:space="0" w:color="auto"/>
                    <w:left w:val="none" w:sz="0" w:space="0" w:color="auto"/>
                    <w:bottom w:val="none" w:sz="0" w:space="0" w:color="auto"/>
                    <w:right w:val="none" w:sz="0" w:space="0" w:color="auto"/>
                  </w:divBdr>
                  <w:divsChild>
                    <w:div w:id="132697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739036">
      <w:bodyDiv w:val="1"/>
      <w:marLeft w:val="0"/>
      <w:marRight w:val="0"/>
      <w:marTop w:val="0"/>
      <w:marBottom w:val="0"/>
      <w:divBdr>
        <w:top w:val="none" w:sz="0" w:space="0" w:color="auto"/>
        <w:left w:val="none" w:sz="0" w:space="0" w:color="auto"/>
        <w:bottom w:val="none" w:sz="0" w:space="0" w:color="auto"/>
        <w:right w:val="none" w:sz="0" w:space="0" w:color="auto"/>
      </w:divBdr>
    </w:div>
    <w:div w:id="504394088">
      <w:bodyDiv w:val="1"/>
      <w:marLeft w:val="0"/>
      <w:marRight w:val="0"/>
      <w:marTop w:val="0"/>
      <w:marBottom w:val="0"/>
      <w:divBdr>
        <w:top w:val="none" w:sz="0" w:space="0" w:color="auto"/>
        <w:left w:val="none" w:sz="0" w:space="0" w:color="auto"/>
        <w:bottom w:val="none" w:sz="0" w:space="0" w:color="auto"/>
        <w:right w:val="none" w:sz="0" w:space="0" w:color="auto"/>
      </w:divBdr>
      <w:divsChild>
        <w:div w:id="97604718">
          <w:marLeft w:val="0"/>
          <w:marRight w:val="0"/>
          <w:marTop w:val="0"/>
          <w:marBottom w:val="0"/>
          <w:divBdr>
            <w:top w:val="none" w:sz="0" w:space="0" w:color="auto"/>
            <w:left w:val="none" w:sz="0" w:space="0" w:color="auto"/>
            <w:bottom w:val="none" w:sz="0" w:space="0" w:color="auto"/>
            <w:right w:val="none" w:sz="0" w:space="0" w:color="auto"/>
          </w:divBdr>
          <w:divsChild>
            <w:div w:id="53281612">
              <w:marLeft w:val="0"/>
              <w:marRight w:val="0"/>
              <w:marTop w:val="0"/>
              <w:marBottom w:val="0"/>
              <w:divBdr>
                <w:top w:val="none" w:sz="0" w:space="0" w:color="auto"/>
                <w:left w:val="none" w:sz="0" w:space="0" w:color="auto"/>
                <w:bottom w:val="none" w:sz="0" w:space="0" w:color="auto"/>
                <w:right w:val="none" w:sz="0" w:space="0" w:color="auto"/>
              </w:divBdr>
              <w:divsChild>
                <w:div w:id="174241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094074">
      <w:bodyDiv w:val="1"/>
      <w:marLeft w:val="0"/>
      <w:marRight w:val="0"/>
      <w:marTop w:val="0"/>
      <w:marBottom w:val="0"/>
      <w:divBdr>
        <w:top w:val="none" w:sz="0" w:space="0" w:color="auto"/>
        <w:left w:val="none" w:sz="0" w:space="0" w:color="auto"/>
        <w:bottom w:val="none" w:sz="0" w:space="0" w:color="auto"/>
        <w:right w:val="none" w:sz="0" w:space="0" w:color="auto"/>
      </w:divBdr>
      <w:divsChild>
        <w:div w:id="359281605">
          <w:marLeft w:val="0"/>
          <w:marRight w:val="0"/>
          <w:marTop w:val="0"/>
          <w:marBottom w:val="0"/>
          <w:divBdr>
            <w:top w:val="none" w:sz="0" w:space="0" w:color="auto"/>
            <w:left w:val="none" w:sz="0" w:space="0" w:color="auto"/>
            <w:bottom w:val="none" w:sz="0" w:space="0" w:color="auto"/>
            <w:right w:val="none" w:sz="0" w:space="0" w:color="auto"/>
          </w:divBdr>
          <w:divsChild>
            <w:div w:id="811677684">
              <w:marLeft w:val="0"/>
              <w:marRight w:val="0"/>
              <w:marTop w:val="0"/>
              <w:marBottom w:val="0"/>
              <w:divBdr>
                <w:top w:val="none" w:sz="0" w:space="0" w:color="auto"/>
                <w:left w:val="none" w:sz="0" w:space="0" w:color="auto"/>
                <w:bottom w:val="none" w:sz="0" w:space="0" w:color="auto"/>
                <w:right w:val="none" w:sz="0" w:space="0" w:color="auto"/>
              </w:divBdr>
              <w:divsChild>
                <w:div w:id="25586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10224">
      <w:bodyDiv w:val="1"/>
      <w:marLeft w:val="0"/>
      <w:marRight w:val="0"/>
      <w:marTop w:val="0"/>
      <w:marBottom w:val="0"/>
      <w:divBdr>
        <w:top w:val="none" w:sz="0" w:space="0" w:color="auto"/>
        <w:left w:val="none" w:sz="0" w:space="0" w:color="auto"/>
        <w:bottom w:val="none" w:sz="0" w:space="0" w:color="auto"/>
        <w:right w:val="none" w:sz="0" w:space="0" w:color="auto"/>
      </w:divBdr>
    </w:div>
    <w:div w:id="630745969">
      <w:bodyDiv w:val="1"/>
      <w:marLeft w:val="0"/>
      <w:marRight w:val="0"/>
      <w:marTop w:val="0"/>
      <w:marBottom w:val="0"/>
      <w:divBdr>
        <w:top w:val="none" w:sz="0" w:space="0" w:color="auto"/>
        <w:left w:val="none" w:sz="0" w:space="0" w:color="auto"/>
        <w:bottom w:val="none" w:sz="0" w:space="0" w:color="auto"/>
        <w:right w:val="none" w:sz="0" w:space="0" w:color="auto"/>
      </w:divBdr>
      <w:divsChild>
        <w:div w:id="2085832817">
          <w:marLeft w:val="0"/>
          <w:marRight w:val="0"/>
          <w:marTop w:val="0"/>
          <w:marBottom w:val="0"/>
          <w:divBdr>
            <w:top w:val="none" w:sz="0" w:space="0" w:color="auto"/>
            <w:left w:val="none" w:sz="0" w:space="0" w:color="auto"/>
            <w:bottom w:val="none" w:sz="0" w:space="0" w:color="auto"/>
            <w:right w:val="none" w:sz="0" w:space="0" w:color="auto"/>
          </w:divBdr>
          <w:divsChild>
            <w:div w:id="1890064996">
              <w:marLeft w:val="0"/>
              <w:marRight w:val="0"/>
              <w:marTop w:val="0"/>
              <w:marBottom w:val="0"/>
              <w:divBdr>
                <w:top w:val="none" w:sz="0" w:space="0" w:color="auto"/>
                <w:left w:val="none" w:sz="0" w:space="0" w:color="auto"/>
                <w:bottom w:val="none" w:sz="0" w:space="0" w:color="auto"/>
                <w:right w:val="none" w:sz="0" w:space="0" w:color="auto"/>
              </w:divBdr>
              <w:divsChild>
                <w:div w:id="190050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819778">
      <w:bodyDiv w:val="1"/>
      <w:marLeft w:val="0"/>
      <w:marRight w:val="0"/>
      <w:marTop w:val="0"/>
      <w:marBottom w:val="0"/>
      <w:divBdr>
        <w:top w:val="none" w:sz="0" w:space="0" w:color="auto"/>
        <w:left w:val="none" w:sz="0" w:space="0" w:color="auto"/>
        <w:bottom w:val="none" w:sz="0" w:space="0" w:color="auto"/>
        <w:right w:val="none" w:sz="0" w:space="0" w:color="auto"/>
      </w:divBdr>
      <w:divsChild>
        <w:div w:id="1657224587">
          <w:marLeft w:val="0"/>
          <w:marRight w:val="0"/>
          <w:marTop w:val="0"/>
          <w:marBottom w:val="0"/>
          <w:divBdr>
            <w:top w:val="none" w:sz="0" w:space="0" w:color="auto"/>
            <w:left w:val="none" w:sz="0" w:space="0" w:color="auto"/>
            <w:bottom w:val="none" w:sz="0" w:space="0" w:color="auto"/>
            <w:right w:val="none" w:sz="0" w:space="0" w:color="auto"/>
          </w:divBdr>
          <w:divsChild>
            <w:div w:id="1148286920">
              <w:marLeft w:val="0"/>
              <w:marRight w:val="0"/>
              <w:marTop w:val="0"/>
              <w:marBottom w:val="0"/>
              <w:divBdr>
                <w:top w:val="none" w:sz="0" w:space="0" w:color="auto"/>
                <w:left w:val="none" w:sz="0" w:space="0" w:color="auto"/>
                <w:bottom w:val="none" w:sz="0" w:space="0" w:color="auto"/>
                <w:right w:val="none" w:sz="0" w:space="0" w:color="auto"/>
              </w:divBdr>
              <w:divsChild>
                <w:div w:id="90079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324771">
      <w:bodyDiv w:val="1"/>
      <w:marLeft w:val="0"/>
      <w:marRight w:val="0"/>
      <w:marTop w:val="0"/>
      <w:marBottom w:val="0"/>
      <w:divBdr>
        <w:top w:val="none" w:sz="0" w:space="0" w:color="auto"/>
        <w:left w:val="none" w:sz="0" w:space="0" w:color="auto"/>
        <w:bottom w:val="none" w:sz="0" w:space="0" w:color="auto"/>
        <w:right w:val="none" w:sz="0" w:space="0" w:color="auto"/>
      </w:divBdr>
    </w:div>
    <w:div w:id="704137644">
      <w:bodyDiv w:val="1"/>
      <w:marLeft w:val="0"/>
      <w:marRight w:val="0"/>
      <w:marTop w:val="0"/>
      <w:marBottom w:val="0"/>
      <w:divBdr>
        <w:top w:val="none" w:sz="0" w:space="0" w:color="auto"/>
        <w:left w:val="none" w:sz="0" w:space="0" w:color="auto"/>
        <w:bottom w:val="none" w:sz="0" w:space="0" w:color="auto"/>
        <w:right w:val="none" w:sz="0" w:space="0" w:color="auto"/>
      </w:divBdr>
    </w:div>
    <w:div w:id="730812881">
      <w:bodyDiv w:val="1"/>
      <w:marLeft w:val="0"/>
      <w:marRight w:val="0"/>
      <w:marTop w:val="0"/>
      <w:marBottom w:val="0"/>
      <w:divBdr>
        <w:top w:val="none" w:sz="0" w:space="0" w:color="auto"/>
        <w:left w:val="none" w:sz="0" w:space="0" w:color="auto"/>
        <w:bottom w:val="none" w:sz="0" w:space="0" w:color="auto"/>
        <w:right w:val="none" w:sz="0" w:space="0" w:color="auto"/>
      </w:divBdr>
      <w:divsChild>
        <w:div w:id="422920111">
          <w:marLeft w:val="0"/>
          <w:marRight w:val="0"/>
          <w:marTop w:val="0"/>
          <w:marBottom w:val="0"/>
          <w:divBdr>
            <w:top w:val="none" w:sz="0" w:space="0" w:color="auto"/>
            <w:left w:val="none" w:sz="0" w:space="0" w:color="auto"/>
            <w:bottom w:val="none" w:sz="0" w:space="0" w:color="auto"/>
            <w:right w:val="none" w:sz="0" w:space="0" w:color="auto"/>
          </w:divBdr>
          <w:divsChild>
            <w:div w:id="1349063318">
              <w:marLeft w:val="0"/>
              <w:marRight w:val="0"/>
              <w:marTop w:val="0"/>
              <w:marBottom w:val="0"/>
              <w:divBdr>
                <w:top w:val="none" w:sz="0" w:space="0" w:color="auto"/>
                <w:left w:val="none" w:sz="0" w:space="0" w:color="auto"/>
                <w:bottom w:val="none" w:sz="0" w:space="0" w:color="auto"/>
                <w:right w:val="none" w:sz="0" w:space="0" w:color="auto"/>
              </w:divBdr>
              <w:divsChild>
                <w:div w:id="20972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6576">
      <w:bodyDiv w:val="1"/>
      <w:marLeft w:val="0"/>
      <w:marRight w:val="0"/>
      <w:marTop w:val="0"/>
      <w:marBottom w:val="0"/>
      <w:divBdr>
        <w:top w:val="none" w:sz="0" w:space="0" w:color="auto"/>
        <w:left w:val="none" w:sz="0" w:space="0" w:color="auto"/>
        <w:bottom w:val="none" w:sz="0" w:space="0" w:color="auto"/>
        <w:right w:val="none" w:sz="0" w:space="0" w:color="auto"/>
      </w:divBdr>
      <w:divsChild>
        <w:div w:id="1734623111">
          <w:marLeft w:val="0"/>
          <w:marRight w:val="0"/>
          <w:marTop w:val="0"/>
          <w:marBottom w:val="0"/>
          <w:divBdr>
            <w:top w:val="none" w:sz="0" w:space="0" w:color="auto"/>
            <w:left w:val="none" w:sz="0" w:space="0" w:color="auto"/>
            <w:bottom w:val="none" w:sz="0" w:space="0" w:color="auto"/>
            <w:right w:val="none" w:sz="0" w:space="0" w:color="auto"/>
          </w:divBdr>
          <w:divsChild>
            <w:div w:id="1312102097">
              <w:marLeft w:val="0"/>
              <w:marRight w:val="0"/>
              <w:marTop w:val="0"/>
              <w:marBottom w:val="0"/>
              <w:divBdr>
                <w:top w:val="none" w:sz="0" w:space="0" w:color="auto"/>
                <w:left w:val="none" w:sz="0" w:space="0" w:color="auto"/>
                <w:bottom w:val="none" w:sz="0" w:space="0" w:color="auto"/>
                <w:right w:val="none" w:sz="0" w:space="0" w:color="auto"/>
              </w:divBdr>
              <w:divsChild>
                <w:div w:id="100047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341346">
      <w:bodyDiv w:val="1"/>
      <w:marLeft w:val="0"/>
      <w:marRight w:val="0"/>
      <w:marTop w:val="0"/>
      <w:marBottom w:val="0"/>
      <w:divBdr>
        <w:top w:val="none" w:sz="0" w:space="0" w:color="auto"/>
        <w:left w:val="none" w:sz="0" w:space="0" w:color="auto"/>
        <w:bottom w:val="none" w:sz="0" w:space="0" w:color="auto"/>
        <w:right w:val="none" w:sz="0" w:space="0" w:color="auto"/>
      </w:divBdr>
      <w:divsChild>
        <w:div w:id="1437628409">
          <w:marLeft w:val="0"/>
          <w:marRight w:val="0"/>
          <w:marTop w:val="0"/>
          <w:marBottom w:val="0"/>
          <w:divBdr>
            <w:top w:val="none" w:sz="0" w:space="0" w:color="auto"/>
            <w:left w:val="none" w:sz="0" w:space="0" w:color="auto"/>
            <w:bottom w:val="none" w:sz="0" w:space="0" w:color="auto"/>
            <w:right w:val="none" w:sz="0" w:space="0" w:color="auto"/>
          </w:divBdr>
          <w:divsChild>
            <w:div w:id="1124812130">
              <w:marLeft w:val="0"/>
              <w:marRight w:val="0"/>
              <w:marTop w:val="0"/>
              <w:marBottom w:val="0"/>
              <w:divBdr>
                <w:top w:val="none" w:sz="0" w:space="0" w:color="auto"/>
                <w:left w:val="none" w:sz="0" w:space="0" w:color="auto"/>
                <w:bottom w:val="none" w:sz="0" w:space="0" w:color="auto"/>
                <w:right w:val="none" w:sz="0" w:space="0" w:color="auto"/>
              </w:divBdr>
              <w:divsChild>
                <w:div w:id="157319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557066">
      <w:bodyDiv w:val="1"/>
      <w:marLeft w:val="0"/>
      <w:marRight w:val="0"/>
      <w:marTop w:val="0"/>
      <w:marBottom w:val="0"/>
      <w:divBdr>
        <w:top w:val="none" w:sz="0" w:space="0" w:color="auto"/>
        <w:left w:val="none" w:sz="0" w:space="0" w:color="auto"/>
        <w:bottom w:val="none" w:sz="0" w:space="0" w:color="auto"/>
        <w:right w:val="none" w:sz="0" w:space="0" w:color="auto"/>
      </w:divBdr>
    </w:div>
    <w:div w:id="1037780381">
      <w:bodyDiv w:val="1"/>
      <w:marLeft w:val="0"/>
      <w:marRight w:val="0"/>
      <w:marTop w:val="0"/>
      <w:marBottom w:val="0"/>
      <w:divBdr>
        <w:top w:val="none" w:sz="0" w:space="0" w:color="auto"/>
        <w:left w:val="none" w:sz="0" w:space="0" w:color="auto"/>
        <w:bottom w:val="none" w:sz="0" w:space="0" w:color="auto"/>
        <w:right w:val="none" w:sz="0" w:space="0" w:color="auto"/>
      </w:divBdr>
    </w:div>
    <w:div w:id="1072659584">
      <w:bodyDiv w:val="1"/>
      <w:marLeft w:val="0"/>
      <w:marRight w:val="0"/>
      <w:marTop w:val="0"/>
      <w:marBottom w:val="0"/>
      <w:divBdr>
        <w:top w:val="none" w:sz="0" w:space="0" w:color="auto"/>
        <w:left w:val="none" w:sz="0" w:space="0" w:color="auto"/>
        <w:bottom w:val="none" w:sz="0" w:space="0" w:color="auto"/>
        <w:right w:val="none" w:sz="0" w:space="0" w:color="auto"/>
      </w:divBdr>
      <w:divsChild>
        <w:div w:id="589509644">
          <w:marLeft w:val="0"/>
          <w:marRight w:val="0"/>
          <w:marTop w:val="0"/>
          <w:marBottom w:val="0"/>
          <w:divBdr>
            <w:top w:val="none" w:sz="0" w:space="0" w:color="auto"/>
            <w:left w:val="none" w:sz="0" w:space="0" w:color="auto"/>
            <w:bottom w:val="none" w:sz="0" w:space="0" w:color="auto"/>
            <w:right w:val="none" w:sz="0" w:space="0" w:color="auto"/>
          </w:divBdr>
          <w:divsChild>
            <w:div w:id="1063260899">
              <w:marLeft w:val="0"/>
              <w:marRight w:val="0"/>
              <w:marTop w:val="0"/>
              <w:marBottom w:val="0"/>
              <w:divBdr>
                <w:top w:val="none" w:sz="0" w:space="0" w:color="auto"/>
                <w:left w:val="none" w:sz="0" w:space="0" w:color="auto"/>
                <w:bottom w:val="none" w:sz="0" w:space="0" w:color="auto"/>
                <w:right w:val="none" w:sz="0" w:space="0" w:color="auto"/>
              </w:divBdr>
              <w:divsChild>
                <w:div w:id="3246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510422">
      <w:bodyDiv w:val="1"/>
      <w:marLeft w:val="0"/>
      <w:marRight w:val="0"/>
      <w:marTop w:val="0"/>
      <w:marBottom w:val="0"/>
      <w:divBdr>
        <w:top w:val="none" w:sz="0" w:space="0" w:color="auto"/>
        <w:left w:val="none" w:sz="0" w:space="0" w:color="auto"/>
        <w:bottom w:val="none" w:sz="0" w:space="0" w:color="auto"/>
        <w:right w:val="none" w:sz="0" w:space="0" w:color="auto"/>
      </w:divBdr>
      <w:divsChild>
        <w:div w:id="411659530">
          <w:marLeft w:val="0"/>
          <w:marRight w:val="0"/>
          <w:marTop w:val="0"/>
          <w:marBottom w:val="0"/>
          <w:divBdr>
            <w:top w:val="none" w:sz="0" w:space="0" w:color="auto"/>
            <w:left w:val="none" w:sz="0" w:space="0" w:color="auto"/>
            <w:bottom w:val="none" w:sz="0" w:space="0" w:color="auto"/>
            <w:right w:val="none" w:sz="0" w:space="0" w:color="auto"/>
          </w:divBdr>
          <w:divsChild>
            <w:div w:id="395933975">
              <w:marLeft w:val="0"/>
              <w:marRight w:val="0"/>
              <w:marTop w:val="0"/>
              <w:marBottom w:val="0"/>
              <w:divBdr>
                <w:top w:val="none" w:sz="0" w:space="0" w:color="auto"/>
                <w:left w:val="none" w:sz="0" w:space="0" w:color="auto"/>
                <w:bottom w:val="none" w:sz="0" w:space="0" w:color="auto"/>
                <w:right w:val="none" w:sz="0" w:space="0" w:color="auto"/>
              </w:divBdr>
              <w:divsChild>
                <w:div w:id="154463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15319">
      <w:bodyDiv w:val="1"/>
      <w:marLeft w:val="0"/>
      <w:marRight w:val="0"/>
      <w:marTop w:val="0"/>
      <w:marBottom w:val="0"/>
      <w:divBdr>
        <w:top w:val="none" w:sz="0" w:space="0" w:color="auto"/>
        <w:left w:val="none" w:sz="0" w:space="0" w:color="auto"/>
        <w:bottom w:val="none" w:sz="0" w:space="0" w:color="auto"/>
        <w:right w:val="none" w:sz="0" w:space="0" w:color="auto"/>
      </w:divBdr>
      <w:divsChild>
        <w:div w:id="1222912015">
          <w:marLeft w:val="0"/>
          <w:marRight w:val="0"/>
          <w:marTop w:val="0"/>
          <w:marBottom w:val="0"/>
          <w:divBdr>
            <w:top w:val="none" w:sz="0" w:space="0" w:color="auto"/>
            <w:left w:val="none" w:sz="0" w:space="0" w:color="auto"/>
            <w:bottom w:val="none" w:sz="0" w:space="0" w:color="auto"/>
            <w:right w:val="none" w:sz="0" w:space="0" w:color="auto"/>
          </w:divBdr>
          <w:divsChild>
            <w:div w:id="1889759635">
              <w:marLeft w:val="0"/>
              <w:marRight w:val="0"/>
              <w:marTop w:val="0"/>
              <w:marBottom w:val="0"/>
              <w:divBdr>
                <w:top w:val="none" w:sz="0" w:space="0" w:color="auto"/>
                <w:left w:val="none" w:sz="0" w:space="0" w:color="auto"/>
                <w:bottom w:val="none" w:sz="0" w:space="0" w:color="auto"/>
                <w:right w:val="none" w:sz="0" w:space="0" w:color="auto"/>
              </w:divBdr>
              <w:divsChild>
                <w:div w:id="37894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006944">
      <w:bodyDiv w:val="1"/>
      <w:marLeft w:val="0"/>
      <w:marRight w:val="0"/>
      <w:marTop w:val="0"/>
      <w:marBottom w:val="0"/>
      <w:divBdr>
        <w:top w:val="none" w:sz="0" w:space="0" w:color="auto"/>
        <w:left w:val="none" w:sz="0" w:space="0" w:color="auto"/>
        <w:bottom w:val="none" w:sz="0" w:space="0" w:color="auto"/>
        <w:right w:val="none" w:sz="0" w:space="0" w:color="auto"/>
      </w:divBdr>
    </w:div>
    <w:div w:id="1259560208">
      <w:bodyDiv w:val="1"/>
      <w:marLeft w:val="0"/>
      <w:marRight w:val="0"/>
      <w:marTop w:val="0"/>
      <w:marBottom w:val="0"/>
      <w:divBdr>
        <w:top w:val="none" w:sz="0" w:space="0" w:color="auto"/>
        <w:left w:val="none" w:sz="0" w:space="0" w:color="auto"/>
        <w:bottom w:val="none" w:sz="0" w:space="0" w:color="auto"/>
        <w:right w:val="none" w:sz="0" w:space="0" w:color="auto"/>
      </w:divBdr>
      <w:divsChild>
        <w:div w:id="1749619749">
          <w:marLeft w:val="0"/>
          <w:marRight w:val="0"/>
          <w:marTop w:val="0"/>
          <w:marBottom w:val="0"/>
          <w:divBdr>
            <w:top w:val="none" w:sz="0" w:space="0" w:color="auto"/>
            <w:left w:val="none" w:sz="0" w:space="0" w:color="auto"/>
            <w:bottom w:val="none" w:sz="0" w:space="0" w:color="auto"/>
            <w:right w:val="none" w:sz="0" w:space="0" w:color="auto"/>
          </w:divBdr>
          <w:divsChild>
            <w:div w:id="626159663">
              <w:marLeft w:val="0"/>
              <w:marRight w:val="0"/>
              <w:marTop w:val="0"/>
              <w:marBottom w:val="0"/>
              <w:divBdr>
                <w:top w:val="none" w:sz="0" w:space="0" w:color="auto"/>
                <w:left w:val="none" w:sz="0" w:space="0" w:color="auto"/>
                <w:bottom w:val="none" w:sz="0" w:space="0" w:color="auto"/>
                <w:right w:val="none" w:sz="0" w:space="0" w:color="auto"/>
              </w:divBdr>
              <w:divsChild>
                <w:div w:id="43124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051004">
      <w:bodyDiv w:val="1"/>
      <w:marLeft w:val="0"/>
      <w:marRight w:val="0"/>
      <w:marTop w:val="0"/>
      <w:marBottom w:val="0"/>
      <w:divBdr>
        <w:top w:val="none" w:sz="0" w:space="0" w:color="auto"/>
        <w:left w:val="none" w:sz="0" w:space="0" w:color="auto"/>
        <w:bottom w:val="none" w:sz="0" w:space="0" w:color="auto"/>
        <w:right w:val="none" w:sz="0" w:space="0" w:color="auto"/>
      </w:divBdr>
    </w:div>
    <w:div w:id="1410809474">
      <w:bodyDiv w:val="1"/>
      <w:marLeft w:val="0"/>
      <w:marRight w:val="0"/>
      <w:marTop w:val="0"/>
      <w:marBottom w:val="0"/>
      <w:divBdr>
        <w:top w:val="none" w:sz="0" w:space="0" w:color="auto"/>
        <w:left w:val="none" w:sz="0" w:space="0" w:color="auto"/>
        <w:bottom w:val="none" w:sz="0" w:space="0" w:color="auto"/>
        <w:right w:val="none" w:sz="0" w:space="0" w:color="auto"/>
      </w:divBdr>
    </w:div>
    <w:div w:id="1597247959">
      <w:bodyDiv w:val="1"/>
      <w:marLeft w:val="0"/>
      <w:marRight w:val="0"/>
      <w:marTop w:val="0"/>
      <w:marBottom w:val="0"/>
      <w:divBdr>
        <w:top w:val="none" w:sz="0" w:space="0" w:color="auto"/>
        <w:left w:val="none" w:sz="0" w:space="0" w:color="auto"/>
        <w:bottom w:val="none" w:sz="0" w:space="0" w:color="auto"/>
        <w:right w:val="none" w:sz="0" w:space="0" w:color="auto"/>
      </w:divBdr>
      <w:divsChild>
        <w:div w:id="813910077">
          <w:marLeft w:val="0"/>
          <w:marRight w:val="0"/>
          <w:marTop w:val="0"/>
          <w:marBottom w:val="0"/>
          <w:divBdr>
            <w:top w:val="none" w:sz="0" w:space="0" w:color="auto"/>
            <w:left w:val="none" w:sz="0" w:space="0" w:color="auto"/>
            <w:bottom w:val="none" w:sz="0" w:space="0" w:color="auto"/>
            <w:right w:val="none" w:sz="0" w:space="0" w:color="auto"/>
          </w:divBdr>
          <w:divsChild>
            <w:div w:id="1382243602">
              <w:marLeft w:val="0"/>
              <w:marRight w:val="0"/>
              <w:marTop w:val="0"/>
              <w:marBottom w:val="0"/>
              <w:divBdr>
                <w:top w:val="none" w:sz="0" w:space="0" w:color="auto"/>
                <w:left w:val="none" w:sz="0" w:space="0" w:color="auto"/>
                <w:bottom w:val="none" w:sz="0" w:space="0" w:color="auto"/>
                <w:right w:val="none" w:sz="0" w:space="0" w:color="auto"/>
              </w:divBdr>
              <w:divsChild>
                <w:div w:id="1907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6103">
      <w:bodyDiv w:val="1"/>
      <w:marLeft w:val="0"/>
      <w:marRight w:val="0"/>
      <w:marTop w:val="0"/>
      <w:marBottom w:val="0"/>
      <w:divBdr>
        <w:top w:val="none" w:sz="0" w:space="0" w:color="auto"/>
        <w:left w:val="none" w:sz="0" w:space="0" w:color="auto"/>
        <w:bottom w:val="none" w:sz="0" w:space="0" w:color="auto"/>
        <w:right w:val="none" w:sz="0" w:space="0" w:color="auto"/>
      </w:divBdr>
      <w:divsChild>
        <w:div w:id="1613971826">
          <w:marLeft w:val="0"/>
          <w:marRight w:val="0"/>
          <w:marTop w:val="0"/>
          <w:marBottom w:val="0"/>
          <w:divBdr>
            <w:top w:val="none" w:sz="0" w:space="0" w:color="auto"/>
            <w:left w:val="none" w:sz="0" w:space="0" w:color="auto"/>
            <w:bottom w:val="none" w:sz="0" w:space="0" w:color="auto"/>
            <w:right w:val="none" w:sz="0" w:space="0" w:color="auto"/>
          </w:divBdr>
          <w:divsChild>
            <w:div w:id="1905793662">
              <w:marLeft w:val="0"/>
              <w:marRight w:val="0"/>
              <w:marTop w:val="0"/>
              <w:marBottom w:val="0"/>
              <w:divBdr>
                <w:top w:val="none" w:sz="0" w:space="0" w:color="auto"/>
                <w:left w:val="none" w:sz="0" w:space="0" w:color="auto"/>
                <w:bottom w:val="none" w:sz="0" w:space="0" w:color="auto"/>
                <w:right w:val="none" w:sz="0" w:space="0" w:color="auto"/>
              </w:divBdr>
              <w:divsChild>
                <w:div w:id="169792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901154">
      <w:bodyDiv w:val="1"/>
      <w:marLeft w:val="0"/>
      <w:marRight w:val="0"/>
      <w:marTop w:val="0"/>
      <w:marBottom w:val="0"/>
      <w:divBdr>
        <w:top w:val="none" w:sz="0" w:space="0" w:color="auto"/>
        <w:left w:val="none" w:sz="0" w:space="0" w:color="auto"/>
        <w:bottom w:val="none" w:sz="0" w:space="0" w:color="auto"/>
        <w:right w:val="none" w:sz="0" w:space="0" w:color="auto"/>
      </w:divBdr>
    </w:div>
    <w:div w:id="1773359007">
      <w:bodyDiv w:val="1"/>
      <w:marLeft w:val="0"/>
      <w:marRight w:val="0"/>
      <w:marTop w:val="0"/>
      <w:marBottom w:val="0"/>
      <w:divBdr>
        <w:top w:val="none" w:sz="0" w:space="0" w:color="auto"/>
        <w:left w:val="none" w:sz="0" w:space="0" w:color="auto"/>
        <w:bottom w:val="none" w:sz="0" w:space="0" w:color="auto"/>
        <w:right w:val="none" w:sz="0" w:space="0" w:color="auto"/>
      </w:divBdr>
      <w:divsChild>
        <w:div w:id="636690440">
          <w:marLeft w:val="0"/>
          <w:marRight w:val="0"/>
          <w:marTop w:val="0"/>
          <w:marBottom w:val="0"/>
          <w:divBdr>
            <w:top w:val="none" w:sz="0" w:space="0" w:color="auto"/>
            <w:left w:val="none" w:sz="0" w:space="0" w:color="auto"/>
            <w:bottom w:val="none" w:sz="0" w:space="0" w:color="auto"/>
            <w:right w:val="none" w:sz="0" w:space="0" w:color="auto"/>
          </w:divBdr>
          <w:divsChild>
            <w:div w:id="1588492801">
              <w:marLeft w:val="0"/>
              <w:marRight w:val="0"/>
              <w:marTop w:val="0"/>
              <w:marBottom w:val="0"/>
              <w:divBdr>
                <w:top w:val="none" w:sz="0" w:space="0" w:color="auto"/>
                <w:left w:val="none" w:sz="0" w:space="0" w:color="auto"/>
                <w:bottom w:val="none" w:sz="0" w:space="0" w:color="auto"/>
                <w:right w:val="none" w:sz="0" w:space="0" w:color="auto"/>
              </w:divBdr>
              <w:divsChild>
                <w:div w:id="13685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368492">
          <w:marLeft w:val="0"/>
          <w:marRight w:val="0"/>
          <w:marTop w:val="0"/>
          <w:marBottom w:val="0"/>
          <w:divBdr>
            <w:top w:val="none" w:sz="0" w:space="0" w:color="auto"/>
            <w:left w:val="none" w:sz="0" w:space="0" w:color="auto"/>
            <w:bottom w:val="none" w:sz="0" w:space="0" w:color="auto"/>
            <w:right w:val="none" w:sz="0" w:space="0" w:color="auto"/>
          </w:divBdr>
          <w:divsChild>
            <w:div w:id="1028289684">
              <w:marLeft w:val="0"/>
              <w:marRight w:val="0"/>
              <w:marTop w:val="0"/>
              <w:marBottom w:val="0"/>
              <w:divBdr>
                <w:top w:val="none" w:sz="0" w:space="0" w:color="auto"/>
                <w:left w:val="none" w:sz="0" w:space="0" w:color="auto"/>
                <w:bottom w:val="none" w:sz="0" w:space="0" w:color="auto"/>
                <w:right w:val="none" w:sz="0" w:space="0" w:color="auto"/>
              </w:divBdr>
              <w:divsChild>
                <w:div w:id="15233871">
                  <w:marLeft w:val="0"/>
                  <w:marRight w:val="0"/>
                  <w:marTop w:val="0"/>
                  <w:marBottom w:val="0"/>
                  <w:divBdr>
                    <w:top w:val="none" w:sz="0" w:space="0" w:color="auto"/>
                    <w:left w:val="none" w:sz="0" w:space="0" w:color="auto"/>
                    <w:bottom w:val="none" w:sz="0" w:space="0" w:color="auto"/>
                    <w:right w:val="none" w:sz="0" w:space="0" w:color="auto"/>
                  </w:divBdr>
                </w:div>
              </w:divsChild>
            </w:div>
            <w:div w:id="1304386795">
              <w:marLeft w:val="0"/>
              <w:marRight w:val="0"/>
              <w:marTop w:val="0"/>
              <w:marBottom w:val="0"/>
              <w:divBdr>
                <w:top w:val="none" w:sz="0" w:space="0" w:color="auto"/>
                <w:left w:val="none" w:sz="0" w:space="0" w:color="auto"/>
                <w:bottom w:val="none" w:sz="0" w:space="0" w:color="auto"/>
                <w:right w:val="none" w:sz="0" w:space="0" w:color="auto"/>
              </w:divBdr>
              <w:divsChild>
                <w:div w:id="1449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59647">
      <w:bodyDiv w:val="1"/>
      <w:marLeft w:val="0"/>
      <w:marRight w:val="0"/>
      <w:marTop w:val="0"/>
      <w:marBottom w:val="0"/>
      <w:divBdr>
        <w:top w:val="none" w:sz="0" w:space="0" w:color="auto"/>
        <w:left w:val="none" w:sz="0" w:space="0" w:color="auto"/>
        <w:bottom w:val="none" w:sz="0" w:space="0" w:color="auto"/>
        <w:right w:val="none" w:sz="0" w:space="0" w:color="auto"/>
      </w:divBdr>
      <w:divsChild>
        <w:div w:id="46996291">
          <w:marLeft w:val="0"/>
          <w:marRight w:val="0"/>
          <w:marTop w:val="0"/>
          <w:marBottom w:val="0"/>
          <w:divBdr>
            <w:top w:val="none" w:sz="0" w:space="0" w:color="auto"/>
            <w:left w:val="none" w:sz="0" w:space="0" w:color="auto"/>
            <w:bottom w:val="none" w:sz="0" w:space="0" w:color="auto"/>
            <w:right w:val="none" w:sz="0" w:space="0" w:color="auto"/>
          </w:divBdr>
          <w:divsChild>
            <w:div w:id="441924038">
              <w:marLeft w:val="0"/>
              <w:marRight w:val="0"/>
              <w:marTop w:val="0"/>
              <w:marBottom w:val="0"/>
              <w:divBdr>
                <w:top w:val="none" w:sz="0" w:space="0" w:color="auto"/>
                <w:left w:val="none" w:sz="0" w:space="0" w:color="auto"/>
                <w:bottom w:val="none" w:sz="0" w:space="0" w:color="auto"/>
                <w:right w:val="none" w:sz="0" w:space="0" w:color="auto"/>
              </w:divBdr>
              <w:divsChild>
                <w:div w:id="170644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545113">
      <w:bodyDiv w:val="1"/>
      <w:marLeft w:val="0"/>
      <w:marRight w:val="0"/>
      <w:marTop w:val="0"/>
      <w:marBottom w:val="0"/>
      <w:divBdr>
        <w:top w:val="none" w:sz="0" w:space="0" w:color="auto"/>
        <w:left w:val="none" w:sz="0" w:space="0" w:color="auto"/>
        <w:bottom w:val="none" w:sz="0" w:space="0" w:color="auto"/>
        <w:right w:val="none" w:sz="0" w:space="0" w:color="auto"/>
      </w:divBdr>
      <w:divsChild>
        <w:div w:id="387145911">
          <w:marLeft w:val="0"/>
          <w:marRight w:val="0"/>
          <w:marTop w:val="0"/>
          <w:marBottom w:val="0"/>
          <w:divBdr>
            <w:top w:val="none" w:sz="0" w:space="0" w:color="auto"/>
            <w:left w:val="none" w:sz="0" w:space="0" w:color="auto"/>
            <w:bottom w:val="none" w:sz="0" w:space="0" w:color="auto"/>
            <w:right w:val="none" w:sz="0" w:space="0" w:color="auto"/>
          </w:divBdr>
          <w:divsChild>
            <w:div w:id="1150631864">
              <w:marLeft w:val="0"/>
              <w:marRight w:val="0"/>
              <w:marTop w:val="0"/>
              <w:marBottom w:val="0"/>
              <w:divBdr>
                <w:top w:val="none" w:sz="0" w:space="0" w:color="auto"/>
                <w:left w:val="none" w:sz="0" w:space="0" w:color="auto"/>
                <w:bottom w:val="none" w:sz="0" w:space="0" w:color="auto"/>
                <w:right w:val="none" w:sz="0" w:space="0" w:color="auto"/>
              </w:divBdr>
              <w:divsChild>
                <w:div w:id="154339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608890">
      <w:bodyDiv w:val="1"/>
      <w:marLeft w:val="0"/>
      <w:marRight w:val="0"/>
      <w:marTop w:val="0"/>
      <w:marBottom w:val="0"/>
      <w:divBdr>
        <w:top w:val="none" w:sz="0" w:space="0" w:color="auto"/>
        <w:left w:val="none" w:sz="0" w:space="0" w:color="auto"/>
        <w:bottom w:val="none" w:sz="0" w:space="0" w:color="auto"/>
        <w:right w:val="none" w:sz="0" w:space="0" w:color="auto"/>
      </w:divBdr>
      <w:divsChild>
        <w:div w:id="395738254">
          <w:marLeft w:val="0"/>
          <w:marRight w:val="0"/>
          <w:marTop w:val="0"/>
          <w:marBottom w:val="0"/>
          <w:divBdr>
            <w:top w:val="none" w:sz="0" w:space="0" w:color="auto"/>
            <w:left w:val="none" w:sz="0" w:space="0" w:color="auto"/>
            <w:bottom w:val="none" w:sz="0" w:space="0" w:color="auto"/>
            <w:right w:val="none" w:sz="0" w:space="0" w:color="auto"/>
          </w:divBdr>
          <w:divsChild>
            <w:div w:id="361052041">
              <w:marLeft w:val="0"/>
              <w:marRight w:val="0"/>
              <w:marTop w:val="0"/>
              <w:marBottom w:val="0"/>
              <w:divBdr>
                <w:top w:val="none" w:sz="0" w:space="0" w:color="auto"/>
                <w:left w:val="none" w:sz="0" w:space="0" w:color="auto"/>
                <w:bottom w:val="none" w:sz="0" w:space="0" w:color="auto"/>
                <w:right w:val="none" w:sz="0" w:space="0" w:color="auto"/>
              </w:divBdr>
              <w:divsChild>
                <w:div w:id="80316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048667">
      <w:bodyDiv w:val="1"/>
      <w:marLeft w:val="0"/>
      <w:marRight w:val="0"/>
      <w:marTop w:val="0"/>
      <w:marBottom w:val="0"/>
      <w:divBdr>
        <w:top w:val="none" w:sz="0" w:space="0" w:color="auto"/>
        <w:left w:val="none" w:sz="0" w:space="0" w:color="auto"/>
        <w:bottom w:val="none" w:sz="0" w:space="0" w:color="auto"/>
        <w:right w:val="none" w:sz="0" w:space="0" w:color="auto"/>
      </w:divBdr>
    </w:div>
    <w:div w:id="2004769881">
      <w:bodyDiv w:val="1"/>
      <w:marLeft w:val="0"/>
      <w:marRight w:val="0"/>
      <w:marTop w:val="0"/>
      <w:marBottom w:val="0"/>
      <w:divBdr>
        <w:top w:val="none" w:sz="0" w:space="0" w:color="auto"/>
        <w:left w:val="none" w:sz="0" w:space="0" w:color="auto"/>
        <w:bottom w:val="none" w:sz="0" w:space="0" w:color="auto"/>
        <w:right w:val="none" w:sz="0" w:space="0" w:color="auto"/>
      </w:divBdr>
      <w:divsChild>
        <w:div w:id="2012172977">
          <w:marLeft w:val="0"/>
          <w:marRight w:val="0"/>
          <w:marTop w:val="0"/>
          <w:marBottom w:val="0"/>
          <w:divBdr>
            <w:top w:val="none" w:sz="0" w:space="0" w:color="auto"/>
            <w:left w:val="none" w:sz="0" w:space="0" w:color="auto"/>
            <w:bottom w:val="none" w:sz="0" w:space="0" w:color="auto"/>
            <w:right w:val="none" w:sz="0" w:space="0" w:color="auto"/>
          </w:divBdr>
          <w:divsChild>
            <w:div w:id="2099866268">
              <w:marLeft w:val="0"/>
              <w:marRight w:val="0"/>
              <w:marTop w:val="0"/>
              <w:marBottom w:val="0"/>
              <w:divBdr>
                <w:top w:val="none" w:sz="0" w:space="0" w:color="auto"/>
                <w:left w:val="none" w:sz="0" w:space="0" w:color="auto"/>
                <w:bottom w:val="none" w:sz="0" w:space="0" w:color="auto"/>
                <w:right w:val="none" w:sz="0" w:space="0" w:color="auto"/>
              </w:divBdr>
              <w:divsChild>
                <w:div w:id="49769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936872">
      <w:bodyDiv w:val="1"/>
      <w:marLeft w:val="0"/>
      <w:marRight w:val="0"/>
      <w:marTop w:val="0"/>
      <w:marBottom w:val="0"/>
      <w:divBdr>
        <w:top w:val="none" w:sz="0" w:space="0" w:color="auto"/>
        <w:left w:val="none" w:sz="0" w:space="0" w:color="auto"/>
        <w:bottom w:val="none" w:sz="0" w:space="0" w:color="auto"/>
        <w:right w:val="none" w:sz="0" w:space="0" w:color="auto"/>
      </w:divBdr>
      <w:divsChild>
        <w:div w:id="987824241">
          <w:marLeft w:val="0"/>
          <w:marRight w:val="0"/>
          <w:marTop w:val="0"/>
          <w:marBottom w:val="0"/>
          <w:divBdr>
            <w:top w:val="none" w:sz="0" w:space="0" w:color="auto"/>
            <w:left w:val="none" w:sz="0" w:space="0" w:color="auto"/>
            <w:bottom w:val="none" w:sz="0" w:space="0" w:color="auto"/>
            <w:right w:val="none" w:sz="0" w:space="0" w:color="auto"/>
          </w:divBdr>
          <w:divsChild>
            <w:div w:id="61370541">
              <w:marLeft w:val="0"/>
              <w:marRight w:val="0"/>
              <w:marTop w:val="0"/>
              <w:marBottom w:val="0"/>
              <w:divBdr>
                <w:top w:val="none" w:sz="0" w:space="0" w:color="auto"/>
                <w:left w:val="none" w:sz="0" w:space="0" w:color="auto"/>
                <w:bottom w:val="none" w:sz="0" w:space="0" w:color="auto"/>
                <w:right w:val="none" w:sz="0" w:space="0" w:color="auto"/>
              </w:divBdr>
              <w:divsChild>
                <w:div w:id="209330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082432">
      <w:bodyDiv w:val="1"/>
      <w:marLeft w:val="0"/>
      <w:marRight w:val="0"/>
      <w:marTop w:val="0"/>
      <w:marBottom w:val="0"/>
      <w:divBdr>
        <w:top w:val="none" w:sz="0" w:space="0" w:color="auto"/>
        <w:left w:val="none" w:sz="0" w:space="0" w:color="auto"/>
        <w:bottom w:val="none" w:sz="0" w:space="0" w:color="auto"/>
        <w:right w:val="none" w:sz="0" w:space="0" w:color="auto"/>
      </w:divBdr>
    </w:div>
    <w:div w:id="2146655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cologyandsociety.org/vol11/iss1/art28/" TargetMode="External"/><Relationship Id="rId21" Type="http://schemas.openxmlformats.org/officeDocument/2006/relationships/hyperlink" Target="https://doi.org/10.1016/j.ufug.2016.11.015" TargetMode="External"/><Relationship Id="rId42" Type="http://schemas.openxmlformats.org/officeDocument/2006/relationships/hyperlink" Target="https://law.yale.edu/sites/default/files/area/clinic/document/2020.7.31_-_confronting_racial_covenants_-_yale.city_roots_guide.pdf" TargetMode="External"/><Relationship Id="rId63" Type="http://schemas.openxmlformats.org/officeDocument/2006/relationships/hyperlink" Target="https://archive.org/details/negroesinfivenew00newy/page/n3/mode/2up" TargetMode="External"/><Relationship Id="rId84" Type="http://schemas.openxmlformats.org/officeDocument/2006/relationships/hyperlink" Target="http://dx.doi.org/10.1117/1.JRS.6.063567" TargetMode="External"/><Relationship Id="rId138" Type="http://schemas.openxmlformats.org/officeDocument/2006/relationships/hyperlink" Target="https://factfinder.census.gov/faces/tableservices/jsf/pages/productview.xhtml?src=bkmk" TargetMode="External"/><Relationship Id="rId107" Type="http://schemas.openxmlformats.org/officeDocument/2006/relationships/hyperlink" Target="https://doi.org/10.1016/j.ufug.2009.11.003" TargetMode="External"/><Relationship Id="rId11" Type="http://schemas.openxmlformats.org/officeDocument/2006/relationships/footer" Target="footer2.xml"/><Relationship Id="rId32" Type="http://schemas.openxmlformats.org/officeDocument/2006/relationships/hyperlink" Target="https://www.jstor.org/stable/24113114?seq=7" TargetMode="External"/><Relationship Id="rId53" Type="http://schemas.openxmlformats.org/officeDocument/2006/relationships/hyperlink" Target="https://rbj.net/2017/09/13/kodaks-decades-of-decline/" TargetMode="External"/><Relationship Id="rId74" Type="http://schemas.openxmlformats.org/officeDocument/2006/relationships/hyperlink" Target="http://citeseerx.ist.psu.edu/viewdoc/download?doi=10.1.1.473.3979&amp;rep=rep1&amp;type=pdf" TargetMode="External"/><Relationship Id="rId128" Type="http://schemas.openxmlformats.org/officeDocument/2006/relationships/hyperlink" Target="https://doi.org/10.1016/j.landurbplan.2013.09.012" TargetMode="External"/><Relationship Id="rId149" Type="http://schemas.openxmlformats.org/officeDocument/2006/relationships/hyperlink" Target="https://dx.doi.org/10.1016%2Fj.amepre.2012.03.015" TargetMode="External"/><Relationship Id="rId5" Type="http://schemas.openxmlformats.org/officeDocument/2006/relationships/settings" Target="settings.xml"/><Relationship Id="rId95" Type="http://schemas.openxmlformats.org/officeDocument/2006/relationships/hyperlink" Target="https://doi.org/10.1016/j.jenvman.2017.03.095" TargetMode="External"/><Relationship Id="rId22" Type="http://schemas.openxmlformats.org/officeDocument/2006/relationships/hyperlink" Target="https://doi.org/10.1016/j.ecoser.2014.08.002" TargetMode="External"/><Relationship Id="rId27" Type="http://schemas.openxmlformats.org/officeDocument/2006/relationships/hyperlink" Target="https://doi.org/10.1080/00045600903102949" TargetMode="External"/><Relationship Id="rId43" Type="http://schemas.openxmlformats.org/officeDocument/2006/relationships/hyperlink" Target="https://dx.doi.org/10.1136%2Fjech-2014-204667" TargetMode="External"/><Relationship Id="rId48" Type="http://schemas.openxmlformats.org/officeDocument/2006/relationships/hyperlink" Target="http://digitalcommons.lmu.edu/cate/vol7/iss1/2" TargetMode="External"/><Relationship Id="rId64" Type="http://schemas.openxmlformats.org/officeDocument/2006/relationships/hyperlink" Target="https://par.nsf.gov/servlets/purl/10054884" TargetMode="External"/><Relationship Id="rId69" Type="http://schemas.openxmlformats.org/officeDocument/2006/relationships/hyperlink" Target="http://www.fonvca.org/agendas/jul2011/news-clips/UW32400.pdf" TargetMode="External"/><Relationship Id="rId113" Type="http://schemas.openxmlformats.org/officeDocument/2006/relationships/hyperlink" Target="https://doi.org/10.1016/j.ecolind.2017.02.001" TargetMode="External"/><Relationship Id="rId118" Type="http://schemas.openxmlformats.org/officeDocument/2006/relationships/hyperlink" Target="https://doi.org/10.1007/s13280-020-01396-8" TargetMode="External"/><Relationship Id="rId134" Type="http://schemas.openxmlformats.org/officeDocument/2006/relationships/hyperlink" Target="http://www.teebweb.org/wp-content/uploads/Study%20and%20Reports/Additional%20Reports/Manual%20for%20Cities/TEEB%20Manual%20for%20Cities_English.pdf" TargetMode="External"/><Relationship Id="rId139" Type="http://schemas.openxmlformats.org/officeDocument/2006/relationships/hyperlink" Target="https://www.epa.gov/sites/production/files/2015-02/documents/ej_guidance_nepa_epa0498.pdf" TargetMode="External"/><Relationship Id="rId80" Type="http://schemas.openxmlformats.org/officeDocument/2006/relationships/hyperlink" Target="https://doi.org/10.1016/j.landurbplan.2012.10.012" TargetMode="External"/><Relationship Id="rId85" Type="http://schemas.openxmlformats.org/officeDocument/2006/relationships/hyperlink" Target="https://doi.org/10.3389/fpubh.2020.00014" TargetMode="External"/><Relationship Id="rId150" Type="http://schemas.openxmlformats.org/officeDocument/2006/relationships/hyperlink" Target="https://doi.org/10.1016/j.atmosenv.2008.07.003" TargetMode="External"/><Relationship Id="rId155" Type="http://schemas.openxmlformats.org/officeDocument/2006/relationships/fontTable" Target="fontTable.xml"/><Relationship Id="rId12" Type="http://schemas.openxmlformats.org/officeDocument/2006/relationships/header" Target="header1.xml"/><Relationship Id="rId17" Type="http://schemas.openxmlformats.org/officeDocument/2006/relationships/image" Target="media/image5.png"/><Relationship Id="rId33" Type="http://schemas.openxmlformats.org/officeDocument/2006/relationships/hyperlink" Target="https://doi.org/10.1890/1540-9295(2007)5%5b80:SHIUER%5d2.0.CO;2" TargetMode="External"/><Relationship Id="rId38" Type="http://schemas.openxmlformats.org/officeDocument/2006/relationships/hyperlink" Target="https://doi.org/10.1111/j.1548-744X.2011.01063.x" TargetMode="External"/><Relationship Id="rId59" Type="http://schemas.openxmlformats.org/officeDocument/2006/relationships/hyperlink" Target="https://doi.org/10.1016/j.gloenvcha.2006.04.002" TargetMode="External"/><Relationship Id="rId103" Type="http://schemas.openxmlformats.org/officeDocument/2006/relationships/hyperlink" Target="https://doi.org/10.1016/j.envpol.2013.03.019" TargetMode="External"/><Relationship Id="rId108" Type="http://schemas.openxmlformats.org/officeDocument/2006/relationships/hyperlink" Target="http://www.cornellpolicyreview.com/a-geospatial-analysis-of-the-physical-and-economic-consequences-of-rochesters-inner-loop/" TargetMode="External"/><Relationship Id="rId124" Type="http://schemas.openxmlformats.org/officeDocument/2006/relationships/hyperlink" Target="https://doi.org/10.1016/j.jenvman.2012.06.008" TargetMode="External"/><Relationship Id="rId129" Type="http://schemas.openxmlformats.org/officeDocument/2006/relationships/hyperlink" Target="https://doi.org/10.1016/j.gloenvcha.2013.03.006" TargetMode="External"/><Relationship Id="rId54" Type="http://schemas.openxmlformats.org/officeDocument/2006/relationships/hyperlink" Target="https://dx.doi.org/10.1080%2F00420980701256013" TargetMode="External"/><Relationship Id="rId70" Type="http://schemas.openxmlformats.org/officeDocument/2006/relationships/hyperlink" Target="https://scholarworks.gsu.edu/urban_studies_institute/14" TargetMode="External"/><Relationship Id="rId75" Type="http://schemas.openxmlformats.org/officeDocument/2006/relationships/hyperlink" Target="https://citeseerx.ist.psu.edu/viewdoc/download?doi=10.1.1.977.4859&amp;rep=rep1&amp;type=pdf" TargetMode="External"/><Relationship Id="rId91" Type="http://schemas.openxmlformats.org/officeDocument/2006/relationships/hyperlink" Target="https://www.millenniumassessment.org/documents/document.357.aspx.pdf" TargetMode="External"/><Relationship Id="rId96" Type="http://schemas.openxmlformats.org/officeDocument/2006/relationships/hyperlink" Target="https://www.monroecounty.gov/gis" TargetMode="External"/><Relationship Id="rId140" Type="http://schemas.openxmlformats.org/officeDocument/2006/relationships/hyperlink" Target="https://www.epa.gov/enforcement/case-summary-bankruptcy-settlements-reached-eastman-kodak-company-worth-49-million" TargetMode="External"/><Relationship Id="rId145" Type="http://schemas.openxmlformats.org/officeDocument/2006/relationships/hyperlink" Target="https://worldpopulationreview.com/us-cities/syracuse-ny-population"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doi.org/10.1016/j.ufug.2012.05.002" TargetMode="External"/><Relationship Id="rId28" Type="http://schemas.openxmlformats.org/officeDocument/2006/relationships/hyperlink" Target="https://doi.org/10.1007/978-94-007-5666-3_4" TargetMode="External"/><Relationship Id="rId49" Type="http://schemas.openxmlformats.org/officeDocument/2006/relationships/hyperlink" Target="https://datausa.io/profile/geo/rochester-ny/" TargetMode="External"/><Relationship Id="rId114" Type="http://schemas.openxmlformats.org/officeDocument/2006/relationships/hyperlink" Target="http://dx.doi.org/10.1016/j.%20landurbplan.2016.05.017" TargetMode="External"/><Relationship Id="rId119" Type="http://schemas.openxmlformats.org/officeDocument/2006/relationships/hyperlink" Target="https://www.libraryweb.org/~rochhist/v50_1988/v50i3.pdf" TargetMode="External"/><Relationship Id="rId44" Type="http://schemas.openxmlformats.org/officeDocument/2006/relationships/hyperlink" Target="https://doi.org/10.1080/02723638.2017.1421391" TargetMode="External"/><Relationship Id="rId60" Type="http://schemas.openxmlformats.org/officeDocument/2006/relationships/hyperlink" Target="http://dx.doi.org/10.1111/1365-2664.12087" TargetMode="External"/><Relationship Id="rId65" Type="http://schemas.openxmlformats.org/officeDocument/2006/relationships/hyperlink" Target="https://doi.org/10.1109/JSTARS.2016.2586582" TargetMode="External"/><Relationship Id="rId81" Type="http://schemas.openxmlformats.org/officeDocument/2006/relationships/hyperlink" Target="https://digitalcommons.lmu.edu/cate/vol12/iss1/6" TargetMode="External"/><Relationship Id="rId86" Type="http://schemas.openxmlformats.org/officeDocument/2006/relationships/hyperlink" Target="https://www.hillside.com/wp-content/uploads/2015/01/Rochester-History-Vol24.pdf" TargetMode="External"/><Relationship Id="rId130" Type="http://schemas.openxmlformats.org/officeDocument/2006/relationships/hyperlink" Target="https://southwesttribune.com/news/first-black-settlers-shaped-rochesters-minority-neighborhoods/" TargetMode="External"/><Relationship Id="rId135" Type="http://schemas.openxmlformats.org/officeDocument/2006/relationships/hyperlink" Target="https://search.proquest.com/docview/2236102301?pq-origsite=gscholar&amp;fromopenview=true" TargetMode="External"/><Relationship Id="rId151" Type="http://schemas.openxmlformats.org/officeDocument/2006/relationships/hyperlink" Target="https://doi.org/10.1016/j.isprsjprs.2018.04.002" TargetMode="External"/><Relationship Id="rId156" Type="http://schemas.openxmlformats.org/officeDocument/2006/relationships/theme" Target="theme/theme1.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hyperlink" Target="https://doi.org/10.1016/j.landurbplan.2003.08.003" TargetMode="External"/><Relationship Id="rId109" Type="http://schemas.openxmlformats.org/officeDocument/2006/relationships/hyperlink" Target="https://doi.org/10.1016/j.landurbplan.2012.06.002" TargetMode="External"/><Relationship Id="rId34" Type="http://schemas.openxmlformats.org/officeDocument/2006/relationships/hyperlink" Target="https://doi.org/10.1016/j.ecolecon.2011.12.011" TargetMode="External"/><Relationship Id="rId50" Type="http://schemas.openxmlformats.org/officeDocument/2006/relationships/hyperlink" Target="http://www.teebweb.org/wp-content/uploads/2013/04/D0-Chapter-1-Integrating-the-ecological-and-economic-dimensions-in-biodiversity-and-ecosystem-service-valuation.pdf" TargetMode="External"/><Relationship Id="rId55" Type="http://schemas.openxmlformats.org/officeDocument/2006/relationships/hyperlink" Target="https://www.policyarchive.org/handle/10207/5189" TargetMode="External"/><Relationship Id="rId76" Type="http://schemas.openxmlformats.org/officeDocument/2006/relationships/hyperlink" Target="https://doi.org/10.1080/01431161.2018.1528023" TargetMode="External"/><Relationship Id="rId97" Type="http://schemas.openxmlformats.org/officeDocument/2006/relationships/hyperlink" Target="https://www.democratandchronicle.com/story/local/communities/time-to-educate/stories/2018/06/06/rochester-ny-rcsd-city-schools-history-racial-segregation/642138002/" TargetMode="External"/><Relationship Id="rId104" Type="http://schemas.openxmlformats.org/officeDocument/2006/relationships/hyperlink" Target="https://doi.org/10.1016/j.ufug.2020.126723" TargetMode="External"/><Relationship Id="rId120" Type="http://schemas.openxmlformats.org/officeDocument/2006/relationships/hyperlink" Target="https://doi.org/10.1016/j.ufug.2012.06.006" TargetMode="External"/><Relationship Id="rId125" Type="http://schemas.openxmlformats.org/officeDocument/2006/relationships/hyperlink" Target="https://www.nytimes.com/2016/11/02/business/old-highway-paves-road-for-recovery-in-rochester.html?_r=1" TargetMode="External"/><Relationship Id="rId141" Type="http://schemas.openxmlformats.org/officeDocument/2006/relationships/hyperlink" Target="https://enviro.epa.gov/triexplorer/tri_factsheet.factsheet?pzip=&amp;pstate=NY&amp;pcity=ROCHESTER&amp;pcounty=&amp;pyear=2019&amp;pParent=TRI&amp;pDataSet=TRIQ1" TargetMode="External"/><Relationship Id="rId146" Type="http://schemas.openxmlformats.org/officeDocument/2006/relationships/hyperlink" Target="https://worldpopulationreview.com/us-cities/buffalo-ny-population" TargetMode="External"/><Relationship Id="rId7" Type="http://schemas.openxmlformats.org/officeDocument/2006/relationships/footnotes" Target="footnotes.xml"/><Relationship Id="rId71" Type="http://schemas.openxmlformats.org/officeDocument/2006/relationships/hyperlink" Target="https://doi.org/10.1016/j.rse.2009.10.008" TargetMode="External"/><Relationship Id="rId92" Type="http://schemas.openxmlformats.org/officeDocument/2006/relationships/hyperlink" Target="https://doi.org/10.1016/j.ecoser.2019.100928" TargetMode="External"/><Relationship Id="rId2" Type="http://schemas.openxmlformats.org/officeDocument/2006/relationships/customXml" Target="../customXml/item2.xml"/><Relationship Id="rId29" Type="http://schemas.openxmlformats.org/officeDocument/2006/relationships/hyperlink" Target="https://esajournals.onlinelibrary.wiley.com/doi/pdf/10.1890/03-5220" TargetMode="External"/><Relationship Id="rId24" Type="http://schemas.openxmlformats.org/officeDocument/2006/relationships/hyperlink" Target="https://doi.org/10.1155/2016/1480307" TargetMode="External"/><Relationship Id="rId40" Type="http://schemas.openxmlformats.org/officeDocument/2006/relationships/hyperlink" Target="http://www.city-data.com/city/Rochester-New-York.html" TargetMode="External"/><Relationship Id="rId45" Type="http://schemas.openxmlformats.org/officeDocument/2006/relationships/hyperlink" Target="https://fsu.digital.flvc.org/islandora/object/fsu%3A207213/datastream/PDF/view" TargetMode="External"/><Relationship Id="rId66" Type="http://schemas.openxmlformats.org/officeDocument/2006/relationships/hyperlink" Target="https://doi.org/10.1007/s13280-014-0504-0" TargetMode="External"/><Relationship Id="rId87" Type="http://schemas.openxmlformats.org/officeDocument/2006/relationships/hyperlink" Target="https://doi.org/10.1016/j.ecoser.2013.06.005" TargetMode="External"/><Relationship Id="rId110" Type="http://schemas.openxmlformats.org/officeDocument/2006/relationships/hyperlink" Target="https://doi.org/10.1007/s11252-008-0079-2" TargetMode="External"/><Relationship Id="rId115" Type="http://schemas.openxmlformats.org/officeDocument/2006/relationships/hyperlink" Target="https://doi.org/10.1016/j.landurbplan.2018.05.026" TargetMode="External"/><Relationship Id="rId131" Type="http://schemas.openxmlformats.org/officeDocument/2006/relationships/hyperlink" Target="https://link.springer.com/content/pdf/10.1007/978-1-4020-4289-8_6.pdf" TargetMode="External"/><Relationship Id="rId136" Type="http://schemas.openxmlformats.org/officeDocument/2006/relationships/hyperlink" Target="https://doi.org/10.1177%2F0013916581135001" TargetMode="External"/><Relationship Id="rId61" Type="http://schemas.openxmlformats.org/officeDocument/2006/relationships/hyperlink" Target="https://doi.org/10.1016/j.landurbplan.2017.09.005" TargetMode="External"/><Relationship Id="rId82" Type="http://schemas.openxmlformats.org/officeDocument/2006/relationships/hyperlink" Target="https://doi.org/10.1016/j.ecoser.2015.05.001" TargetMode="External"/><Relationship Id="rId152" Type="http://schemas.openxmlformats.org/officeDocument/2006/relationships/hyperlink" Target="https://www.pnas.org/content/pnas/116/15/7575.full.pdf" TargetMode="Externa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hyperlink" Target="https://doi.org/10.2458/v3i1.21814" TargetMode="External"/><Relationship Id="rId35" Type="http://schemas.openxmlformats.org/officeDocument/2006/relationships/hyperlink" Target="https://doi.org/10.1080/08941920.2018.1550229" TargetMode="External"/><Relationship Id="rId56" Type="http://schemas.openxmlformats.org/officeDocument/2006/relationships/hyperlink" Target="https://doi.org/10.1016/j.cosust.2015.05.001" TargetMode="External"/><Relationship Id="rId77" Type="http://schemas.openxmlformats.org/officeDocument/2006/relationships/hyperlink" Target="https://cran.r-project.org/web/packages/rstatix/rstatix.pdf" TargetMode="External"/><Relationship Id="rId100" Type="http://schemas.openxmlformats.org/officeDocument/2006/relationships/hyperlink" Target="https://dsl.richmond.edu/panorama/redlining/" TargetMode="External"/><Relationship Id="rId105" Type="http://schemas.openxmlformats.org/officeDocument/2006/relationships/hyperlink" Target="https://doi.org/10.1007/s11113-008-9101-x" TargetMode="External"/><Relationship Id="rId126" Type="http://schemas.openxmlformats.org/officeDocument/2006/relationships/hyperlink" Target="https://doi.org/10.1371/journal.pone.0122051" TargetMode="External"/><Relationship Id="rId147" Type="http://schemas.openxmlformats.org/officeDocument/2006/relationships/hyperlink" Target="https://doi.org/10.1371/journal.pone.0108548" TargetMode="External"/><Relationship Id="rId8" Type="http://schemas.openxmlformats.org/officeDocument/2006/relationships/endnotes" Target="endnotes.xml"/><Relationship Id="rId51" Type="http://schemas.openxmlformats.org/officeDocument/2006/relationships/hyperlink" Target="https://doi.org/10.1111/1365-2664.12469" TargetMode="External"/><Relationship Id="rId72" Type="http://schemas.openxmlformats.org/officeDocument/2006/relationships/hyperlink" Target="https://www.ipcc.ch/report/ar5/wg2/" TargetMode="External"/><Relationship Id="rId93" Type="http://schemas.openxmlformats.org/officeDocument/2006/relationships/hyperlink" Target="https://ncrc.org/wp-content/uploads/dlm_uploads/2018/02/NCRC-Research-HOLC-10.pdf" TargetMode="External"/><Relationship Id="rId98" Type="http://schemas.openxmlformats.org/officeDocument/2006/relationships/hyperlink" Target="https://doi.org/10.1016/j.socscimed.2019.112758" TargetMode="External"/><Relationship Id="rId121" Type="http://schemas.openxmlformats.org/officeDocument/2006/relationships/hyperlink" Target="https://www.r-project.org" TargetMode="External"/><Relationship Id="rId142" Type="http://schemas.openxmlformats.org/officeDocument/2006/relationships/hyperlink" Target="https://doi.org/10.1016/j.jenvman.2017.12.021" TargetMode="External"/><Relationship Id="rId3" Type="http://schemas.openxmlformats.org/officeDocument/2006/relationships/numbering" Target="numbering.xml"/><Relationship Id="rId25" Type="http://schemas.openxmlformats.org/officeDocument/2006/relationships/hyperlink" Target="https://doi.org/10.1016/j.landurbplan.2020.103900" TargetMode="External"/><Relationship Id="rId46" Type="http://schemas.openxmlformats.org/officeDocument/2006/relationships/hyperlink" Target="https://doi.org/10.1007/s13280-018-1127-7" TargetMode="External"/><Relationship Id="rId67" Type="http://schemas.openxmlformats.org/officeDocument/2006/relationships/hyperlink" Target="https://doi.org/10.1111/1468-2427.12588" TargetMode="External"/><Relationship Id="rId116" Type="http://schemas.openxmlformats.org/officeDocument/2006/relationships/hyperlink" Target="https://doi.org/10.1371/journal.pone.0230398" TargetMode="External"/><Relationship Id="rId137" Type="http://schemas.openxmlformats.org/officeDocument/2006/relationships/hyperlink" Target="https://www.nrc.gov/docs/ML1310/ML13109A339.pdf" TargetMode="External"/><Relationship Id="rId20" Type="http://schemas.openxmlformats.org/officeDocument/2006/relationships/hyperlink" Target="https://doi.org/10.1016/j.landurbplan.2003.07.004" TargetMode="External"/><Relationship Id="rId41" Type="http://schemas.openxmlformats.org/officeDocument/2006/relationships/hyperlink" Target="https://www.cityofrochester.gov/neighborhooddatamap/" TargetMode="External"/><Relationship Id="rId62" Type="http://schemas.openxmlformats.org/officeDocument/2006/relationships/hyperlink" Target="https://doi.org/10.1016/j.ecolecon.2012.08.019" TargetMode="External"/><Relationship Id="rId83" Type="http://schemas.openxmlformats.org/officeDocument/2006/relationships/hyperlink" Target="https://www.fs.fed.us/pnw/pubs/pnw_gtr838.pdf" TargetMode="External"/><Relationship Id="rId88" Type="http://schemas.openxmlformats.org/officeDocument/2006/relationships/hyperlink" Target="https://doi.org/10.1016/j.ecoser.2014.07.012" TargetMode="External"/><Relationship Id="rId111" Type="http://schemas.openxmlformats.org/officeDocument/2006/relationships/hyperlink" Target="https://doi.org/10.1007/s11252-016-0574-9" TargetMode="External"/><Relationship Id="rId132" Type="http://schemas.openxmlformats.org/officeDocument/2006/relationships/hyperlink" Target="https://doi.org/10.1080/15236803.2005.12001398" TargetMode="External"/><Relationship Id="rId153" Type="http://schemas.openxmlformats.org/officeDocument/2006/relationships/image" Target="media/image8.png"/><Relationship Id="rId15" Type="http://schemas.openxmlformats.org/officeDocument/2006/relationships/image" Target="media/image3.png"/><Relationship Id="rId36" Type="http://schemas.openxmlformats.org/officeDocument/2006/relationships/hyperlink" Target="https://www.cdc.gov/mmwr/pdf/other/su6203.pdf" TargetMode="External"/><Relationship Id="rId57" Type="http://schemas.openxmlformats.org/officeDocument/2006/relationships/hyperlink" Target="https://www.epa.gov/laws-regulations/summary-executive-order-12898-federal-actions-address-environmental-justice" TargetMode="External"/><Relationship Id="rId106" Type="http://schemas.openxmlformats.org/officeDocument/2006/relationships/hyperlink" Target="https://doi.org/10.1016/j.atmosenv.2014.09.072" TargetMode="External"/><Relationship Id="rId127" Type="http://schemas.openxmlformats.org/officeDocument/2006/relationships/hyperlink" Target="https://doi.org/10.1016/j.annepidem.2008.05.001" TargetMode="External"/><Relationship Id="rId10" Type="http://schemas.openxmlformats.org/officeDocument/2006/relationships/footer" Target="footer1.xml"/><Relationship Id="rId31" Type="http://schemas.openxmlformats.org/officeDocument/2006/relationships/hyperlink" Target="https://doi.org/10.1016/j.ecoser.2014.11.014" TargetMode="External"/><Relationship Id="rId52" Type="http://schemas.openxmlformats.org/officeDocument/2006/relationships/hyperlink" Target="https://doi.org/10.1080/01431161.2012.675451" TargetMode="External"/><Relationship Id="rId73" Type="http://schemas.openxmlformats.org/officeDocument/2006/relationships/hyperlink" Target="https://doi-org.ezproxy.rit.edu/10.1016/j.cities.2009.03.003" TargetMode="External"/><Relationship Id="rId78" Type="http://schemas.openxmlformats.org/officeDocument/2006/relationships/hyperlink" Target="https://environmentamerica.org/sites/environment/files/reports/Wasting%20Our%20Waterways%20vUS.pdf" TargetMode="External"/><Relationship Id="rId94" Type="http://schemas.openxmlformats.org/officeDocument/2006/relationships/hyperlink" Target="https://doi.org/10.1146/annurev-environ-082508-094348" TargetMode="External"/><Relationship Id="rId99" Type="http://schemas.openxmlformats.org/officeDocument/2006/relationships/hyperlink" Target="https://doi.org/10.1016/j.scitotenv.2018.03.220" TargetMode="External"/><Relationship Id="rId101" Type="http://schemas.openxmlformats.org/officeDocument/2006/relationships/hyperlink" Target="https://doi.org/10.1016/S0269-7491(01)00214-7" TargetMode="External"/><Relationship Id="rId122" Type="http://schemas.openxmlformats.org/officeDocument/2006/relationships/hyperlink" Target="http://www.rstudio.com/" TargetMode="External"/><Relationship Id="rId143" Type="http://schemas.openxmlformats.org/officeDocument/2006/relationships/hyperlink" Target="https://doi.org/10.1016/j.landurbplan.2014.01.017" TargetMode="External"/><Relationship Id="rId148" Type="http://schemas.openxmlformats.org/officeDocument/2006/relationships/hyperlink" Target="https://doi.org/10.1007/s11252-013-0325-0" TargetMode="External"/><Relationship Id="rId4" Type="http://schemas.openxmlformats.org/officeDocument/2006/relationships/styles" Target="styles.xml"/><Relationship Id="rId9" Type="http://schemas.openxmlformats.org/officeDocument/2006/relationships/hyperlink" Target="mailto:Greenej662@gmail.com" TargetMode="External"/><Relationship Id="rId26" Type="http://schemas.openxmlformats.org/officeDocument/2006/relationships/hyperlink" Target="https://doi.org/10.1016/j.isprsjprs.2009.06.004" TargetMode="External"/><Relationship Id="rId47" Type="http://schemas.openxmlformats.org/officeDocument/2006/relationships/hyperlink" Target="https://doi.org/10.1890/080025" TargetMode="External"/><Relationship Id="rId68" Type="http://schemas.openxmlformats.org/officeDocument/2006/relationships/hyperlink" Target="http://dx.doi.org/10.3390/cli8010012" TargetMode="External"/><Relationship Id="rId89" Type="http://schemas.openxmlformats.org/officeDocument/2006/relationships/hyperlink" Target="https://doi.org/10.1016/j.landurbplan.2016.10.005" TargetMode="External"/><Relationship Id="rId112" Type="http://schemas.openxmlformats.org/officeDocument/2006/relationships/hyperlink" Target="https://doi.org/10.1111/gec3.12482" TargetMode="External"/><Relationship Id="rId133" Type="http://schemas.openxmlformats.org/officeDocument/2006/relationships/hyperlink" Target="https://doi.org/10.1016/j.landurbplan.2011.07.003" TargetMode="External"/><Relationship Id="rId154" Type="http://schemas.openxmlformats.org/officeDocument/2006/relationships/image" Target="media/image9.png"/><Relationship Id="rId16" Type="http://schemas.openxmlformats.org/officeDocument/2006/relationships/image" Target="media/image4.png"/><Relationship Id="rId37" Type="http://schemas.openxmlformats.org/officeDocument/2006/relationships/hyperlink" Target="http://citeseerx.ist.psu.edu/viewdoc/download?doi=10.1.1.364.9799&amp;rep=rep1&amp;type=pdf" TargetMode="External"/><Relationship Id="rId58" Type="http://schemas.openxmlformats.org/officeDocument/2006/relationships/hyperlink" Target="https://doi.org/10.3097/LO.201023" TargetMode="External"/><Relationship Id="rId79" Type="http://schemas.openxmlformats.org/officeDocument/2006/relationships/hyperlink" Target="https://doi.org/10.1016/j.envsci.2016.04.012" TargetMode="External"/><Relationship Id="rId102" Type="http://schemas.openxmlformats.org/officeDocument/2006/relationships/hyperlink" Target="https://doi.org/10.1016/j.ufug.2006.01.007" TargetMode="External"/><Relationship Id="rId123" Type="http://schemas.openxmlformats.org/officeDocument/2006/relationships/hyperlink" Target="https://doi.org/10.4236/ijg.2017.84033" TargetMode="External"/><Relationship Id="rId144" Type="http://schemas.openxmlformats.org/officeDocument/2006/relationships/hyperlink" Target="https://worldpopulationreview.com/us-cities/rochester-population/" TargetMode="External"/><Relationship Id="rId90" Type="http://schemas.openxmlformats.org/officeDocument/2006/relationships/hyperlink" Target="https://doi.org/10.1007/s11524-011-962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e\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5CBAA-E4BF-4F9B-BCA8-AF2CEBD35205}">
  <ds:schemaRefs>
    <ds:schemaRef ds:uri="urn:schemas-microsoft-com.VSTO2008Demos.ControlsStorage"/>
  </ds:schemaRefs>
</ds:datastoreItem>
</file>

<file path=customXml/itemProps2.xml><?xml version="1.0" encoding="utf-8"?>
<ds:datastoreItem xmlns:ds="http://schemas.openxmlformats.org/officeDocument/2006/customXml" ds:itemID="{A932265C-89FC-4CEC-9B6C-E6D7808C9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C:\Users\Mike\AppData\Local\Chemistry Add-in for Word\Chemistry Gallery\Chem4Word.dotx</Template>
  <TotalTime>69</TotalTime>
  <Pages>76</Pages>
  <Words>23785</Words>
  <Characters>135580</Characters>
  <Application>Microsoft Office Word</Application>
  <DocSecurity>0</DocSecurity>
  <Lines>1129</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Greene</dc:creator>
  <cp:keywords/>
  <dc:description/>
  <cp:lastModifiedBy>Joshua Greene</cp:lastModifiedBy>
  <cp:revision>10</cp:revision>
  <dcterms:created xsi:type="dcterms:W3CDTF">2021-08-16T13:38:00Z</dcterms:created>
  <dcterms:modified xsi:type="dcterms:W3CDTF">2021-08-17T17:03:00Z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