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3F8935" w14:textId="19D6001A" w:rsidR="00F51880" w:rsidRPr="00D2674E" w:rsidRDefault="00D2674E">
      <w:pPr>
        <w:spacing w:line="480" w:lineRule="auto"/>
        <w:rPr>
          <w:rFonts w:ascii="Times New Roman" w:eastAsia="Times New Roman" w:hAnsi="Times New Roman" w:cs="Times New Roman"/>
          <w:sz w:val="24"/>
          <w:szCs w:val="24"/>
        </w:rPr>
        <w:sectPr w:rsidR="00F51880" w:rsidRPr="00D2674E" w:rsidSect="00522B09">
          <w:headerReference w:type="default" r:id="rId8"/>
          <w:pgSz w:w="12240" w:h="15840"/>
          <w:pgMar w:top="1440" w:right="1440" w:bottom="1440" w:left="1440" w:header="720" w:footer="720" w:gutter="0"/>
          <w:lnNumType w:countBy="1" w:restart="continuous"/>
          <w:pgNumType w:start="1"/>
          <w:cols w:space="720"/>
          <w:titlePg/>
          <w:docGrid w:linePitch="299"/>
        </w:sectPr>
      </w:pPr>
      <w:r>
        <w:rPr>
          <w:rFonts w:ascii="Times New Roman" w:eastAsia="Times New Roman" w:hAnsi="Times New Roman" w:cs="Times New Roman"/>
          <w:b/>
          <w:sz w:val="24"/>
          <w:szCs w:val="24"/>
        </w:rPr>
        <w:t xml:space="preserve">Title: </w:t>
      </w:r>
      <w:r w:rsidR="00522B09">
        <w:rPr>
          <w:rFonts w:ascii="Times New Roman" w:eastAsia="Times New Roman" w:hAnsi="Times New Roman" w:cs="Times New Roman"/>
          <w:sz w:val="24"/>
          <w:szCs w:val="24"/>
        </w:rPr>
        <w:t>Urban food forestry transforms</w:t>
      </w:r>
      <w:r w:rsidR="0004420D" w:rsidRPr="00D2674E">
        <w:rPr>
          <w:rFonts w:ascii="Times New Roman" w:eastAsia="Times New Roman" w:hAnsi="Times New Roman" w:cs="Times New Roman"/>
          <w:sz w:val="24"/>
          <w:szCs w:val="24"/>
        </w:rPr>
        <w:t xml:space="preserve"> </w:t>
      </w:r>
      <w:r w:rsidR="00400A71">
        <w:rPr>
          <w:rFonts w:ascii="Times New Roman" w:eastAsia="Times New Roman" w:hAnsi="Times New Roman" w:cs="Times New Roman"/>
          <w:sz w:val="24"/>
          <w:szCs w:val="24"/>
        </w:rPr>
        <w:t xml:space="preserve">fine-scale </w:t>
      </w:r>
      <w:r w:rsidR="002B3DD1" w:rsidRPr="00D2674E">
        <w:rPr>
          <w:rFonts w:ascii="Times New Roman" w:eastAsia="Times New Roman" w:hAnsi="Times New Roman" w:cs="Times New Roman"/>
          <w:sz w:val="24"/>
          <w:szCs w:val="24"/>
        </w:rPr>
        <w:t xml:space="preserve">soil function </w:t>
      </w:r>
      <w:r w:rsidR="00522B09">
        <w:rPr>
          <w:rFonts w:ascii="Times New Roman" w:eastAsia="Times New Roman" w:hAnsi="Times New Roman" w:cs="Times New Roman"/>
          <w:sz w:val="24"/>
          <w:szCs w:val="24"/>
        </w:rPr>
        <w:t>for rapid and uniform carbon sequestration.</w:t>
      </w:r>
    </w:p>
    <w:p w14:paraId="3C7F91D1" w14:textId="77777777" w:rsidR="00F51880" w:rsidRPr="00C14D16" w:rsidRDefault="002B3DD1">
      <w:pPr>
        <w:spacing w:line="480" w:lineRule="auto"/>
        <w:rPr>
          <w:rFonts w:ascii="Times New Roman" w:eastAsia="Times New Roman" w:hAnsi="Times New Roman" w:cs="Times New Roman"/>
          <w:b/>
          <w:sz w:val="24"/>
          <w:szCs w:val="24"/>
        </w:rPr>
      </w:pPr>
      <w:r w:rsidRPr="00C14D16">
        <w:rPr>
          <w:rFonts w:ascii="Times New Roman" w:eastAsia="Times New Roman" w:hAnsi="Times New Roman" w:cs="Times New Roman"/>
          <w:b/>
          <w:sz w:val="24"/>
          <w:szCs w:val="24"/>
        </w:rPr>
        <w:t xml:space="preserve">Authors: </w:t>
      </w:r>
    </w:p>
    <w:p w14:paraId="0509D76C" w14:textId="705E2AA4" w:rsidR="00F51880" w:rsidRPr="00C41A22" w:rsidRDefault="00C41A22">
      <w:pPr>
        <w:spacing w:line="480" w:lineRule="auto"/>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Steven Bressan*</w:t>
      </w:r>
      <w:r>
        <w:rPr>
          <w:rFonts w:ascii="Times New Roman" w:eastAsia="Times New Roman" w:hAnsi="Times New Roman" w:cs="Times New Roman"/>
          <w:sz w:val="24"/>
          <w:szCs w:val="24"/>
          <w:vertAlign w:val="superscript"/>
        </w:rPr>
        <w:t>a</w:t>
      </w:r>
    </w:p>
    <w:p w14:paraId="6599EB33" w14:textId="246B0786" w:rsidR="00F51880" w:rsidRPr="00C14D16" w:rsidRDefault="002B3DD1">
      <w:pPr>
        <w:spacing w:line="480" w:lineRule="auto"/>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 xml:space="preserve">Joseph </w:t>
      </w:r>
      <w:r w:rsidR="00303BED">
        <w:rPr>
          <w:rFonts w:ascii="Times New Roman" w:eastAsia="Times New Roman" w:hAnsi="Times New Roman" w:cs="Times New Roman"/>
          <w:sz w:val="24"/>
          <w:szCs w:val="24"/>
        </w:rPr>
        <w:t>McWilliams</w:t>
      </w:r>
      <w:r w:rsidR="00C41A22">
        <w:rPr>
          <w:rFonts w:ascii="Times New Roman" w:eastAsia="Times New Roman" w:hAnsi="Times New Roman" w:cs="Times New Roman"/>
          <w:sz w:val="24"/>
          <w:szCs w:val="24"/>
        </w:rPr>
        <w:t>*</w:t>
      </w:r>
      <w:r w:rsidR="00C41A22">
        <w:rPr>
          <w:rFonts w:ascii="Times New Roman" w:eastAsia="Times New Roman" w:hAnsi="Times New Roman" w:cs="Times New Roman"/>
          <w:sz w:val="24"/>
          <w:szCs w:val="24"/>
          <w:vertAlign w:val="superscript"/>
        </w:rPr>
        <w:t>a</w:t>
      </w:r>
      <w:r w:rsidR="00746E7D">
        <w:rPr>
          <w:rFonts w:ascii="Times New Roman" w:eastAsia="Times New Roman" w:hAnsi="Times New Roman" w:cs="Times New Roman"/>
          <w:sz w:val="24"/>
          <w:szCs w:val="24"/>
          <w:vertAlign w:val="superscript"/>
        </w:rPr>
        <w:t>,b</w:t>
      </w:r>
    </w:p>
    <w:p w14:paraId="5CE100BB" w14:textId="7C348C6B" w:rsidR="00F51880" w:rsidRPr="00C14D16" w:rsidRDefault="002B3DD1">
      <w:pPr>
        <w:spacing w:line="480" w:lineRule="auto"/>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Erika D</w:t>
      </w:r>
      <w:r w:rsidR="00FC1386">
        <w:rPr>
          <w:rFonts w:ascii="Times New Roman" w:eastAsia="Times New Roman" w:hAnsi="Times New Roman" w:cs="Times New Roman"/>
          <w:sz w:val="24"/>
          <w:szCs w:val="24"/>
          <w:lang w:val="es-ES"/>
        </w:rPr>
        <w:t>í</w:t>
      </w:r>
      <w:r w:rsidRPr="00C14D16">
        <w:rPr>
          <w:rFonts w:ascii="Times New Roman" w:eastAsia="Times New Roman" w:hAnsi="Times New Roman" w:cs="Times New Roman"/>
          <w:sz w:val="24"/>
          <w:szCs w:val="24"/>
        </w:rPr>
        <w:t>az-Almeyda</w:t>
      </w:r>
      <w:r w:rsidR="00C41A22">
        <w:rPr>
          <w:rFonts w:ascii="Times New Roman" w:eastAsia="Times New Roman" w:hAnsi="Times New Roman" w:cs="Times New Roman"/>
          <w:sz w:val="24"/>
          <w:szCs w:val="24"/>
          <w:vertAlign w:val="superscript"/>
        </w:rPr>
        <w:t>a</w:t>
      </w:r>
    </w:p>
    <w:p w14:paraId="3EE5F3C7" w14:textId="7338FBE1" w:rsidR="00F51880" w:rsidRPr="00C14D16" w:rsidRDefault="002B3DD1">
      <w:pPr>
        <w:spacing w:line="480" w:lineRule="auto"/>
        <w:rPr>
          <w:rFonts w:ascii="Times New Roman" w:eastAsia="Times New Roman" w:hAnsi="Times New Roman" w:cs="Times New Roman"/>
          <w:sz w:val="24"/>
          <w:szCs w:val="24"/>
        </w:rPr>
      </w:pPr>
      <w:r w:rsidRPr="00C14D16">
        <w:rPr>
          <w:rFonts w:ascii="Times New Roman" w:eastAsia="Arial Unicode MS" w:hAnsi="Times New Roman" w:cs="Times New Roman"/>
          <w:sz w:val="24"/>
          <w:szCs w:val="24"/>
        </w:rPr>
        <w:t>Brad Oberle1</w:t>
      </w:r>
      <w:r w:rsidR="00C41A22">
        <w:rPr>
          <w:rFonts w:ascii="Times New Roman" w:eastAsia="Times New Roman" w:hAnsi="Times New Roman" w:cs="Times New Roman"/>
          <w:sz w:val="24"/>
          <w:szCs w:val="24"/>
          <w:vertAlign w:val="superscript"/>
        </w:rPr>
        <w:t>a</w:t>
      </w:r>
      <w:r w:rsidRPr="00C14D16">
        <w:rPr>
          <w:rFonts w:ascii="Segoe UI Symbol" w:eastAsia="Arial Unicode MS" w:hAnsi="Segoe UI Symbol" w:cs="Segoe UI Symbol"/>
          <w:sz w:val="24"/>
          <w:szCs w:val="24"/>
        </w:rPr>
        <w:t>✝</w:t>
      </w:r>
    </w:p>
    <w:p w14:paraId="16C5FE13" w14:textId="77777777" w:rsidR="00F51880" w:rsidRPr="00C14D16" w:rsidRDefault="002B3DD1">
      <w:pPr>
        <w:spacing w:line="480" w:lineRule="auto"/>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*The first two authors contributed equally to this work.</w:t>
      </w:r>
    </w:p>
    <w:p w14:paraId="44B0DE24" w14:textId="0E668DFF" w:rsidR="00F51880" w:rsidRDefault="0017721D">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vertAlign w:val="superscript"/>
        </w:rPr>
        <w:t>a</w:t>
      </w:r>
      <w:r w:rsidR="002B3DD1" w:rsidRPr="00C14D16">
        <w:rPr>
          <w:rFonts w:ascii="Times New Roman" w:eastAsia="Times New Roman" w:hAnsi="Times New Roman" w:cs="Times New Roman"/>
          <w:sz w:val="24"/>
          <w:szCs w:val="24"/>
        </w:rPr>
        <w:t>Division of Natural Sciences, New College of Florida, 5800 Bay Shore Road, Sarasota FL 34243</w:t>
      </w:r>
      <w:r>
        <w:rPr>
          <w:rFonts w:ascii="Times New Roman" w:eastAsia="Times New Roman" w:hAnsi="Times New Roman" w:cs="Times New Roman"/>
          <w:sz w:val="24"/>
          <w:szCs w:val="24"/>
        </w:rPr>
        <w:t>, USA</w:t>
      </w:r>
    </w:p>
    <w:p w14:paraId="0F623792" w14:textId="118B1333" w:rsidR="00746E7D" w:rsidRPr="00C14D16" w:rsidRDefault="00746E7D" w:rsidP="00746E7D">
      <w:pPr>
        <w:spacing w:line="480" w:lineRule="auto"/>
        <w:rPr>
          <w:rFonts w:ascii="Times New Roman" w:eastAsia="Times New Roman" w:hAnsi="Times New Roman" w:cs="Times New Roman"/>
          <w:sz w:val="24"/>
          <w:szCs w:val="24"/>
        </w:rPr>
      </w:pPr>
      <w:r w:rsidRPr="00746E7D">
        <w:rPr>
          <w:rFonts w:ascii="Times New Roman" w:eastAsia="Times New Roman" w:hAnsi="Times New Roman" w:cs="Times New Roman"/>
          <w:sz w:val="24"/>
          <w:szCs w:val="24"/>
          <w:vertAlign w:val="superscript"/>
        </w:rPr>
        <w:t>b</w:t>
      </w:r>
      <w:r w:rsidRPr="00746E7D">
        <w:rPr>
          <w:rFonts w:ascii="Times New Roman" w:eastAsia="Times New Roman" w:hAnsi="Times New Roman" w:cs="Times New Roman"/>
          <w:sz w:val="24"/>
          <w:szCs w:val="24"/>
        </w:rPr>
        <w:t>Faculty of Humanities, University of Ha</w:t>
      </w:r>
      <w:r>
        <w:rPr>
          <w:rFonts w:ascii="Times New Roman" w:eastAsia="Times New Roman" w:hAnsi="Times New Roman" w:cs="Times New Roman"/>
          <w:sz w:val="24"/>
          <w:szCs w:val="24"/>
        </w:rPr>
        <w:t>mburg,  Edmund-Siemers-Allee 1, 20146 Hamburg, Germany</w:t>
      </w:r>
    </w:p>
    <w:p w14:paraId="23421681" w14:textId="0F81A4C9" w:rsidR="00303BED" w:rsidRDefault="002B3DD1" w:rsidP="00303BED">
      <w:pPr>
        <w:spacing w:line="480" w:lineRule="auto"/>
        <w:rPr>
          <w:rFonts w:ascii="Times New Roman" w:eastAsia="Arial Unicode MS" w:hAnsi="Times New Roman" w:cs="Times New Roman"/>
          <w:sz w:val="24"/>
          <w:szCs w:val="24"/>
        </w:rPr>
      </w:pPr>
      <w:r w:rsidRPr="00C14D16">
        <w:rPr>
          <w:rFonts w:ascii="Segoe UI Symbol" w:eastAsia="Arial Unicode MS" w:hAnsi="Segoe UI Symbol" w:cs="Segoe UI Symbol"/>
          <w:sz w:val="24"/>
          <w:szCs w:val="24"/>
        </w:rPr>
        <w:t>✝</w:t>
      </w:r>
      <w:r w:rsidRPr="00C14D16">
        <w:rPr>
          <w:rFonts w:ascii="Times New Roman" w:eastAsia="Arial Unicode MS" w:hAnsi="Times New Roman" w:cs="Times New Roman"/>
          <w:sz w:val="24"/>
          <w:szCs w:val="24"/>
        </w:rPr>
        <w:t xml:space="preserve">To whom correspondence should </w:t>
      </w:r>
      <w:r w:rsidR="00303BED">
        <w:rPr>
          <w:rFonts w:ascii="Times New Roman" w:eastAsia="Arial Unicode MS" w:hAnsi="Times New Roman" w:cs="Times New Roman"/>
          <w:sz w:val="24"/>
          <w:szCs w:val="24"/>
        </w:rPr>
        <w:t>be addressed, boberle@ncf.edu</w:t>
      </w:r>
    </w:p>
    <w:p w14:paraId="7B9B667E" w14:textId="47E3BC5D" w:rsidR="00303BED" w:rsidRPr="00C41A22" w:rsidRDefault="00C41A22" w:rsidP="00303BED">
      <w:pPr>
        <w:spacing w:line="480" w:lineRule="auto"/>
        <w:rPr>
          <w:rFonts w:ascii="Times New Roman" w:eastAsia="Arial Unicode MS" w:hAnsi="Times New Roman" w:cs="Times New Roman"/>
          <w:sz w:val="24"/>
          <w:szCs w:val="24"/>
        </w:rPr>
      </w:pPr>
      <w:r>
        <w:rPr>
          <w:rFonts w:ascii="Times New Roman" w:eastAsia="Arial Unicode MS" w:hAnsi="Times New Roman" w:cs="Times New Roman"/>
          <w:b/>
          <w:sz w:val="24"/>
          <w:szCs w:val="24"/>
        </w:rPr>
        <w:t xml:space="preserve">Word Count: </w:t>
      </w:r>
      <w:r w:rsidR="00471FA4">
        <w:rPr>
          <w:rFonts w:ascii="Times New Roman" w:eastAsia="Arial Unicode MS" w:hAnsi="Times New Roman" w:cs="Times New Roman"/>
          <w:sz w:val="24"/>
          <w:szCs w:val="24"/>
        </w:rPr>
        <w:t>7571</w:t>
      </w:r>
      <w:bookmarkStart w:id="0" w:name="_GoBack"/>
      <w:bookmarkEnd w:id="0"/>
    </w:p>
    <w:p w14:paraId="645CE929" w14:textId="199D4CA4" w:rsidR="00303BED" w:rsidRDefault="00303BED" w:rsidP="00303BED">
      <w:pPr>
        <w:spacing w:line="480" w:lineRule="auto"/>
        <w:rPr>
          <w:rFonts w:ascii="Times New Roman" w:eastAsia="Arial Unicode MS" w:hAnsi="Times New Roman" w:cs="Times New Roman"/>
          <w:sz w:val="24"/>
          <w:szCs w:val="24"/>
        </w:rPr>
      </w:pPr>
    </w:p>
    <w:p w14:paraId="4291E29B" w14:textId="6B4C127D" w:rsidR="00303BED" w:rsidRPr="00303BED" w:rsidRDefault="00303BED" w:rsidP="00303BED">
      <w:pPr>
        <w:spacing w:line="480" w:lineRule="auto"/>
        <w:rPr>
          <w:rFonts w:ascii="Times New Roman" w:eastAsia="Arial Unicode MS" w:hAnsi="Times New Roman" w:cs="Times New Roman"/>
          <w:sz w:val="24"/>
          <w:szCs w:val="24"/>
        </w:rPr>
        <w:sectPr w:rsidR="00303BED" w:rsidRPr="00303BED" w:rsidSect="00522B09">
          <w:type w:val="continuous"/>
          <w:pgSz w:w="12240" w:h="15840"/>
          <w:pgMar w:top="1440" w:right="1440" w:bottom="1440" w:left="1440" w:header="720" w:footer="720" w:gutter="0"/>
          <w:lnNumType w:countBy="1" w:restart="continuous"/>
          <w:cols w:space="720"/>
          <w:docGrid w:linePitch="299"/>
        </w:sectPr>
      </w:pPr>
      <w:r>
        <w:rPr>
          <w:rFonts w:ascii="Times New Roman" w:eastAsia="Arial Unicode MS" w:hAnsi="Times New Roman" w:cs="Times New Roman"/>
          <w:sz w:val="24"/>
          <w:szCs w:val="24"/>
        </w:rPr>
        <w:t xml:space="preserve">  </w:t>
      </w:r>
    </w:p>
    <w:p w14:paraId="14B8C6A0" w14:textId="0EA18C7A" w:rsidR="0017721D" w:rsidRDefault="0017721D">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Highlights</w:t>
      </w:r>
    </w:p>
    <w:p w14:paraId="6696D64C" w14:textId="58AE0777" w:rsidR="0017721D" w:rsidRDefault="0017721D" w:rsidP="0017721D">
      <w:pPr>
        <w:pStyle w:val="ListParagraph"/>
        <w:numPr>
          <w:ilvl w:val="0"/>
          <w:numId w:val="1"/>
        </w:numPr>
        <w:spacing w:line="480" w:lineRule="auto"/>
        <w:rPr>
          <w:rFonts w:ascii="Times New Roman" w:eastAsia="Times New Roman" w:hAnsi="Times New Roman" w:cs="Times New Roman"/>
          <w:sz w:val="24"/>
          <w:szCs w:val="24"/>
        </w:rPr>
      </w:pPr>
      <w:r w:rsidRPr="0017721D">
        <w:rPr>
          <w:rFonts w:ascii="Times New Roman" w:eastAsia="Times New Roman" w:hAnsi="Times New Roman" w:cs="Times New Roman"/>
          <w:sz w:val="24"/>
          <w:szCs w:val="24"/>
        </w:rPr>
        <w:t>Urban food forests</w:t>
      </w:r>
      <w:r>
        <w:rPr>
          <w:rFonts w:ascii="Times New Roman" w:eastAsia="Times New Roman" w:hAnsi="Times New Roman" w:cs="Times New Roman"/>
          <w:sz w:val="24"/>
          <w:szCs w:val="24"/>
        </w:rPr>
        <w:t xml:space="preserve"> provide food while sequestering carbon.</w:t>
      </w:r>
    </w:p>
    <w:p w14:paraId="6E0B58FE" w14:textId="1710EED1" w:rsidR="0017721D" w:rsidRDefault="0017721D" w:rsidP="0017721D">
      <w:pPr>
        <w:pStyle w:val="ListParagraph"/>
        <w:numPr>
          <w:ilvl w:val="0"/>
          <w:numId w:val="1"/>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Soil compaction, nutrients, microbial activity and diversity increased versus lawn</w:t>
      </w:r>
      <w:r w:rsidR="00400A71">
        <w:rPr>
          <w:rFonts w:ascii="Times New Roman" w:eastAsia="Times New Roman" w:hAnsi="Times New Roman" w:cs="Times New Roman"/>
          <w:sz w:val="24"/>
          <w:szCs w:val="24"/>
        </w:rPr>
        <w:t>.</w:t>
      </w:r>
    </w:p>
    <w:p w14:paraId="0FE6F587" w14:textId="5AB46809" w:rsidR="0017721D" w:rsidRPr="0017721D" w:rsidRDefault="0017721D" w:rsidP="0017721D">
      <w:pPr>
        <w:pStyle w:val="ListParagraph"/>
        <w:numPr>
          <w:ilvl w:val="0"/>
          <w:numId w:val="1"/>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Food forest soil </w:t>
      </w:r>
      <w:r w:rsidR="00221CD1">
        <w:rPr>
          <w:rFonts w:ascii="Times New Roman" w:eastAsia="Times New Roman" w:hAnsi="Times New Roman" w:cs="Times New Roman"/>
          <w:sz w:val="24"/>
          <w:szCs w:val="24"/>
        </w:rPr>
        <w:t>carbon density doubled with 3.35</w:t>
      </w:r>
      <w:r>
        <w:rPr>
          <w:rFonts w:ascii="Times New Roman" w:eastAsia="Times New Roman" w:hAnsi="Times New Roman" w:cs="Times New Roman"/>
          <w:sz w:val="24"/>
          <w:szCs w:val="24"/>
        </w:rPr>
        <w:t xml:space="preserve"> kg </w:t>
      </w:r>
      <w:r w:rsidRPr="0017721D">
        <w:rPr>
          <w:rFonts w:ascii="Times New Roman" w:eastAsia="Times New Roman" w:hAnsi="Times New Roman" w:cs="Times New Roman"/>
          <w:sz w:val="24"/>
          <w:szCs w:val="24"/>
        </w:rPr>
        <w:t>m</w:t>
      </w:r>
      <w:r w:rsidRPr="0017721D">
        <w:rPr>
          <w:rFonts w:ascii="Times New Roman" w:eastAsia="Times New Roman" w:hAnsi="Times New Roman" w:cs="Times New Roman"/>
          <w:sz w:val="24"/>
          <w:szCs w:val="24"/>
          <w:vertAlign w:val="superscript"/>
        </w:rPr>
        <w:t>-2</w:t>
      </w:r>
      <w:r w:rsidRPr="0017721D">
        <w:rPr>
          <w:rFonts w:ascii="Times New Roman" w:eastAsia="Times New Roman" w:hAnsi="Times New Roman" w:cs="Times New Roman"/>
          <w:sz w:val="24"/>
          <w:szCs w:val="24"/>
        </w:rPr>
        <w:t xml:space="preserve">  y</w:t>
      </w:r>
      <w:r w:rsidRPr="0017721D">
        <w:rPr>
          <w:rFonts w:ascii="Times New Roman" w:eastAsia="Times New Roman" w:hAnsi="Times New Roman" w:cs="Times New Roman"/>
          <w:sz w:val="24"/>
          <w:szCs w:val="24"/>
          <w:vertAlign w:val="superscript"/>
        </w:rPr>
        <w:t>-1</w:t>
      </w:r>
      <w:r>
        <w:rPr>
          <w:rFonts w:ascii="Times New Roman" w:eastAsia="Times New Roman" w:hAnsi="Times New Roman" w:cs="Times New Roman"/>
          <w:sz w:val="24"/>
          <w:szCs w:val="24"/>
        </w:rPr>
        <w:t xml:space="preserve"> sequestered in berms</w:t>
      </w:r>
      <w:r w:rsidR="00400A71">
        <w:rPr>
          <w:rFonts w:ascii="Times New Roman" w:eastAsia="Times New Roman" w:hAnsi="Times New Roman" w:cs="Times New Roman"/>
          <w:sz w:val="24"/>
          <w:szCs w:val="24"/>
        </w:rPr>
        <w:t>.</w:t>
      </w:r>
    </w:p>
    <w:p w14:paraId="60686F0E" w14:textId="46553645" w:rsidR="0017721D" w:rsidRPr="0017721D" w:rsidRDefault="001930FE" w:rsidP="0017721D">
      <w:pPr>
        <w:pStyle w:val="ListParagraph"/>
        <w:numPr>
          <w:ilvl w:val="0"/>
          <w:numId w:val="1"/>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Increasing uniformity implies system-level regulation </w:t>
      </w:r>
    </w:p>
    <w:p w14:paraId="2C8E8627" w14:textId="77777777" w:rsidR="001930FE" w:rsidRDefault="001930FE">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08B4A79F" w14:textId="628BE9A0" w:rsidR="00C41A22" w:rsidRDefault="002B3DD1">
      <w:pPr>
        <w:spacing w:line="480" w:lineRule="auto"/>
        <w:rPr>
          <w:rFonts w:ascii="Times New Roman" w:eastAsia="Times New Roman" w:hAnsi="Times New Roman" w:cs="Times New Roman"/>
          <w:b/>
          <w:sz w:val="24"/>
          <w:szCs w:val="24"/>
        </w:rPr>
      </w:pPr>
      <w:r w:rsidRPr="00C14D16">
        <w:rPr>
          <w:rFonts w:ascii="Times New Roman" w:eastAsia="Times New Roman" w:hAnsi="Times New Roman" w:cs="Times New Roman"/>
          <w:b/>
          <w:sz w:val="24"/>
          <w:szCs w:val="24"/>
        </w:rPr>
        <w:t>Abstract</w:t>
      </w:r>
    </w:p>
    <w:p w14:paraId="7E992BD1" w14:textId="6076768A" w:rsidR="00F51880" w:rsidRPr="00C14D16" w:rsidRDefault="002B3DD1">
      <w:pPr>
        <w:spacing w:line="480" w:lineRule="auto"/>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 xml:space="preserve">Urbanization displaces agriculture and natural ecosystems, constraining food security and carbon (C) sinks. A proposed solution, Urban Food Forestry (UFF), promises local food from trees that </w:t>
      </w:r>
      <w:r w:rsidR="00EE6A65">
        <w:rPr>
          <w:rFonts w:ascii="Times New Roman" w:eastAsia="Times New Roman" w:hAnsi="Times New Roman" w:cs="Times New Roman"/>
          <w:sz w:val="24"/>
          <w:szCs w:val="24"/>
        </w:rPr>
        <w:t xml:space="preserve">can </w:t>
      </w:r>
      <w:r w:rsidRPr="00C14D16">
        <w:rPr>
          <w:rFonts w:ascii="Times New Roman" w:eastAsia="Times New Roman" w:hAnsi="Times New Roman" w:cs="Times New Roman"/>
          <w:sz w:val="24"/>
          <w:szCs w:val="24"/>
        </w:rPr>
        <w:t>sequester C faster t</w:t>
      </w:r>
      <w:r w:rsidR="00EE6A65">
        <w:rPr>
          <w:rFonts w:ascii="Times New Roman" w:eastAsia="Times New Roman" w:hAnsi="Times New Roman" w:cs="Times New Roman"/>
          <w:sz w:val="24"/>
          <w:szCs w:val="24"/>
        </w:rPr>
        <w:t>han other land cover types</w:t>
      </w:r>
      <w:r w:rsidRPr="00C14D16">
        <w:rPr>
          <w:rFonts w:ascii="Times New Roman" w:eastAsia="Times New Roman" w:hAnsi="Times New Roman" w:cs="Times New Roman"/>
          <w:sz w:val="24"/>
          <w:szCs w:val="24"/>
        </w:rPr>
        <w:t xml:space="preserve"> as long as soil </w:t>
      </w:r>
      <w:r w:rsidR="00EE6A65">
        <w:rPr>
          <w:rFonts w:ascii="Times New Roman" w:eastAsia="Times New Roman" w:hAnsi="Times New Roman" w:cs="Times New Roman"/>
          <w:sz w:val="24"/>
          <w:szCs w:val="24"/>
        </w:rPr>
        <w:t>function</w:t>
      </w:r>
      <w:r w:rsidRPr="00C14D16">
        <w:rPr>
          <w:rFonts w:ascii="Times New Roman" w:eastAsia="Times New Roman" w:hAnsi="Times New Roman" w:cs="Times New Roman"/>
          <w:sz w:val="24"/>
          <w:szCs w:val="24"/>
        </w:rPr>
        <w:t xml:space="preserve"> improves. We compared fine-scale variation in soil physical, chemical and biological properties within and between UFF and traditional lawn</w:t>
      </w:r>
      <w:r w:rsidR="00EE6A65">
        <w:rPr>
          <w:rFonts w:ascii="Times New Roman" w:eastAsia="Times New Roman" w:hAnsi="Times New Roman" w:cs="Times New Roman"/>
          <w:sz w:val="24"/>
          <w:szCs w:val="24"/>
        </w:rPr>
        <w:t xml:space="preserve"> for evidence of changes in belowground ecosystem services</w:t>
      </w:r>
      <w:r w:rsidRPr="00C14D16">
        <w:rPr>
          <w:rFonts w:ascii="Times New Roman" w:eastAsia="Times New Roman" w:hAnsi="Times New Roman" w:cs="Times New Roman"/>
          <w:sz w:val="24"/>
          <w:szCs w:val="24"/>
        </w:rPr>
        <w:t xml:space="preserve">. Both </w:t>
      </w:r>
      <w:r w:rsidR="00EE6A65">
        <w:rPr>
          <w:rFonts w:ascii="Times New Roman" w:eastAsia="Times New Roman" w:hAnsi="Times New Roman" w:cs="Times New Roman"/>
          <w:sz w:val="24"/>
          <w:szCs w:val="24"/>
        </w:rPr>
        <w:t xml:space="preserve">land covers </w:t>
      </w:r>
      <w:r w:rsidRPr="00C14D16">
        <w:rPr>
          <w:rFonts w:ascii="Times New Roman" w:eastAsia="Times New Roman" w:hAnsi="Times New Roman" w:cs="Times New Roman"/>
          <w:sz w:val="24"/>
          <w:szCs w:val="24"/>
        </w:rPr>
        <w:t>sequestered C, but UFF did so nearly an order of magnitude faster, especially in upper so</w:t>
      </w:r>
      <w:r w:rsidR="00EE6A65">
        <w:rPr>
          <w:rFonts w:ascii="Times New Roman" w:eastAsia="Times New Roman" w:hAnsi="Times New Roman" w:cs="Times New Roman"/>
          <w:sz w:val="24"/>
          <w:szCs w:val="24"/>
        </w:rPr>
        <w:t xml:space="preserve">il strata </w:t>
      </w:r>
      <w:r w:rsidR="00326FD5">
        <w:rPr>
          <w:rFonts w:ascii="Times New Roman" w:eastAsia="Times New Roman" w:hAnsi="Times New Roman" w:cs="Times New Roman"/>
          <w:sz w:val="24"/>
          <w:szCs w:val="24"/>
        </w:rPr>
        <w:t>where soil bulk density fell by 50%</w:t>
      </w:r>
      <w:r w:rsidR="003744C8">
        <w:rPr>
          <w:rFonts w:ascii="Times New Roman" w:eastAsia="Times New Roman" w:hAnsi="Times New Roman" w:cs="Times New Roman"/>
          <w:sz w:val="24"/>
          <w:szCs w:val="24"/>
        </w:rPr>
        <w:t xml:space="preserve"> and </w:t>
      </w:r>
      <w:r w:rsidR="00B6115D">
        <w:rPr>
          <w:rFonts w:ascii="Times New Roman" w:eastAsia="Times New Roman" w:hAnsi="Times New Roman" w:cs="Times New Roman"/>
          <w:sz w:val="24"/>
          <w:szCs w:val="24"/>
        </w:rPr>
        <w:t>microbial</w:t>
      </w:r>
      <w:r w:rsidR="00EE6A65">
        <w:rPr>
          <w:rFonts w:ascii="Times New Roman" w:eastAsia="Times New Roman" w:hAnsi="Times New Roman" w:cs="Times New Roman"/>
          <w:sz w:val="24"/>
          <w:szCs w:val="24"/>
        </w:rPr>
        <w:t xml:space="preserve"> activity </w:t>
      </w:r>
      <w:r w:rsidR="00B6115D">
        <w:rPr>
          <w:rFonts w:ascii="Times New Roman" w:eastAsia="Times New Roman" w:hAnsi="Times New Roman" w:cs="Times New Roman"/>
          <w:sz w:val="24"/>
          <w:szCs w:val="24"/>
        </w:rPr>
        <w:t>increased by an order of magnitude</w:t>
      </w:r>
      <w:r w:rsidR="00221CD1">
        <w:rPr>
          <w:rFonts w:ascii="Times New Roman" w:eastAsia="Times New Roman" w:hAnsi="Times New Roman" w:cs="Times New Roman"/>
          <w:sz w:val="24"/>
          <w:szCs w:val="24"/>
        </w:rPr>
        <w:t>. S</w:t>
      </w:r>
      <w:r w:rsidR="000B10F9">
        <w:rPr>
          <w:rFonts w:ascii="Times New Roman" w:eastAsia="Times New Roman" w:hAnsi="Times New Roman" w:cs="Times New Roman"/>
          <w:sz w:val="24"/>
          <w:szCs w:val="24"/>
        </w:rPr>
        <w:t xml:space="preserve">pecies richness of both </w:t>
      </w:r>
      <w:r w:rsidR="00221CD1">
        <w:rPr>
          <w:rFonts w:ascii="Times New Roman" w:eastAsia="Times New Roman" w:hAnsi="Times New Roman" w:cs="Times New Roman"/>
          <w:sz w:val="24"/>
          <w:szCs w:val="24"/>
        </w:rPr>
        <w:t xml:space="preserve">soil </w:t>
      </w:r>
      <w:r w:rsidR="000B10F9">
        <w:rPr>
          <w:rFonts w:ascii="Times New Roman" w:eastAsia="Times New Roman" w:hAnsi="Times New Roman" w:cs="Times New Roman"/>
          <w:sz w:val="24"/>
          <w:szCs w:val="24"/>
        </w:rPr>
        <w:t>fungi and bacteria increased along with nutrient concentrations</w:t>
      </w:r>
      <w:r w:rsidRPr="00C14D16">
        <w:rPr>
          <w:rFonts w:ascii="Times New Roman" w:eastAsia="Times New Roman" w:hAnsi="Times New Roman" w:cs="Times New Roman"/>
          <w:sz w:val="24"/>
          <w:szCs w:val="24"/>
        </w:rPr>
        <w:t xml:space="preserve">. Contrary to expectations, </w:t>
      </w:r>
      <w:r w:rsidR="000B10F9">
        <w:rPr>
          <w:rFonts w:ascii="Times New Roman" w:eastAsia="Times New Roman" w:hAnsi="Times New Roman" w:cs="Times New Roman"/>
          <w:sz w:val="24"/>
          <w:szCs w:val="24"/>
        </w:rPr>
        <w:t xml:space="preserve">that different tree traits would drive increasing fine scale variability in C density, soils beneath the UFF became more uniform, </w:t>
      </w:r>
      <w:r w:rsidRPr="00C14D16">
        <w:rPr>
          <w:rFonts w:ascii="Times New Roman" w:eastAsia="Times New Roman" w:hAnsi="Times New Roman" w:cs="Times New Roman"/>
          <w:sz w:val="24"/>
          <w:szCs w:val="24"/>
        </w:rPr>
        <w:t>which is consistent with the rapid emergence of system-level regulation. Soil C mass balance may distinguish forests from collections of trees and determine how long UFF helps cities store their carbon and eat it too.</w:t>
      </w:r>
    </w:p>
    <w:p w14:paraId="5532FD1E" w14:textId="50D32B3E" w:rsidR="00F51880" w:rsidRPr="00C14D16" w:rsidRDefault="002B3DD1">
      <w:pPr>
        <w:spacing w:line="480" w:lineRule="auto"/>
        <w:rPr>
          <w:rFonts w:ascii="Times New Roman" w:eastAsia="Times New Roman" w:hAnsi="Times New Roman" w:cs="Times New Roman"/>
          <w:sz w:val="24"/>
          <w:szCs w:val="24"/>
        </w:rPr>
      </w:pPr>
      <w:r w:rsidRPr="00C14D16">
        <w:rPr>
          <w:rFonts w:ascii="Times New Roman" w:eastAsia="Times New Roman" w:hAnsi="Times New Roman" w:cs="Times New Roman"/>
          <w:b/>
          <w:sz w:val="24"/>
          <w:szCs w:val="24"/>
        </w:rPr>
        <w:t>Keywords:</w:t>
      </w:r>
      <w:r w:rsidRPr="00C14D16">
        <w:rPr>
          <w:rFonts w:ascii="Times New Roman" w:eastAsia="Times New Roman" w:hAnsi="Times New Roman" w:cs="Times New Roman"/>
          <w:sz w:val="24"/>
          <w:szCs w:val="24"/>
        </w:rPr>
        <w:t xml:space="preserve"> agroforestry, carbon sequestration, soil health, </w:t>
      </w:r>
      <w:r w:rsidR="00C41A22">
        <w:rPr>
          <w:rFonts w:ascii="Times New Roman" w:eastAsia="Times New Roman" w:hAnsi="Times New Roman" w:cs="Times New Roman"/>
          <w:sz w:val="24"/>
          <w:szCs w:val="24"/>
        </w:rPr>
        <w:t xml:space="preserve">urban agriculture, </w:t>
      </w:r>
      <w:r w:rsidRPr="00C14D16">
        <w:rPr>
          <w:rFonts w:ascii="Times New Roman" w:eastAsia="Times New Roman" w:hAnsi="Times New Roman" w:cs="Times New Roman"/>
          <w:sz w:val="24"/>
          <w:szCs w:val="24"/>
        </w:rPr>
        <w:t>urban ecology</w:t>
      </w:r>
    </w:p>
    <w:p w14:paraId="20253C0C" w14:textId="77777777" w:rsidR="00F51880" w:rsidRPr="00C14D16" w:rsidRDefault="00F51880">
      <w:pPr>
        <w:spacing w:line="480" w:lineRule="auto"/>
        <w:rPr>
          <w:rFonts w:ascii="Times New Roman" w:eastAsia="Times New Roman" w:hAnsi="Times New Roman" w:cs="Times New Roman"/>
          <w:b/>
          <w:sz w:val="24"/>
          <w:szCs w:val="24"/>
        </w:rPr>
        <w:sectPr w:rsidR="00F51880" w:rsidRPr="00C14D16" w:rsidSect="00522B09">
          <w:pgSz w:w="12240" w:h="15840"/>
          <w:pgMar w:top="1440" w:right="1440" w:bottom="1440" w:left="1440" w:header="720" w:footer="720" w:gutter="0"/>
          <w:lnNumType w:countBy="1" w:restart="continuous"/>
          <w:pgNumType w:start="1"/>
          <w:cols w:space="720"/>
          <w:docGrid w:linePitch="299"/>
        </w:sectPr>
      </w:pPr>
    </w:p>
    <w:p w14:paraId="4F7D4B29" w14:textId="0F1A33E1" w:rsidR="00F51880" w:rsidRPr="00C14D16" w:rsidRDefault="00343E40">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Introduction</w:t>
      </w:r>
    </w:p>
    <w:p w14:paraId="22625CE2" w14:textId="4A2848DA" w:rsidR="00F51880" w:rsidRPr="00C14D16" w:rsidRDefault="002B3DD1" w:rsidP="00741619">
      <w:pPr>
        <w:spacing w:line="480" w:lineRule="auto"/>
        <w:ind w:firstLine="720"/>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Both population growth and warming are concentrated in cities. Emerging solutions to these related issues reimagine where and how to grow f</w:t>
      </w:r>
      <w:r w:rsidR="003744C8">
        <w:rPr>
          <w:rFonts w:ascii="Times New Roman" w:eastAsia="Times New Roman" w:hAnsi="Times New Roman" w:cs="Times New Roman"/>
          <w:sz w:val="24"/>
          <w:szCs w:val="24"/>
        </w:rPr>
        <w:t xml:space="preserve">ood. </w:t>
      </w:r>
      <w:r w:rsidR="004954BF">
        <w:rPr>
          <w:rFonts w:ascii="Times New Roman" w:eastAsia="Times New Roman" w:hAnsi="Times New Roman" w:cs="Times New Roman"/>
          <w:sz w:val="24"/>
          <w:szCs w:val="24"/>
        </w:rPr>
        <w:t>R</w:t>
      </w:r>
      <w:r w:rsidRPr="00C14D16">
        <w:rPr>
          <w:rFonts w:ascii="Times New Roman" w:eastAsia="Times New Roman" w:hAnsi="Times New Roman" w:cs="Times New Roman"/>
          <w:sz w:val="24"/>
          <w:szCs w:val="24"/>
        </w:rPr>
        <w:t xml:space="preserve">elocating production to underutilized urban areas like vacant lots and lawns can </w:t>
      </w:r>
      <w:r w:rsidR="004954BF">
        <w:rPr>
          <w:rFonts w:ascii="Times New Roman" w:eastAsia="Times New Roman" w:hAnsi="Times New Roman" w:cs="Times New Roman"/>
          <w:sz w:val="24"/>
          <w:szCs w:val="24"/>
        </w:rPr>
        <w:t>increase yields</w:t>
      </w:r>
      <w:r w:rsidRPr="00C14D16">
        <w:rPr>
          <w:rFonts w:ascii="Times New Roman" w:eastAsia="Times New Roman" w:hAnsi="Times New Roman" w:cs="Times New Roman"/>
          <w:sz w:val="24"/>
          <w:szCs w:val="24"/>
        </w:rPr>
        <w:t xml:space="preserve"> </w:t>
      </w:r>
      <w:r w:rsidR="00C14D16">
        <w:rPr>
          <w:rFonts w:ascii="Times New Roman" w:eastAsia="Times New Roman" w:hAnsi="Times New Roman" w:cs="Times New Roman"/>
          <w:sz w:val="24"/>
          <w:szCs w:val="24"/>
        </w:rPr>
        <w:fldChar w:fldCharType="begin" w:fldLock="1"/>
      </w:r>
      <w:r w:rsidR="005A2E0E">
        <w:rPr>
          <w:rFonts w:ascii="Times New Roman" w:eastAsia="Times New Roman" w:hAnsi="Times New Roman" w:cs="Times New Roman"/>
          <w:sz w:val="24"/>
          <w:szCs w:val="24"/>
        </w:rPr>
        <w:instrText>ADDIN CSL_CITATION {"citationItems":[{"id":"ITEM-1","itemData":{"DOI":"10.1073/pnas.1809707115","ISSN":"10916490","PMID":"30584110","abstract":"A major challenge of the 21st century is to produce more food for a growing population without increasing humanity’s agricultural footprint. Urban food production may help to solve this challenge; however, little research has examined the productivity of urban farming systems. We investigated inputs and produce yields over a 1-y period in 13 small-scale organic farms and gardens in Sydney, Australia. We found mean yields to be 5.94 kg·m−2, around twice the yield of typical Australian commercial vegetable farms. While these systems used land efficiently, economic and emergy (embodied energy) analyses showed they were relatively inefficient in their use of material and labor resources. Benefit-to-cost ratios demonstrated that, on average, the gardens ran at a financial loss and emergy transformity was one to three orders of magnitude greater than many conventional rural farms. Only 14.66% of all inputs were considered “renewable,” resulting in a moderate mean environmental loading ratio (ELR) of 5.82, a value within the range of many conventional farming systems. However, when all nonrenewable inputs capable of being substituted with local renewable inputs were replaced in a hypothetical scenario, the ELR improved markedly to 1.32. These results show that urban agriculture can be highly productive; however, this productivity comes with many trade-offs, and care must be taken to ensure its sustainability.","author":[{"dropping-particle":"","family":"McDougall","given":"Robert","non-dropping-particle":"","parse-names":false,"suffix":""},{"dropping-particle":"","family":"Kristiansen","given":"Paul","non-dropping-particle":"","parse-names":false,"suffix":""},{"dropping-particle":"","family":"Rader","given":"Romina","non-dropping-particle":"","parse-names":false,"suffix":""}],"container-title":"Proceedings of the National Academy of Sciences of the United States of America","id":"ITEM-1","issue":"1","issued":{"date-parts":[["2019"]]},"page":"129-134","title":"Small-scale urban agriculture results in high yields but requires judicious management of inputs to achieve sustainability","type":"article-journal","volume":"116"},"uris":["http://www.mendeley.com/documents/?uuid=2d8798b9-a257-4f83-b3ea-76c566fafe30"]}],"mendeley":{"formattedCitation":"(McDougall et al., 2019)","plainTextFormattedCitation":"(McDougall et al., 2019)","previouslyFormattedCitation":"(McDougall et al., 2019)"},"properties":{"noteIndex":0},"schema":"https://github.com/citation-style-language/schema/raw/master/csl-citation.json"}</w:instrText>
      </w:r>
      <w:r w:rsidR="00C14D16">
        <w:rPr>
          <w:rFonts w:ascii="Times New Roman" w:eastAsia="Times New Roman" w:hAnsi="Times New Roman" w:cs="Times New Roman"/>
          <w:sz w:val="24"/>
          <w:szCs w:val="24"/>
        </w:rPr>
        <w:fldChar w:fldCharType="separate"/>
      </w:r>
      <w:r w:rsidR="00473EEB" w:rsidRPr="00473EEB">
        <w:rPr>
          <w:rFonts w:ascii="Times New Roman" w:eastAsia="Times New Roman" w:hAnsi="Times New Roman" w:cs="Times New Roman"/>
          <w:noProof/>
          <w:sz w:val="24"/>
          <w:szCs w:val="24"/>
        </w:rPr>
        <w:t>(McDougall et al., 2019)</w:t>
      </w:r>
      <w:r w:rsidR="00C14D16">
        <w:rPr>
          <w:rFonts w:ascii="Times New Roman" w:eastAsia="Times New Roman" w:hAnsi="Times New Roman" w:cs="Times New Roman"/>
          <w:sz w:val="24"/>
          <w:szCs w:val="24"/>
        </w:rPr>
        <w:fldChar w:fldCharType="end"/>
      </w:r>
      <w:r w:rsidR="00C14D16">
        <w:rPr>
          <w:rFonts w:ascii="Times New Roman" w:eastAsia="Times New Roman" w:hAnsi="Times New Roman" w:cs="Times New Roman"/>
          <w:sz w:val="24"/>
          <w:szCs w:val="24"/>
        </w:rPr>
        <w:t xml:space="preserve"> </w:t>
      </w:r>
      <w:r w:rsidRPr="00C14D16">
        <w:rPr>
          <w:rFonts w:ascii="Times New Roman" w:eastAsia="Times New Roman" w:hAnsi="Times New Roman" w:cs="Times New Roman"/>
          <w:sz w:val="24"/>
          <w:szCs w:val="24"/>
        </w:rPr>
        <w:t xml:space="preserve">while </w:t>
      </w:r>
      <w:r w:rsidR="004954BF">
        <w:rPr>
          <w:rFonts w:ascii="Times New Roman" w:eastAsia="Times New Roman" w:hAnsi="Times New Roman" w:cs="Times New Roman"/>
          <w:sz w:val="24"/>
          <w:szCs w:val="24"/>
        </w:rPr>
        <w:t xml:space="preserve">reducing </w:t>
      </w:r>
      <w:r w:rsidR="000B10F9">
        <w:rPr>
          <w:rFonts w:ascii="Times New Roman" w:eastAsia="Times New Roman" w:hAnsi="Times New Roman" w:cs="Times New Roman"/>
          <w:sz w:val="24"/>
          <w:szCs w:val="24"/>
        </w:rPr>
        <w:t xml:space="preserve">greenhouse gas </w:t>
      </w:r>
      <w:r w:rsidR="004954BF">
        <w:rPr>
          <w:rFonts w:ascii="Times New Roman" w:eastAsia="Times New Roman" w:hAnsi="Times New Roman" w:cs="Times New Roman"/>
          <w:sz w:val="24"/>
          <w:szCs w:val="24"/>
        </w:rPr>
        <w:t xml:space="preserve">emissions </w:t>
      </w:r>
      <w:r w:rsidR="00C14D16">
        <w:rPr>
          <w:rFonts w:ascii="Times New Roman" w:eastAsia="Times New Roman" w:hAnsi="Times New Roman" w:cs="Times New Roman"/>
          <w:sz w:val="24"/>
          <w:szCs w:val="24"/>
        </w:rPr>
        <w:fldChar w:fldCharType="begin" w:fldLock="1"/>
      </w:r>
      <w:r w:rsidR="005A2E0E">
        <w:rPr>
          <w:rFonts w:ascii="Times New Roman" w:eastAsia="Times New Roman" w:hAnsi="Times New Roman" w:cs="Times New Roman"/>
          <w:sz w:val="24"/>
          <w:szCs w:val="24"/>
        </w:rPr>
        <w:instrText>ADDIN CSL_CITATION {"citationItems":[{"id":"ITEM-1","itemData":{"DOI":"10.1016/j.landurbplan.2016.07.008","ISSN":"01692046","abstract":"We carried out a life cycle assessment to model the potential for alternative household vegetable gardens (AHHVGs) to mitigate global climate change by reducing greenhouse gas emissions (GHGE) for Santa Barbara County, California, USA. Our model included changes in GHGE due to the effect of creating an AHHVG for five components: reduction of lawn area due to replacement by the AHHVG; reduction of vegetables purchased from the conventional agrifood system due to replacement by vegetables produced in the AHHVG; reduction in amount of greywater exported to treatment facilities due to diversion to irrigate the AHHVG; reduction in amount of household organic waste exported to treatment facilities due to diversion to composting at the household level for application to the AHHVG; and composting organic household waste for use in the AHHVG. We found that AHHVGs could reduce emissions by over 2 kg CO2e kg−1 vegetable, but that results were sensitive to the range of values for the key variables of yield and alternative methods for processing household organic waste. In our baseline scenario (50% of single-family households with an 18.7 m2 AHHVG, providing 50% of their vegetable consumption), AHHVGs contributed 3.3% of the GHGE reduction goals of unincorporated Santa Barbara County for 2020, 0.5% of the goals for the City of Santa Barbara for 2050, and by extrapolation, 7.8% of the goals for California for 2020. Our results could provide an incentive for governments to include support of AHHVG as part of climate mitigation strategies, and for households to grow vegetables in AHHVGs to address climate change.","author":[{"dropping-particle":"","family":"Cleveland","given":"David A.","non-dropping-particle":"","parse-names":false,"suffix":""},{"dropping-particle":"","family":"Phares","given":"Noelle","non-dropping-particle":"","parse-names":false,"suffix":""},{"dropping-particle":"","family":"Nightingale","given":"Krista D.","non-dropping-particle":"","parse-names":false,"suffix":""},{"dropping-particle":"","family":"Weatherby","given":"Robyn L.","non-dropping-particle":"","parse-names":false,"suffix":""},{"dropping-particle":"","family":"Radis","given":"William","non-dropping-particle":"","parse-names":false,"suffix":""},{"dropping-particle":"","family":"Ballard","given":"Jane","non-dropping-particle":"","parse-names":false,"suffix":""},{"dropping-particle":"","family":"Campagna","given":"Madia","non-dropping-particle":"","parse-names":false,"suffix":""},{"dropping-particle":"","family":"Kurtz","given":"Devin","non-dropping-particle":"","parse-names":false,"suffix":""},{"dropping-particle":"","family":"Livingston","given":"Krystyna","non-dropping-particle":"","parse-names":false,"suffix":""},{"dropping-particle":"","family":"Riechers","given":"Gloria","non-dropping-particle":"","parse-names":false,"suffix":""},{"dropping-particle":"","family":"Wilkins","given":"Kate","non-dropping-particle":"","parse-names":false,"suffix":""}],"container-title":"Landscape and Urban Planning","id":"ITEM-1","issued":{"date-parts":[["2017"]]},"page":"365-374","publisher":"Elsevier B.V.","title":"The potential for urban household vegetable gardens to reduce greenhouse gas emissions","type":"article-journal","volume":"157"},"uris":["http://www.mendeley.com/documents/?uuid=76372bc9-90c0-4c80-aa0c-dd53eefcf6d1"]}],"mendeley":{"formattedCitation":"(Cleveland et al., 2017)","plainTextFormattedCitation":"(Cleveland et al., 2017)","previouslyFormattedCitation":"(Cleveland et al., 2017)"},"properties":{"noteIndex":0},"schema":"https://github.com/citation-style-language/schema/raw/master/csl-citation.json"}</w:instrText>
      </w:r>
      <w:r w:rsidR="00C14D16">
        <w:rPr>
          <w:rFonts w:ascii="Times New Roman" w:eastAsia="Times New Roman" w:hAnsi="Times New Roman" w:cs="Times New Roman"/>
          <w:sz w:val="24"/>
          <w:szCs w:val="24"/>
        </w:rPr>
        <w:fldChar w:fldCharType="separate"/>
      </w:r>
      <w:r w:rsidR="00473EEB" w:rsidRPr="00473EEB">
        <w:rPr>
          <w:rFonts w:ascii="Times New Roman" w:eastAsia="Times New Roman" w:hAnsi="Times New Roman" w:cs="Times New Roman"/>
          <w:noProof/>
          <w:sz w:val="24"/>
          <w:szCs w:val="24"/>
        </w:rPr>
        <w:t>(Cleveland et al., 2017)</w:t>
      </w:r>
      <w:r w:rsidR="00C14D16">
        <w:rPr>
          <w:rFonts w:ascii="Times New Roman" w:eastAsia="Times New Roman" w:hAnsi="Times New Roman" w:cs="Times New Roman"/>
          <w:sz w:val="24"/>
          <w:szCs w:val="24"/>
        </w:rPr>
        <w:fldChar w:fldCharType="end"/>
      </w:r>
      <w:r w:rsidR="00C14D16">
        <w:rPr>
          <w:rFonts w:ascii="Times New Roman" w:eastAsia="Times New Roman" w:hAnsi="Times New Roman" w:cs="Times New Roman"/>
          <w:sz w:val="24"/>
          <w:szCs w:val="24"/>
        </w:rPr>
        <w:t xml:space="preserve">. </w:t>
      </w:r>
      <w:r w:rsidR="004954BF">
        <w:rPr>
          <w:rFonts w:ascii="Times New Roman" w:eastAsia="Times New Roman" w:hAnsi="Times New Roman" w:cs="Times New Roman"/>
          <w:sz w:val="24"/>
          <w:szCs w:val="24"/>
        </w:rPr>
        <w:t xml:space="preserve">Further incorporating useful trees diversifies </w:t>
      </w:r>
      <w:r w:rsidR="00DA3E80">
        <w:rPr>
          <w:rFonts w:ascii="Times New Roman" w:eastAsia="Times New Roman" w:hAnsi="Times New Roman" w:cs="Times New Roman"/>
          <w:sz w:val="24"/>
          <w:szCs w:val="24"/>
        </w:rPr>
        <w:t xml:space="preserve">agricultural </w:t>
      </w:r>
      <w:r w:rsidR="004954BF">
        <w:rPr>
          <w:rFonts w:ascii="Times New Roman" w:eastAsia="Times New Roman" w:hAnsi="Times New Roman" w:cs="Times New Roman"/>
          <w:sz w:val="24"/>
          <w:szCs w:val="24"/>
        </w:rPr>
        <w:t xml:space="preserve">outputs while </w:t>
      </w:r>
      <w:r w:rsidR="000B10F9">
        <w:rPr>
          <w:rFonts w:ascii="Times New Roman" w:eastAsia="Times New Roman" w:hAnsi="Times New Roman" w:cs="Times New Roman"/>
          <w:sz w:val="24"/>
          <w:szCs w:val="24"/>
        </w:rPr>
        <w:t>storing more C in wood and</w:t>
      </w:r>
      <w:r w:rsidR="00741619">
        <w:rPr>
          <w:rFonts w:ascii="Times New Roman" w:eastAsia="Times New Roman" w:hAnsi="Times New Roman" w:cs="Times New Roman"/>
          <w:sz w:val="24"/>
          <w:szCs w:val="24"/>
        </w:rPr>
        <w:t xml:space="preserve"> soils</w:t>
      </w:r>
      <w:r w:rsidR="004954BF">
        <w:rPr>
          <w:rFonts w:ascii="Times New Roman" w:eastAsia="Times New Roman" w:hAnsi="Times New Roman" w:cs="Times New Roman"/>
          <w:sz w:val="24"/>
          <w:szCs w:val="24"/>
        </w:rPr>
        <w:t xml:space="preserve"> </w:t>
      </w:r>
      <w:r w:rsidR="004954BF">
        <w:rPr>
          <w:rFonts w:ascii="Times New Roman" w:eastAsia="Times New Roman" w:hAnsi="Times New Roman" w:cs="Times New Roman"/>
          <w:sz w:val="24"/>
          <w:szCs w:val="24"/>
        </w:rPr>
        <w:fldChar w:fldCharType="begin" w:fldLock="1"/>
      </w:r>
      <w:r w:rsidR="005A2E0E">
        <w:rPr>
          <w:rFonts w:ascii="Times New Roman" w:eastAsia="Times New Roman" w:hAnsi="Times New Roman" w:cs="Times New Roman"/>
          <w:sz w:val="24"/>
          <w:szCs w:val="24"/>
        </w:rPr>
        <w:instrText>ADDIN CSL_CITATION {"citationItems":[{"id":"ITEM-1","itemData":{"DOI":"10.1007/s10457-017-0147-9","ISSN":"15729680","abstract":"Agroforestry systems may play an important role in mitigating climate change, having the ability to sequester atmospheric carbon dioxide (CO2) in plant parts and soil. A meta-analysis was carried out to investigate changes in soil organic carbon (SOC) stocks at 0–15, 0–30, 0–60, 0–100, and 0 ≥ 100 cm, after land conversion to agroforestry. Data was collected from 53 published studies. Results revealed a significant decrease in SOC stocks of 26 and 24% in the land-use change from forest to agroforestry at 0–15 and 0–30 cm respectively. The transition from agriculture to agroforestry significantly increased SOC stock of 26, 40, and 34% at 0–15, 0–30, and 0–100 cm respectively. The conversion from pasture/grassland to agroforestry produced significant SOC stock increases at 0–30 cm (9%) and 0–30 cm (10%). Switching from uncultivated/other land-uses to agroforestry increased SOC by 25% at 0–30 cm, while a decrease was observed at 0–60 cm (23%). Among agroforestry systems, significant SOC stocks increases were reported at various soil horizons and depths in the land-use change from agriculture to agrisilviculture and to silvopasture, pasture/grassland to agrosilvopastoral systems, forest to silvopasture, forest plantation to silvopasture, and uncultivated/other to agrisilviculture. On the other hand, significant decreases were observed in the transition from forest to agrisilviculture, agrosilvopastoral and silvopasture systems, and uncultivated/other to silvopasture. Overall, SOC stocks increased when land-use changed from less complex systems, such as agricultural systems. However, heterogeneity, inconsistencies in study design, lack of standardized sampling procedures, failure to report variance estimators, and lack of important explanatory variables, may have influenced the outcomes.","author":[{"dropping-particle":"","family":"Stefano","given":"Andrea","non-dropping-particle":"De","parse-names":false,"suffix":""},{"dropping-particle":"","family":"Jacobson","given":"Michael G.","non-dropping-particle":"","parse-names":false,"suffix":""}],"container-title":"Agroforestry Systems","id":"ITEM-1","issue":"2","issued":{"date-parts":[["2018"]]},"page":"285-299","title":"Soil carbon sequestration in agroforestry systems: a meta-analysis","type":"article-journal","volume":"92"},"uris":["http://www.mendeley.com/documents/?uuid=0326100e-1c00-4a35-b6d5-68aa6a71c887"]}],"mendeley":{"formattedCitation":"(De Stefano and Jacobson, 2018)","plainTextFormattedCitation":"(De Stefano and Jacobson, 2018)","previouslyFormattedCitation":"(De Stefano and Jacobson, 2018)"},"properties":{"noteIndex":0},"schema":"https://github.com/citation-style-language/schema/raw/master/csl-citation.json"}</w:instrText>
      </w:r>
      <w:r w:rsidR="004954BF">
        <w:rPr>
          <w:rFonts w:ascii="Times New Roman" w:eastAsia="Times New Roman" w:hAnsi="Times New Roman" w:cs="Times New Roman"/>
          <w:sz w:val="24"/>
          <w:szCs w:val="24"/>
        </w:rPr>
        <w:fldChar w:fldCharType="separate"/>
      </w:r>
      <w:r w:rsidR="00473EEB" w:rsidRPr="00473EEB">
        <w:rPr>
          <w:rFonts w:ascii="Times New Roman" w:eastAsia="Times New Roman" w:hAnsi="Times New Roman" w:cs="Times New Roman"/>
          <w:noProof/>
          <w:sz w:val="24"/>
          <w:szCs w:val="24"/>
        </w:rPr>
        <w:t>(De Stefano and Jacobson, 2018)</w:t>
      </w:r>
      <w:r w:rsidR="004954BF">
        <w:rPr>
          <w:rFonts w:ascii="Times New Roman" w:eastAsia="Times New Roman" w:hAnsi="Times New Roman" w:cs="Times New Roman"/>
          <w:sz w:val="24"/>
          <w:szCs w:val="24"/>
        </w:rPr>
        <w:fldChar w:fldCharType="end"/>
      </w:r>
      <w:r w:rsidR="004954BF">
        <w:rPr>
          <w:rFonts w:ascii="Times New Roman" w:eastAsia="Times New Roman" w:hAnsi="Times New Roman" w:cs="Times New Roman"/>
          <w:sz w:val="24"/>
          <w:szCs w:val="24"/>
        </w:rPr>
        <w:t>. Comb</w:t>
      </w:r>
      <w:r w:rsidR="00DA3E80">
        <w:rPr>
          <w:rFonts w:ascii="Times New Roman" w:eastAsia="Times New Roman" w:hAnsi="Times New Roman" w:cs="Times New Roman"/>
          <w:sz w:val="24"/>
          <w:szCs w:val="24"/>
        </w:rPr>
        <w:t>ining the high provisioning services of urban agriculture with the climate regulating services of agroforestry</w:t>
      </w:r>
      <w:r w:rsidR="004954BF">
        <w:rPr>
          <w:rFonts w:ascii="Times New Roman" w:eastAsia="Times New Roman" w:hAnsi="Times New Roman" w:cs="Times New Roman"/>
          <w:sz w:val="24"/>
          <w:szCs w:val="24"/>
        </w:rPr>
        <w:t xml:space="preserve"> </w:t>
      </w:r>
      <w:r w:rsidRPr="00C14D16">
        <w:rPr>
          <w:rFonts w:ascii="Times New Roman" w:eastAsia="Times New Roman" w:hAnsi="Times New Roman" w:cs="Times New Roman"/>
          <w:sz w:val="24"/>
          <w:szCs w:val="24"/>
        </w:rPr>
        <w:t>may be possible in Urban Food Forests (UFF)</w:t>
      </w:r>
      <w:r w:rsidR="005A0482">
        <w:rPr>
          <w:rStyle w:val="FootnoteReference"/>
          <w:rFonts w:ascii="Times New Roman" w:eastAsia="Times New Roman" w:hAnsi="Times New Roman" w:cs="Times New Roman"/>
          <w:sz w:val="24"/>
          <w:szCs w:val="24"/>
        </w:rPr>
        <w:footnoteReference w:id="1"/>
      </w:r>
      <w:r w:rsidRPr="00C14D16">
        <w:rPr>
          <w:rFonts w:ascii="Times New Roman" w:eastAsia="Times New Roman" w:hAnsi="Times New Roman" w:cs="Times New Roman"/>
          <w:sz w:val="24"/>
          <w:szCs w:val="24"/>
        </w:rPr>
        <w:t xml:space="preserve">.  Clark and Nicholas </w:t>
      </w:r>
      <w:r w:rsidR="00561692">
        <w:rPr>
          <w:rFonts w:ascii="Times New Roman" w:eastAsia="Times New Roman" w:hAnsi="Times New Roman" w:cs="Times New Roman"/>
          <w:sz w:val="24"/>
          <w:szCs w:val="24"/>
        </w:rPr>
        <w:fldChar w:fldCharType="begin" w:fldLock="1"/>
      </w:r>
      <w:r w:rsidR="005A2E0E">
        <w:rPr>
          <w:rFonts w:ascii="Times New Roman" w:eastAsia="Times New Roman" w:hAnsi="Times New Roman" w:cs="Times New Roman"/>
          <w:sz w:val="24"/>
          <w:szCs w:val="24"/>
        </w:rPr>
        <w:instrText>ADDIN CSL_CITATION {"citationItems":[{"id":"ITEM-1","itemData":{"DOI":"10.1007/s10980-013-9903-z","ISSN":"09212973","abstract":"We examine the potential role of perennial woody food-producing species (\"food trees\") in cities in the context of urban sustainable development and propose a multifunctional approach that combines elements of urban agriculture, urban forestry, and agroforestry into what we call \"urban food forestry\" (UFF). We used four approaches at different scales to gauge the potential of UFF to enhance urban sustainability and contribute to food security in the context of urbanization and climate change. First, we identified 37 current initiatives based around urban food trees, and analyzed their activities in three categories: planting, mapping, and harvesting, finding that the majority (73 %) only performed one activity, and only 8 % performed all three. Second, we analyzed 30 urban forestry master plans, finding that only 13 % included human food security among their objectives, while 77 % included habitat for wildlife. Third, we used Burlington, Vermont as a case study to quantify the potential fruit yield of publicly accessible open space if planted with Malus domestica (the common apple) under nine different planting and yield scenarios. We found that 108 % of the daily recommended minimum intake of fruit for the entire city's population could be met under the most ambitious planting scenario, with substantial potential to contribute to food security even under more modest scenarios. Finally, we developed a Climate-Food-Species Matrix of potential food trees appropriate for temperate urban environments as a decision-making tool. We identified a total of 70 species, 30 of which we deemed \"highly suitable\" for urban food forestry based on their cold hardiness, drought tolerance, and edibility. We conclude that substantial untapped potential exists for urban food forestry to contribute to urban sustainability via increased food security and landscape multifunctionality. © 2013 The Author(s).","author":[{"dropping-particle":"","family":"Clark","given":"Kyle H.","non-dropping-particle":"","parse-names":false,"suffix":""},{"dropping-particle":"","family":"Nicholas","given":"Kimberly A.","non-dropping-particle":"","parse-names":false,"suffix":""}],"container-title":"Landscape Ecology","id":"ITEM-1","issue":"9","issued":{"date-parts":[["2013"]]},"page":"1649-1669","title":"Introducing urban food forestry: A multifunctional approach to increase food security and provide ecosystem services","type":"article-journal","volume":"28"},"uris":["http://www.mendeley.com/documents/?uuid=c9e42edd-3fc0-4351-aa02-3c0ec1585128"]}],"mendeley":{"formattedCitation":"(Clark and Nicholas, 2013)","manualFormatting":"(2013)","plainTextFormattedCitation":"(Clark and Nicholas, 2013)","previouslyFormattedCitation":"(Clark and Nicholas, 2013)"},"properties":{"noteIndex":0},"schema":"https://github.com/citation-style-language/schema/raw/master/csl-citation.json"}</w:instrText>
      </w:r>
      <w:r w:rsidR="00561692">
        <w:rPr>
          <w:rFonts w:ascii="Times New Roman" w:eastAsia="Times New Roman" w:hAnsi="Times New Roman" w:cs="Times New Roman"/>
          <w:sz w:val="24"/>
          <w:szCs w:val="24"/>
        </w:rPr>
        <w:fldChar w:fldCharType="separate"/>
      </w:r>
      <w:r w:rsidR="00561692">
        <w:rPr>
          <w:rFonts w:ascii="Times New Roman" w:eastAsia="Times New Roman" w:hAnsi="Times New Roman" w:cs="Times New Roman"/>
          <w:noProof/>
          <w:sz w:val="24"/>
          <w:szCs w:val="24"/>
        </w:rPr>
        <w:t>(</w:t>
      </w:r>
      <w:r w:rsidR="00561692" w:rsidRPr="00561692">
        <w:rPr>
          <w:rFonts w:ascii="Times New Roman" w:eastAsia="Times New Roman" w:hAnsi="Times New Roman" w:cs="Times New Roman"/>
          <w:noProof/>
          <w:sz w:val="24"/>
          <w:szCs w:val="24"/>
        </w:rPr>
        <w:t>2013)</w:t>
      </w:r>
      <w:r w:rsidR="00561692">
        <w:rPr>
          <w:rFonts w:ascii="Times New Roman" w:eastAsia="Times New Roman" w:hAnsi="Times New Roman" w:cs="Times New Roman"/>
          <w:sz w:val="24"/>
          <w:szCs w:val="24"/>
        </w:rPr>
        <w:fldChar w:fldCharType="end"/>
      </w:r>
      <w:r w:rsidRPr="00C14D16">
        <w:rPr>
          <w:rFonts w:ascii="Times New Roman" w:eastAsia="Times New Roman" w:hAnsi="Times New Roman" w:cs="Times New Roman"/>
          <w:sz w:val="24"/>
          <w:szCs w:val="24"/>
        </w:rPr>
        <w:t xml:space="preserve"> defined UFF as ‘‘the intentional and strategic use of woody perennial food producing species in urban edible landscapes to improve the sustainability and resilience of urban communities.” Because this broad definition includes isolated trees, other authors emphasize a more systems-based approach by stipulating that UFF should further mimic the structural and functional complexity of natural forests where di</w:t>
      </w:r>
      <w:r w:rsidR="00561692">
        <w:rPr>
          <w:rFonts w:ascii="Times New Roman" w:eastAsia="Times New Roman" w:hAnsi="Times New Roman" w:cs="Times New Roman"/>
          <w:sz w:val="24"/>
          <w:szCs w:val="24"/>
        </w:rPr>
        <w:t xml:space="preserve">verse perennials grow together </w:t>
      </w:r>
      <w:r w:rsidR="00561692">
        <w:rPr>
          <w:rFonts w:ascii="Times New Roman" w:eastAsia="Times New Roman" w:hAnsi="Times New Roman" w:cs="Times New Roman"/>
          <w:sz w:val="24"/>
          <w:szCs w:val="24"/>
        </w:rPr>
        <w:fldChar w:fldCharType="begin" w:fldLock="1"/>
      </w:r>
      <w:r w:rsidR="005A2E0E">
        <w:rPr>
          <w:rFonts w:ascii="Times New Roman" w:eastAsia="Times New Roman" w:hAnsi="Times New Roman" w:cs="Times New Roman"/>
          <w:sz w:val="24"/>
          <w:szCs w:val="24"/>
        </w:rPr>
        <w:instrText>ADDIN CSL_CITATION {"citationItems":[{"id":"ITEM-1","itemData":{"DOI":"10.1016/j.ufug.2019.126482","ISBN":"9781315609386","ISSN":"16108167","author":[{"dropping-particle":"","family":"Salbitano","given":"Fabio","non-dropping-particle":"","parse-names":false,"suffix":""},{"dropping-particle":"","family":"Fini","given":"Alessio","non-dropping-particle":"","parse-names":false,"suffix":""},{"dropping-particle":"","family":"Borelli","given":"Simone","non-dropping-particle":"","parse-names":false,"suffix":""},{"dropping-particle":"","family":"Konijnendijk","given":"Cecil C.","non-dropping-particle":"","parse-names":false,"suffix":""}],"container-title":"Urban Forestry and Urban Greening","id":"ITEM-1","issue":"October","issued":{"date-parts":[["2019"]]},"title":"Editorial - Urban Food Forestry: Current state and future perspectives","type":"article-journal","volume":"45"},"uris":["http://www.mendeley.com/documents/?uuid=c8974283-8995-4368-8f1b-85b2e21e0622"]}],"mendeley":{"formattedCitation":"(Salbitano et al., 2019)","plainTextFormattedCitation":"(Salbitano et al., 2019)","previouslyFormattedCitation":"(Salbitano et al., 2019)"},"properties":{"noteIndex":0},"schema":"https://github.com/citation-style-language/schema/raw/master/csl-citation.json"}</w:instrText>
      </w:r>
      <w:r w:rsidR="00561692">
        <w:rPr>
          <w:rFonts w:ascii="Times New Roman" w:eastAsia="Times New Roman" w:hAnsi="Times New Roman" w:cs="Times New Roman"/>
          <w:sz w:val="24"/>
          <w:szCs w:val="24"/>
        </w:rPr>
        <w:fldChar w:fldCharType="separate"/>
      </w:r>
      <w:r w:rsidR="00473EEB" w:rsidRPr="00473EEB">
        <w:rPr>
          <w:rFonts w:ascii="Times New Roman" w:eastAsia="Times New Roman" w:hAnsi="Times New Roman" w:cs="Times New Roman"/>
          <w:noProof/>
          <w:sz w:val="24"/>
          <w:szCs w:val="24"/>
        </w:rPr>
        <w:t>(Salbitano et al., 2019)</w:t>
      </w:r>
      <w:r w:rsidR="00561692">
        <w:rPr>
          <w:rFonts w:ascii="Times New Roman" w:eastAsia="Times New Roman" w:hAnsi="Times New Roman" w:cs="Times New Roman"/>
          <w:sz w:val="24"/>
          <w:szCs w:val="24"/>
        </w:rPr>
        <w:fldChar w:fldCharType="end"/>
      </w:r>
      <w:r w:rsidRPr="00C14D16">
        <w:rPr>
          <w:rFonts w:ascii="Times New Roman" w:eastAsia="Times New Roman" w:hAnsi="Times New Roman" w:cs="Times New Roman"/>
          <w:sz w:val="24"/>
          <w:szCs w:val="24"/>
        </w:rPr>
        <w:t>. Early as</w:t>
      </w:r>
      <w:r w:rsidR="00741619">
        <w:rPr>
          <w:rFonts w:ascii="Times New Roman" w:eastAsia="Times New Roman" w:hAnsi="Times New Roman" w:cs="Times New Roman"/>
          <w:sz w:val="24"/>
          <w:szCs w:val="24"/>
        </w:rPr>
        <w:t>sessments of UFF are promising</w:t>
      </w:r>
      <w:r w:rsidR="00561692">
        <w:rPr>
          <w:rFonts w:ascii="Times New Roman" w:eastAsia="Times New Roman" w:hAnsi="Times New Roman" w:cs="Times New Roman"/>
          <w:sz w:val="24"/>
          <w:szCs w:val="24"/>
        </w:rPr>
        <w:t>.</w:t>
      </w:r>
      <w:r w:rsidRPr="00C14D16">
        <w:rPr>
          <w:rFonts w:ascii="Times New Roman" w:eastAsia="Times New Roman" w:hAnsi="Times New Roman" w:cs="Times New Roman"/>
          <w:sz w:val="24"/>
          <w:szCs w:val="24"/>
        </w:rPr>
        <w:t xml:space="preserve"> A mature 1 ha food forest can feed 5-6 people per year </w:t>
      </w:r>
      <w:r w:rsidR="001E23CE">
        <w:rPr>
          <w:rFonts w:ascii="Times New Roman" w:eastAsia="Times New Roman" w:hAnsi="Times New Roman" w:cs="Times New Roman"/>
          <w:sz w:val="24"/>
          <w:szCs w:val="24"/>
        </w:rPr>
        <w:fldChar w:fldCharType="begin" w:fldLock="1"/>
      </w:r>
      <w:r w:rsidR="005A2E0E">
        <w:rPr>
          <w:rFonts w:ascii="Times New Roman" w:eastAsia="Times New Roman" w:hAnsi="Times New Roman" w:cs="Times New Roman"/>
          <w:sz w:val="24"/>
          <w:szCs w:val="24"/>
        </w:rPr>
        <w:instrText>ADDIN CSL_CITATION {"citationItems":[{"id":"ITEM-1","itemData":{"DOI":"10.1016/j.ufug.2019.04.009","ISSN":"16108167","abstract":"Food forestry is an emerging multifunctional perennial polyculture food production system that has the potential to contribute to food security and mitigate malnutrition in urban and peri-urban areas by addressing the three main components of food security: Availability, access and utilisation. Despite this potential to increase food security only very few studies have estimated the food production potential of food forests in a temperate climate. In this study the actual food production potential of a 0.08 ha peri-urban food forest in Coldstream, Scotland is determined based on average annual yield records of the 99 species grown in the food forest from 2011–2017, coupled with information about energy and macronutrient content of these species obtained from nutritional databases, research articles and laboratory measurements. The results show that the average annual yield of the 0.08 ha food forest is 713 kg, corresponding to 415,075 kcal, 9868 g protein, 8394 g fat and 85,627 g carbohydrates. Assuming a carbohydrate rich diet where the maximum recommended 60% of energy comes from carbohydrates and the remaining 40% is divided between 25% from fat and 15% from protein, one hectare of food forest with the same species composition as the Garden Cottage food forest would be able to supply up to 7 males or 9 females with carbohydrates, 4 males or 5 females with fat, and 3 males or 4 females with protein. This is somewhat lower than previous assessments and estimates of the food supply capacity of food forests ranging from 6 to 10 people, but since the studied food forest has a relatively low production of protein and fat compared with carbohydrates, this could potentially be increased by incorporating more protein and fat crops, such as legumes and nut trees.","author":[{"dropping-particle":"","family":"Nytofte","given":"Josefine Lærke Skrøder","non-dropping-particle":"","parse-names":false,"suffix":""},{"dropping-particle":"","family":"Henriksen","given":"Christian Bugge","non-dropping-particle":"","parse-names":false,"suffix":""}],"container-title":"Urban Forestry and Urban Greening","id":"ITEM-1","issued":{"date-parts":[["2019"]]},"title":"Sustainable food production in a temperate climate – a case study analysis of the nutritional yield in a peri-urban food forest","type":"article-journal","volume":"45"},"uris":["http://www.mendeley.com/documents/?uuid=34b648ba-0f9f-3608-a2b8-7ac1dc74fd36"]}],"mendeley":{"formattedCitation":"(Nytofte and Henriksen, 2019)","plainTextFormattedCitation":"(Nytofte and Henriksen, 2019)","previouslyFormattedCitation":"(Nytofte and Henriksen, 2019)"},"properties":{"noteIndex":0},"schema":"https://github.com/citation-style-language/schema/raw/master/csl-citation.json"}</w:instrText>
      </w:r>
      <w:r w:rsidR="001E23CE">
        <w:rPr>
          <w:rFonts w:ascii="Times New Roman" w:eastAsia="Times New Roman" w:hAnsi="Times New Roman" w:cs="Times New Roman"/>
          <w:sz w:val="24"/>
          <w:szCs w:val="24"/>
        </w:rPr>
        <w:fldChar w:fldCharType="separate"/>
      </w:r>
      <w:r w:rsidR="00473EEB" w:rsidRPr="00473EEB">
        <w:rPr>
          <w:rFonts w:ascii="Times New Roman" w:eastAsia="Times New Roman" w:hAnsi="Times New Roman" w:cs="Times New Roman"/>
          <w:noProof/>
          <w:sz w:val="24"/>
          <w:szCs w:val="24"/>
        </w:rPr>
        <w:t>(Nytofte and Henriksen, 2019)</w:t>
      </w:r>
      <w:r w:rsidR="001E23CE">
        <w:rPr>
          <w:rFonts w:ascii="Times New Roman" w:eastAsia="Times New Roman" w:hAnsi="Times New Roman" w:cs="Times New Roman"/>
          <w:sz w:val="24"/>
          <w:szCs w:val="24"/>
        </w:rPr>
        <w:fldChar w:fldCharType="end"/>
      </w:r>
      <w:r w:rsidR="001E23CE">
        <w:rPr>
          <w:rFonts w:ascii="Times New Roman" w:eastAsia="Times New Roman" w:hAnsi="Times New Roman" w:cs="Times New Roman"/>
          <w:sz w:val="24"/>
          <w:szCs w:val="24"/>
        </w:rPr>
        <w:t xml:space="preserve"> </w:t>
      </w:r>
      <w:r w:rsidRPr="00C14D16">
        <w:rPr>
          <w:rFonts w:ascii="Times New Roman" w:eastAsia="Times New Roman" w:hAnsi="Times New Roman" w:cs="Times New Roman"/>
          <w:sz w:val="24"/>
          <w:szCs w:val="24"/>
        </w:rPr>
        <w:t xml:space="preserve">while sequestering 40,000 kg of C in living plant tissues </w:t>
      </w:r>
      <w:r w:rsidR="001E23CE">
        <w:rPr>
          <w:rFonts w:ascii="Times New Roman" w:eastAsia="Times New Roman" w:hAnsi="Times New Roman" w:cs="Times New Roman"/>
          <w:sz w:val="24"/>
          <w:szCs w:val="24"/>
        </w:rPr>
        <w:fldChar w:fldCharType="begin" w:fldLock="1"/>
      </w:r>
      <w:r w:rsidR="005A2E0E">
        <w:rPr>
          <w:rFonts w:ascii="Times New Roman" w:eastAsia="Times New Roman" w:hAnsi="Times New Roman" w:cs="Times New Roman"/>
          <w:sz w:val="24"/>
          <w:szCs w:val="24"/>
        </w:rPr>
        <w:instrText>ADDIN CSL_CITATION {"citationItems":[{"id":"ITEM-1","itemData":{"DOI":"10.1016/j.ufug.2019.126466","ISSN":"16108167","abstract":"Food forests offer a number of potential benefits and one of those is the ability to sequester carbon and increase terrestrial carbon stocks on urban, peri-urban and rural land. There is little research on the carbon storage capabilities within agroforestry systems let alone food forests and it is considered an underexploited option for carbon storage. This case study quantified the carbon stored within the above and below ground components of all tree layer woody biomass above 2 m in height and greater than 2 cm diameter at breast height (DBH) in the Agroforestry Research Trust's peri-urban food forest in Devon, UK. The study formed a population census, which measured all 528 trees across 68 species within the 0.64 ha food forest. Twenty-three allometric equations were used to estimate above ground biomass (AGB) while the below ground biomass (BGB) was calculated using a root to shoot ratio of 0.18:1. The stored carbon content was calculated as 50% of the total biomass. The temperate food forest case study site was estimated to store 39.53 ± 4.05 Mg C ha−1 in above and below ground living biomass. This result highlights the potential for a food forest stand to store a considerable amount of carbon that is at least within a similar range to other literature sourced urban and peri urban land uses. Thus, a purposely selected food forest assemblage whose primary focus is food production can also be a valuable carbon sink The results offer a promising initial study into the carbon storage potential within a food forest, which is only made more valuable given the other prospective benefits of food forests.","author":[{"dropping-particle":"","family":"Schafer","given":"Luke J.","non-dropping-particle":"","parse-names":false,"suffix":""},{"dropping-particle":"","family":"Lysák","given":"Marin","non-dropping-particle":"","parse-names":false,"suffix":""},{"dropping-particle":"","family":"Henriksen","given":"Christian B.","non-dropping-particle":"","parse-names":false,"suffix":""}],"container-title":"Urban Forestry and Urban Greening","id":"ITEM-1","issue":"July","issued":{"date-parts":[["2019"]]},"page":"126466","publisher":"Elsevier","title":"Tree layer carbon stock quantification in a temperate food forest: A peri-urban polyculture case study","type":"article-journal","volume":"45"},"uris":["http://www.mendeley.com/documents/?uuid=0dfbd956-d1cb-4d6e-9754-320f37b81bf3"]}],"mendeley":{"formattedCitation":"(Schafer et al., 2019)","plainTextFormattedCitation":"(Schafer et al., 2019)","previouslyFormattedCitation":"(Schafer et al., 2019)"},"properties":{"noteIndex":0},"schema":"https://github.com/citation-style-language/schema/raw/master/csl-citation.json"}</w:instrText>
      </w:r>
      <w:r w:rsidR="001E23CE">
        <w:rPr>
          <w:rFonts w:ascii="Times New Roman" w:eastAsia="Times New Roman" w:hAnsi="Times New Roman" w:cs="Times New Roman"/>
          <w:sz w:val="24"/>
          <w:szCs w:val="24"/>
        </w:rPr>
        <w:fldChar w:fldCharType="separate"/>
      </w:r>
      <w:r w:rsidR="00473EEB" w:rsidRPr="00473EEB">
        <w:rPr>
          <w:rFonts w:ascii="Times New Roman" w:eastAsia="Times New Roman" w:hAnsi="Times New Roman" w:cs="Times New Roman"/>
          <w:noProof/>
          <w:sz w:val="24"/>
          <w:szCs w:val="24"/>
        </w:rPr>
        <w:t>(Schafer et al., 2019)</w:t>
      </w:r>
      <w:r w:rsidR="001E23CE">
        <w:rPr>
          <w:rFonts w:ascii="Times New Roman" w:eastAsia="Times New Roman" w:hAnsi="Times New Roman" w:cs="Times New Roman"/>
          <w:sz w:val="24"/>
          <w:szCs w:val="24"/>
        </w:rPr>
        <w:fldChar w:fldCharType="end"/>
      </w:r>
      <w:r w:rsidR="001E23CE">
        <w:rPr>
          <w:rFonts w:ascii="Times New Roman" w:eastAsia="Times New Roman" w:hAnsi="Times New Roman" w:cs="Times New Roman"/>
          <w:sz w:val="24"/>
          <w:szCs w:val="24"/>
        </w:rPr>
        <w:t xml:space="preserve">. </w:t>
      </w:r>
      <w:r w:rsidRPr="00C14D16">
        <w:rPr>
          <w:rFonts w:ascii="Times New Roman" w:eastAsia="Times New Roman" w:hAnsi="Times New Roman" w:cs="Times New Roman"/>
          <w:sz w:val="24"/>
          <w:szCs w:val="24"/>
        </w:rPr>
        <w:t xml:space="preserve">Whether or not UFF can approximate the </w:t>
      </w:r>
      <w:r w:rsidR="000B10F9">
        <w:rPr>
          <w:rFonts w:ascii="Times New Roman" w:eastAsia="Times New Roman" w:hAnsi="Times New Roman" w:cs="Times New Roman"/>
          <w:sz w:val="24"/>
          <w:szCs w:val="24"/>
        </w:rPr>
        <w:t>C</w:t>
      </w:r>
      <w:r w:rsidRPr="00C14D16">
        <w:rPr>
          <w:rFonts w:ascii="Times New Roman" w:eastAsia="Times New Roman" w:hAnsi="Times New Roman" w:cs="Times New Roman"/>
          <w:sz w:val="24"/>
          <w:szCs w:val="24"/>
        </w:rPr>
        <w:t xml:space="preserve"> dynamics of </w:t>
      </w:r>
      <w:r w:rsidR="004954BF">
        <w:rPr>
          <w:rFonts w:ascii="Times New Roman" w:eastAsia="Times New Roman" w:hAnsi="Times New Roman" w:cs="Times New Roman"/>
          <w:sz w:val="24"/>
          <w:szCs w:val="24"/>
        </w:rPr>
        <w:t>other</w:t>
      </w:r>
      <w:r w:rsidRPr="00C14D16">
        <w:rPr>
          <w:rFonts w:ascii="Times New Roman" w:eastAsia="Times New Roman" w:hAnsi="Times New Roman" w:cs="Times New Roman"/>
          <w:sz w:val="24"/>
          <w:szCs w:val="24"/>
        </w:rPr>
        <w:t xml:space="preserve"> forest ecosystems</w:t>
      </w:r>
      <w:r w:rsidR="002A103A">
        <w:rPr>
          <w:rFonts w:ascii="Times New Roman" w:eastAsia="Times New Roman" w:hAnsi="Times New Roman" w:cs="Times New Roman"/>
          <w:sz w:val="24"/>
          <w:szCs w:val="24"/>
        </w:rPr>
        <w:t xml:space="preserve"> while maintaining </w:t>
      </w:r>
      <w:r w:rsidR="00CB233C">
        <w:rPr>
          <w:rFonts w:ascii="Times New Roman" w:eastAsia="Times New Roman" w:hAnsi="Times New Roman" w:cs="Times New Roman"/>
          <w:sz w:val="24"/>
          <w:szCs w:val="24"/>
        </w:rPr>
        <w:t>yields</w:t>
      </w:r>
      <w:r w:rsidRPr="00C14D16">
        <w:rPr>
          <w:rFonts w:ascii="Times New Roman" w:eastAsia="Times New Roman" w:hAnsi="Times New Roman" w:cs="Times New Roman"/>
          <w:sz w:val="24"/>
          <w:szCs w:val="24"/>
        </w:rPr>
        <w:t xml:space="preserve"> remains unknown.</w:t>
      </w:r>
    </w:p>
    <w:p w14:paraId="329214F5" w14:textId="6C616118" w:rsidR="00F51880" w:rsidRPr="00C14D16" w:rsidRDefault="002B3DD1">
      <w:pPr>
        <w:spacing w:line="480" w:lineRule="auto"/>
        <w:ind w:firstLine="720"/>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A major factor that could limit</w:t>
      </w:r>
      <w:r w:rsidR="002A103A">
        <w:rPr>
          <w:rFonts w:ascii="Times New Roman" w:eastAsia="Times New Roman" w:hAnsi="Times New Roman" w:cs="Times New Roman"/>
          <w:sz w:val="24"/>
          <w:szCs w:val="24"/>
        </w:rPr>
        <w:t xml:space="preserve"> services from </w:t>
      </w:r>
      <w:r w:rsidRPr="00C14D16">
        <w:rPr>
          <w:rFonts w:ascii="Times New Roman" w:eastAsia="Times New Roman" w:hAnsi="Times New Roman" w:cs="Times New Roman"/>
          <w:sz w:val="24"/>
          <w:szCs w:val="24"/>
        </w:rPr>
        <w:t xml:space="preserve">UFF is soil </w:t>
      </w:r>
      <w:r w:rsidR="004954BF">
        <w:rPr>
          <w:rFonts w:ascii="Times New Roman" w:eastAsia="Times New Roman" w:hAnsi="Times New Roman" w:cs="Times New Roman"/>
          <w:sz w:val="24"/>
          <w:szCs w:val="24"/>
        </w:rPr>
        <w:t>function</w:t>
      </w:r>
      <w:r w:rsidRPr="00C14D16">
        <w:rPr>
          <w:rFonts w:ascii="Times New Roman" w:eastAsia="Times New Roman" w:hAnsi="Times New Roman" w:cs="Times New Roman"/>
          <w:sz w:val="24"/>
          <w:szCs w:val="24"/>
        </w:rPr>
        <w:t>. Soils supply roots with key resources and provide a medium for interactions with microbial symbionts and pathogens. Moreover, soils store C in more chemically stable forms than living vegetation</w:t>
      </w:r>
      <w:r w:rsidR="001E23CE">
        <w:rPr>
          <w:rFonts w:ascii="Times New Roman" w:eastAsia="Times New Roman" w:hAnsi="Times New Roman" w:cs="Times New Roman"/>
          <w:sz w:val="24"/>
          <w:szCs w:val="24"/>
        </w:rPr>
        <w:t xml:space="preserve"> </w:t>
      </w:r>
      <w:r w:rsidR="001E23CE">
        <w:rPr>
          <w:rFonts w:ascii="Times New Roman" w:eastAsia="Times New Roman" w:hAnsi="Times New Roman" w:cs="Times New Roman"/>
          <w:sz w:val="24"/>
          <w:szCs w:val="24"/>
        </w:rPr>
        <w:fldChar w:fldCharType="begin" w:fldLock="1"/>
      </w:r>
      <w:r w:rsidR="005A2E0E">
        <w:rPr>
          <w:rFonts w:ascii="Times New Roman" w:eastAsia="Times New Roman" w:hAnsi="Times New Roman" w:cs="Times New Roman"/>
          <w:sz w:val="24"/>
          <w:szCs w:val="24"/>
        </w:rPr>
        <w:instrText>ADDIN CSL_CITATION {"citationItems":[{"id":"ITEM-1","itemData":{"DOI":"10.1890/1051-0761(2000)010[0399:AOSOMA]2.0.CO;2","ISSN":"10510761","abstract":"Radiocarbon data from soil organic matter and soil respiration provide powerful constraints for determining carbon dynamics and thereby the magnitude and timing of soil carbon response to global change. In this paper, data from three sites representing well-drained soils in boreal, temperate, and tropical forests are used to illustrate the methods for using radiocarbon to determine the turnover times of soil organic matter and to partition soil respiration. For these sites, the average age of bulk carbon in detrital and Oh/A-horizon organic carbon ranges from 200 to 1200 yr. In each case, this mass-weighted average includes components such as relatively undecomposed leaf, root, and moss litter with much shorter turnover times, and humified or mineral-associated organic matter with much longer turnover times. The average age of carbon in organic matter is greater than the average age predicted for CO2 produced by its decomposition (30, 8, and 3 yr for boreal, temperate, and tropical soil), or measured in total soil respiration (16, 3, and 1 yr). Most of the CO2 produced during decomposition is derived from relatively short-lived soil organic matter (SOM) components that do not represent a large component of the standing stock of soil organic matter. Estimates of soil carbon turnover obtained by dividing C stocks by heterotrophic respiration fluxes, or from radiocarbon measurements of bulk SOM, are biased to longer time scales of C cycling. Failure to account for the heterogeneity of soil organic matter will result in underestimation of the short-term response and overestimation of the long-term response of soil C storage to future changes in inputs or decomposition. Comparison of the 14C in soil respiration with soil organic matter in temperate and boreal forest sites indicates a significant contribution from decomposition of organic matter fixed &gt;2 yr but &lt;30 yr ago. Tropical soil respiration is dominated by C fixed &lt;1 yr ago. Monitoring the 14C signature of CO2 emitted from soils give clues as to the causes of seasonal and interannual variability in soil respiration in these systems.","author":[{"dropping-particle":"","family":"Trumbore","given":"Susan","non-dropping-particle":"","parse-names":false,"suffix":""}],"container-title":"Ecological Applications","id":"ITEM-1","issue":"2","issued":{"date-parts":[["2000"]]},"title":"Age of soil organic matter and soil respiration: Radiocarbon constraints on belowground C dynamics","type":"article-journal","volume":"10"},"uris":["http://www.mendeley.com/documents/?uuid=3f332940-b9e1-3e4e-8f47-fea3480c0e26"]}],"mendeley":{"formattedCitation":"(Trumbore, 2000)","plainTextFormattedCitation":"(Trumbore, 2000)","previouslyFormattedCitation":"(Trumbore, 2000)"},"properties":{"noteIndex":0},"schema":"https://github.com/citation-style-language/schema/raw/master/csl-citation.json"}</w:instrText>
      </w:r>
      <w:r w:rsidR="001E23CE">
        <w:rPr>
          <w:rFonts w:ascii="Times New Roman" w:eastAsia="Times New Roman" w:hAnsi="Times New Roman" w:cs="Times New Roman"/>
          <w:sz w:val="24"/>
          <w:szCs w:val="24"/>
        </w:rPr>
        <w:fldChar w:fldCharType="separate"/>
      </w:r>
      <w:r w:rsidR="00473EEB" w:rsidRPr="00473EEB">
        <w:rPr>
          <w:rFonts w:ascii="Times New Roman" w:eastAsia="Times New Roman" w:hAnsi="Times New Roman" w:cs="Times New Roman"/>
          <w:noProof/>
          <w:sz w:val="24"/>
          <w:szCs w:val="24"/>
        </w:rPr>
        <w:t>(Trumbore, 2000)</w:t>
      </w:r>
      <w:r w:rsidR="001E23CE">
        <w:rPr>
          <w:rFonts w:ascii="Times New Roman" w:eastAsia="Times New Roman" w:hAnsi="Times New Roman" w:cs="Times New Roman"/>
          <w:sz w:val="24"/>
          <w:szCs w:val="24"/>
        </w:rPr>
        <w:fldChar w:fldCharType="end"/>
      </w:r>
      <w:r w:rsidRPr="00C14D16">
        <w:rPr>
          <w:rFonts w:ascii="Times New Roman" w:eastAsia="Times New Roman" w:hAnsi="Times New Roman" w:cs="Times New Roman"/>
          <w:sz w:val="24"/>
          <w:szCs w:val="24"/>
        </w:rPr>
        <w:t>. However, the physical, chemical and biological properties of both urban and agricultural soils tend to reduce a range of soil functions</w:t>
      </w:r>
      <w:r w:rsidR="001E23CE">
        <w:rPr>
          <w:rFonts w:ascii="Times New Roman" w:eastAsia="Times New Roman" w:hAnsi="Times New Roman" w:cs="Times New Roman"/>
          <w:sz w:val="24"/>
          <w:szCs w:val="24"/>
        </w:rPr>
        <w:t xml:space="preserve"> </w:t>
      </w:r>
      <w:r w:rsidR="001E23CE">
        <w:rPr>
          <w:rFonts w:ascii="Times New Roman" w:eastAsia="Times New Roman" w:hAnsi="Times New Roman" w:cs="Times New Roman"/>
          <w:sz w:val="24"/>
          <w:szCs w:val="24"/>
        </w:rPr>
        <w:fldChar w:fldCharType="begin" w:fldLock="1"/>
      </w:r>
      <w:r w:rsidR="005A2E0E">
        <w:rPr>
          <w:rFonts w:ascii="Times New Roman" w:eastAsia="Times New Roman" w:hAnsi="Times New Roman" w:cs="Times New Roman"/>
          <w:sz w:val="24"/>
          <w:szCs w:val="24"/>
        </w:rPr>
        <w:instrText>ADDIN CSL_CITATION {"citationItems":[{"id":"ITEM-1","itemData":{"DOI":"10.1590/S0103-90162013000400009","ISSN":"01039016","abstract":"Soil Health refers to the ecological equilibrium and the functionality of a soil and its capacity to maintain a well balanced ecosystem with high biodiversity above and below surface, and productivity. To understand and use soil health as a tool for sustainability, physical, chemical, and biological properties must be employed to verify which respond to the soil use and management within a desired timescale. Attributes with a rapid response to natural or anthropogenic actions are considered good indicators of soil health. Among the physical indicators, soil texture, aggregation, moisture, porosity, and bulk density have been used, while among chemical indicators total C and N, mineral nutrients, organic matter, cation exchange capacity, among others are well established. However, most of them generally have a slow response, when compared to the biological ones, such as microbial biomass C and N, biodiversity, soil enzymes, soil respiration, etc., in addition to macro and mesofauna. Thus, a systemic approach based on different kinds of indicators (physical, chemical and biological) in assessing soil health would be safer than using only one kind of attribute. Many human activities have caused desertification, loss of biodiversity, disruption of aggregates, loss of organic matter and nutrients, among others. Today, it is imperious to maintain soil health and productivity with increasing emphasis on reforestation and recuperation of degraded areas through the use of organic amendments, reintroduction of plants, soil fauna and microorganisms. This review focused on an integrative view on indicators of soil health to be used as tools for prediction of sustainability in production systems.","author":[{"dropping-particle":"","family":"Cardoso","given":"Elke Jurandy Bran Nogueira","non-dropping-particle":"","parse-names":false,"suffix":""},{"dropping-particle":"","family":"Vasconcellos","given":"Rafael Leandro Figueiredo","non-dropping-particle":"","parse-names":false,"suffix":""},{"dropping-particle":"","family":"Bini","given":"Daniel","non-dropping-particle":"","parse-names":false,"suffix":""},{"dropping-particle":"","family":"Miyauchi","given":"Marina Yumi Horta","non-dropping-particle":"","parse-names":false,"suffix":""},{"dropping-particle":"","family":"Santos","given":"Cristiane Alcantara","non-dropping-particle":"dos","parse-names":false,"suffix":""},{"dropping-particle":"","family":"Alves","given":"Paulo Roger Lopes","non-dropping-particle":"","parse-names":false,"suffix":""},{"dropping-particle":"","family":"Paula","given":"Alessandra Monteiro","non-dropping-particle":"de","parse-names":false,"suffix":""},{"dropping-particle":"","family":"Nakatani","given":"André Shigueyoshi","non-dropping-particle":"","parse-names":false,"suffix":""},{"dropping-particle":"","family":"Pereira","given":"Jamil de Moraes","non-dropping-particle":"","parse-names":false,"suffix":""},{"dropping-particle":"","family":"Nogueira","given":"Marco Antonio","non-dropping-particle":"","parse-names":false,"suffix":""}],"container-title":"Scientia Agricola","id":"ITEM-1","issue":"4","issued":{"date-parts":[["2013"]]},"page":"274-289","title":"Soil health: Looking for suitable indicators. What should be considered to assess the effects of use and management on soil health?","type":"article-journal","volume":"70"},"uris":["http://www.mendeley.com/documents/?uuid=5b710e7f-0c21-4222-ae50-3beba515a29c"]}],"mendeley":{"formattedCitation":"(Cardoso et al., 2013)","plainTextFormattedCitation":"(Cardoso et al., 2013)","previouslyFormattedCitation":"(Cardoso et al., 2013)"},"properties":{"noteIndex":0},"schema":"https://github.com/citation-style-language/schema/raw/master/csl-citation.json"}</w:instrText>
      </w:r>
      <w:r w:rsidR="001E23CE">
        <w:rPr>
          <w:rFonts w:ascii="Times New Roman" w:eastAsia="Times New Roman" w:hAnsi="Times New Roman" w:cs="Times New Roman"/>
          <w:sz w:val="24"/>
          <w:szCs w:val="24"/>
        </w:rPr>
        <w:fldChar w:fldCharType="separate"/>
      </w:r>
      <w:r w:rsidR="00473EEB" w:rsidRPr="00473EEB">
        <w:rPr>
          <w:rFonts w:ascii="Times New Roman" w:eastAsia="Times New Roman" w:hAnsi="Times New Roman" w:cs="Times New Roman"/>
          <w:noProof/>
          <w:sz w:val="24"/>
          <w:szCs w:val="24"/>
        </w:rPr>
        <w:t>(Cardoso et al., 2013)</w:t>
      </w:r>
      <w:r w:rsidR="001E23CE">
        <w:rPr>
          <w:rFonts w:ascii="Times New Roman" w:eastAsia="Times New Roman" w:hAnsi="Times New Roman" w:cs="Times New Roman"/>
          <w:sz w:val="24"/>
          <w:szCs w:val="24"/>
        </w:rPr>
        <w:fldChar w:fldCharType="end"/>
      </w:r>
      <w:r w:rsidRPr="00C14D16">
        <w:rPr>
          <w:rFonts w:ascii="Times New Roman" w:eastAsia="Times New Roman" w:hAnsi="Times New Roman" w:cs="Times New Roman"/>
          <w:sz w:val="24"/>
          <w:szCs w:val="24"/>
        </w:rPr>
        <w:t>. Urban soil compaction limits root growth and water availability</w:t>
      </w:r>
      <w:r w:rsidR="001E23CE">
        <w:rPr>
          <w:rFonts w:ascii="Times New Roman" w:eastAsia="Times New Roman" w:hAnsi="Times New Roman" w:cs="Times New Roman"/>
          <w:sz w:val="24"/>
          <w:szCs w:val="24"/>
        </w:rPr>
        <w:t xml:space="preserve"> </w:t>
      </w:r>
      <w:r w:rsidR="008C5CCC">
        <w:rPr>
          <w:rFonts w:ascii="Times New Roman" w:eastAsia="Times New Roman" w:hAnsi="Times New Roman" w:cs="Times New Roman"/>
          <w:sz w:val="24"/>
          <w:szCs w:val="24"/>
        </w:rPr>
        <w:fldChar w:fldCharType="begin" w:fldLock="1"/>
      </w:r>
      <w:r w:rsidR="005A2E0E">
        <w:rPr>
          <w:rFonts w:ascii="Times New Roman" w:eastAsia="Times New Roman" w:hAnsi="Times New Roman" w:cs="Times New Roman"/>
          <w:sz w:val="24"/>
          <w:szCs w:val="24"/>
        </w:rPr>
        <w:instrText>ADDIN CSL_CITATION {"citationItems":[{"id":"ITEM-1","itemData":{"DOI":"10.1007/s13593-011-0071-8","ISBN":"1359301100","ISSN":"17740746","abstract":"Compaction of agricultural soils is a concern for many agricultural soil scientists and farmers since soil compaction, due to heavy field traffic, has resulted in yield reduction of most agronomic crops throughout the world. Soil compaction is a physical form of soil degradation that alters soil structure, limits water and air infiltration, and reduces root penetration in the soil. Consequences of soil compaction are still underestimated. A complete understanding of processes involved in soil compaction is necessary to meet the future global challenge of food security. We review here the advances in understanding, quantification, and prediction of the effects of soil compaction. We found the following major points: (1) When a soil is exposed to a vehicular traffic load, soil water contents, soil texture and structure, and soil organic matter are the three main factors which determine the degree of compactness in that soil. (2) Soil compaction has direct effects on soil physical properties such as bulk density, strength, and porosity; therefore, these parameters can be used to quantify the soil compactness. (3) Modified soil physical properties due to soil compaction can alter elements mobility and change nitrogen and carbon cycles in favour of more emissions of greenhouse gases under wet conditions. (4) Severe soil compaction induces root deformation, stunted shoot growth, late germination, low germination rate, and high mortality rate. (5) Soil compaction decreases soil biodiversity by decreasing microbial biomass, enzymatic activity, soil fauna, and ground flora. (6) Boussinesq equations and finite element method models, that predict the effects of the soil compaction, are restricted to elastic domain and do not consider existence of preferential paths of stress propagation and localization of deformation in compacted soils. (7) Recent advances in physics of granular media and soil mechanics relevant to soil compaction should be used to progress in modelling soil compaction. © 2012 INRA and Springer-Verlag, France.","author":[{"dropping-particle":"","family":"Nawaz","given":"Muhammad Farrakh","non-dropping-particle":"","parse-names":false,"suffix":""},{"dropping-particle":"","family":"Bourrié","given":"Guilhem","non-dropping-particle":"","parse-names":false,"suffix":""},{"dropping-particle":"","family":"Trolard","given":"Fabienne","non-dropping-particle":"","parse-names":false,"suffix":""}],"container-title":"Agronomy for Sustainable Development","id":"ITEM-1","issue":"2","issued":{"date-parts":[["2013"]]},"page":"291-309","title":"Soil compaction impact and modelling. A review","type":"article-journal","volume":"33"},"uris":["http://www.mendeley.com/documents/?uuid=6f0599e7-35b0-4b2f-8922-d3f434de6396"]}],"mendeley":{"formattedCitation":"(Nawaz et al., 2013)","plainTextFormattedCitation":"(Nawaz et al., 2013)","previouslyFormattedCitation":"(Nawaz et al., 2013)"},"properties":{"noteIndex":0},"schema":"https://github.com/citation-style-language/schema/raw/master/csl-citation.json"}</w:instrText>
      </w:r>
      <w:r w:rsidR="008C5CCC">
        <w:rPr>
          <w:rFonts w:ascii="Times New Roman" w:eastAsia="Times New Roman" w:hAnsi="Times New Roman" w:cs="Times New Roman"/>
          <w:sz w:val="24"/>
          <w:szCs w:val="24"/>
        </w:rPr>
        <w:fldChar w:fldCharType="separate"/>
      </w:r>
      <w:r w:rsidR="00473EEB" w:rsidRPr="00473EEB">
        <w:rPr>
          <w:rFonts w:ascii="Times New Roman" w:eastAsia="Times New Roman" w:hAnsi="Times New Roman" w:cs="Times New Roman"/>
          <w:noProof/>
          <w:sz w:val="24"/>
          <w:szCs w:val="24"/>
        </w:rPr>
        <w:t>(Nawaz et al., 2013)</w:t>
      </w:r>
      <w:r w:rsidR="008C5CCC">
        <w:rPr>
          <w:rFonts w:ascii="Times New Roman" w:eastAsia="Times New Roman" w:hAnsi="Times New Roman" w:cs="Times New Roman"/>
          <w:sz w:val="24"/>
          <w:szCs w:val="24"/>
        </w:rPr>
        <w:fldChar w:fldCharType="end"/>
      </w:r>
      <w:r w:rsidRPr="00C14D16">
        <w:rPr>
          <w:rFonts w:ascii="Times New Roman" w:eastAsia="Times New Roman" w:hAnsi="Times New Roman" w:cs="Times New Roman"/>
          <w:sz w:val="24"/>
          <w:szCs w:val="24"/>
        </w:rPr>
        <w:t xml:space="preserve">. Whether or not trees planted in UFF </w:t>
      </w:r>
      <w:r w:rsidR="00741619">
        <w:rPr>
          <w:rFonts w:ascii="Times New Roman" w:eastAsia="Times New Roman" w:hAnsi="Times New Roman" w:cs="Times New Roman"/>
          <w:sz w:val="24"/>
          <w:szCs w:val="24"/>
        </w:rPr>
        <w:t xml:space="preserve">can either tolerate or reverse compaction remains unknown. </w:t>
      </w:r>
      <w:r w:rsidRPr="00C14D16">
        <w:rPr>
          <w:rFonts w:ascii="Times New Roman" w:eastAsia="Times New Roman" w:hAnsi="Times New Roman" w:cs="Times New Roman"/>
          <w:sz w:val="24"/>
          <w:szCs w:val="24"/>
        </w:rPr>
        <w:t xml:space="preserve">Furthermore, urban and agricultural soils </w:t>
      </w:r>
      <w:r w:rsidR="002323C0">
        <w:rPr>
          <w:rFonts w:ascii="Times New Roman" w:eastAsia="Times New Roman" w:hAnsi="Times New Roman" w:cs="Times New Roman"/>
          <w:sz w:val="24"/>
          <w:szCs w:val="24"/>
        </w:rPr>
        <w:t>can have low</w:t>
      </w:r>
      <w:r w:rsidRPr="00C14D16">
        <w:rPr>
          <w:rFonts w:ascii="Times New Roman" w:eastAsia="Times New Roman" w:hAnsi="Times New Roman" w:cs="Times New Roman"/>
          <w:sz w:val="24"/>
          <w:szCs w:val="24"/>
        </w:rPr>
        <w:t xml:space="preserve"> microbial diversity and activity, which could limit nutrient availability and C cycling</w:t>
      </w:r>
      <w:r w:rsidR="008C5CCC">
        <w:rPr>
          <w:rFonts w:ascii="Times New Roman" w:eastAsia="Times New Roman" w:hAnsi="Times New Roman" w:cs="Times New Roman"/>
          <w:sz w:val="24"/>
          <w:szCs w:val="24"/>
        </w:rPr>
        <w:t xml:space="preserve"> </w:t>
      </w:r>
      <w:r w:rsidR="008C5CCC">
        <w:rPr>
          <w:rFonts w:ascii="Times New Roman" w:eastAsia="Times New Roman" w:hAnsi="Times New Roman" w:cs="Times New Roman"/>
          <w:sz w:val="24"/>
          <w:szCs w:val="24"/>
        </w:rPr>
        <w:fldChar w:fldCharType="begin" w:fldLock="1"/>
      </w:r>
      <w:r w:rsidR="005A2E0E">
        <w:rPr>
          <w:rFonts w:ascii="Times New Roman" w:eastAsia="Times New Roman" w:hAnsi="Times New Roman" w:cs="Times New Roman"/>
          <w:sz w:val="24"/>
          <w:szCs w:val="24"/>
        </w:rPr>
        <w:instrText>ADDIN CSL_CITATION {"citationItems":[{"id":"ITEM-1","itemData":{"DOI":"10.1007/s10311-018-0751-6","ISBN":"0123456789","ISSN":"16103661","abstract":"The last century was marked by a high demographic revolution and the fast development of urban environments. Now, more than 50% of the world’s 7.5 billion humans live in cities. This change has often induced the degradation of environmental quality in urban areas. As a consequence, management policies are now fostering the ‘return of nature’ in cities, which, in turn, is requiring a better understanding of the ecology of urban environments. In particular, there is a need for a better knowledge on soil management because soils provide many functions in cities such as urban agriculture. Optimizing the diversity of soil-living organisms is essential to many environmental functions such as water depollution, biochemical cycles, fertility and carbon storage. However, few studies on the biological quality of urban soils have been performed so far. This article reviews actual knowledge on soil biological quality for urban management. The definition of urban soils is discussed, and we present services provided by soils. We also review modern methods and techniques to assess the biological quality of urban soils. Last, we suggest communication means to improve the consideration of soil quality in urban planning policies aimed at sustainable cities.","author":[{"dropping-particle":"","family":"Guilland","given":"C.","non-dropping-particle":"","parse-names":false,"suffix":""},{"dropping-particle":"","family":"Maron","given":"P. A.","non-dropping-particle":"","parse-names":false,"suffix":""},{"dropping-particle":"","family":"Damas","given":"O.","non-dropping-particle":"","parse-names":false,"suffix":""},{"dropping-particle":"","family":"Ranjard","given":"L.","non-dropping-particle":"","parse-names":false,"suffix":""}],"container-title":"Environmental Chemistry Letters","id":"ITEM-1","issue":"4","issued":{"date-parts":[["2018"]]},"page":"1267-1282","publisher":"Springer International Publishing","title":"Biodiversity of urban soils for sustainable cities","type":"article-journal","volume":"16"},"uris":["http://www.mendeley.com/documents/?uuid=19dd99dd-1fa2-41ce-80cc-50adaabd5d1f"]},{"id":"ITEM-2","itemData":{"DOI":"10.1111/btp.12931","ISSN":"17447429","abstract":"Modifications to vegetation and soil due to changes in land use have the potential to alter the soil microbiome, with consequences for carbon and nutrient cycling. Despite the important function of soil microorganisms, little is known about their response to land-use change, especially in tropical regions where current rates of land conversion are greatest. The aim of this meta-analysis was to examine how land-use change influences soil microbial properties in tropical ecosystems and to identify current trends and knowledge gaps in the literature. We identified 83 published paired studies that reported data on microbial biomass, abundance, composition, and enzyme activity under representative land-use changes in the tropics. We calculated response ratios for studies that compared the following: reference forests to (a) agriculture, (b) pastures, (c) plantations, and (d) secondary forests. Soil microbial biomass decreased with forest conversion to agriculture and plantations. Microbial biomass response to land-use change depended on rainfall classes, although this was the only microbial variable which had sufficient data to test for a rainfall effect. Microbial abundance and enzyme activity showed variable results depending on the type of forest conversion. Microbial diversity and richness did not show any pattern with forest conversion or recovery to secondary forests. Published studies were not representative of the range of biophysical conditions observed in the tropics. Sites in moist regions in the American tropics were overrepresented. To better predict how land-use change affects the soil microbiome and its contribution to nutrient cycling, research should reflect observed environmental variation in the tropics. Abstract in Spanish is available with online material.","author":[{"dropping-particle":"","family":"Díaz-Vallejo","given":"Emily Judith","non-dropping-particle":"","parse-names":false,"suffix":""},{"dropping-particle":"","family":"Seeley","given":"Megan","non-dropping-particle":"","parse-names":false,"suffix":""},{"dropping-particle":"","family":"Smith","given":"A. Peyton","non-dropping-particle":"","parse-names":false,"suffix":""},{"dropping-particle":"","family":"Marín-Spiotta","given":"Erika","non-dropping-particle":"","parse-names":false,"suffix":""}],"container-title":"Biotropica","id":"ITEM-2","issue":"3","issued":{"date-parts":[["2021"]]},"title":"A meta-analysis of tropical land-use change effects on the soil microbiome: Emerging patterns and knowledge gaps","type":"article","volume":"53"},"uris":["http://www.mendeley.com/documents/?uuid=ae50c746-fcb4-34b9-89f4-0e9342bb538b"]}],"mendeley":{"formattedCitation":"(Díaz-Vallejo et al., 2021; Guilland et al., 2018)","plainTextFormattedCitation":"(Díaz-Vallejo et al., 2021; Guilland et al., 2018)","previouslyFormattedCitation":"(Díaz-Vallejo et al., 2021; Guilland et al., 2018)"},"properties":{"noteIndex":0},"schema":"https://github.com/citation-style-language/schema/raw/master/csl-citation.json"}</w:instrText>
      </w:r>
      <w:r w:rsidR="008C5CCC">
        <w:rPr>
          <w:rFonts w:ascii="Times New Roman" w:eastAsia="Times New Roman" w:hAnsi="Times New Roman" w:cs="Times New Roman"/>
          <w:sz w:val="24"/>
          <w:szCs w:val="24"/>
        </w:rPr>
        <w:fldChar w:fldCharType="separate"/>
      </w:r>
      <w:r w:rsidR="00473EEB" w:rsidRPr="00473EEB">
        <w:rPr>
          <w:rFonts w:ascii="Times New Roman" w:eastAsia="Times New Roman" w:hAnsi="Times New Roman" w:cs="Times New Roman"/>
          <w:noProof/>
          <w:sz w:val="24"/>
          <w:szCs w:val="24"/>
        </w:rPr>
        <w:t>(Díaz-Vallejo et al., 2021; Guilland et al., 2018)</w:t>
      </w:r>
      <w:r w:rsidR="008C5CCC">
        <w:rPr>
          <w:rFonts w:ascii="Times New Roman" w:eastAsia="Times New Roman" w:hAnsi="Times New Roman" w:cs="Times New Roman"/>
          <w:sz w:val="24"/>
          <w:szCs w:val="24"/>
        </w:rPr>
        <w:fldChar w:fldCharType="end"/>
      </w:r>
      <w:r w:rsidRPr="00C14D16">
        <w:rPr>
          <w:rFonts w:ascii="Times New Roman" w:eastAsia="Times New Roman" w:hAnsi="Times New Roman" w:cs="Times New Roman"/>
          <w:sz w:val="24"/>
          <w:szCs w:val="24"/>
        </w:rPr>
        <w:t>. Finally, UFF explicitly incorporates woody species with</w:t>
      </w:r>
      <w:r w:rsidR="00741619">
        <w:rPr>
          <w:rFonts w:ascii="Times New Roman" w:eastAsia="Times New Roman" w:hAnsi="Times New Roman" w:cs="Times New Roman"/>
          <w:sz w:val="24"/>
          <w:szCs w:val="24"/>
        </w:rPr>
        <w:t xml:space="preserve"> contrasting functional traits, which could change</w:t>
      </w:r>
      <w:r w:rsidRPr="00C14D16">
        <w:rPr>
          <w:rFonts w:ascii="Times New Roman" w:eastAsia="Times New Roman" w:hAnsi="Times New Roman" w:cs="Times New Roman"/>
          <w:sz w:val="24"/>
          <w:szCs w:val="24"/>
        </w:rPr>
        <w:t xml:space="preserve"> fine-scale soil properties relative to more homogenous land cover types, like lawns.</w:t>
      </w:r>
    </w:p>
    <w:p w14:paraId="4DE7F7F7" w14:textId="0127E183" w:rsidR="00F51880" w:rsidRPr="00C14D16" w:rsidRDefault="002B3DD1" w:rsidP="00221CD1">
      <w:pPr>
        <w:spacing w:line="480" w:lineRule="auto"/>
        <w:ind w:firstLine="720"/>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 xml:space="preserve">To understand how belowground changes support ecosystem services from UFF, we analyzed </w:t>
      </w:r>
      <w:r w:rsidR="000B10F9">
        <w:rPr>
          <w:rFonts w:ascii="Times New Roman" w:eastAsia="Times New Roman" w:hAnsi="Times New Roman" w:cs="Times New Roman"/>
          <w:sz w:val="24"/>
          <w:szCs w:val="24"/>
        </w:rPr>
        <w:t xml:space="preserve">fine-scale </w:t>
      </w:r>
      <w:r w:rsidR="009B6A1B">
        <w:rPr>
          <w:rFonts w:ascii="Times New Roman" w:eastAsia="Times New Roman" w:hAnsi="Times New Roman" w:cs="Times New Roman"/>
          <w:sz w:val="24"/>
          <w:szCs w:val="24"/>
        </w:rPr>
        <w:t>variation</w:t>
      </w:r>
      <w:r w:rsidR="009B6A1B" w:rsidRPr="00C14D16">
        <w:rPr>
          <w:rFonts w:ascii="Times New Roman" w:eastAsia="Times New Roman" w:hAnsi="Times New Roman" w:cs="Times New Roman"/>
          <w:sz w:val="24"/>
          <w:szCs w:val="24"/>
        </w:rPr>
        <w:t xml:space="preserve"> </w:t>
      </w:r>
      <w:r w:rsidRPr="00C14D16">
        <w:rPr>
          <w:rFonts w:ascii="Times New Roman" w:eastAsia="Times New Roman" w:hAnsi="Times New Roman" w:cs="Times New Roman"/>
          <w:sz w:val="24"/>
          <w:szCs w:val="24"/>
        </w:rPr>
        <w:t xml:space="preserve">in soil structure and function in an urban land use experiment. </w:t>
      </w:r>
      <w:r w:rsidR="002323C0">
        <w:rPr>
          <w:rFonts w:ascii="Times New Roman" w:eastAsia="Times New Roman" w:hAnsi="Times New Roman" w:cs="Times New Roman"/>
          <w:sz w:val="24"/>
          <w:szCs w:val="24"/>
        </w:rPr>
        <w:t xml:space="preserve">In a rapidly urbanizing area of Florida, U.S., </w:t>
      </w:r>
      <w:r w:rsidRPr="00C14D16">
        <w:rPr>
          <w:rFonts w:ascii="Times New Roman" w:eastAsia="Times New Roman" w:hAnsi="Times New Roman" w:cs="Times New Roman"/>
          <w:sz w:val="24"/>
          <w:szCs w:val="24"/>
        </w:rPr>
        <w:t>community members converted 0.057 ha of traditionally managed lawn to the New College Food Forest and Carbon Farm</w:t>
      </w:r>
      <w:r w:rsidR="002323C0">
        <w:rPr>
          <w:rFonts w:ascii="Times New Roman" w:eastAsia="Times New Roman" w:hAnsi="Times New Roman" w:cs="Times New Roman"/>
          <w:sz w:val="24"/>
          <w:szCs w:val="24"/>
        </w:rPr>
        <w:t>.</w:t>
      </w:r>
      <w:r w:rsidRPr="00C14D16">
        <w:rPr>
          <w:rFonts w:ascii="Times New Roman" w:eastAsia="Times New Roman" w:hAnsi="Times New Roman" w:cs="Times New Roman"/>
          <w:sz w:val="24"/>
          <w:szCs w:val="24"/>
        </w:rPr>
        <w:t xml:space="preserve"> Shortly after</w:t>
      </w:r>
      <w:r w:rsidR="002323C0">
        <w:rPr>
          <w:rFonts w:ascii="Times New Roman" w:eastAsia="Times New Roman" w:hAnsi="Times New Roman" w:cs="Times New Roman"/>
          <w:sz w:val="24"/>
          <w:szCs w:val="24"/>
        </w:rPr>
        <w:t xml:space="preserve"> installation in 2017</w:t>
      </w:r>
      <w:r w:rsidR="008B5F87">
        <w:rPr>
          <w:rFonts w:ascii="Times New Roman" w:eastAsia="Times New Roman" w:hAnsi="Times New Roman" w:cs="Times New Roman"/>
          <w:sz w:val="24"/>
          <w:szCs w:val="24"/>
        </w:rPr>
        <w:t>, w</w:t>
      </w:r>
      <w:r w:rsidR="000B10F9">
        <w:rPr>
          <w:rFonts w:ascii="Times New Roman" w:eastAsia="Times New Roman" w:hAnsi="Times New Roman" w:cs="Times New Roman"/>
          <w:sz w:val="24"/>
          <w:szCs w:val="24"/>
        </w:rPr>
        <w:t>e measured soil C at 56 locations across the</w:t>
      </w:r>
      <w:r w:rsidRPr="00C14D16">
        <w:rPr>
          <w:rFonts w:ascii="Times New Roman" w:eastAsia="Times New Roman" w:hAnsi="Times New Roman" w:cs="Times New Roman"/>
          <w:sz w:val="24"/>
          <w:szCs w:val="24"/>
        </w:rPr>
        <w:t xml:space="preserve"> UFF and adjacent lawn</w:t>
      </w:r>
      <w:r w:rsidR="002323C0">
        <w:rPr>
          <w:rFonts w:ascii="Times New Roman" w:eastAsia="Times New Roman" w:hAnsi="Times New Roman" w:cs="Times New Roman"/>
          <w:sz w:val="24"/>
          <w:szCs w:val="24"/>
        </w:rPr>
        <w:t xml:space="preserve"> in different vertical strata.</w:t>
      </w:r>
      <w:r w:rsidR="008B5F87">
        <w:rPr>
          <w:rFonts w:ascii="Times New Roman" w:eastAsia="Times New Roman" w:hAnsi="Times New Roman" w:cs="Times New Roman"/>
          <w:sz w:val="24"/>
          <w:szCs w:val="24"/>
        </w:rPr>
        <w:t xml:space="preserve"> </w:t>
      </w:r>
      <w:r w:rsidR="009B6A1B">
        <w:rPr>
          <w:rFonts w:ascii="Times New Roman" w:eastAsia="Times New Roman" w:hAnsi="Times New Roman" w:cs="Times New Roman"/>
          <w:sz w:val="24"/>
          <w:szCs w:val="24"/>
        </w:rPr>
        <w:t xml:space="preserve">We compared </w:t>
      </w:r>
      <w:r w:rsidR="008B5F87">
        <w:rPr>
          <w:rFonts w:ascii="Times New Roman" w:eastAsia="Times New Roman" w:hAnsi="Times New Roman" w:cs="Times New Roman"/>
          <w:sz w:val="24"/>
          <w:szCs w:val="24"/>
        </w:rPr>
        <w:t>C</w:t>
      </w:r>
      <w:r w:rsidR="009B6A1B">
        <w:rPr>
          <w:rFonts w:ascii="Times New Roman" w:eastAsia="Times New Roman" w:hAnsi="Times New Roman" w:cs="Times New Roman"/>
          <w:sz w:val="24"/>
          <w:szCs w:val="24"/>
        </w:rPr>
        <w:t xml:space="preserve"> measurements before and after </w:t>
      </w:r>
      <w:r w:rsidR="002323C0">
        <w:rPr>
          <w:rFonts w:ascii="Times New Roman" w:eastAsia="Times New Roman" w:hAnsi="Times New Roman" w:cs="Times New Roman"/>
          <w:sz w:val="24"/>
          <w:szCs w:val="24"/>
        </w:rPr>
        <w:t xml:space="preserve">two years </w:t>
      </w:r>
      <w:r w:rsidR="009B6A1B">
        <w:rPr>
          <w:rFonts w:ascii="Times New Roman" w:eastAsia="Times New Roman" w:hAnsi="Times New Roman" w:cs="Times New Roman"/>
          <w:sz w:val="24"/>
          <w:szCs w:val="24"/>
        </w:rPr>
        <w:t>in the control and impact</w:t>
      </w:r>
      <w:r w:rsidR="008B5F87">
        <w:rPr>
          <w:rFonts w:ascii="Times New Roman" w:eastAsia="Times New Roman" w:hAnsi="Times New Roman" w:cs="Times New Roman"/>
          <w:sz w:val="24"/>
          <w:szCs w:val="24"/>
        </w:rPr>
        <w:t xml:space="preserve"> arrays</w:t>
      </w:r>
      <w:r w:rsidR="00221CD1">
        <w:rPr>
          <w:rFonts w:ascii="Times New Roman" w:eastAsia="Times New Roman" w:hAnsi="Times New Roman" w:cs="Times New Roman"/>
          <w:sz w:val="24"/>
          <w:szCs w:val="24"/>
        </w:rPr>
        <w:t>. To do so, we implemented a</w:t>
      </w:r>
      <w:r w:rsidR="008B5F87">
        <w:rPr>
          <w:rFonts w:ascii="Times New Roman" w:eastAsia="Times New Roman" w:hAnsi="Times New Roman" w:cs="Times New Roman"/>
          <w:sz w:val="24"/>
          <w:szCs w:val="24"/>
        </w:rPr>
        <w:t xml:space="preserve"> novel BACI </w:t>
      </w:r>
      <w:r w:rsidR="00221CD1">
        <w:rPr>
          <w:rFonts w:ascii="Times New Roman" w:eastAsia="Times New Roman" w:hAnsi="Times New Roman" w:cs="Times New Roman"/>
          <w:sz w:val="24"/>
          <w:szCs w:val="24"/>
        </w:rPr>
        <w:t>design using a</w:t>
      </w:r>
      <w:r w:rsidR="009B6A1B">
        <w:rPr>
          <w:rFonts w:ascii="Times New Roman" w:eastAsia="Times New Roman" w:hAnsi="Times New Roman" w:cs="Times New Roman"/>
          <w:sz w:val="24"/>
          <w:szCs w:val="24"/>
        </w:rPr>
        <w:t xml:space="preserve"> hierarchical Bayesian model that incorporated uncertainty from calibration curves while controlling for spatial</w:t>
      </w:r>
      <w:r w:rsidR="008B5F87">
        <w:rPr>
          <w:rFonts w:ascii="Times New Roman" w:eastAsia="Times New Roman" w:hAnsi="Times New Roman" w:cs="Times New Roman"/>
          <w:sz w:val="24"/>
          <w:szCs w:val="24"/>
        </w:rPr>
        <w:t xml:space="preserve"> autocorrelation</w:t>
      </w:r>
      <w:r w:rsidR="009B6A1B">
        <w:rPr>
          <w:rFonts w:ascii="Times New Roman" w:eastAsia="Times New Roman" w:hAnsi="Times New Roman" w:cs="Times New Roman"/>
          <w:sz w:val="24"/>
          <w:szCs w:val="24"/>
        </w:rPr>
        <w:t xml:space="preserve">. </w:t>
      </w:r>
      <w:r w:rsidRPr="00C14D16">
        <w:rPr>
          <w:rFonts w:ascii="Times New Roman" w:eastAsia="Times New Roman" w:hAnsi="Times New Roman" w:cs="Times New Roman"/>
          <w:sz w:val="24"/>
          <w:szCs w:val="24"/>
        </w:rPr>
        <w:t>Our research objecti</w:t>
      </w:r>
      <w:r w:rsidR="000B10F9">
        <w:rPr>
          <w:rFonts w:ascii="Times New Roman" w:eastAsia="Times New Roman" w:hAnsi="Times New Roman" w:cs="Times New Roman"/>
          <w:sz w:val="24"/>
          <w:szCs w:val="24"/>
        </w:rPr>
        <w:t>ves were to (1) document differences</w:t>
      </w:r>
      <w:r w:rsidRPr="00C14D16">
        <w:rPr>
          <w:rFonts w:ascii="Times New Roman" w:eastAsia="Times New Roman" w:hAnsi="Times New Roman" w:cs="Times New Roman"/>
          <w:sz w:val="24"/>
          <w:szCs w:val="24"/>
        </w:rPr>
        <w:t xml:space="preserve"> in physical, chemical and biological aspects of soil </w:t>
      </w:r>
      <w:r w:rsidR="002A103A">
        <w:rPr>
          <w:rFonts w:ascii="Times New Roman" w:eastAsia="Times New Roman" w:hAnsi="Times New Roman" w:cs="Times New Roman"/>
          <w:sz w:val="24"/>
          <w:szCs w:val="24"/>
        </w:rPr>
        <w:t>function</w:t>
      </w:r>
      <w:r w:rsidRPr="00C14D16">
        <w:rPr>
          <w:rFonts w:ascii="Times New Roman" w:eastAsia="Times New Roman" w:hAnsi="Times New Roman" w:cs="Times New Roman"/>
          <w:sz w:val="24"/>
          <w:szCs w:val="24"/>
        </w:rPr>
        <w:t xml:space="preserve"> between </w:t>
      </w:r>
      <w:r w:rsidR="00741619">
        <w:rPr>
          <w:rFonts w:ascii="Times New Roman" w:eastAsia="Times New Roman" w:hAnsi="Times New Roman" w:cs="Times New Roman"/>
          <w:sz w:val="24"/>
          <w:szCs w:val="24"/>
        </w:rPr>
        <w:t>UFF and adjacent lawn</w:t>
      </w:r>
      <w:r w:rsidR="00221CD1">
        <w:rPr>
          <w:rFonts w:ascii="Times New Roman" w:eastAsia="Times New Roman" w:hAnsi="Times New Roman" w:cs="Times New Roman"/>
          <w:sz w:val="24"/>
          <w:szCs w:val="24"/>
        </w:rPr>
        <w:t xml:space="preserve"> (2) analyze fine-</w:t>
      </w:r>
      <w:r w:rsidRPr="00C14D16">
        <w:rPr>
          <w:rFonts w:ascii="Times New Roman" w:eastAsia="Times New Roman" w:hAnsi="Times New Roman" w:cs="Times New Roman"/>
          <w:sz w:val="24"/>
          <w:szCs w:val="24"/>
        </w:rPr>
        <w:t xml:space="preserve">scale variation in </w:t>
      </w:r>
      <w:r w:rsidR="002A103A">
        <w:rPr>
          <w:rFonts w:ascii="Times New Roman" w:eastAsia="Times New Roman" w:hAnsi="Times New Roman" w:cs="Times New Roman"/>
          <w:sz w:val="24"/>
          <w:szCs w:val="24"/>
        </w:rPr>
        <w:t xml:space="preserve">soil </w:t>
      </w:r>
      <w:r w:rsidRPr="00C14D16">
        <w:rPr>
          <w:rFonts w:ascii="Times New Roman" w:eastAsia="Times New Roman" w:hAnsi="Times New Roman" w:cs="Times New Roman"/>
          <w:sz w:val="24"/>
          <w:szCs w:val="24"/>
        </w:rPr>
        <w:t xml:space="preserve">C sequestration within and between land cover types. We expected that conversion to UFF would improve soil function by decompacting soils and increasing nutrient concentrations, </w:t>
      </w:r>
      <w:r w:rsidR="000B10F9">
        <w:rPr>
          <w:rFonts w:ascii="Times New Roman" w:eastAsia="Times New Roman" w:hAnsi="Times New Roman" w:cs="Times New Roman"/>
          <w:sz w:val="24"/>
          <w:szCs w:val="24"/>
        </w:rPr>
        <w:t>microbial activity and richness</w:t>
      </w:r>
      <w:r w:rsidRPr="00C14D16">
        <w:rPr>
          <w:rFonts w:ascii="Times New Roman" w:eastAsia="Times New Roman" w:hAnsi="Times New Roman" w:cs="Times New Roman"/>
          <w:sz w:val="24"/>
          <w:szCs w:val="24"/>
        </w:rPr>
        <w:t>. Furthermore, we expected to observe higher rates of soil C sequestration beneath UFF, with increasing spatial variation driven by contrasting tree traits.</w:t>
      </w:r>
    </w:p>
    <w:p w14:paraId="57208EC1" w14:textId="77777777" w:rsidR="00F51880" w:rsidRPr="00C14D16" w:rsidRDefault="00F51880">
      <w:pPr>
        <w:spacing w:line="480" w:lineRule="auto"/>
        <w:ind w:firstLine="720"/>
        <w:rPr>
          <w:rFonts w:ascii="Times New Roman" w:eastAsia="Times New Roman" w:hAnsi="Times New Roman" w:cs="Times New Roman"/>
          <w:sz w:val="24"/>
          <w:szCs w:val="24"/>
        </w:rPr>
        <w:sectPr w:rsidR="00F51880" w:rsidRPr="00C14D16" w:rsidSect="00522B09">
          <w:pgSz w:w="12240" w:h="15840"/>
          <w:pgMar w:top="1440" w:right="1440" w:bottom="1440" w:left="1440" w:header="720" w:footer="720" w:gutter="0"/>
          <w:lnNumType w:countBy="1" w:restart="continuous"/>
          <w:cols w:space="720"/>
          <w:docGrid w:linePitch="299"/>
        </w:sectPr>
      </w:pPr>
    </w:p>
    <w:p w14:paraId="17115BA8" w14:textId="21827FB7" w:rsidR="00F51880" w:rsidRPr="00C14D16" w:rsidRDefault="00343E40">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Methods</w:t>
      </w:r>
    </w:p>
    <w:p w14:paraId="0FF5F1D5" w14:textId="77777777" w:rsidR="00F51880" w:rsidRPr="00343E40" w:rsidRDefault="002B3DD1">
      <w:pPr>
        <w:spacing w:line="480" w:lineRule="auto"/>
        <w:rPr>
          <w:rFonts w:ascii="Times New Roman" w:eastAsia="Times New Roman" w:hAnsi="Times New Roman" w:cs="Times New Roman"/>
          <w:i/>
          <w:sz w:val="24"/>
          <w:szCs w:val="24"/>
        </w:rPr>
      </w:pPr>
      <w:r w:rsidRPr="00343E40">
        <w:rPr>
          <w:rFonts w:ascii="Times New Roman" w:eastAsia="Times New Roman" w:hAnsi="Times New Roman" w:cs="Times New Roman"/>
          <w:i/>
          <w:sz w:val="24"/>
          <w:szCs w:val="24"/>
        </w:rPr>
        <w:t>Site Description</w:t>
      </w:r>
    </w:p>
    <w:p w14:paraId="2875CE63" w14:textId="32820D6F" w:rsidR="00F51880" w:rsidRPr="00C14D16" w:rsidRDefault="002B3DD1" w:rsidP="00A131F1">
      <w:pPr>
        <w:spacing w:line="480" w:lineRule="auto"/>
        <w:rPr>
          <w:rFonts w:ascii="Times New Roman" w:eastAsia="Times New Roman" w:hAnsi="Times New Roman" w:cs="Times New Roman"/>
          <w:sz w:val="24"/>
          <w:szCs w:val="24"/>
        </w:rPr>
      </w:pPr>
      <w:r w:rsidRPr="00C14D16">
        <w:rPr>
          <w:rFonts w:ascii="Times New Roman" w:eastAsia="Times New Roman" w:hAnsi="Times New Roman" w:cs="Times New Roman"/>
          <w:i/>
          <w:sz w:val="24"/>
          <w:szCs w:val="24"/>
        </w:rPr>
        <w:tab/>
      </w:r>
      <w:r w:rsidRPr="00AE02AC">
        <w:rPr>
          <w:rFonts w:ascii="Times New Roman" w:eastAsia="Times New Roman" w:hAnsi="Times New Roman" w:cs="Times New Roman"/>
          <w:sz w:val="24"/>
          <w:szCs w:val="24"/>
        </w:rPr>
        <w:t>The New College Food Forest is located at [27.380446</w:t>
      </w:r>
      <w:r w:rsidR="00BD62D7">
        <w:rPr>
          <w:rFonts w:ascii="Times New Roman" w:eastAsia="Times New Roman" w:hAnsi="Times New Roman" w:cs="Times New Roman"/>
          <w:sz w:val="24"/>
          <w:szCs w:val="24"/>
        </w:rPr>
        <w:t>°N</w:t>
      </w:r>
      <w:r w:rsidRPr="00AE02AC">
        <w:rPr>
          <w:rFonts w:ascii="Times New Roman" w:eastAsia="Times New Roman" w:hAnsi="Times New Roman" w:cs="Times New Roman"/>
          <w:sz w:val="24"/>
          <w:szCs w:val="24"/>
        </w:rPr>
        <w:t>, -82.562416</w:t>
      </w:r>
      <w:r w:rsidR="00BD62D7">
        <w:rPr>
          <w:rFonts w:ascii="Times New Roman" w:eastAsia="Times New Roman" w:hAnsi="Times New Roman" w:cs="Times New Roman"/>
          <w:sz w:val="24"/>
          <w:szCs w:val="24"/>
        </w:rPr>
        <w:t>°W</w:t>
      </w:r>
      <w:r w:rsidRPr="00AE02AC">
        <w:rPr>
          <w:rFonts w:ascii="Times New Roman" w:eastAsia="Times New Roman" w:hAnsi="Times New Roman" w:cs="Times New Roman"/>
          <w:sz w:val="24"/>
          <w:szCs w:val="24"/>
        </w:rPr>
        <w:t xml:space="preserve">] in southwestern Florida approximately 100 m </w:t>
      </w:r>
      <w:r w:rsidR="00A131F1">
        <w:rPr>
          <w:rFonts w:ascii="Times New Roman" w:eastAsia="Times New Roman" w:hAnsi="Times New Roman" w:cs="Times New Roman"/>
          <w:sz w:val="24"/>
          <w:szCs w:val="24"/>
        </w:rPr>
        <w:t>east of Sarasota Bay and 600 m west</w:t>
      </w:r>
      <w:r w:rsidRPr="00AE02AC">
        <w:rPr>
          <w:rFonts w:ascii="Times New Roman" w:eastAsia="Times New Roman" w:hAnsi="Times New Roman" w:cs="Times New Roman"/>
          <w:sz w:val="24"/>
          <w:szCs w:val="24"/>
        </w:rPr>
        <w:t xml:space="preserve"> of the Sarasota-</w:t>
      </w:r>
      <w:r w:rsidR="00A131F1">
        <w:rPr>
          <w:rFonts w:ascii="Times New Roman" w:eastAsia="Times New Roman" w:hAnsi="Times New Roman" w:cs="Times New Roman"/>
          <w:sz w:val="24"/>
          <w:szCs w:val="24"/>
        </w:rPr>
        <w:t xml:space="preserve">Bradenton International Airport. </w:t>
      </w:r>
      <w:r w:rsidRPr="00AE02AC">
        <w:rPr>
          <w:rFonts w:ascii="Times New Roman" w:eastAsia="Times New Roman" w:hAnsi="Times New Roman" w:cs="Times New Roman"/>
          <w:sz w:val="24"/>
          <w:szCs w:val="24"/>
        </w:rPr>
        <w:t>The climate is humid temperate-subtropical with me</w:t>
      </w:r>
      <w:r w:rsidR="00CB233C">
        <w:rPr>
          <w:rFonts w:ascii="Times New Roman" w:eastAsia="Times New Roman" w:hAnsi="Times New Roman" w:cs="Times New Roman"/>
          <w:sz w:val="24"/>
          <w:szCs w:val="24"/>
        </w:rPr>
        <w:t>an annual temperature of 22.8℃ and</w:t>
      </w:r>
      <w:r w:rsidRPr="00AE02AC">
        <w:rPr>
          <w:rFonts w:ascii="Times New Roman" w:eastAsia="Times New Roman" w:hAnsi="Times New Roman" w:cs="Times New Roman"/>
          <w:sz w:val="24"/>
          <w:szCs w:val="24"/>
        </w:rPr>
        <w:t xml:space="preserve"> an</w:t>
      </w:r>
      <w:r w:rsidR="00CB233C">
        <w:rPr>
          <w:rFonts w:ascii="Times New Roman" w:eastAsia="Times New Roman" w:hAnsi="Times New Roman" w:cs="Times New Roman"/>
          <w:sz w:val="24"/>
          <w:szCs w:val="24"/>
        </w:rPr>
        <w:t>nual precipitation of 1346 mm varying between a</w:t>
      </w:r>
      <w:r w:rsidRPr="00AE02AC">
        <w:rPr>
          <w:rFonts w:ascii="Times New Roman" w:eastAsia="Times New Roman" w:hAnsi="Times New Roman" w:cs="Times New Roman"/>
          <w:sz w:val="24"/>
          <w:szCs w:val="24"/>
        </w:rPr>
        <w:t xml:space="preserve"> summer wet season and a cool winter dry season. Local soils ar</w:t>
      </w:r>
      <w:r w:rsidR="00A131F1">
        <w:rPr>
          <w:rFonts w:ascii="Times New Roman" w:eastAsia="Times New Roman" w:hAnsi="Times New Roman" w:cs="Times New Roman"/>
          <w:sz w:val="24"/>
          <w:szCs w:val="24"/>
        </w:rPr>
        <w:t>e Eau Galle - Myakka Fine Sands</w:t>
      </w:r>
      <w:r w:rsidRPr="00AE02AC">
        <w:rPr>
          <w:rFonts w:ascii="Times New Roman" w:eastAsia="Times New Roman" w:hAnsi="Times New Roman" w:cs="Times New Roman"/>
          <w:sz w:val="24"/>
          <w:szCs w:val="24"/>
        </w:rPr>
        <w:t xml:space="preserve">, with </w:t>
      </w:r>
      <w:r w:rsidRPr="00C14D16">
        <w:rPr>
          <w:rFonts w:ascii="Times New Roman" w:eastAsia="Times New Roman" w:hAnsi="Times New Roman" w:cs="Times New Roman"/>
          <w:sz w:val="24"/>
          <w:szCs w:val="24"/>
        </w:rPr>
        <w:t>sandy and loamy marine deposits as the main parent materials (</w:t>
      </w:r>
      <w:r w:rsidR="00534A1D">
        <w:rPr>
          <w:rFonts w:ascii="Times New Roman" w:eastAsia="Times New Roman" w:hAnsi="Times New Roman" w:cs="Times New Roman"/>
          <w:sz w:val="24"/>
          <w:szCs w:val="24"/>
        </w:rPr>
        <w:t>Soil Science Division Staff, 2017</w:t>
      </w:r>
      <w:r w:rsidRPr="00C14D16">
        <w:rPr>
          <w:rFonts w:ascii="Times New Roman" w:eastAsia="Times New Roman" w:hAnsi="Times New Roman" w:cs="Times New Roman"/>
          <w:sz w:val="24"/>
          <w:szCs w:val="24"/>
        </w:rPr>
        <w:t>).</w:t>
      </w:r>
      <w:r w:rsidR="00A131F1">
        <w:rPr>
          <w:rFonts w:ascii="Times New Roman" w:eastAsia="Times New Roman" w:hAnsi="Times New Roman" w:cs="Times New Roman"/>
          <w:sz w:val="24"/>
          <w:szCs w:val="24"/>
        </w:rPr>
        <w:t xml:space="preserve"> Establishment began in </w:t>
      </w:r>
      <w:r w:rsidR="00FC1386">
        <w:rPr>
          <w:rFonts w:ascii="Times New Roman" w:eastAsia="Times New Roman" w:hAnsi="Times New Roman" w:cs="Times New Roman"/>
          <w:sz w:val="24"/>
          <w:szCs w:val="24"/>
        </w:rPr>
        <w:t>February</w:t>
      </w:r>
      <w:r w:rsidR="00A131F1">
        <w:rPr>
          <w:rFonts w:ascii="Times New Roman" w:eastAsia="Times New Roman" w:hAnsi="Times New Roman" w:cs="Times New Roman"/>
          <w:sz w:val="24"/>
          <w:szCs w:val="24"/>
        </w:rPr>
        <w:t xml:space="preserve"> 2016 with sheet mulching over the existing </w:t>
      </w:r>
      <w:r w:rsidR="00430620">
        <w:rPr>
          <w:rFonts w:ascii="Times New Roman" w:eastAsia="Times New Roman" w:hAnsi="Times New Roman" w:cs="Times New Roman"/>
          <w:sz w:val="24"/>
          <w:szCs w:val="24"/>
        </w:rPr>
        <w:t>lawn</w:t>
      </w:r>
      <w:r w:rsidR="00A131F1">
        <w:rPr>
          <w:rFonts w:ascii="Times New Roman" w:eastAsia="Times New Roman" w:hAnsi="Times New Roman" w:cs="Times New Roman"/>
          <w:sz w:val="24"/>
          <w:szCs w:val="24"/>
        </w:rPr>
        <w:t xml:space="preserve">. </w:t>
      </w:r>
      <w:r w:rsidRPr="00AE02AC">
        <w:rPr>
          <w:rFonts w:ascii="Times New Roman" w:eastAsia="Times New Roman" w:hAnsi="Times New Roman" w:cs="Times New Roman"/>
          <w:sz w:val="24"/>
          <w:szCs w:val="24"/>
        </w:rPr>
        <w:t>Community volunteers then combined locally sourced topsoil, compost and biochar in</w:t>
      </w:r>
      <w:r w:rsidR="00A131F1">
        <w:rPr>
          <w:rFonts w:ascii="Times New Roman" w:eastAsia="Times New Roman" w:hAnsi="Times New Roman" w:cs="Times New Roman"/>
          <w:sz w:val="24"/>
          <w:szCs w:val="24"/>
        </w:rPr>
        <w:t xml:space="preserve">to </w:t>
      </w:r>
      <w:r w:rsidRPr="00AE02AC">
        <w:rPr>
          <w:rFonts w:ascii="Times New Roman" w:eastAsia="Times New Roman" w:hAnsi="Times New Roman" w:cs="Times New Roman"/>
          <w:sz w:val="24"/>
          <w:szCs w:val="24"/>
        </w:rPr>
        <w:t>berms that were approximately 10 cm high and 1 m wide. Starting on May 2016, students planted 50 seedlings representing 33 different useful woody species (Table S1) into rows along the berms</w:t>
      </w:r>
      <w:r w:rsidR="00BD62D7">
        <w:rPr>
          <w:rFonts w:ascii="Times New Roman" w:eastAsia="Times New Roman" w:hAnsi="Times New Roman" w:cs="Times New Roman"/>
          <w:sz w:val="24"/>
          <w:szCs w:val="24"/>
        </w:rPr>
        <w:t xml:space="preserve"> along with assorted</w:t>
      </w:r>
      <w:r w:rsidRPr="00AE02AC">
        <w:rPr>
          <w:rFonts w:ascii="Times New Roman" w:eastAsia="Times New Roman" w:hAnsi="Times New Roman" w:cs="Times New Roman"/>
          <w:sz w:val="24"/>
          <w:szCs w:val="24"/>
        </w:rPr>
        <w:t xml:space="preserve"> short-live</w:t>
      </w:r>
      <w:r w:rsidR="00A131F1">
        <w:rPr>
          <w:rFonts w:ascii="Times New Roman" w:eastAsia="Times New Roman" w:hAnsi="Times New Roman" w:cs="Times New Roman"/>
          <w:sz w:val="24"/>
          <w:szCs w:val="24"/>
        </w:rPr>
        <w:t xml:space="preserve">d woody and pseudo-woody plants, </w:t>
      </w:r>
      <w:r w:rsidRPr="00AE02AC">
        <w:rPr>
          <w:rFonts w:ascii="Times New Roman" w:eastAsia="Times New Roman" w:hAnsi="Times New Roman" w:cs="Times New Roman"/>
          <w:sz w:val="24"/>
          <w:szCs w:val="24"/>
        </w:rPr>
        <w:t>vines</w:t>
      </w:r>
      <w:r w:rsidR="00FC1386">
        <w:rPr>
          <w:rFonts w:ascii="Times New Roman" w:eastAsia="Times New Roman" w:hAnsi="Times New Roman" w:cs="Times New Roman"/>
          <w:sz w:val="24"/>
          <w:szCs w:val="24"/>
        </w:rPr>
        <w:t>,</w:t>
      </w:r>
      <w:r w:rsidRPr="00AE02AC">
        <w:rPr>
          <w:rFonts w:ascii="Times New Roman" w:eastAsia="Times New Roman" w:hAnsi="Times New Roman" w:cs="Times New Roman"/>
          <w:sz w:val="24"/>
          <w:szCs w:val="24"/>
        </w:rPr>
        <w:t xml:space="preserve"> and</w:t>
      </w:r>
      <w:r w:rsidRPr="00AE02AC">
        <w:rPr>
          <w:rFonts w:ascii="Times New Roman" w:eastAsia="Times New Roman" w:hAnsi="Times New Roman" w:cs="Times New Roman"/>
          <w:i/>
          <w:sz w:val="24"/>
          <w:szCs w:val="24"/>
        </w:rPr>
        <w:t xml:space="preserve"> </w:t>
      </w:r>
      <w:r w:rsidR="00A131F1">
        <w:rPr>
          <w:rFonts w:ascii="Times New Roman" w:eastAsia="Times New Roman" w:hAnsi="Times New Roman" w:cs="Times New Roman"/>
          <w:sz w:val="24"/>
          <w:szCs w:val="24"/>
        </w:rPr>
        <w:t>herbaceous plants</w:t>
      </w:r>
      <w:r w:rsidRPr="00AE02AC">
        <w:rPr>
          <w:rFonts w:ascii="Times New Roman" w:eastAsia="Times New Roman" w:hAnsi="Times New Roman" w:cs="Times New Roman"/>
          <w:sz w:val="24"/>
          <w:szCs w:val="24"/>
        </w:rPr>
        <w:t>. Ongoing maintenance consisted of watering, trail</w:t>
      </w:r>
      <w:r w:rsidR="00CB233C">
        <w:rPr>
          <w:rFonts w:ascii="Times New Roman" w:eastAsia="Times New Roman" w:hAnsi="Times New Roman" w:cs="Times New Roman"/>
          <w:sz w:val="24"/>
          <w:szCs w:val="24"/>
        </w:rPr>
        <w:t>-</w:t>
      </w:r>
      <w:r w:rsidRPr="00AE02AC">
        <w:rPr>
          <w:rFonts w:ascii="Times New Roman" w:eastAsia="Times New Roman" w:hAnsi="Times New Roman" w:cs="Times New Roman"/>
          <w:sz w:val="24"/>
          <w:szCs w:val="24"/>
        </w:rPr>
        <w:t>making, mulching and spr</w:t>
      </w:r>
      <w:r w:rsidR="00A131F1">
        <w:rPr>
          <w:rFonts w:ascii="Times New Roman" w:eastAsia="Times New Roman" w:hAnsi="Times New Roman" w:cs="Times New Roman"/>
          <w:sz w:val="24"/>
          <w:szCs w:val="24"/>
        </w:rPr>
        <w:t>eading compost generated by students on campus from food scraps</w:t>
      </w:r>
      <w:r w:rsidRPr="00AE02AC">
        <w:rPr>
          <w:rFonts w:ascii="Times New Roman" w:eastAsia="Times New Roman" w:hAnsi="Times New Roman" w:cs="Times New Roman"/>
          <w:sz w:val="24"/>
          <w:szCs w:val="24"/>
        </w:rPr>
        <w:t>.</w:t>
      </w:r>
    </w:p>
    <w:p w14:paraId="4A7B6CED" w14:textId="240741D2" w:rsidR="00F51880" w:rsidRPr="00343E40" w:rsidRDefault="008D7DD5">
      <w:pPr>
        <w:spacing w:line="48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Sampling design</w:t>
      </w:r>
    </w:p>
    <w:p w14:paraId="0CD60E89" w14:textId="110FAAB7" w:rsidR="00E534AD" w:rsidRDefault="00A131F1">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8B5F87">
        <w:rPr>
          <w:rFonts w:ascii="Times New Roman" w:eastAsia="Times New Roman" w:hAnsi="Times New Roman" w:cs="Times New Roman"/>
          <w:sz w:val="24"/>
          <w:szCs w:val="24"/>
        </w:rPr>
        <w:t xml:space="preserve">To understand how implementation affected soil function, we employed </w:t>
      </w:r>
      <w:r w:rsidR="000828C7">
        <w:rPr>
          <w:rFonts w:ascii="Times New Roman" w:eastAsia="Times New Roman" w:hAnsi="Times New Roman" w:cs="Times New Roman"/>
          <w:sz w:val="24"/>
          <w:szCs w:val="24"/>
        </w:rPr>
        <w:t>a</w:t>
      </w:r>
      <w:r w:rsidR="002323C0">
        <w:rPr>
          <w:rFonts w:ascii="Times New Roman" w:eastAsia="Times New Roman" w:hAnsi="Times New Roman" w:cs="Times New Roman"/>
          <w:sz w:val="24"/>
          <w:szCs w:val="24"/>
        </w:rPr>
        <w:t xml:space="preserve"> novel</w:t>
      </w:r>
      <w:r w:rsidR="000828C7">
        <w:rPr>
          <w:rFonts w:ascii="Times New Roman" w:eastAsia="Times New Roman" w:hAnsi="Times New Roman" w:cs="Times New Roman"/>
          <w:sz w:val="24"/>
          <w:szCs w:val="24"/>
        </w:rPr>
        <w:t xml:space="preserve"> </w:t>
      </w:r>
      <w:r w:rsidR="008D7DD5">
        <w:rPr>
          <w:rFonts w:ascii="Times New Roman" w:eastAsia="Times New Roman" w:hAnsi="Times New Roman" w:cs="Times New Roman"/>
          <w:sz w:val="24"/>
          <w:szCs w:val="24"/>
        </w:rPr>
        <w:t>B</w:t>
      </w:r>
      <w:r w:rsidR="008157CE">
        <w:rPr>
          <w:rFonts w:ascii="Times New Roman" w:eastAsia="Times New Roman" w:hAnsi="Times New Roman" w:cs="Times New Roman"/>
          <w:sz w:val="24"/>
          <w:szCs w:val="24"/>
        </w:rPr>
        <w:t>efore-</w:t>
      </w:r>
      <w:r w:rsidR="008D7DD5">
        <w:rPr>
          <w:rFonts w:ascii="Times New Roman" w:eastAsia="Times New Roman" w:hAnsi="Times New Roman" w:cs="Times New Roman"/>
          <w:sz w:val="24"/>
          <w:szCs w:val="24"/>
        </w:rPr>
        <w:t>A</w:t>
      </w:r>
      <w:r w:rsidR="008157CE">
        <w:rPr>
          <w:rFonts w:ascii="Times New Roman" w:eastAsia="Times New Roman" w:hAnsi="Times New Roman" w:cs="Times New Roman"/>
          <w:sz w:val="24"/>
          <w:szCs w:val="24"/>
        </w:rPr>
        <w:t>fter-</w:t>
      </w:r>
      <w:r w:rsidR="008D7DD5">
        <w:rPr>
          <w:rFonts w:ascii="Times New Roman" w:eastAsia="Times New Roman" w:hAnsi="Times New Roman" w:cs="Times New Roman"/>
          <w:sz w:val="24"/>
          <w:szCs w:val="24"/>
        </w:rPr>
        <w:t>Control</w:t>
      </w:r>
      <w:r w:rsidR="008157CE">
        <w:rPr>
          <w:rFonts w:ascii="Times New Roman" w:eastAsia="Times New Roman" w:hAnsi="Times New Roman" w:cs="Times New Roman"/>
          <w:sz w:val="24"/>
          <w:szCs w:val="24"/>
        </w:rPr>
        <w:t>-Impact</w:t>
      </w:r>
      <w:r w:rsidR="008D7DD5">
        <w:rPr>
          <w:rFonts w:ascii="Times New Roman" w:eastAsia="Times New Roman" w:hAnsi="Times New Roman" w:cs="Times New Roman"/>
          <w:sz w:val="24"/>
          <w:szCs w:val="24"/>
        </w:rPr>
        <w:t xml:space="preserve"> (BACI)</w:t>
      </w:r>
      <w:r w:rsidR="008B5F87">
        <w:rPr>
          <w:rFonts w:ascii="Times New Roman" w:eastAsia="Times New Roman" w:hAnsi="Times New Roman" w:cs="Times New Roman"/>
          <w:sz w:val="24"/>
          <w:szCs w:val="24"/>
        </w:rPr>
        <w:t xml:space="preserve"> sampling design</w:t>
      </w:r>
      <w:r w:rsidR="005E6358">
        <w:rPr>
          <w:rFonts w:ascii="Times New Roman" w:eastAsia="Times New Roman" w:hAnsi="Times New Roman" w:cs="Times New Roman"/>
          <w:sz w:val="24"/>
          <w:szCs w:val="24"/>
        </w:rPr>
        <w:t xml:space="preserve">. </w:t>
      </w:r>
      <w:r w:rsidR="008B5F87">
        <w:rPr>
          <w:rFonts w:ascii="Times New Roman" w:eastAsia="Times New Roman" w:hAnsi="Times New Roman" w:cs="Times New Roman"/>
          <w:sz w:val="24"/>
          <w:szCs w:val="24"/>
        </w:rPr>
        <w:t xml:space="preserve">Originally developed to estimate the environmental effects of </w:t>
      </w:r>
      <w:r w:rsidR="000828C7">
        <w:rPr>
          <w:rFonts w:ascii="Times New Roman" w:eastAsia="Times New Roman" w:hAnsi="Times New Roman" w:cs="Times New Roman"/>
          <w:sz w:val="24"/>
          <w:szCs w:val="24"/>
        </w:rPr>
        <w:t>unique</w:t>
      </w:r>
      <w:r w:rsidR="008B5F87">
        <w:rPr>
          <w:rFonts w:ascii="Times New Roman" w:eastAsia="Times New Roman" w:hAnsi="Times New Roman" w:cs="Times New Roman"/>
          <w:sz w:val="24"/>
          <w:szCs w:val="24"/>
        </w:rPr>
        <w:t xml:space="preserve"> interventions</w:t>
      </w:r>
      <w:r w:rsidR="005E6358">
        <w:rPr>
          <w:rFonts w:ascii="Times New Roman" w:eastAsia="Times New Roman" w:hAnsi="Times New Roman" w:cs="Times New Roman"/>
          <w:sz w:val="24"/>
          <w:szCs w:val="24"/>
        </w:rPr>
        <w:t xml:space="preserve">, BACI </w:t>
      </w:r>
      <w:r w:rsidR="00BD62D7">
        <w:rPr>
          <w:rFonts w:ascii="Times New Roman" w:eastAsia="Times New Roman" w:hAnsi="Times New Roman" w:cs="Times New Roman"/>
          <w:sz w:val="24"/>
          <w:szCs w:val="24"/>
        </w:rPr>
        <w:t>compares</w:t>
      </w:r>
      <w:r w:rsidR="005E6358">
        <w:rPr>
          <w:rFonts w:ascii="Times New Roman" w:eastAsia="Times New Roman" w:hAnsi="Times New Roman" w:cs="Times New Roman"/>
          <w:sz w:val="24"/>
          <w:szCs w:val="24"/>
        </w:rPr>
        <w:t xml:space="preserve"> the magnitude of change in repeated measurements</w:t>
      </w:r>
      <w:r w:rsidR="0004420D">
        <w:rPr>
          <w:rFonts w:ascii="Times New Roman" w:eastAsia="Times New Roman" w:hAnsi="Times New Roman" w:cs="Times New Roman"/>
          <w:sz w:val="24"/>
          <w:szCs w:val="24"/>
        </w:rPr>
        <w:t xml:space="preserve"> </w:t>
      </w:r>
      <w:r w:rsidR="005E6358">
        <w:rPr>
          <w:rFonts w:ascii="Times New Roman" w:eastAsia="Times New Roman" w:hAnsi="Times New Roman" w:cs="Times New Roman"/>
          <w:sz w:val="24"/>
          <w:szCs w:val="24"/>
        </w:rPr>
        <w:t xml:space="preserve">before and after implementation to </w:t>
      </w:r>
      <w:r w:rsidR="008B5F87">
        <w:rPr>
          <w:rFonts w:ascii="Times New Roman" w:eastAsia="Times New Roman" w:hAnsi="Times New Roman" w:cs="Times New Roman"/>
          <w:sz w:val="24"/>
          <w:szCs w:val="24"/>
        </w:rPr>
        <w:t>those</w:t>
      </w:r>
      <w:r w:rsidR="008157CE">
        <w:rPr>
          <w:rFonts w:ascii="Times New Roman" w:eastAsia="Times New Roman" w:hAnsi="Times New Roman" w:cs="Times New Roman"/>
          <w:sz w:val="24"/>
          <w:szCs w:val="24"/>
        </w:rPr>
        <w:t xml:space="preserve"> </w:t>
      </w:r>
      <w:r w:rsidR="008B5F87">
        <w:rPr>
          <w:rFonts w:ascii="Times New Roman" w:eastAsia="Times New Roman" w:hAnsi="Times New Roman" w:cs="Times New Roman"/>
          <w:sz w:val="24"/>
          <w:szCs w:val="24"/>
        </w:rPr>
        <w:t>at a</w:t>
      </w:r>
      <w:r w:rsidR="005E6358">
        <w:rPr>
          <w:rFonts w:ascii="Times New Roman" w:eastAsia="Times New Roman" w:hAnsi="Times New Roman" w:cs="Times New Roman"/>
          <w:sz w:val="24"/>
          <w:szCs w:val="24"/>
        </w:rPr>
        <w:t xml:space="preserve"> control location</w:t>
      </w:r>
      <w:r w:rsidR="0064098D">
        <w:rPr>
          <w:rFonts w:ascii="Times New Roman" w:eastAsia="Times New Roman" w:hAnsi="Times New Roman" w:cs="Times New Roman"/>
          <w:sz w:val="24"/>
          <w:szCs w:val="24"/>
        </w:rPr>
        <w:t xml:space="preserve"> while </w:t>
      </w:r>
      <w:r w:rsidR="008157CE">
        <w:rPr>
          <w:rFonts w:ascii="Times New Roman" w:eastAsia="Times New Roman" w:hAnsi="Times New Roman" w:cs="Times New Roman"/>
          <w:sz w:val="24"/>
          <w:szCs w:val="24"/>
        </w:rPr>
        <w:t xml:space="preserve">statistically </w:t>
      </w:r>
      <w:r w:rsidR="0064098D">
        <w:rPr>
          <w:rFonts w:ascii="Times New Roman" w:eastAsia="Times New Roman" w:hAnsi="Times New Roman" w:cs="Times New Roman"/>
          <w:sz w:val="24"/>
          <w:szCs w:val="24"/>
        </w:rPr>
        <w:t>controlling for autocorrelation from non-random sampling</w:t>
      </w:r>
      <w:r w:rsidR="008E73F4">
        <w:rPr>
          <w:rFonts w:ascii="Times New Roman" w:eastAsia="Times New Roman" w:hAnsi="Times New Roman" w:cs="Times New Roman"/>
          <w:sz w:val="24"/>
          <w:szCs w:val="24"/>
        </w:rPr>
        <w:t xml:space="preserve"> (Conner et al., 2016)</w:t>
      </w:r>
      <w:r w:rsidR="0064098D">
        <w:rPr>
          <w:rFonts w:ascii="Times New Roman" w:eastAsia="Times New Roman" w:hAnsi="Times New Roman" w:cs="Times New Roman"/>
          <w:sz w:val="24"/>
          <w:szCs w:val="24"/>
        </w:rPr>
        <w:t>.</w:t>
      </w:r>
      <w:r w:rsidR="00463B81">
        <w:rPr>
          <w:rFonts w:ascii="Times New Roman" w:eastAsia="Times New Roman" w:hAnsi="Times New Roman" w:cs="Times New Roman"/>
          <w:sz w:val="24"/>
          <w:szCs w:val="24"/>
        </w:rPr>
        <w:t xml:space="preserve"> We applied different aspects of </w:t>
      </w:r>
      <w:r w:rsidR="00353B33">
        <w:rPr>
          <w:rFonts w:ascii="Times New Roman" w:eastAsia="Times New Roman" w:hAnsi="Times New Roman" w:cs="Times New Roman"/>
          <w:sz w:val="24"/>
          <w:szCs w:val="24"/>
        </w:rPr>
        <w:t>the BACI design to our different research objectives.</w:t>
      </w:r>
      <w:r w:rsidR="0064098D">
        <w:rPr>
          <w:rFonts w:ascii="Times New Roman" w:eastAsia="Times New Roman" w:hAnsi="Times New Roman" w:cs="Times New Roman"/>
          <w:sz w:val="24"/>
          <w:szCs w:val="24"/>
        </w:rPr>
        <w:t xml:space="preserve"> </w:t>
      </w:r>
      <w:r w:rsidR="003C5746">
        <w:rPr>
          <w:rFonts w:ascii="Times New Roman" w:eastAsia="Times New Roman" w:hAnsi="Times New Roman" w:cs="Times New Roman"/>
          <w:sz w:val="24"/>
          <w:szCs w:val="24"/>
        </w:rPr>
        <w:t xml:space="preserve">For our primary research objective, which was to </w:t>
      </w:r>
      <w:r w:rsidR="007E0456">
        <w:rPr>
          <w:rFonts w:ascii="Times New Roman" w:eastAsia="Times New Roman" w:hAnsi="Times New Roman" w:cs="Times New Roman"/>
          <w:sz w:val="24"/>
          <w:szCs w:val="24"/>
        </w:rPr>
        <w:t xml:space="preserve">quantify fine-scale variation in </w:t>
      </w:r>
      <w:r w:rsidR="00221CD1">
        <w:rPr>
          <w:rFonts w:ascii="Times New Roman" w:eastAsia="Times New Roman" w:hAnsi="Times New Roman" w:cs="Times New Roman"/>
          <w:sz w:val="24"/>
          <w:szCs w:val="24"/>
        </w:rPr>
        <w:t>C</w:t>
      </w:r>
      <w:r w:rsidR="007E0456">
        <w:rPr>
          <w:rFonts w:ascii="Times New Roman" w:eastAsia="Times New Roman" w:hAnsi="Times New Roman" w:cs="Times New Roman"/>
          <w:sz w:val="24"/>
          <w:szCs w:val="24"/>
        </w:rPr>
        <w:t xml:space="preserve"> sequestration</w:t>
      </w:r>
      <w:r w:rsidR="003C5746">
        <w:rPr>
          <w:rFonts w:ascii="Times New Roman" w:eastAsia="Times New Roman" w:hAnsi="Times New Roman" w:cs="Times New Roman"/>
          <w:sz w:val="24"/>
          <w:szCs w:val="24"/>
        </w:rPr>
        <w:t xml:space="preserve">, </w:t>
      </w:r>
      <w:r w:rsidR="007E0456">
        <w:rPr>
          <w:rFonts w:ascii="Times New Roman" w:eastAsia="Times New Roman" w:hAnsi="Times New Roman" w:cs="Times New Roman"/>
          <w:sz w:val="24"/>
          <w:szCs w:val="24"/>
        </w:rPr>
        <w:t xml:space="preserve">we established impact and control sampling arrays in the UFF and adjacent lawn respectively. </w:t>
      </w:r>
      <w:r w:rsidR="002323C0">
        <w:rPr>
          <w:rFonts w:ascii="Times New Roman" w:eastAsia="Times New Roman" w:hAnsi="Times New Roman" w:cs="Times New Roman"/>
          <w:sz w:val="24"/>
          <w:szCs w:val="24"/>
        </w:rPr>
        <w:t>W</w:t>
      </w:r>
      <w:r w:rsidR="007E0456">
        <w:rPr>
          <w:rFonts w:ascii="Times New Roman" w:eastAsia="Times New Roman" w:hAnsi="Times New Roman" w:cs="Times New Roman"/>
          <w:sz w:val="24"/>
          <w:szCs w:val="24"/>
        </w:rPr>
        <w:t xml:space="preserve">e use fixed landmarks to </w:t>
      </w:r>
      <w:r w:rsidR="008157CE">
        <w:rPr>
          <w:rFonts w:ascii="Times New Roman" w:eastAsia="Times New Roman" w:hAnsi="Times New Roman" w:cs="Times New Roman"/>
          <w:sz w:val="24"/>
          <w:szCs w:val="24"/>
        </w:rPr>
        <w:t>collect soil samples at 4</w:t>
      </w:r>
      <w:r w:rsidR="007E045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m</w:t>
      </w:r>
      <w:r w:rsidR="002B3DD1" w:rsidRPr="00C14D16">
        <w:rPr>
          <w:rFonts w:ascii="Times New Roman" w:eastAsia="Times New Roman" w:hAnsi="Times New Roman" w:cs="Times New Roman"/>
          <w:sz w:val="24"/>
          <w:szCs w:val="24"/>
        </w:rPr>
        <w:t xml:space="preserve"> intervals</w:t>
      </w:r>
      <w:r>
        <w:rPr>
          <w:rFonts w:ascii="Times New Roman" w:eastAsia="Times New Roman" w:hAnsi="Times New Roman" w:cs="Times New Roman"/>
          <w:sz w:val="24"/>
          <w:szCs w:val="24"/>
        </w:rPr>
        <w:t xml:space="preserve"> along each berm </w:t>
      </w:r>
      <w:r w:rsidR="007E0456">
        <w:rPr>
          <w:rFonts w:ascii="Times New Roman" w:eastAsia="Times New Roman" w:hAnsi="Times New Roman" w:cs="Times New Roman"/>
          <w:sz w:val="24"/>
          <w:szCs w:val="24"/>
        </w:rPr>
        <w:t xml:space="preserve">for 28 sampling locations in a hexagonal array, which we reproduced in the lawn. We </w:t>
      </w:r>
      <w:r w:rsidR="002323C0">
        <w:rPr>
          <w:rFonts w:ascii="Times New Roman" w:eastAsia="Times New Roman" w:hAnsi="Times New Roman" w:cs="Times New Roman"/>
          <w:sz w:val="24"/>
          <w:szCs w:val="24"/>
        </w:rPr>
        <w:t>sampled</w:t>
      </w:r>
      <w:r w:rsidR="007E0456">
        <w:rPr>
          <w:rFonts w:ascii="Times New Roman" w:eastAsia="Times New Roman" w:hAnsi="Times New Roman" w:cs="Times New Roman"/>
          <w:sz w:val="24"/>
          <w:szCs w:val="24"/>
        </w:rPr>
        <w:t xml:space="preserve"> soils in both arrays shortly after construction in 2017 and after two years of managing the UFF in 2019</w:t>
      </w:r>
      <w:r w:rsidR="00221CD1">
        <w:rPr>
          <w:rFonts w:ascii="Times New Roman" w:eastAsia="Times New Roman" w:hAnsi="Times New Roman" w:cs="Times New Roman"/>
          <w:sz w:val="24"/>
          <w:szCs w:val="24"/>
        </w:rPr>
        <w:t xml:space="preserve">. We </w:t>
      </w:r>
      <w:r w:rsidR="00BD62D7">
        <w:rPr>
          <w:rFonts w:ascii="Times New Roman" w:eastAsia="Times New Roman" w:hAnsi="Times New Roman" w:cs="Times New Roman"/>
          <w:sz w:val="24"/>
          <w:szCs w:val="24"/>
        </w:rPr>
        <w:t>controlled for spatial autocorrelation using a hierarchical Bayesian model (see Supplementary Methods)</w:t>
      </w:r>
    </w:p>
    <w:p w14:paraId="5B4F65E5" w14:textId="4B5E9022" w:rsidR="0004420D" w:rsidRDefault="00411E9E" w:rsidP="00E775ED">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In addition to representing spatial variation in the horizontal dimension</w:t>
      </w:r>
      <w:r w:rsidR="00656029">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we also </w:t>
      </w:r>
      <w:r w:rsidR="00E534AD">
        <w:rPr>
          <w:rFonts w:ascii="Times New Roman" w:eastAsia="Times New Roman" w:hAnsi="Times New Roman" w:cs="Times New Roman"/>
          <w:sz w:val="24"/>
          <w:szCs w:val="24"/>
        </w:rPr>
        <w:t>analyzed changes across vertical strata</w:t>
      </w:r>
      <w:r>
        <w:rPr>
          <w:rFonts w:ascii="Times New Roman" w:eastAsia="Times New Roman" w:hAnsi="Times New Roman" w:cs="Times New Roman"/>
          <w:sz w:val="24"/>
          <w:szCs w:val="24"/>
        </w:rPr>
        <w:t xml:space="preserve">. </w:t>
      </w:r>
      <w:r w:rsidR="00E534AD">
        <w:rPr>
          <w:rFonts w:ascii="Times New Roman" w:eastAsia="Times New Roman" w:hAnsi="Times New Roman" w:cs="Times New Roman"/>
          <w:sz w:val="24"/>
          <w:szCs w:val="24"/>
        </w:rPr>
        <w:t xml:space="preserve">At each sampling location and time interval, we removed herbaceous vegetation and detritus and then used a gauge auger to extract a soil core. </w:t>
      </w:r>
      <w:r>
        <w:rPr>
          <w:rFonts w:ascii="Times New Roman" w:eastAsia="Times New Roman" w:hAnsi="Times New Roman" w:cs="Times New Roman"/>
          <w:sz w:val="24"/>
          <w:szCs w:val="24"/>
        </w:rPr>
        <w:t>In the UFF, w</w:t>
      </w:r>
      <w:r w:rsidRPr="00C14D16">
        <w:rPr>
          <w:rFonts w:ascii="Times New Roman" w:eastAsia="Times New Roman" w:hAnsi="Times New Roman" w:cs="Times New Roman"/>
          <w:sz w:val="24"/>
          <w:szCs w:val="24"/>
        </w:rPr>
        <w:t>e split the</w:t>
      </w:r>
      <w:r>
        <w:rPr>
          <w:rFonts w:ascii="Times New Roman" w:eastAsia="Times New Roman" w:hAnsi="Times New Roman" w:cs="Times New Roman"/>
          <w:sz w:val="24"/>
          <w:szCs w:val="24"/>
        </w:rPr>
        <w:t xml:space="preserve"> upper 30 cm of each core into three</w:t>
      </w:r>
      <w:r w:rsidRPr="00C14D16">
        <w:rPr>
          <w:rFonts w:ascii="Times New Roman" w:eastAsia="Times New Roman" w:hAnsi="Times New Roman" w:cs="Times New Roman"/>
          <w:sz w:val="24"/>
          <w:szCs w:val="24"/>
        </w:rPr>
        <w:t xml:space="preserve"> vertical strata representing the berm stratum of imported soils (0-10 cm), the upper stratum of original lawn soils (10-20 cm) and the lower stratum of original l</w:t>
      </w:r>
      <w:r>
        <w:rPr>
          <w:rFonts w:ascii="Times New Roman" w:eastAsia="Times New Roman" w:hAnsi="Times New Roman" w:cs="Times New Roman"/>
          <w:sz w:val="24"/>
          <w:szCs w:val="24"/>
        </w:rPr>
        <w:t>awn soils (20-30 cm)</w:t>
      </w:r>
      <w:r w:rsidR="00522B09">
        <w:rPr>
          <w:rFonts w:ascii="Times New Roman" w:eastAsia="Times New Roman" w:hAnsi="Times New Roman" w:cs="Times New Roman"/>
          <w:sz w:val="24"/>
          <w:szCs w:val="24"/>
        </w:rPr>
        <w:t xml:space="preserve"> (</w:t>
      </w:r>
      <w:r w:rsidR="00522B09" w:rsidRPr="00522B09">
        <w:rPr>
          <w:rFonts w:ascii="Times New Roman" w:eastAsia="Times New Roman" w:hAnsi="Times New Roman" w:cs="Times New Roman"/>
          <w:i/>
          <w:sz w:val="24"/>
          <w:szCs w:val="24"/>
        </w:rPr>
        <w:t>n</w:t>
      </w:r>
      <w:r w:rsidR="00E534AD">
        <w:rPr>
          <w:rFonts w:ascii="Times New Roman" w:eastAsia="Times New Roman" w:hAnsi="Times New Roman" w:cs="Times New Roman"/>
          <w:sz w:val="24"/>
          <w:szCs w:val="24"/>
        </w:rPr>
        <w:t>=84)</w:t>
      </w:r>
      <w:r w:rsidRPr="00C14D1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In the lawn, </w:t>
      </w:r>
      <w:r w:rsidRPr="00C14D16">
        <w:rPr>
          <w:rFonts w:ascii="Times New Roman" w:eastAsia="Times New Roman" w:hAnsi="Times New Roman" w:cs="Times New Roman"/>
          <w:sz w:val="24"/>
          <w:szCs w:val="24"/>
        </w:rPr>
        <w:t xml:space="preserve">we only sampled the top 20 cm of soils and split samples into two strata (0-10 cm </w:t>
      </w:r>
      <w:r w:rsidR="00221CD1">
        <w:rPr>
          <w:rFonts w:ascii="Times New Roman" w:eastAsia="Times New Roman" w:hAnsi="Times New Roman" w:cs="Times New Roman"/>
          <w:sz w:val="24"/>
          <w:szCs w:val="24"/>
        </w:rPr>
        <w:t xml:space="preserve">and 10-20 cm, </w:t>
      </w:r>
      <w:r w:rsidR="00522B09" w:rsidRPr="00522B09">
        <w:rPr>
          <w:rFonts w:ascii="Times New Roman" w:eastAsia="Times New Roman" w:hAnsi="Times New Roman" w:cs="Times New Roman"/>
          <w:i/>
          <w:sz w:val="24"/>
          <w:szCs w:val="24"/>
        </w:rPr>
        <w:t>n</w:t>
      </w:r>
      <w:r w:rsidR="00E534AD">
        <w:rPr>
          <w:rFonts w:ascii="Times New Roman" w:eastAsia="Times New Roman" w:hAnsi="Times New Roman" w:cs="Times New Roman"/>
          <w:sz w:val="24"/>
          <w:szCs w:val="24"/>
        </w:rPr>
        <w:t>=56)</w:t>
      </w:r>
      <w:r>
        <w:rPr>
          <w:rFonts w:ascii="Times New Roman" w:eastAsia="Times New Roman" w:hAnsi="Times New Roman" w:cs="Times New Roman"/>
          <w:sz w:val="24"/>
          <w:szCs w:val="24"/>
        </w:rPr>
        <w:t>.</w:t>
      </w:r>
      <w:r w:rsidR="007C4764">
        <w:rPr>
          <w:rFonts w:ascii="Times New Roman" w:eastAsia="Times New Roman" w:hAnsi="Times New Roman" w:cs="Times New Roman"/>
          <w:sz w:val="24"/>
          <w:szCs w:val="24"/>
        </w:rPr>
        <w:t xml:space="preserve"> </w:t>
      </w:r>
      <w:r w:rsidR="002323C0">
        <w:rPr>
          <w:rFonts w:ascii="Times New Roman" w:eastAsia="Times New Roman" w:hAnsi="Times New Roman" w:cs="Times New Roman"/>
          <w:sz w:val="24"/>
          <w:szCs w:val="24"/>
        </w:rPr>
        <w:t xml:space="preserve">Berm soils should show </w:t>
      </w:r>
      <w:r w:rsidR="00312CAF">
        <w:rPr>
          <w:rFonts w:ascii="Times New Roman" w:eastAsia="Times New Roman" w:hAnsi="Times New Roman" w:cs="Times New Roman"/>
          <w:sz w:val="24"/>
          <w:szCs w:val="24"/>
        </w:rPr>
        <w:t>the greatest impact effect</w:t>
      </w:r>
      <w:r w:rsidR="00E534AD">
        <w:rPr>
          <w:rFonts w:ascii="Times New Roman" w:eastAsia="Times New Roman" w:hAnsi="Times New Roman" w:cs="Times New Roman"/>
          <w:sz w:val="24"/>
          <w:szCs w:val="24"/>
        </w:rPr>
        <w:t xml:space="preserve">, followed </w:t>
      </w:r>
      <w:r w:rsidR="00312CAF">
        <w:rPr>
          <w:rFonts w:ascii="Times New Roman" w:eastAsia="Times New Roman" w:hAnsi="Times New Roman" w:cs="Times New Roman"/>
          <w:sz w:val="24"/>
          <w:szCs w:val="24"/>
        </w:rPr>
        <w:t>by the or</w:t>
      </w:r>
      <w:r w:rsidR="002323C0">
        <w:rPr>
          <w:rFonts w:ascii="Times New Roman" w:eastAsia="Times New Roman" w:hAnsi="Times New Roman" w:cs="Times New Roman"/>
          <w:sz w:val="24"/>
          <w:szCs w:val="24"/>
        </w:rPr>
        <w:t>iginal upper stratum</w:t>
      </w:r>
      <w:r w:rsidR="00312CAF">
        <w:rPr>
          <w:rFonts w:ascii="Times New Roman" w:eastAsia="Times New Roman" w:hAnsi="Times New Roman" w:cs="Times New Roman"/>
          <w:sz w:val="24"/>
          <w:szCs w:val="24"/>
        </w:rPr>
        <w:t xml:space="preserve"> and finally the orig</w:t>
      </w:r>
      <w:r w:rsidR="000828C7">
        <w:rPr>
          <w:rFonts w:ascii="Times New Roman" w:eastAsia="Times New Roman" w:hAnsi="Times New Roman" w:cs="Times New Roman"/>
          <w:sz w:val="24"/>
          <w:szCs w:val="24"/>
        </w:rPr>
        <w:t>inal lower stratum</w:t>
      </w:r>
      <w:r w:rsidR="002323C0">
        <w:rPr>
          <w:rFonts w:ascii="Times New Roman" w:eastAsia="Times New Roman" w:hAnsi="Times New Roman" w:cs="Times New Roman"/>
          <w:sz w:val="24"/>
          <w:szCs w:val="24"/>
        </w:rPr>
        <w:t xml:space="preserve"> compared to control strata in the lawn.</w:t>
      </w:r>
    </w:p>
    <w:p w14:paraId="6C7B6E08" w14:textId="0C42C5CB" w:rsidR="00656029" w:rsidRDefault="003C5746" w:rsidP="00E775ED">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the secondary research objective, </w:t>
      </w:r>
      <w:r w:rsidR="00BD62D7">
        <w:rPr>
          <w:rFonts w:ascii="Times New Roman" w:eastAsia="Times New Roman" w:hAnsi="Times New Roman" w:cs="Times New Roman"/>
          <w:sz w:val="24"/>
          <w:szCs w:val="24"/>
        </w:rPr>
        <w:t xml:space="preserve">comparing other physical, chemical and biological differences </w:t>
      </w:r>
      <w:r>
        <w:rPr>
          <w:rFonts w:ascii="Times New Roman" w:eastAsia="Times New Roman" w:hAnsi="Times New Roman" w:cs="Times New Roman"/>
          <w:sz w:val="24"/>
          <w:szCs w:val="24"/>
        </w:rPr>
        <w:t>we only sampled after implementation in</w:t>
      </w:r>
      <w:r w:rsidR="00D97C90">
        <w:rPr>
          <w:rFonts w:ascii="Times New Roman" w:eastAsia="Times New Roman" w:hAnsi="Times New Roman" w:cs="Times New Roman"/>
          <w:sz w:val="24"/>
          <w:szCs w:val="24"/>
        </w:rPr>
        <w:t xml:space="preserve"> 2019 </w:t>
      </w:r>
      <w:r>
        <w:rPr>
          <w:rFonts w:ascii="Times New Roman" w:eastAsia="Times New Roman" w:hAnsi="Times New Roman" w:cs="Times New Roman"/>
          <w:sz w:val="24"/>
          <w:szCs w:val="24"/>
        </w:rPr>
        <w:t>but again comp</w:t>
      </w:r>
      <w:r w:rsidR="00411E9E">
        <w:rPr>
          <w:rFonts w:ascii="Times New Roman" w:eastAsia="Times New Roman" w:hAnsi="Times New Roman" w:cs="Times New Roman"/>
          <w:sz w:val="24"/>
          <w:szCs w:val="24"/>
        </w:rPr>
        <w:t>ared measurements between the impact and control areas</w:t>
      </w:r>
      <w:r w:rsidR="00312CAF">
        <w:rPr>
          <w:rFonts w:ascii="Times New Roman" w:eastAsia="Times New Roman" w:hAnsi="Times New Roman" w:cs="Times New Roman"/>
          <w:sz w:val="24"/>
          <w:szCs w:val="24"/>
        </w:rPr>
        <w:t xml:space="preserve"> using a spatial model to account for autocorrelation</w:t>
      </w:r>
      <w:r w:rsidR="00411E9E">
        <w:rPr>
          <w:rFonts w:ascii="Times New Roman" w:eastAsia="Times New Roman" w:hAnsi="Times New Roman" w:cs="Times New Roman"/>
          <w:sz w:val="24"/>
          <w:szCs w:val="24"/>
        </w:rPr>
        <w:t>. In each</w:t>
      </w:r>
      <w:r w:rsidR="00656029">
        <w:rPr>
          <w:rFonts w:ascii="Times New Roman" w:eastAsia="Times New Roman" w:hAnsi="Times New Roman" w:cs="Times New Roman"/>
          <w:sz w:val="24"/>
          <w:szCs w:val="24"/>
        </w:rPr>
        <w:t xml:space="preserve"> area</w:t>
      </w:r>
      <w:r w:rsidR="00411E9E">
        <w:rPr>
          <w:rFonts w:ascii="Times New Roman" w:eastAsia="Times New Roman" w:hAnsi="Times New Roman" w:cs="Times New Roman"/>
          <w:sz w:val="24"/>
          <w:szCs w:val="24"/>
        </w:rPr>
        <w:t>, we</w:t>
      </w:r>
      <w:r w:rsidR="00A12CA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added </w:t>
      </w:r>
      <w:r w:rsidR="00D97C90">
        <w:rPr>
          <w:rFonts w:ascii="Times New Roman" w:eastAsia="Times New Roman" w:hAnsi="Times New Roman" w:cs="Times New Roman"/>
          <w:sz w:val="24"/>
          <w:szCs w:val="24"/>
        </w:rPr>
        <w:t>four sampling sites</w:t>
      </w:r>
      <w:r w:rsidR="00411E9E">
        <w:rPr>
          <w:rFonts w:ascii="Times New Roman" w:eastAsia="Times New Roman" w:hAnsi="Times New Roman" w:cs="Times New Roman"/>
          <w:sz w:val="24"/>
          <w:szCs w:val="24"/>
        </w:rPr>
        <w:t xml:space="preserve"> that corresponded to an </w:t>
      </w:r>
      <w:r w:rsidR="00D97C90">
        <w:rPr>
          <w:rFonts w:ascii="Times New Roman" w:eastAsia="Times New Roman" w:hAnsi="Times New Roman" w:cs="Times New Roman"/>
          <w:sz w:val="24"/>
          <w:szCs w:val="24"/>
        </w:rPr>
        <w:t>expanded margin of the UFF and a</w:t>
      </w:r>
      <w:r w:rsidR="00411E9E">
        <w:rPr>
          <w:rFonts w:ascii="Times New Roman" w:eastAsia="Times New Roman" w:hAnsi="Times New Roman" w:cs="Times New Roman"/>
          <w:sz w:val="24"/>
          <w:szCs w:val="24"/>
        </w:rPr>
        <w:t>n equivalent area of the</w:t>
      </w:r>
      <w:r w:rsidR="00D97C90">
        <w:rPr>
          <w:rFonts w:ascii="Times New Roman" w:eastAsia="Times New Roman" w:hAnsi="Times New Roman" w:cs="Times New Roman"/>
          <w:sz w:val="24"/>
          <w:szCs w:val="24"/>
        </w:rPr>
        <w:t xml:space="preserve"> lawn for 64</w:t>
      </w:r>
      <w:r w:rsidR="008157CE">
        <w:rPr>
          <w:rFonts w:ascii="Times New Roman" w:eastAsia="Times New Roman" w:hAnsi="Times New Roman" w:cs="Times New Roman"/>
          <w:sz w:val="24"/>
          <w:szCs w:val="24"/>
        </w:rPr>
        <w:t xml:space="preserve"> sampling locations</w:t>
      </w:r>
      <w:r w:rsidR="00411E9E">
        <w:rPr>
          <w:rFonts w:ascii="Times New Roman" w:eastAsia="Times New Roman" w:hAnsi="Times New Roman" w:cs="Times New Roman"/>
          <w:sz w:val="24"/>
          <w:szCs w:val="24"/>
        </w:rPr>
        <w:t>. At all locations, we measured</w:t>
      </w:r>
      <w:r>
        <w:rPr>
          <w:rFonts w:ascii="Times New Roman" w:eastAsia="Times New Roman" w:hAnsi="Times New Roman" w:cs="Times New Roman"/>
          <w:sz w:val="24"/>
          <w:szCs w:val="24"/>
        </w:rPr>
        <w:t xml:space="preserve"> soil bu</w:t>
      </w:r>
      <w:r w:rsidR="00411E9E">
        <w:rPr>
          <w:rFonts w:ascii="Times New Roman" w:eastAsia="Times New Roman" w:hAnsi="Times New Roman" w:cs="Times New Roman"/>
          <w:sz w:val="24"/>
          <w:szCs w:val="24"/>
        </w:rPr>
        <w:t xml:space="preserve">lk density (SBD) </w:t>
      </w:r>
      <w:r w:rsidR="00003022">
        <w:rPr>
          <w:rFonts w:ascii="Times New Roman" w:eastAsia="Times New Roman" w:hAnsi="Times New Roman" w:cs="Times New Roman"/>
          <w:sz w:val="24"/>
          <w:szCs w:val="24"/>
        </w:rPr>
        <w:t xml:space="preserve">in every stratum </w:t>
      </w:r>
      <w:r w:rsidR="00312CAF">
        <w:rPr>
          <w:rFonts w:ascii="Times New Roman" w:eastAsia="Times New Roman" w:hAnsi="Times New Roman" w:cs="Times New Roman"/>
          <w:sz w:val="24"/>
          <w:szCs w:val="24"/>
        </w:rPr>
        <w:t>(</w:t>
      </w:r>
      <w:r w:rsidR="00312CAF" w:rsidRPr="00522B09">
        <w:rPr>
          <w:rFonts w:ascii="Times New Roman" w:eastAsia="Times New Roman" w:hAnsi="Times New Roman" w:cs="Times New Roman"/>
          <w:i/>
          <w:sz w:val="24"/>
          <w:szCs w:val="24"/>
        </w:rPr>
        <w:t>n</w:t>
      </w:r>
      <w:r w:rsidR="00312CAF">
        <w:rPr>
          <w:rFonts w:ascii="Times New Roman" w:eastAsia="Times New Roman" w:hAnsi="Times New Roman" w:cs="Times New Roman"/>
          <w:sz w:val="24"/>
          <w:szCs w:val="24"/>
        </w:rPr>
        <w:t>=</w:t>
      </w:r>
      <w:r w:rsidR="007C4764">
        <w:rPr>
          <w:rFonts w:ascii="Times New Roman" w:eastAsia="Times New Roman" w:hAnsi="Times New Roman" w:cs="Times New Roman"/>
          <w:sz w:val="24"/>
          <w:szCs w:val="24"/>
        </w:rPr>
        <w:t>160</w:t>
      </w:r>
      <w:r w:rsidR="00312CAF">
        <w:rPr>
          <w:rFonts w:ascii="Times New Roman" w:eastAsia="Times New Roman" w:hAnsi="Times New Roman" w:cs="Times New Roman"/>
          <w:sz w:val="24"/>
          <w:szCs w:val="24"/>
        </w:rPr>
        <w:t>)</w:t>
      </w:r>
      <w:r w:rsidR="00003022">
        <w:rPr>
          <w:rFonts w:ascii="Times New Roman" w:eastAsia="Times New Roman" w:hAnsi="Times New Roman" w:cs="Times New Roman"/>
          <w:sz w:val="24"/>
          <w:szCs w:val="24"/>
        </w:rPr>
        <w:t xml:space="preserve">. We also measured </w:t>
      </w:r>
      <w:r w:rsidR="00411E9E">
        <w:rPr>
          <w:rFonts w:ascii="Times New Roman" w:eastAsia="Times New Roman" w:hAnsi="Times New Roman" w:cs="Times New Roman"/>
          <w:sz w:val="24"/>
          <w:szCs w:val="24"/>
        </w:rPr>
        <w:t xml:space="preserve">soil respiration </w:t>
      </w:r>
      <w:r w:rsidR="00003022">
        <w:rPr>
          <w:rFonts w:ascii="Times New Roman" w:eastAsia="Times New Roman" w:hAnsi="Times New Roman" w:cs="Times New Roman"/>
          <w:sz w:val="24"/>
          <w:szCs w:val="24"/>
        </w:rPr>
        <w:t>at every locati</w:t>
      </w:r>
      <w:r w:rsidR="000E1B28">
        <w:rPr>
          <w:rFonts w:ascii="Times New Roman" w:eastAsia="Times New Roman" w:hAnsi="Times New Roman" w:cs="Times New Roman"/>
          <w:sz w:val="24"/>
          <w:szCs w:val="24"/>
        </w:rPr>
        <w:t xml:space="preserve">on </w:t>
      </w:r>
      <w:r w:rsidR="00221CD1">
        <w:rPr>
          <w:rFonts w:ascii="Times New Roman" w:eastAsia="Times New Roman" w:hAnsi="Times New Roman" w:cs="Times New Roman"/>
          <w:sz w:val="24"/>
          <w:szCs w:val="24"/>
        </w:rPr>
        <w:t>and stratum except for the lowest</w:t>
      </w:r>
      <w:r w:rsidR="00312CAF">
        <w:rPr>
          <w:rFonts w:ascii="Times New Roman" w:eastAsia="Times New Roman" w:hAnsi="Times New Roman" w:cs="Times New Roman"/>
          <w:sz w:val="24"/>
          <w:szCs w:val="24"/>
        </w:rPr>
        <w:t xml:space="preserve"> (</w:t>
      </w:r>
      <w:r w:rsidR="00312CAF" w:rsidRPr="00522B09">
        <w:rPr>
          <w:rFonts w:ascii="Times New Roman" w:eastAsia="Times New Roman" w:hAnsi="Times New Roman" w:cs="Times New Roman"/>
          <w:i/>
          <w:sz w:val="24"/>
          <w:szCs w:val="24"/>
        </w:rPr>
        <w:t>n</w:t>
      </w:r>
      <w:r w:rsidR="00312CAF">
        <w:rPr>
          <w:rFonts w:ascii="Times New Roman" w:eastAsia="Times New Roman" w:hAnsi="Times New Roman" w:cs="Times New Roman"/>
          <w:sz w:val="24"/>
          <w:szCs w:val="24"/>
        </w:rPr>
        <w:t>=96)</w:t>
      </w:r>
      <w:r w:rsidR="00003022">
        <w:rPr>
          <w:rFonts w:ascii="Times New Roman" w:eastAsia="Times New Roman" w:hAnsi="Times New Roman" w:cs="Times New Roman"/>
          <w:sz w:val="24"/>
          <w:szCs w:val="24"/>
        </w:rPr>
        <w:t xml:space="preserve">. </w:t>
      </w:r>
    </w:p>
    <w:p w14:paraId="7955B31E" w14:textId="50925E9B" w:rsidR="00656029" w:rsidRDefault="00411E9E" w:rsidP="00E775ED">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For soil nutrients and microbial diversity, we used different sampling approaches. In a random subset of 20 sites from each area</w:t>
      </w:r>
      <w:r w:rsidR="000828C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we collected additional soil samples that we physically </w:t>
      </w:r>
      <w:r w:rsidR="003C5746">
        <w:rPr>
          <w:rFonts w:ascii="Times New Roman" w:eastAsia="Times New Roman" w:hAnsi="Times New Roman" w:cs="Times New Roman"/>
          <w:sz w:val="24"/>
          <w:szCs w:val="24"/>
        </w:rPr>
        <w:t xml:space="preserve">aggregated and analyzed for soil nutrient concentrations. Finally, </w:t>
      </w:r>
      <w:r>
        <w:rPr>
          <w:rFonts w:ascii="Times New Roman" w:eastAsia="Times New Roman" w:hAnsi="Times New Roman" w:cs="Times New Roman"/>
          <w:sz w:val="24"/>
          <w:szCs w:val="24"/>
        </w:rPr>
        <w:t xml:space="preserve">we leveraged preliminary results from the soil </w:t>
      </w:r>
      <w:r w:rsidR="00312CAF">
        <w:rPr>
          <w:rFonts w:ascii="Times New Roman" w:eastAsia="Times New Roman" w:hAnsi="Times New Roman" w:cs="Times New Roman"/>
          <w:sz w:val="24"/>
          <w:szCs w:val="24"/>
        </w:rPr>
        <w:t xml:space="preserve">C </w:t>
      </w:r>
      <w:r w:rsidR="000E1B28">
        <w:rPr>
          <w:rFonts w:ascii="Times New Roman" w:eastAsia="Times New Roman" w:hAnsi="Times New Roman" w:cs="Times New Roman"/>
          <w:sz w:val="24"/>
          <w:szCs w:val="24"/>
        </w:rPr>
        <w:t>analysis to identify six</w:t>
      </w:r>
      <w:r w:rsidR="00312CAF">
        <w:rPr>
          <w:rFonts w:ascii="Times New Roman" w:eastAsia="Times New Roman" w:hAnsi="Times New Roman" w:cs="Times New Roman"/>
          <w:sz w:val="24"/>
          <w:szCs w:val="24"/>
        </w:rPr>
        <w:t xml:space="preserve"> sampling locations—</w:t>
      </w:r>
      <w:r>
        <w:rPr>
          <w:rFonts w:ascii="Times New Roman" w:eastAsia="Times New Roman" w:hAnsi="Times New Roman" w:cs="Times New Roman"/>
          <w:sz w:val="24"/>
          <w:szCs w:val="24"/>
        </w:rPr>
        <w:t>four</w:t>
      </w:r>
      <w:r w:rsidR="00312CAF">
        <w:rPr>
          <w:rFonts w:ascii="Times New Roman" w:eastAsia="Times New Roman" w:hAnsi="Times New Roman" w:cs="Times New Roman"/>
          <w:sz w:val="24"/>
          <w:szCs w:val="24"/>
        </w:rPr>
        <w:t xml:space="preserve"> in the UFF and 2 in the lawn—</w:t>
      </w:r>
      <w:r>
        <w:rPr>
          <w:rFonts w:ascii="Times New Roman" w:eastAsia="Times New Roman" w:hAnsi="Times New Roman" w:cs="Times New Roman"/>
          <w:sz w:val="24"/>
          <w:szCs w:val="24"/>
        </w:rPr>
        <w:t>from</w:t>
      </w:r>
      <w:r w:rsidR="00312CA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which we remeasured soil nutrients along with microbial diversity. For a summa</w:t>
      </w:r>
      <w:r w:rsidR="00312CAF">
        <w:rPr>
          <w:rFonts w:ascii="Times New Roman" w:eastAsia="Times New Roman" w:hAnsi="Times New Roman" w:cs="Times New Roman"/>
          <w:sz w:val="24"/>
          <w:szCs w:val="24"/>
        </w:rPr>
        <w:t>ry of the sampling strategy for each dataset and analysis</w:t>
      </w:r>
      <w:r w:rsidR="00221CD1">
        <w:rPr>
          <w:rFonts w:ascii="Times New Roman" w:eastAsia="Times New Roman" w:hAnsi="Times New Roman" w:cs="Times New Roman"/>
          <w:sz w:val="24"/>
          <w:szCs w:val="24"/>
        </w:rPr>
        <w:t>,</w:t>
      </w:r>
      <w:r w:rsidR="00312CAF">
        <w:rPr>
          <w:rFonts w:ascii="Times New Roman" w:eastAsia="Times New Roman" w:hAnsi="Times New Roman" w:cs="Times New Roman"/>
          <w:sz w:val="24"/>
          <w:szCs w:val="24"/>
        </w:rPr>
        <w:t xml:space="preserve"> </w:t>
      </w:r>
      <w:r w:rsidR="000828C7">
        <w:rPr>
          <w:rFonts w:ascii="Times New Roman" w:eastAsia="Times New Roman" w:hAnsi="Times New Roman" w:cs="Times New Roman"/>
          <w:sz w:val="24"/>
          <w:szCs w:val="24"/>
        </w:rPr>
        <w:t>refer to T</w:t>
      </w:r>
      <w:r>
        <w:rPr>
          <w:rFonts w:ascii="Times New Roman" w:eastAsia="Times New Roman" w:hAnsi="Times New Roman" w:cs="Times New Roman"/>
          <w:sz w:val="24"/>
          <w:szCs w:val="24"/>
        </w:rPr>
        <w:t>able S2.</w:t>
      </w:r>
    </w:p>
    <w:p w14:paraId="385CDD2E" w14:textId="1E9DFA8C" w:rsidR="00656029" w:rsidRDefault="00656029">
      <w:pPr>
        <w:spacing w:line="480" w:lineRule="auto"/>
        <w:rPr>
          <w:rFonts w:ascii="Times New Roman" w:eastAsia="Times New Roman" w:hAnsi="Times New Roman" w:cs="Times New Roman"/>
          <w:i/>
          <w:sz w:val="24"/>
          <w:szCs w:val="24"/>
        </w:rPr>
      </w:pPr>
      <w:r w:rsidRPr="00E775ED">
        <w:rPr>
          <w:rFonts w:ascii="Times New Roman" w:eastAsia="Times New Roman" w:hAnsi="Times New Roman" w:cs="Times New Roman"/>
          <w:i/>
          <w:sz w:val="24"/>
          <w:szCs w:val="24"/>
        </w:rPr>
        <w:t xml:space="preserve">Soil </w:t>
      </w:r>
      <w:r w:rsidR="007C4764">
        <w:rPr>
          <w:rFonts w:ascii="Times New Roman" w:eastAsia="Times New Roman" w:hAnsi="Times New Roman" w:cs="Times New Roman"/>
          <w:i/>
          <w:sz w:val="24"/>
          <w:szCs w:val="24"/>
        </w:rPr>
        <w:t>C</w:t>
      </w:r>
      <w:r w:rsidRPr="00E775ED">
        <w:rPr>
          <w:rFonts w:ascii="Times New Roman" w:eastAsia="Times New Roman" w:hAnsi="Times New Roman" w:cs="Times New Roman"/>
          <w:i/>
          <w:sz w:val="24"/>
          <w:szCs w:val="24"/>
        </w:rPr>
        <w:t xml:space="preserve"> measurements</w:t>
      </w:r>
      <w:r w:rsidR="00F17894">
        <w:rPr>
          <w:rFonts w:ascii="Times New Roman" w:eastAsia="Times New Roman" w:hAnsi="Times New Roman" w:cs="Times New Roman"/>
          <w:i/>
          <w:sz w:val="24"/>
          <w:szCs w:val="24"/>
        </w:rPr>
        <w:t xml:space="preserve">, </w:t>
      </w:r>
      <w:r w:rsidR="007214D4">
        <w:rPr>
          <w:rFonts w:ascii="Times New Roman" w:eastAsia="Times New Roman" w:hAnsi="Times New Roman" w:cs="Times New Roman"/>
          <w:i/>
          <w:sz w:val="24"/>
          <w:szCs w:val="24"/>
        </w:rPr>
        <w:t>calibration</w:t>
      </w:r>
      <w:r w:rsidR="00F17894">
        <w:rPr>
          <w:rFonts w:ascii="Times New Roman" w:eastAsia="Times New Roman" w:hAnsi="Times New Roman" w:cs="Times New Roman"/>
          <w:i/>
          <w:sz w:val="24"/>
          <w:szCs w:val="24"/>
        </w:rPr>
        <w:t xml:space="preserve"> and projection</w:t>
      </w:r>
    </w:p>
    <w:p w14:paraId="308C418C" w14:textId="3E2340AC" w:rsidR="007401DA" w:rsidRDefault="00656029" w:rsidP="007401DA">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During the 2017 campaign, we air-</w:t>
      </w:r>
      <w:r w:rsidRPr="00C14D16">
        <w:rPr>
          <w:rFonts w:ascii="Times New Roman" w:eastAsia="Times New Roman" w:hAnsi="Times New Roman" w:cs="Times New Roman"/>
          <w:sz w:val="24"/>
          <w:szCs w:val="24"/>
        </w:rPr>
        <w:t xml:space="preserve">dried </w:t>
      </w:r>
      <w:r w:rsidR="007C4764">
        <w:rPr>
          <w:rFonts w:ascii="Times New Roman" w:eastAsia="Times New Roman" w:hAnsi="Times New Roman" w:cs="Times New Roman"/>
          <w:sz w:val="24"/>
          <w:szCs w:val="24"/>
        </w:rPr>
        <w:t>all 140 samples to constant weight and analyzed them</w:t>
      </w:r>
      <w:r w:rsidRPr="00C14D16">
        <w:rPr>
          <w:rFonts w:ascii="Times New Roman" w:eastAsia="Times New Roman" w:hAnsi="Times New Roman" w:cs="Times New Roman"/>
          <w:sz w:val="24"/>
          <w:szCs w:val="24"/>
        </w:rPr>
        <w:t xml:space="preserve"> for organic carb</w:t>
      </w:r>
      <w:r>
        <w:rPr>
          <w:rFonts w:ascii="Times New Roman" w:eastAsia="Times New Roman" w:hAnsi="Times New Roman" w:cs="Times New Roman"/>
          <w:sz w:val="24"/>
          <w:szCs w:val="24"/>
        </w:rPr>
        <w:t xml:space="preserve">on (OC) </w:t>
      </w:r>
      <w:r w:rsidR="007C4764">
        <w:rPr>
          <w:rFonts w:ascii="Times New Roman" w:eastAsia="Times New Roman" w:hAnsi="Times New Roman" w:cs="Times New Roman"/>
          <w:sz w:val="24"/>
          <w:szCs w:val="24"/>
        </w:rPr>
        <w:t xml:space="preserve">content (%) </w:t>
      </w:r>
      <w:r>
        <w:rPr>
          <w:rFonts w:ascii="Times New Roman" w:eastAsia="Times New Roman" w:hAnsi="Times New Roman" w:cs="Times New Roman"/>
          <w:sz w:val="24"/>
          <w:szCs w:val="24"/>
        </w:rPr>
        <w:t xml:space="preserve">using </w:t>
      </w:r>
      <w:r w:rsidRPr="00C14D16">
        <w:rPr>
          <w:rFonts w:ascii="Times New Roman" w:eastAsia="Times New Roman" w:hAnsi="Times New Roman" w:cs="Times New Roman"/>
          <w:sz w:val="24"/>
          <w:szCs w:val="24"/>
        </w:rPr>
        <w:t xml:space="preserve">chromic acid wet </w:t>
      </w:r>
      <w:r>
        <w:rPr>
          <w:rFonts w:ascii="Times New Roman" w:eastAsia="Times New Roman" w:hAnsi="Times New Roman" w:cs="Times New Roman"/>
          <w:sz w:val="24"/>
          <w:szCs w:val="24"/>
        </w:rPr>
        <w:t xml:space="preserve">oxidation </w:t>
      </w:r>
      <w:r>
        <w:rPr>
          <w:rFonts w:ascii="Times New Roman" w:eastAsia="Times New Roman" w:hAnsi="Times New Roman" w:cs="Times New Roman"/>
          <w:sz w:val="24"/>
          <w:szCs w:val="24"/>
        </w:rPr>
        <w:fldChar w:fldCharType="begin" w:fldLock="1"/>
      </w:r>
      <w:r>
        <w:rPr>
          <w:rFonts w:ascii="Times New Roman" w:eastAsia="Times New Roman" w:hAnsi="Times New Roman" w:cs="Times New Roman"/>
          <w:sz w:val="24"/>
          <w:szCs w:val="24"/>
        </w:rPr>
        <w:instrText>ADDIN CSL_CITATION {"citationItems":[{"id":"ITEM-1","itemData":{"DOI":"10.1097/00010694-193401000-00003","ISSN":"15389243","author":[{"dropping-particle":"","family":"Walkley","given":"A.","non-dropping-particle":"","parse-names":false,"suffix":""},{"dropping-particle":"","family":"Black","given":"I. Armstrong","non-dropping-particle":"","parse-names":false,"suffix":""}],"container-title":"Soil Science","id":"ITEM-1","issue":"1","issued":{"date-parts":[["1934"]]},"title":"An examination of the degtjareff method for determining soil organic matter, and a proposed modification of the chromic acid titration method","type":"article-journal","volume":"37"},"uris":["http://www.mendeley.com/documents/?uuid=6b866442-c860-3748-b730-61c57fa8c369"]}],"mendeley":{"formattedCitation":"(Walkley and Black, 1934)","plainTextFormattedCitation":"(Walkley and Black, 1934)"},"properties":{"noteIndex":0},"schema":"https://github.com/citation-style-language/schema/raw/master/csl-citation.json"}</w:instrText>
      </w:r>
      <w:r>
        <w:rPr>
          <w:rFonts w:ascii="Times New Roman" w:eastAsia="Times New Roman" w:hAnsi="Times New Roman" w:cs="Times New Roman"/>
          <w:sz w:val="24"/>
          <w:szCs w:val="24"/>
        </w:rPr>
        <w:fldChar w:fldCharType="separate"/>
      </w:r>
      <w:r w:rsidRPr="009C03F2">
        <w:rPr>
          <w:rFonts w:ascii="Times New Roman" w:eastAsia="Times New Roman" w:hAnsi="Times New Roman" w:cs="Times New Roman"/>
          <w:noProof/>
          <w:sz w:val="24"/>
          <w:szCs w:val="24"/>
        </w:rPr>
        <w:t>(Walkley and Black, 1934)</w:t>
      </w:r>
      <w:r>
        <w:rPr>
          <w:rFonts w:ascii="Times New Roman" w:eastAsia="Times New Roman" w:hAnsi="Times New Roman" w:cs="Times New Roman"/>
          <w:sz w:val="24"/>
          <w:szCs w:val="24"/>
        </w:rPr>
        <w:fldChar w:fldCharType="end"/>
      </w:r>
      <w:r w:rsidRPr="00C14D1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During the 2019 campaign, </w:t>
      </w:r>
      <w:r w:rsidR="007401DA">
        <w:rPr>
          <w:rFonts w:ascii="Times New Roman" w:eastAsia="Times New Roman" w:hAnsi="Times New Roman" w:cs="Times New Roman"/>
          <w:sz w:val="24"/>
          <w:szCs w:val="24"/>
        </w:rPr>
        <w:t xml:space="preserve">we </w:t>
      </w:r>
      <w:r w:rsidRPr="00C14D16">
        <w:rPr>
          <w:rFonts w:ascii="Times New Roman" w:eastAsia="Times New Roman" w:hAnsi="Times New Roman" w:cs="Times New Roman"/>
          <w:sz w:val="24"/>
          <w:szCs w:val="24"/>
        </w:rPr>
        <w:t xml:space="preserve">transferred </w:t>
      </w:r>
      <w:r w:rsidR="007C4764">
        <w:rPr>
          <w:rFonts w:ascii="Times New Roman" w:eastAsia="Times New Roman" w:hAnsi="Times New Roman" w:cs="Times New Roman"/>
          <w:sz w:val="24"/>
          <w:szCs w:val="24"/>
        </w:rPr>
        <w:t xml:space="preserve">all 160 samples </w:t>
      </w:r>
      <w:r w:rsidRPr="00C14D16">
        <w:rPr>
          <w:rFonts w:ascii="Times New Roman" w:eastAsia="Times New Roman" w:hAnsi="Times New Roman" w:cs="Times New Roman"/>
          <w:sz w:val="24"/>
          <w:szCs w:val="24"/>
        </w:rPr>
        <w:t xml:space="preserve">to sealed polyethylene bags </w:t>
      </w:r>
      <w:r w:rsidR="00BD62D7">
        <w:rPr>
          <w:rFonts w:ascii="Times New Roman" w:eastAsia="Times New Roman" w:hAnsi="Times New Roman" w:cs="Times New Roman"/>
          <w:sz w:val="24"/>
          <w:szCs w:val="24"/>
        </w:rPr>
        <w:t>for storage up to two days at 4°C</w:t>
      </w:r>
      <w:r w:rsidR="007401DA">
        <w:rPr>
          <w:rFonts w:ascii="Times New Roman" w:eastAsia="Times New Roman" w:hAnsi="Times New Roman" w:cs="Times New Roman"/>
          <w:sz w:val="24"/>
          <w:szCs w:val="24"/>
        </w:rPr>
        <w:t xml:space="preserve">. After measuring soil respiration from a subset of samples, </w:t>
      </w:r>
      <w:r w:rsidR="00312CAF">
        <w:rPr>
          <w:rFonts w:ascii="Times New Roman" w:eastAsia="Times New Roman" w:hAnsi="Times New Roman" w:cs="Times New Roman"/>
          <w:sz w:val="24"/>
          <w:szCs w:val="24"/>
        </w:rPr>
        <w:t xml:space="preserve">we dried samples to </w:t>
      </w:r>
      <w:r w:rsidR="007401DA" w:rsidRPr="00C14D16">
        <w:rPr>
          <w:rFonts w:ascii="Times New Roman" w:eastAsia="Times New Roman" w:hAnsi="Times New Roman" w:cs="Times New Roman"/>
          <w:sz w:val="24"/>
          <w:szCs w:val="24"/>
        </w:rPr>
        <w:t>105°C for a minimum of 8 ho</w:t>
      </w:r>
      <w:r w:rsidR="007401DA">
        <w:rPr>
          <w:rFonts w:ascii="Times New Roman" w:eastAsia="Times New Roman" w:hAnsi="Times New Roman" w:cs="Times New Roman"/>
          <w:sz w:val="24"/>
          <w:szCs w:val="24"/>
        </w:rPr>
        <w:t>urs</w:t>
      </w:r>
      <w:r w:rsidR="00312CAF">
        <w:rPr>
          <w:rFonts w:ascii="Times New Roman" w:eastAsia="Times New Roman" w:hAnsi="Times New Roman" w:cs="Times New Roman"/>
          <w:sz w:val="24"/>
          <w:szCs w:val="24"/>
        </w:rPr>
        <w:t xml:space="preserve"> and </w:t>
      </w:r>
      <w:r w:rsidR="00312CAF" w:rsidRPr="00C14D16">
        <w:rPr>
          <w:rFonts w:ascii="Times New Roman" w:eastAsia="Times New Roman" w:hAnsi="Times New Roman" w:cs="Times New Roman"/>
          <w:sz w:val="24"/>
          <w:szCs w:val="24"/>
        </w:rPr>
        <w:t xml:space="preserve">calculated </w:t>
      </w:r>
      <w:r w:rsidR="00312CAF">
        <w:rPr>
          <w:rFonts w:ascii="Times New Roman" w:eastAsia="Times New Roman" w:hAnsi="Times New Roman" w:cs="Times New Roman"/>
          <w:sz w:val="24"/>
          <w:szCs w:val="24"/>
        </w:rPr>
        <w:t xml:space="preserve">Soil Bulk Density (SBD) </w:t>
      </w:r>
      <w:r w:rsidR="000828C7">
        <w:rPr>
          <w:rFonts w:ascii="Times New Roman" w:eastAsia="Times New Roman" w:hAnsi="Times New Roman" w:cs="Times New Roman"/>
          <w:sz w:val="24"/>
          <w:szCs w:val="24"/>
        </w:rPr>
        <w:t xml:space="preserve">as the ratio of sample dry mass to </w:t>
      </w:r>
      <w:r w:rsidR="00312CAF">
        <w:rPr>
          <w:rFonts w:ascii="Times New Roman" w:eastAsia="Times New Roman" w:hAnsi="Times New Roman" w:cs="Times New Roman"/>
          <w:sz w:val="24"/>
          <w:szCs w:val="24"/>
        </w:rPr>
        <w:t xml:space="preserve">fresh volume. We then </w:t>
      </w:r>
      <w:r w:rsidR="007401DA" w:rsidRPr="00C14D16">
        <w:rPr>
          <w:rFonts w:ascii="Times New Roman" w:eastAsia="Times New Roman" w:hAnsi="Times New Roman" w:cs="Times New Roman"/>
          <w:sz w:val="24"/>
          <w:szCs w:val="24"/>
        </w:rPr>
        <w:t>measured soil organic matter via loss on ignition (LOI). Specifically</w:t>
      </w:r>
      <w:r w:rsidR="007401DA">
        <w:rPr>
          <w:rFonts w:ascii="Times New Roman" w:eastAsia="Times New Roman" w:hAnsi="Times New Roman" w:cs="Times New Roman"/>
          <w:sz w:val="24"/>
          <w:szCs w:val="24"/>
        </w:rPr>
        <w:t>,</w:t>
      </w:r>
      <w:r w:rsidR="007401DA" w:rsidRPr="00C14D16">
        <w:rPr>
          <w:rFonts w:ascii="Times New Roman" w:eastAsia="Times New Roman" w:hAnsi="Times New Roman" w:cs="Times New Roman"/>
          <w:sz w:val="24"/>
          <w:szCs w:val="24"/>
        </w:rPr>
        <w:t xml:space="preserve"> we combusted up</w:t>
      </w:r>
      <w:r w:rsidR="007401DA">
        <w:rPr>
          <w:rFonts w:ascii="Times New Roman" w:eastAsia="Times New Roman" w:hAnsi="Times New Roman" w:cs="Times New Roman"/>
          <w:sz w:val="24"/>
          <w:szCs w:val="24"/>
        </w:rPr>
        <w:t xml:space="preserve"> </w:t>
      </w:r>
      <w:r w:rsidR="007401DA" w:rsidRPr="00C14D16">
        <w:rPr>
          <w:rFonts w:ascii="Times New Roman" w:eastAsia="Times New Roman" w:hAnsi="Times New Roman" w:cs="Times New Roman"/>
          <w:sz w:val="24"/>
          <w:szCs w:val="24"/>
        </w:rPr>
        <w:t>to 15 mL of dr</w:t>
      </w:r>
      <w:r w:rsidR="007401DA">
        <w:rPr>
          <w:rFonts w:ascii="Times New Roman" w:eastAsia="Times New Roman" w:hAnsi="Times New Roman" w:cs="Times New Roman"/>
          <w:sz w:val="24"/>
          <w:szCs w:val="24"/>
        </w:rPr>
        <w:t>ied sample for 4 hours at 550°C</w:t>
      </w:r>
      <w:r w:rsidR="007401DA" w:rsidRPr="00C14D16">
        <w:rPr>
          <w:rFonts w:ascii="Times New Roman" w:eastAsia="Times New Roman" w:hAnsi="Times New Roman" w:cs="Times New Roman"/>
          <w:sz w:val="24"/>
          <w:szCs w:val="24"/>
        </w:rPr>
        <w:t xml:space="preserve"> in a Lindberg Blue M muffle furnace (Fisher Scientific, Waltham MA). We calculated LOI as the ratio of the </w:t>
      </w:r>
      <w:r w:rsidR="00312CAF">
        <w:rPr>
          <w:rFonts w:ascii="Times New Roman" w:eastAsia="Times New Roman" w:hAnsi="Times New Roman" w:cs="Times New Roman"/>
          <w:sz w:val="24"/>
          <w:szCs w:val="24"/>
        </w:rPr>
        <w:t>combusted sample mass</w:t>
      </w:r>
      <w:r w:rsidR="007401DA" w:rsidRPr="00C14D16">
        <w:rPr>
          <w:rFonts w:ascii="Times New Roman" w:eastAsia="Times New Roman" w:hAnsi="Times New Roman" w:cs="Times New Roman"/>
          <w:sz w:val="24"/>
          <w:szCs w:val="24"/>
        </w:rPr>
        <w:t xml:space="preserve"> to its initial </w:t>
      </w:r>
      <w:r w:rsidR="007401DA">
        <w:rPr>
          <w:rFonts w:ascii="Times New Roman" w:eastAsia="Times New Roman" w:hAnsi="Times New Roman" w:cs="Times New Roman"/>
          <w:sz w:val="24"/>
          <w:szCs w:val="24"/>
        </w:rPr>
        <w:t xml:space="preserve">dry </w:t>
      </w:r>
      <w:r w:rsidR="007401DA" w:rsidRPr="00C14D16">
        <w:rPr>
          <w:rFonts w:ascii="Times New Roman" w:eastAsia="Times New Roman" w:hAnsi="Times New Roman" w:cs="Times New Roman"/>
          <w:sz w:val="24"/>
          <w:szCs w:val="24"/>
        </w:rPr>
        <w:t>mass.</w:t>
      </w:r>
    </w:p>
    <w:p w14:paraId="58AFCB27" w14:textId="5875CC1B" w:rsidR="007214D4" w:rsidRDefault="000828C7" w:rsidP="007401DA">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Because we measured different but related variables in each sampling campaign</w:t>
      </w:r>
      <w:r w:rsidR="00312CAF">
        <w:rPr>
          <w:rFonts w:ascii="Times New Roman" w:eastAsia="Times New Roman" w:hAnsi="Times New Roman" w:cs="Times New Roman"/>
          <w:sz w:val="24"/>
          <w:szCs w:val="24"/>
        </w:rPr>
        <w:t xml:space="preserve"> (OC in 2017; SBD and LOI in 2019)</w:t>
      </w:r>
      <w:r>
        <w:rPr>
          <w:rFonts w:ascii="Times New Roman" w:eastAsia="Times New Roman" w:hAnsi="Times New Roman" w:cs="Times New Roman"/>
          <w:sz w:val="24"/>
          <w:szCs w:val="24"/>
        </w:rPr>
        <w:t>, we generated calibration relatio</w:t>
      </w:r>
      <w:r w:rsidR="00BD62D7">
        <w:rPr>
          <w:rFonts w:ascii="Times New Roman" w:eastAsia="Times New Roman" w:hAnsi="Times New Roman" w:cs="Times New Roman"/>
          <w:sz w:val="24"/>
          <w:szCs w:val="24"/>
        </w:rPr>
        <w:t>nships using a stratified data</w:t>
      </w:r>
      <w:r>
        <w:rPr>
          <w:rFonts w:ascii="Times New Roman" w:eastAsia="Times New Roman" w:hAnsi="Times New Roman" w:cs="Times New Roman"/>
          <w:sz w:val="24"/>
          <w:szCs w:val="24"/>
        </w:rPr>
        <w:t>set</w:t>
      </w:r>
      <w:r w:rsidR="0003230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In 2019, we collected an additional </w:t>
      </w:r>
      <w:r w:rsidR="007401DA" w:rsidRPr="00C14D16">
        <w:rPr>
          <w:rFonts w:ascii="Times New Roman" w:eastAsia="Times New Roman" w:hAnsi="Times New Roman" w:cs="Times New Roman"/>
          <w:sz w:val="24"/>
          <w:szCs w:val="24"/>
        </w:rPr>
        <w:t>15 samples representing the highest, lowest, and approximate mean LOI fr</w:t>
      </w:r>
      <w:r>
        <w:rPr>
          <w:rFonts w:ascii="Times New Roman" w:eastAsia="Times New Roman" w:hAnsi="Times New Roman" w:cs="Times New Roman"/>
          <w:sz w:val="24"/>
          <w:szCs w:val="24"/>
        </w:rPr>
        <w:t xml:space="preserve">om each stratum </w:t>
      </w:r>
      <w:r w:rsidR="0089401E">
        <w:rPr>
          <w:rFonts w:ascii="Times New Roman" w:eastAsia="Times New Roman" w:hAnsi="Times New Roman" w:cs="Times New Roman"/>
          <w:sz w:val="24"/>
          <w:szCs w:val="24"/>
        </w:rPr>
        <w:t>and area, where</w:t>
      </w:r>
      <w:r w:rsidR="007401DA" w:rsidRPr="00C14D16">
        <w:rPr>
          <w:rFonts w:ascii="Times New Roman" w:eastAsia="Times New Roman" w:hAnsi="Times New Roman" w:cs="Times New Roman"/>
          <w:sz w:val="24"/>
          <w:szCs w:val="24"/>
        </w:rPr>
        <w:t xml:space="preserve"> we </w:t>
      </w:r>
      <w:r w:rsidR="00BD62D7">
        <w:rPr>
          <w:rFonts w:ascii="Times New Roman" w:eastAsia="Times New Roman" w:hAnsi="Times New Roman" w:cs="Times New Roman"/>
          <w:sz w:val="24"/>
          <w:szCs w:val="24"/>
        </w:rPr>
        <w:t>measured</w:t>
      </w:r>
      <w:r w:rsidR="007401DA" w:rsidRPr="00C14D16">
        <w:rPr>
          <w:rFonts w:ascii="Times New Roman" w:eastAsia="Times New Roman" w:hAnsi="Times New Roman" w:cs="Times New Roman"/>
          <w:sz w:val="24"/>
          <w:szCs w:val="24"/>
        </w:rPr>
        <w:t xml:space="preserve"> SBD and LOI using</w:t>
      </w:r>
      <w:r w:rsidR="007401DA">
        <w:rPr>
          <w:rFonts w:ascii="Times New Roman" w:eastAsia="Times New Roman" w:hAnsi="Times New Roman" w:cs="Times New Roman"/>
          <w:sz w:val="24"/>
          <w:szCs w:val="24"/>
        </w:rPr>
        <w:t xml:space="preserve"> the methodology described above</w:t>
      </w:r>
      <w:r w:rsidR="007214D4">
        <w:rPr>
          <w:rFonts w:ascii="Times New Roman" w:eastAsia="Times New Roman" w:hAnsi="Times New Roman" w:cs="Times New Roman"/>
          <w:sz w:val="24"/>
          <w:szCs w:val="24"/>
        </w:rPr>
        <w:t xml:space="preserve"> and Walkley</w:t>
      </w:r>
      <w:r w:rsidR="007401DA" w:rsidRPr="00C14D16">
        <w:rPr>
          <w:rFonts w:ascii="Times New Roman" w:eastAsia="Times New Roman" w:hAnsi="Times New Roman" w:cs="Times New Roman"/>
          <w:sz w:val="24"/>
          <w:szCs w:val="24"/>
        </w:rPr>
        <w:t>-Black OC using the same analytical lab as in 2017</w:t>
      </w:r>
      <w:r w:rsidR="00032304">
        <w:rPr>
          <w:rFonts w:ascii="Times New Roman" w:eastAsia="Times New Roman" w:hAnsi="Times New Roman" w:cs="Times New Roman"/>
          <w:sz w:val="24"/>
          <w:szCs w:val="24"/>
        </w:rPr>
        <w:t xml:space="preserve"> (Figure S1)</w:t>
      </w:r>
      <w:r w:rsidR="007401DA" w:rsidRPr="00C14D16">
        <w:rPr>
          <w:rFonts w:ascii="Times New Roman" w:eastAsia="Times New Roman" w:hAnsi="Times New Roman" w:cs="Times New Roman"/>
          <w:sz w:val="24"/>
          <w:szCs w:val="24"/>
        </w:rPr>
        <w:t>. To identify the m</w:t>
      </w:r>
      <w:r w:rsidR="0089401E">
        <w:rPr>
          <w:rFonts w:ascii="Times New Roman" w:eastAsia="Times New Roman" w:hAnsi="Times New Roman" w:cs="Times New Roman"/>
          <w:sz w:val="24"/>
          <w:szCs w:val="24"/>
        </w:rPr>
        <w:t>ost adequate</w:t>
      </w:r>
      <w:r w:rsidR="007401DA" w:rsidRPr="00C14D16">
        <w:rPr>
          <w:rFonts w:ascii="Times New Roman" w:eastAsia="Times New Roman" w:hAnsi="Times New Roman" w:cs="Times New Roman"/>
          <w:sz w:val="24"/>
          <w:szCs w:val="24"/>
        </w:rPr>
        <w:t xml:space="preserve"> </w:t>
      </w:r>
      <w:r w:rsidR="0089401E">
        <w:rPr>
          <w:rFonts w:ascii="Times New Roman" w:eastAsia="Times New Roman" w:hAnsi="Times New Roman" w:cs="Times New Roman"/>
          <w:sz w:val="24"/>
          <w:szCs w:val="24"/>
        </w:rPr>
        <w:t xml:space="preserve">calibration relationships, </w:t>
      </w:r>
      <w:r w:rsidR="007401DA" w:rsidRPr="00C14D16">
        <w:rPr>
          <w:rFonts w:ascii="Times New Roman" w:eastAsia="Times New Roman" w:hAnsi="Times New Roman" w:cs="Times New Roman"/>
          <w:sz w:val="24"/>
          <w:szCs w:val="24"/>
        </w:rPr>
        <w:t>we used</w:t>
      </w:r>
      <w:r w:rsidR="007401DA">
        <w:rPr>
          <w:rFonts w:ascii="Times New Roman" w:eastAsia="Times New Roman" w:hAnsi="Times New Roman" w:cs="Times New Roman"/>
          <w:sz w:val="24"/>
          <w:szCs w:val="24"/>
        </w:rPr>
        <w:t xml:space="preserve"> the function “lm” in R-package</w:t>
      </w:r>
      <w:r w:rsidR="007401DA" w:rsidRPr="00C14D16">
        <w:rPr>
          <w:rFonts w:ascii="Times New Roman" w:eastAsia="Times New Roman" w:hAnsi="Times New Roman" w:cs="Times New Roman"/>
          <w:sz w:val="24"/>
          <w:szCs w:val="24"/>
        </w:rPr>
        <w:t xml:space="preserve"> “stats” to fit pairwise regressions between original and log-transformed values of OC and LOI as well as between SBD and OC while including every combination of area, stratum and their interactions as covariates. We selecting the </w:t>
      </w:r>
      <w:r w:rsidR="00BD62D7">
        <w:rPr>
          <w:rFonts w:ascii="Times New Roman" w:eastAsia="Times New Roman" w:hAnsi="Times New Roman" w:cs="Times New Roman"/>
          <w:sz w:val="24"/>
          <w:szCs w:val="24"/>
        </w:rPr>
        <w:t>functional form of the relationship</w:t>
      </w:r>
      <w:r w:rsidR="007401DA" w:rsidRPr="00C14D16">
        <w:rPr>
          <w:rFonts w:ascii="Times New Roman" w:eastAsia="Times New Roman" w:hAnsi="Times New Roman" w:cs="Times New Roman"/>
          <w:sz w:val="24"/>
          <w:szCs w:val="24"/>
        </w:rPr>
        <w:t xml:space="preserve"> with the lowest AIC (Table S</w:t>
      </w:r>
      <w:r w:rsidR="007401DA">
        <w:rPr>
          <w:rFonts w:ascii="Times New Roman" w:eastAsia="Times New Roman" w:hAnsi="Times New Roman" w:cs="Times New Roman"/>
          <w:sz w:val="24"/>
          <w:szCs w:val="24"/>
        </w:rPr>
        <w:t>3</w:t>
      </w:r>
      <w:r w:rsidR="000E1B28">
        <w:rPr>
          <w:rFonts w:ascii="Times New Roman" w:eastAsia="Times New Roman" w:hAnsi="Times New Roman" w:cs="Times New Roman"/>
          <w:sz w:val="24"/>
          <w:szCs w:val="24"/>
        </w:rPr>
        <w:t>) for further analysis.</w:t>
      </w:r>
    </w:p>
    <w:p w14:paraId="0A064D1D" w14:textId="1FEB3294" w:rsidR="00BD62D7" w:rsidRDefault="0089401E" w:rsidP="00E775ED">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U</w:t>
      </w:r>
      <w:r w:rsidR="007214D4" w:rsidRPr="00C14D16">
        <w:rPr>
          <w:rFonts w:ascii="Times New Roman" w:eastAsia="Times New Roman" w:hAnsi="Times New Roman" w:cs="Times New Roman"/>
          <w:sz w:val="24"/>
          <w:szCs w:val="24"/>
        </w:rPr>
        <w:t xml:space="preserve">ncertainty from calibration curves and spatial autocorrelation </w:t>
      </w:r>
      <w:r>
        <w:rPr>
          <w:rFonts w:ascii="Times New Roman" w:eastAsia="Times New Roman" w:hAnsi="Times New Roman" w:cs="Times New Roman"/>
          <w:sz w:val="24"/>
          <w:szCs w:val="24"/>
        </w:rPr>
        <w:t>are common in soil C analyses and BACI designs</w:t>
      </w:r>
      <w:r w:rsidR="007214D4" w:rsidRPr="00C14D16">
        <w:rPr>
          <w:rFonts w:ascii="Times New Roman" w:eastAsia="Times New Roman" w:hAnsi="Times New Roman" w:cs="Times New Roman"/>
          <w:sz w:val="24"/>
          <w:szCs w:val="24"/>
        </w:rPr>
        <w:t>. To address each of these complications in a coherent statistical framework, we used a Hierarchical Bayesian (HB) approach. HB models are modular and integrate uncertainty from multiple sources</w:t>
      </w:r>
      <w:r>
        <w:rPr>
          <w:rFonts w:ascii="Times New Roman" w:eastAsia="Times New Roman" w:hAnsi="Times New Roman" w:cs="Times New Roman"/>
          <w:sz w:val="24"/>
          <w:szCs w:val="24"/>
        </w:rPr>
        <w:t xml:space="preserve"> </w:t>
      </w:r>
      <w:r w:rsidR="007214D4" w:rsidRPr="00C14D16">
        <w:rPr>
          <w:rFonts w:ascii="Times New Roman" w:eastAsia="Times New Roman" w:hAnsi="Times New Roman" w:cs="Times New Roman"/>
          <w:sz w:val="24"/>
          <w:szCs w:val="24"/>
        </w:rPr>
        <w:t>into posterior distributions of key quantities</w:t>
      </w:r>
      <w:r w:rsidR="007214D4">
        <w:rPr>
          <w:rFonts w:ascii="Times New Roman" w:eastAsia="Times New Roman" w:hAnsi="Times New Roman" w:cs="Times New Roman"/>
          <w:sz w:val="24"/>
          <w:szCs w:val="24"/>
        </w:rPr>
        <w:t xml:space="preserve"> </w:t>
      </w:r>
      <w:r w:rsidR="007214D4">
        <w:rPr>
          <w:rFonts w:ascii="Times New Roman" w:eastAsia="Times New Roman" w:hAnsi="Times New Roman" w:cs="Times New Roman"/>
          <w:sz w:val="24"/>
          <w:szCs w:val="24"/>
        </w:rPr>
        <w:fldChar w:fldCharType="begin" w:fldLock="1"/>
      </w:r>
      <w:r w:rsidR="007214D4">
        <w:rPr>
          <w:rFonts w:ascii="Times New Roman" w:eastAsia="Times New Roman" w:hAnsi="Times New Roman" w:cs="Times New Roman"/>
          <w:sz w:val="24"/>
          <w:szCs w:val="24"/>
        </w:rPr>
        <w:instrText>ADDIN CSL_CITATION {"citationItems":[{"id":"ITEM-1","itemData":{"abstract":"Ogle, K., J.J. Barber (2012). Bayesian Statistics. In: A. Hastings, L. Gross (Eds.). Sourcebook in Theoretical Ecology. University of California Press, Berkeley.","author":[{"dropping-particle":"","family":"Ogle","given":"Kiona","non-dropping-particle":"","parse-names":false,"suffix":""},{"dropping-particle":"","family":"Barber","given":"Jarrett J","non-dropping-particle":"","parse-names":false,"suffix":""}],"container-title":"Sourcebook in Theoretical Ecology","editor":[{"dropping-particle":"","family":"Hastings","given":"A.","non-dropping-particle":"","parse-names":false,"suffix":""},{"dropping-particle":"","family":"Gross","given":"L.","non-dropping-particle":"","parse-names":false,"suffix":""}],"id":"ITEM-1","issued":{"date-parts":[["2012"]]},"publisher":"University of California Press","publisher-place":"Berkeley","title":"Bayesian Statistics","type":"chapter"},"uris":["http://www.mendeley.com/documents/?uuid=02407256-ef4b-4fc0-bb9f-71bfef66afe0"]}],"mendeley":{"formattedCitation":"(Ogle and Barber, 2012)","plainTextFormattedCitation":"(Ogle and Barber, 2012)","previouslyFormattedCitation":"(Ogle and Barber, 2012)"},"properties":{"noteIndex":0},"schema":"https://github.com/citation-style-language/schema/raw/master/csl-citation.json"}</w:instrText>
      </w:r>
      <w:r w:rsidR="007214D4">
        <w:rPr>
          <w:rFonts w:ascii="Times New Roman" w:eastAsia="Times New Roman" w:hAnsi="Times New Roman" w:cs="Times New Roman"/>
          <w:sz w:val="24"/>
          <w:szCs w:val="24"/>
        </w:rPr>
        <w:fldChar w:fldCharType="separate"/>
      </w:r>
      <w:r w:rsidR="007214D4" w:rsidRPr="00473EEB">
        <w:rPr>
          <w:rFonts w:ascii="Times New Roman" w:eastAsia="Times New Roman" w:hAnsi="Times New Roman" w:cs="Times New Roman"/>
          <w:noProof/>
          <w:sz w:val="24"/>
          <w:szCs w:val="24"/>
        </w:rPr>
        <w:t>(</w:t>
      </w:r>
      <w:r w:rsidR="008E73F4">
        <w:rPr>
          <w:rFonts w:ascii="Times New Roman" w:eastAsia="Times New Roman" w:hAnsi="Times New Roman" w:cs="Times New Roman"/>
          <w:noProof/>
          <w:sz w:val="24"/>
          <w:szCs w:val="24"/>
        </w:rPr>
        <w:t xml:space="preserve">Conner et al., 2016; </w:t>
      </w:r>
      <w:r w:rsidR="007214D4" w:rsidRPr="00473EEB">
        <w:rPr>
          <w:rFonts w:ascii="Times New Roman" w:eastAsia="Times New Roman" w:hAnsi="Times New Roman" w:cs="Times New Roman"/>
          <w:noProof/>
          <w:sz w:val="24"/>
          <w:szCs w:val="24"/>
        </w:rPr>
        <w:t>Ogle and Barber, 2012)</w:t>
      </w:r>
      <w:r w:rsidR="007214D4">
        <w:rPr>
          <w:rFonts w:ascii="Times New Roman" w:eastAsia="Times New Roman" w:hAnsi="Times New Roman" w:cs="Times New Roman"/>
          <w:sz w:val="24"/>
          <w:szCs w:val="24"/>
        </w:rPr>
        <w:fldChar w:fldCharType="end"/>
      </w:r>
      <w:r w:rsidR="007214D4" w:rsidRPr="00C14D16">
        <w:rPr>
          <w:rFonts w:ascii="Times New Roman" w:eastAsia="Times New Roman" w:hAnsi="Times New Roman" w:cs="Times New Roman"/>
          <w:sz w:val="24"/>
          <w:szCs w:val="24"/>
        </w:rPr>
        <w:t xml:space="preserve">. We describe </w:t>
      </w:r>
      <w:r w:rsidR="007214D4">
        <w:rPr>
          <w:rFonts w:ascii="Times New Roman" w:eastAsia="Times New Roman" w:hAnsi="Times New Roman" w:cs="Times New Roman"/>
          <w:sz w:val="24"/>
          <w:szCs w:val="24"/>
        </w:rPr>
        <w:t>the model in detail in Supplementary Methods S1, which also includes all c</w:t>
      </w:r>
      <w:r w:rsidR="007214D4" w:rsidRPr="00C14D16">
        <w:rPr>
          <w:rFonts w:ascii="Times New Roman" w:eastAsia="Times New Roman" w:hAnsi="Times New Roman" w:cs="Times New Roman"/>
          <w:sz w:val="24"/>
          <w:szCs w:val="24"/>
        </w:rPr>
        <w:t>ode and data necessa</w:t>
      </w:r>
      <w:r w:rsidR="007214D4">
        <w:rPr>
          <w:rFonts w:ascii="Times New Roman" w:eastAsia="Times New Roman" w:hAnsi="Times New Roman" w:cs="Times New Roman"/>
          <w:sz w:val="24"/>
          <w:szCs w:val="24"/>
        </w:rPr>
        <w:t>ry to reproduce the analysis</w:t>
      </w:r>
      <w:r w:rsidR="007214D4" w:rsidRPr="00C14D16">
        <w:rPr>
          <w:rFonts w:ascii="Times New Roman" w:eastAsia="Times New Roman" w:hAnsi="Times New Roman" w:cs="Times New Roman"/>
          <w:sz w:val="24"/>
          <w:szCs w:val="24"/>
        </w:rPr>
        <w:t>.</w:t>
      </w:r>
      <w:r w:rsidR="007214D4">
        <w:rPr>
          <w:rFonts w:ascii="Times New Roman" w:eastAsia="Times New Roman" w:hAnsi="Times New Roman" w:cs="Times New Roman"/>
          <w:sz w:val="24"/>
          <w:szCs w:val="24"/>
        </w:rPr>
        <w:t xml:space="preserve"> We note that this approach tends to broaden credible intervals without biasing the means. Therefore, estimates of the statistical significance of differences between land cover types and years are conservative relative to conventional analys</w:t>
      </w:r>
      <w:r w:rsidR="000E1B28">
        <w:rPr>
          <w:rFonts w:ascii="Times New Roman" w:eastAsia="Times New Roman" w:hAnsi="Times New Roman" w:cs="Times New Roman"/>
          <w:sz w:val="24"/>
          <w:szCs w:val="24"/>
        </w:rPr>
        <w:t>es that would use calibration constants</w:t>
      </w:r>
      <w:r w:rsidR="007214D4">
        <w:rPr>
          <w:rFonts w:ascii="Times New Roman" w:eastAsia="Times New Roman" w:hAnsi="Times New Roman" w:cs="Times New Roman"/>
          <w:sz w:val="24"/>
          <w:szCs w:val="24"/>
        </w:rPr>
        <w:t>, censor observations or ignore spatial autocorrelation.</w:t>
      </w:r>
    </w:p>
    <w:p w14:paraId="5EE2DF98" w14:textId="733F18A8" w:rsidR="00BD62D7" w:rsidRPr="00C14D16" w:rsidRDefault="00BD62D7" w:rsidP="00BD62D7">
      <w:pPr>
        <w:spacing w:line="480" w:lineRule="auto"/>
        <w:ind w:firstLine="720"/>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To estimate the attainable SOC stocks in the UFF, we used fine-scale variation in C sequestration rates to parameterize a simple mass balance equation for SOC</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fldChar w:fldCharType="begin" w:fldLock="1"/>
      </w:r>
      <w:r>
        <w:rPr>
          <w:rFonts w:ascii="Times New Roman" w:eastAsia="Times New Roman" w:hAnsi="Times New Roman" w:cs="Times New Roman"/>
          <w:sz w:val="24"/>
          <w:szCs w:val="24"/>
        </w:rPr>
        <w:instrText>ADDIN CSL_CITATION {"citationItems":[{"id":"ITEM-1","itemData":{"DOI":"10.1371/journal.pone.0222604","ISSN":"19326203","PMID":"31536571","abstract":"Assessments of the global carbon (C) cycle typically rely on simplified models which consider large areas as homogeneous in terms of the response of soils to land use or consider very broad land classes. For example, “cropland” is typically modelled as an aggregation of distinct practices and individual crops over large regions. Here, we use the process-based Rothamsted soil Carbon Model (RothC model), which has a history of being successfully applied at a global scale, to calculate attainable SOC stocks and C mineralization rates for each of c. 17,000 regions (combination of soil type and texture, climate type, initial land use and country) in the World, under near-past climate conditions. We considered 28 individual crops and, for each, multiple production practices, plus 16 forest types and 1 grassland class (total of 80 classes). We find that conversion to cropland can result in SOC increases, particularly when the soil remains covered with crop residues (an average gain of 12 t C/ha) or using irrigation (4 t C/ha), which are mutually reinforcing effects. Attainable SOC stocks vary significantly depending on the land use class, particularly for cropland. Common aggregations in global modelling of a single agricultural class would be inaccurate representations of these results. Attainable SOC stocks obtained here were compared to long-term experiment data and are well aligned with the literature. Our results provide a regional and detailed understanding of C sequestration that will also enable better greenhouse gas reporting at national level as alternatives to IPCC tier 2 defaults.","author":[{"dropping-particle":"","family":"Morais","given":"Tiago G.","non-dropping-particle":"","parse-names":false,"suffix":""},{"dropping-particle":"","family":"Teixeira","given":"Ricardo F.M.","non-dropping-particle":"","parse-names":false,"suffix":""},{"dropping-particle":"","family":"Domingos","given":"Tiago","non-dropping-particle":"","parse-names":false,"suffix":""}],"container-title":"PLoS ONE","id":"ITEM-1","issue":"9","issued":{"date-parts":[["2019"]]},"title":"Detailed global modelling of soil organic carbon in cropland, grassland and forest soils","type":"article","volume":"14"},"uris":["http://www.mendeley.com/documents/?uuid=31a4be27-7059-4f65-bd4f-691e6c4635eb"]}],"mendeley":{"formattedCitation":"(Morais et al., 2019)","plainTextFormattedCitation":"(Morais et al., 2019)","previouslyFormattedCitation":"(Morais et al., 2019)"},"properties":{"noteIndex":0},"schema":"https://github.com/citation-style-language/schema/raw/master/csl-citation.json"}</w:instrText>
      </w:r>
      <w:r>
        <w:rPr>
          <w:rFonts w:ascii="Times New Roman" w:eastAsia="Times New Roman" w:hAnsi="Times New Roman" w:cs="Times New Roman"/>
          <w:sz w:val="24"/>
          <w:szCs w:val="24"/>
        </w:rPr>
        <w:fldChar w:fldCharType="separate"/>
      </w:r>
      <w:r w:rsidRPr="00473EEB">
        <w:rPr>
          <w:rFonts w:ascii="Times New Roman" w:eastAsia="Times New Roman" w:hAnsi="Times New Roman" w:cs="Times New Roman"/>
          <w:noProof/>
          <w:sz w:val="24"/>
          <w:szCs w:val="24"/>
        </w:rPr>
        <w:t>(Morais et al., 2019)</w:t>
      </w:r>
      <w:r>
        <w:rPr>
          <w:rFonts w:ascii="Times New Roman" w:eastAsia="Times New Roman" w:hAnsi="Times New Roman" w:cs="Times New Roman"/>
          <w:sz w:val="24"/>
          <w:szCs w:val="24"/>
        </w:rPr>
        <w:fldChar w:fldCharType="end"/>
      </w:r>
      <w:r w:rsidRPr="00C14D16">
        <w:rPr>
          <w:rFonts w:ascii="Times New Roman" w:eastAsia="Times New Roman" w:hAnsi="Times New Roman" w:cs="Times New Roman"/>
          <w:sz w:val="24"/>
          <w:szCs w:val="24"/>
        </w:rPr>
        <w:t>. The model assumes that the change in SOC depends on the difference between the SOC input (</w:t>
      </w:r>
      <w:r w:rsidRPr="00C14D16">
        <w:rPr>
          <w:rFonts w:ascii="Times New Roman" w:eastAsia="Times New Roman" w:hAnsi="Times New Roman" w:cs="Times New Roman"/>
          <w:i/>
          <w:sz w:val="24"/>
          <w:szCs w:val="24"/>
        </w:rPr>
        <w:t>K</w:t>
      </w:r>
      <w:r w:rsidRPr="00C14D16">
        <w:rPr>
          <w:rFonts w:ascii="Times New Roman" w:eastAsia="Times New Roman" w:hAnsi="Times New Roman" w:cs="Times New Roman"/>
          <w:sz w:val="24"/>
          <w:szCs w:val="24"/>
        </w:rPr>
        <w:t>) and the mineralization rate (</w:t>
      </w:r>
      <w:r w:rsidRPr="001E26EF">
        <w:rPr>
          <w:rFonts w:ascii="Times New Roman" w:eastAsia="Times New Roman" w:hAnsi="Times New Roman" w:cs="Times New Roman"/>
          <w:i/>
          <w:sz w:val="24"/>
          <w:szCs w:val="24"/>
        </w:rPr>
        <w:t>α</w:t>
      </w:r>
      <w:r w:rsidRPr="00C14D16">
        <w:rPr>
          <w:rFonts w:ascii="Times New Roman" w:eastAsia="Times New Roman" w:hAnsi="Times New Roman" w:cs="Times New Roman"/>
          <w:sz w:val="24"/>
          <w:szCs w:val="24"/>
        </w:rPr>
        <w:t>):</w:t>
      </w:r>
    </w:p>
    <w:p w14:paraId="40A8C075" w14:textId="10245F10" w:rsidR="00BD62D7" w:rsidRPr="00C14D16" w:rsidRDefault="00221CD1" w:rsidP="00BD62D7">
      <w:pPr>
        <w:spacing w:line="480" w:lineRule="auto"/>
        <w:ind w:firstLine="720"/>
        <w:jc w:val="right"/>
        <w:rPr>
          <w:rFonts w:ascii="Times New Roman" w:eastAsia="Times New Roman" w:hAnsi="Times New Roman" w:cs="Times New Roman"/>
          <w:sz w:val="24"/>
          <w:szCs w:val="24"/>
        </w:rPr>
      </w:pPr>
      <m:oMath>
        <m:f>
          <m:fPr>
            <m:ctrlPr>
              <w:rPr>
                <w:rFonts w:ascii="Cambria Math" w:eastAsia="Times New Roman" w:hAnsi="Cambria Math" w:cs="Times New Roman"/>
                <w:sz w:val="24"/>
                <w:szCs w:val="24"/>
              </w:rPr>
            </m:ctrlPr>
          </m:fPr>
          <m:num>
            <m:r>
              <w:rPr>
                <w:rFonts w:ascii="Cambria Math" w:eastAsia="Times New Roman" w:hAnsi="Cambria Math" w:cs="Times New Roman"/>
                <w:sz w:val="24"/>
                <w:szCs w:val="24"/>
              </w:rPr>
              <m:t>d</m:t>
            </m:r>
            <m:r>
              <m:rPr>
                <m:sty m:val="p"/>
              </m:rPr>
              <w:rPr>
                <w:rFonts w:ascii="Cambria Math" w:eastAsia="Times New Roman" w:hAnsi="Cambria Math" w:cs="Times New Roman"/>
                <w:sz w:val="24"/>
                <w:szCs w:val="24"/>
              </w:rPr>
              <m:t>SOC</m:t>
            </m:r>
          </m:num>
          <m:den>
            <m:r>
              <w:rPr>
                <w:rFonts w:ascii="Cambria Math" w:eastAsia="Times New Roman" w:hAnsi="Cambria Math" w:cs="Times New Roman"/>
                <w:sz w:val="24"/>
                <w:szCs w:val="24"/>
              </w:rPr>
              <m:t>dt</m:t>
            </m:r>
          </m:den>
        </m:f>
        <m:r>
          <w:rPr>
            <w:rFonts w:ascii="Cambria Math" w:eastAsia="Times New Roman" w:hAnsi="Cambria Math" w:cs="Times New Roman"/>
            <w:sz w:val="24"/>
            <w:szCs w:val="24"/>
          </w:rPr>
          <m:t>=K-α*</m:t>
        </m:r>
        <m:r>
          <m:rPr>
            <m:sty m:val="p"/>
          </m:rPr>
          <w:rPr>
            <w:rFonts w:ascii="Cambria Math" w:eastAsia="Times New Roman" w:hAnsi="Cambria Math" w:cs="Times New Roman"/>
            <w:sz w:val="24"/>
            <w:szCs w:val="24"/>
          </w:rPr>
          <m:t>SOC</m:t>
        </m:r>
      </m:oMath>
      <w:r w:rsidR="00F17894">
        <w:rPr>
          <w:rFonts w:ascii="Times New Roman" w:eastAsia="Times New Roman" w:hAnsi="Times New Roman" w:cs="Times New Roman"/>
          <w:sz w:val="24"/>
          <w:szCs w:val="24"/>
        </w:rPr>
        <w:t xml:space="preserve">  </w:t>
      </w:r>
      <w:r w:rsidR="00F17894">
        <w:rPr>
          <w:rFonts w:ascii="Times New Roman" w:eastAsia="Times New Roman" w:hAnsi="Times New Roman" w:cs="Times New Roman"/>
          <w:sz w:val="24"/>
          <w:szCs w:val="24"/>
        </w:rPr>
        <w:tab/>
      </w:r>
      <w:r w:rsidR="00F17894">
        <w:rPr>
          <w:rFonts w:ascii="Times New Roman" w:eastAsia="Times New Roman" w:hAnsi="Times New Roman" w:cs="Times New Roman"/>
          <w:sz w:val="24"/>
          <w:szCs w:val="24"/>
        </w:rPr>
        <w:tab/>
      </w:r>
      <w:r w:rsidR="00F17894">
        <w:rPr>
          <w:rFonts w:ascii="Times New Roman" w:eastAsia="Times New Roman" w:hAnsi="Times New Roman" w:cs="Times New Roman"/>
          <w:sz w:val="24"/>
          <w:szCs w:val="24"/>
        </w:rPr>
        <w:tab/>
      </w:r>
      <w:r w:rsidR="00F17894">
        <w:rPr>
          <w:rFonts w:ascii="Times New Roman" w:eastAsia="Times New Roman" w:hAnsi="Times New Roman" w:cs="Times New Roman"/>
          <w:sz w:val="24"/>
          <w:szCs w:val="24"/>
        </w:rPr>
        <w:tab/>
      </w:r>
      <w:r w:rsidR="00F17894">
        <w:rPr>
          <w:rFonts w:ascii="Times New Roman" w:eastAsia="Times New Roman" w:hAnsi="Times New Roman" w:cs="Times New Roman"/>
          <w:sz w:val="24"/>
          <w:szCs w:val="24"/>
        </w:rPr>
        <w:tab/>
        <w:t>(Eq. 1</w:t>
      </w:r>
      <w:r w:rsidR="00BD62D7" w:rsidRPr="00C14D16">
        <w:rPr>
          <w:rFonts w:ascii="Times New Roman" w:eastAsia="Times New Roman" w:hAnsi="Times New Roman" w:cs="Times New Roman"/>
          <w:sz w:val="24"/>
          <w:szCs w:val="24"/>
        </w:rPr>
        <w:t>)</w:t>
      </w:r>
    </w:p>
    <w:p w14:paraId="24EC141C" w14:textId="0797B81D" w:rsidR="00BD62D7" w:rsidRPr="00C14D16" w:rsidRDefault="00BD62D7" w:rsidP="00BD62D7">
      <w:pPr>
        <w:spacing w:line="480" w:lineRule="auto"/>
        <w:ind w:firstLine="720"/>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 xml:space="preserve">We calculated these quantities in the UFF by applying the moment-based estimators for the intercept and slope parameters to the spatially detrended estimates of SOC in 2017 and 2019 across all </w:t>
      </w:r>
      <w:r>
        <w:rPr>
          <w:rFonts w:ascii="Times New Roman" w:eastAsia="Times New Roman" w:hAnsi="Times New Roman" w:cs="Times New Roman"/>
          <w:sz w:val="24"/>
          <w:szCs w:val="24"/>
        </w:rPr>
        <w:t>(</w:t>
      </w:r>
      <w:r w:rsidR="00221CD1">
        <w:rPr>
          <w:rFonts w:ascii="Times New Roman" w:eastAsia="Times New Roman" w:hAnsi="Times New Roman" w:cs="Times New Roman"/>
          <w:i/>
          <w:sz w:val="24"/>
          <w:szCs w:val="24"/>
        </w:rPr>
        <w:t>o</w:t>
      </w:r>
      <w:r w:rsidR="00221CD1">
        <w:rPr>
          <w:rFonts w:ascii="Times New Roman" w:eastAsia="Times New Roman" w:hAnsi="Times New Roman" w:cs="Times New Roman"/>
          <w:sz w:val="24"/>
          <w:szCs w:val="24"/>
        </w:rPr>
        <w:t>=</w:t>
      </w:r>
      <w:r>
        <w:rPr>
          <w:rFonts w:ascii="Times New Roman" w:eastAsia="Times New Roman" w:hAnsi="Times New Roman" w:cs="Times New Roman"/>
          <w:sz w:val="24"/>
          <w:szCs w:val="24"/>
        </w:rPr>
        <w:t>1…</w:t>
      </w:r>
      <w:r w:rsidRPr="00C14D16">
        <w:rPr>
          <w:rFonts w:ascii="Times New Roman" w:eastAsia="Times New Roman" w:hAnsi="Times New Roman" w:cs="Times New Roman"/>
          <w:sz w:val="24"/>
          <w:szCs w:val="24"/>
        </w:rPr>
        <w:t>28</w:t>
      </w:r>
      <w:r>
        <w:rPr>
          <w:rFonts w:ascii="Times New Roman" w:eastAsia="Times New Roman" w:hAnsi="Times New Roman" w:cs="Times New Roman"/>
          <w:sz w:val="24"/>
          <w:szCs w:val="24"/>
        </w:rPr>
        <w:t>)</w:t>
      </w:r>
      <w:r w:rsidRPr="00C14D16">
        <w:rPr>
          <w:rFonts w:ascii="Times New Roman" w:eastAsia="Times New Roman" w:hAnsi="Times New Roman" w:cs="Times New Roman"/>
          <w:sz w:val="24"/>
          <w:szCs w:val="24"/>
        </w:rPr>
        <w:t xml:space="preserve"> sampling locations</w:t>
      </w:r>
      <w:r>
        <w:rPr>
          <w:rFonts w:ascii="Times New Roman" w:eastAsia="Times New Roman" w:hAnsi="Times New Roman" w:cs="Times New Roman"/>
          <w:sz w:val="24"/>
          <w:szCs w:val="24"/>
        </w:rPr>
        <w:t xml:space="preserve"> (See Supplementary Methods, Eq. S1-S8)</w:t>
      </w:r>
      <w:r w:rsidRPr="00C14D16">
        <w:rPr>
          <w:rFonts w:ascii="Times New Roman" w:eastAsia="Times New Roman" w:hAnsi="Times New Roman" w:cs="Times New Roman"/>
          <w:sz w:val="24"/>
          <w:szCs w:val="24"/>
        </w:rPr>
        <w:t>:</w:t>
      </w:r>
    </w:p>
    <w:p w14:paraId="0FCC3437" w14:textId="05A395DD" w:rsidR="00BD62D7" w:rsidRPr="00C14D16" w:rsidRDefault="00BD62D7" w:rsidP="00BD62D7">
      <w:pPr>
        <w:spacing w:line="480" w:lineRule="auto"/>
        <w:ind w:firstLine="720"/>
        <w:jc w:val="right"/>
        <w:rPr>
          <w:rFonts w:ascii="Times New Roman" w:eastAsia="Times New Roman" w:hAnsi="Times New Roman" w:cs="Times New Roman"/>
          <w:sz w:val="24"/>
          <w:szCs w:val="24"/>
        </w:rPr>
      </w:pPr>
      <m:oMath>
        <m:r>
          <w:rPr>
            <w:rFonts w:ascii="Cambria Math" w:hAnsi="Cambria Math" w:cs="Times New Roman"/>
            <w:sz w:val="24"/>
            <w:szCs w:val="24"/>
          </w:rPr>
          <m:t>α</m:t>
        </m:r>
        <m:r>
          <w:rPr>
            <w:rFonts w:ascii="Cambria Math" w:eastAsia="Times New Roman" w:hAnsi="Cambria Math" w:cs="Times New Roman"/>
            <w:sz w:val="24"/>
            <w:szCs w:val="24"/>
          </w:rPr>
          <m:t xml:space="preserve"> =</m:t>
        </m:r>
        <m:f>
          <m:fPr>
            <m:ctrlPr>
              <w:rPr>
                <w:rFonts w:ascii="Cambria Math" w:eastAsia="Times New Roman" w:hAnsi="Cambria Math" w:cs="Times New Roman"/>
                <w:sz w:val="24"/>
                <w:szCs w:val="24"/>
              </w:rPr>
            </m:ctrlPr>
          </m:fPr>
          <m:num>
            <m:r>
              <w:rPr>
                <w:rFonts w:ascii="Cambria Math" w:eastAsia="Times New Roman" w:hAnsi="Cambria Math" w:cs="Times New Roman"/>
                <w:sz w:val="24"/>
                <w:szCs w:val="24"/>
              </w:rPr>
              <m:t>Cov</m:t>
            </m:r>
            <m:d>
              <m:dPr>
                <m:ctrlPr>
                  <w:rPr>
                    <w:rFonts w:ascii="Cambria Math" w:eastAsia="Times New Roman" w:hAnsi="Cambria Math" w:cs="Times New Roman"/>
                    <w:sz w:val="24"/>
                    <w:szCs w:val="24"/>
                  </w:rPr>
                </m:ctrlPr>
              </m:dPr>
              <m:e>
                <m:sSub>
                  <m:sSubPr>
                    <m:ctrlPr>
                      <w:rPr>
                        <w:rFonts w:ascii="Cambria Math" w:eastAsia="Times New Roman" w:hAnsi="Cambria Math" w:cs="Times New Roman"/>
                        <w:sz w:val="24"/>
                        <w:szCs w:val="24"/>
                      </w:rPr>
                    </m:ctrlPr>
                  </m:sSubPr>
                  <m:e>
                    <m:r>
                      <m:rPr>
                        <m:sty m:val="p"/>
                      </m:rPr>
                      <w:rPr>
                        <w:rFonts w:ascii="Cambria Math" w:eastAsia="Times New Roman" w:hAnsi="Cambria Math" w:cs="Times New Roman"/>
                        <w:sz w:val="24"/>
                        <w:szCs w:val="24"/>
                      </w:rPr>
                      <m:t>SOC</m:t>
                    </m:r>
                    <m:r>
                      <w:rPr>
                        <w:rFonts w:ascii="Cambria Math" w:eastAsia="Times New Roman" w:hAnsi="Cambria Math" w:cs="Times New Roman"/>
                        <w:sz w:val="24"/>
                        <w:szCs w:val="24"/>
                      </w:rPr>
                      <m:t>17</m:t>
                    </m:r>
                  </m:e>
                  <m:sub>
                    <m:r>
                      <w:rPr>
                        <w:rFonts w:ascii="Cambria Math" w:eastAsia="Times New Roman" w:hAnsi="Cambria Math" w:cs="Times New Roman"/>
                        <w:sz w:val="24"/>
                        <w:szCs w:val="24"/>
                      </w:rPr>
                      <m:t>o</m:t>
                    </m:r>
                  </m:sub>
                </m:sSub>
                <m:r>
                  <w:rPr>
                    <w:rFonts w:ascii="Cambria Math" w:eastAsia="Times New Roman" w:hAnsi="Cambria Math" w:cs="Times New Roman"/>
                    <w:sz w:val="24"/>
                    <w:szCs w:val="24"/>
                  </w:rPr>
                  <m:t>,</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 xml:space="preserve"> </m:t>
                    </m:r>
                    <m:sSub>
                      <m:sSubPr>
                        <m:ctrlPr>
                          <w:rPr>
                            <w:rFonts w:ascii="Cambria Math" w:eastAsia="Times New Roman" w:hAnsi="Cambria Math" w:cs="Times New Roman"/>
                            <w:sz w:val="24"/>
                            <w:szCs w:val="24"/>
                          </w:rPr>
                        </m:ctrlPr>
                      </m:sSubPr>
                      <m:e>
                        <m:r>
                          <m:rPr>
                            <m:sty m:val="p"/>
                          </m:rPr>
                          <w:rPr>
                            <w:rFonts w:ascii="Cambria Math" w:eastAsia="Times New Roman" w:hAnsi="Cambria Math" w:cs="Times New Roman"/>
                            <w:sz w:val="24"/>
                            <w:szCs w:val="24"/>
                          </w:rPr>
                          <m:t>SOC</m:t>
                        </m:r>
                        <m:r>
                          <w:rPr>
                            <w:rFonts w:ascii="Cambria Math" w:eastAsia="Times New Roman" w:hAnsi="Cambria Math" w:cs="Times New Roman"/>
                            <w:sz w:val="24"/>
                            <w:szCs w:val="24"/>
                          </w:rPr>
                          <m:t>19</m:t>
                        </m:r>
                      </m:e>
                      <m:sub>
                        <m:r>
                          <w:rPr>
                            <w:rFonts w:ascii="Cambria Math" w:eastAsia="Times New Roman" w:hAnsi="Cambria Math" w:cs="Times New Roman"/>
                            <w:sz w:val="24"/>
                            <w:szCs w:val="24"/>
                          </w:rPr>
                          <m:t>o</m:t>
                        </m:r>
                      </m:sub>
                    </m:sSub>
                    <m:r>
                      <w:rPr>
                        <w:rFonts w:ascii="Cambria Math" w:eastAsia="Times New Roman" w:hAnsi="Cambria Math" w:cs="Times New Roman"/>
                        <w:sz w:val="24"/>
                        <w:szCs w:val="24"/>
                      </w:rPr>
                      <m:t>-SOC17</m:t>
                    </m:r>
                  </m:e>
                  <m:sub>
                    <m:r>
                      <w:rPr>
                        <w:rFonts w:ascii="Cambria Math" w:eastAsia="Times New Roman" w:hAnsi="Cambria Math" w:cs="Times New Roman"/>
                        <w:sz w:val="24"/>
                        <w:szCs w:val="24"/>
                      </w:rPr>
                      <m:t>o</m:t>
                    </m:r>
                  </m:sub>
                </m:sSub>
              </m:e>
            </m:d>
          </m:num>
          <m:den>
            <m:r>
              <w:rPr>
                <w:rFonts w:ascii="Cambria Math" w:eastAsia="Times New Roman" w:hAnsi="Cambria Math" w:cs="Times New Roman"/>
                <w:sz w:val="24"/>
                <w:szCs w:val="24"/>
              </w:rPr>
              <m:t>Var</m:t>
            </m:r>
            <m:d>
              <m:dPr>
                <m:ctrlPr>
                  <w:rPr>
                    <w:rFonts w:ascii="Cambria Math" w:eastAsia="Times New Roman" w:hAnsi="Cambria Math" w:cs="Times New Roman"/>
                    <w:sz w:val="24"/>
                    <w:szCs w:val="24"/>
                  </w:rPr>
                </m:ctrlPr>
              </m:dPr>
              <m:e>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SOC17</m:t>
                    </m:r>
                  </m:e>
                  <m:sub>
                    <m:r>
                      <w:rPr>
                        <w:rFonts w:ascii="Cambria Math" w:eastAsia="Times New Roman" w:hAnsi="Cambria Math" w:cs="Times New Roman"/>
                        <w:sz w:val="24"/>
                        <w:szCs w:val="24"/>
                      </w:rPr>
                      <m:t>o</m:t>
                    </m:r>
                  </m:sub>
                </m:sSub>
              </m:e>
            </m:d>
          </m:den>
        </m:f>
      </m:oMath>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Pr="00C14D16">
        <w:rPr>
          <w:rFonts w:ascii="Times New Roman" w:eastAsia="Times New Roman" w:hAnsi="Times New Roman" w:cs="Times New Roman"/>
          <w:sz w:val="24"/>
          <w:szCs w:val="24"/>
        </w:rPr>
        <w:t>(</w:t>
      </w:r>
      <w:r w:rsidR="00F17894">
        <w:rPr>
          <w:rFonts w:ascii="Times New Roman" w:eastAsia="Times New Roman" w:hAnsi="Times New Roman" w:cs="Times New Roman"/>
          <w:sz w:val="24"/>
          <w:szCs w:val="24"/>
        </w:rPr>
        <w:t>Eq. 2</w:t>
      </w:r>
      <w:r w:rsidRPr="00C14D16">
        <w:rPr>
          <w:rFonts w:ascii="Times New Roman" w:eastAsia="Times New Roman" w:hAnsi="Times New Roman" w:cs="Times New Roman"/>
          <w:sz w:val="24"/>
          <w:szCs w:val="24"/>
        </w:rPr>
        <w:t>)</w:t>
      </w:r>
    </w:p>
    <w:p w14:paraId="27FBE4BE" w14:textId="23B80415" w:rsidR="00BD62D7" w:rsidRPr="00C14D16" w:rsidRDefault="00BD62D7" w:rsidP="00BD62D7">
      <w:pPr>
        <w:spacing w:line="480" w:lineRule="auto"/>
        <w:ind w:firstLine="720"/>
        <w:jc w:val="right"/>
        <w:rPr>
          <w:rFonts w:ascii="Times New Roman" w:eastAsia="Times New Roman" w:hAnsi="Times New Roman" w:cs="Times New Roman"/>
          <w:sz w:val="24"/>
          <w:szCs w:val="24"/>
        </w:rPr>
      </w:pPr>
      <m:oMath>
        <m:r>
          <w:rPr>
            <w:rFonts w:ascii="Cambria Math" w:eastAsia="Times New Roman" w:hAnsi="Cambria Math" w:cs="Times New Roman"/>
            <w:sz w:val="24"/>
            <w:szCs w:val="24"/>
          </w:rPr>
          <m:t>K=</m:t>
        </m:r>
        <m:acc>
          <m:accPr>
            <m:chr m:val="̅"/>
            <m:ctrlPr>
              <w:rPr>
                <w:rFonts w:ascii="Cambria Math" w:eastAsia="Times New Roman" w:hAnsi="Cambria Math" w:cs="Times New Roman"/>
                <w:sz w:val="24"/>
                <w:szCs w:val="24"/>
              </w:rPr>
            </m:ctrlPr>
          </m:accPr>
          <m:e>
            <m:sSub>
              <m:sSubPr>
                <m:ctrlPr>
                  <w:rPr>
                    <w:rFonts w:ascii="Cambria Math" w:eastAsia="Times New Roman" w:hAnsi="Cambria Math" w:cs="Times New Roman"/>
                    <w:sz w:val="24"/>
                    <w:szCs w:val="24"/>
                  </w:rPr>
                </m:ctrlPr>
              </m:sSubPr>
              <m:e>
                <m:sSub>
                  <m:sSubPr>
                    <m:ctrlPr>
                      <w:rPr>
                        <w:rFonts w:ascii="Cambria Math" w:eastAsia="Times New Roman" w:hAnsi="Cambria Math" w:cs="Times New Roman"/>
                        <w:sz w:val="24"/>
                        <w:szCs w:val="24"/>
                      </w:rPr>
                    </m:ctrlPr>
                  </m:sSubPr>
                  <m:e>
                    <m:r>
                      <m:rPr>
                        <m:sty m:val="p"/>
                      </m:rPr>
                      <w:rPr>
                        <w:rFonts w:ascii="Cambria Math" w:eastAsia="Times New Roman" w:hAnsi="Cambria Math" w:cs="Times New Roman"/>
                        <w:sz w:val="24"/>
                        <w:szCs w:val="24"/>
                      </w:rPr>
                      <m:t>SOC</m:t>
                    </m:r>
                    <m:r>
                      <w:rPr>
                        <w:rFonts w:ascii="Cambria Math" w:eastAsia="Times New Roman" w:hAnsi="Cambria Math" w:cs="Times New Roman"/>
                        <w:sz w:val="24"/>
                        <w:szCs w:val="24"/>
                      </w:rPr>
                      <m:t>19</m:t>
                    </m:r>
                  </m:e>
                  <m:sub>
                    <m:r>
                      <w:rPr>
                        <w:rFonts w:ascii="Cambria Math" w:eastAsia="Times New Roman" w:hAnsi="Cambria Math" w:cs="Times New Roman"/>
                        <w:sz w:val="24"/>
                        <w:szCs w:val="24"/>
                      </w:rPr>
                      <m:t>o</m:t>
                    </m:r>
                  </m:sub>
                </m:sSub>
                <m:r>
                  <w:rPr>
                    <w:rFonts w:ascii="Cambria Math" w:eastAsia="Times New Roman" w:hAnsi="Cambria Math" w:cs="Times New Roman"/>
                    <w:sz w:val="24"/>
                    <w:szCs w:val="24"/>
                  </w:rPr>
                  <m:t>-</m:t>
                </m:r>
                <m:r>
                  <m:rPr>
                    <m:sty m:val="p"/>
                  </m:rPr>
                  <w:rPr>
                    <w:rFonts w:ascii="Cambria Math" w:eastAsia="Times New Roman" w:hAnsi="Cambria Math" w:cs="Times New Roman"/>
                    <w:sz w:val="24"/>
                    <w:szCs w:val="24"/>
                  </w:rPr>
                  <m:t>SOC</m:t>
                </m:r>
                <m:r>
                  <w:rPr>
                    <w:rFonts w:ascii="Cambria Math" w:eastAsia="Times New Roman" w:hAnsi="Cambria Math" w:cs="Times New Roman"/>
                    <w:sz w:val="24"/>
                    <w:szCs w:val="24"/>
                  </w:rPr>
                  <m:t>17</m:t>
                </m:r>
              </m:e>
              <m:sub>
                <m:r>
                  <w:rPr>
                    <w:rFonts w:ascii="Cambria Math" w:eastAsia="Times New Roman" w:hAnsi="Cambria Math" w:cs="Times New Roman"/>
                    <w:sz w:val="24"/>
                    <w:szCs w:val="24"/>
                  </w:rPr>
                  <m:t>o</m:t>
                </m:r>
              </m:sub>
            </m:sSub>
          </m:e>
        </m:acc>
        <m:r>
          <w:rPr>
            <w:rFonts w:ascii="Cambria Math" w:eastAsia="Times New Roman" w:hAnsi="Cambria Math" w:cs="Times New Roman"/>
            <w:sz w:val="24"/>
            <w:szCs w:val="24"/>
          </w:rPr>
          <m:t>-α*</m:t>
        </m:r>
        <m:acc>
          <m:accPr>
            <m:chr m:val="̅"/>
            <m:ctrlPr>
              <w:rPr>
                <w:rFonts w:ascii="Cambria Math" w:eastAsia="Times New Roman" w:hAnsi="Cambria Math" w:cs="Times New Roman"/>
                <w:sz w:val="24"/>
                <w:szCs w:val="24"/>
              </w:rPr>
            </m:ctrlPr>
          </m:accPr>
          <m:e>
            <m:sSub>
              <m:sSubPr>
                <m:ctrlPr>
                  <w:rPr>
                    <w:rFonts w:ascii="Cambria Math" w:eastAsia="Times New Roman" w:hAnsi="Cambria Math" w:cs="Times New Roman"/>
                    <w:sz w:val="24"/>
                    <w:szCs w:val="24"/>
                  </w:rPr>
                </m:ctrlPr>
              </m:sSubPr>
              <m:e>
                <m:r>
                  <m:rPr>
                    <m:sty m:val="p"/>
                  </m:rPr>
                  <w:rPr>
                    <w:rFonts w:ascii="Cambria Math" w:eastAsia="Times New Roman" w:hAnsi="Cambria Math" w:cs="Times New Roman"/>
                    <w:sz w:val="24"/>
                    <w:szCs w:val="24"/>
                  </w:rPr>
                  <m:t>SOC</m:t>
                </m:r>
                <m:r>
                  <w:rPr>
                    <w:rFonts w:ascii="Cambria Math" w:eastAsia="Times New Roman" w:hAnsi="Cambria Math" w:cs="Times New Roman"/>
                    <w:sz w:val="24"/>
                    <w:szCs w:val="24"/>
                  </w:rPr>
                  <m:t>17</m:t>
                </m:r>
              </m:e>
              <m:sub>
                <m:r>
                  <w:rPr>
                    <w:rFonts w:ascii="Cambria Math" w:eastAsia="Times New Roman" w:hAnsi="Cambria Math" w:cs="Times New Roman"/>
                    <w:sz w:val="24"/>
                    <w:szCs w:val="24"/>
                  </w:rPr>
                  <m:t>o</m:t>
                </m:r>
              </m:sub>
            </m:sSub>
          </m:e>
        </m:acc>
      </m:oMath>
      <w:r w:rsidR="00F17894">
        <w:rPr>
          <w:rFonts w:ascii="Times New Roman" w:eastAsia="Times New Roman" w:hAnsi="Times New Roman" w:cs="Times New Roman"/>
          <w:sz w:val="24"/>
          <w:szCs w:val="24"/>
        </w:rPr>
        <w:t xml:space="preserve"> </w:t>
      </w:r>
      <w:r w:rsidR="00F17894">
        <w:rPr>
          <w:rFonts w:ascii="Times New Roman" w:eastAsia="Times New Roman" w:hAnsi="Times New Roman" w:cs="Times New Roman"/>
          <w:sz w:val="24"/>
          <w:szCs w:val="24"/>
        </w:rPr>
        <w:tab/>
      </w:r>
      <w:r w:rsidR="00F17894">
        <w:rPr>
          <w:rFonts w:ascii="Times New Roman" w:eastAsia="Times New Roman" w:hAnsi="Times New Roman" w:cs="Times New Roman"/>
          <w:sz w:val="24"/>
          <w:szCs w:val="24"/>
        </w:rPr>
        <w:tab/>
      </w:r>
      <w:r w:rsidR="00F17894">
        <w:rPr>
          <w:rFonts w:ascii="Times New Roman" w:eastAsia="Times New Roman" w:hAnsi="Times New Roman" w:cs="Times New Roman"/>
          <w:sz w:val="24"/>
          <w:szCs w:val="24"/>
        </w:rPr>
        <w:tab/>
      </w:r>
      <w:r w:rsidR="00F17894">
        <w:rPr>
          <w:rFonts w:ascii="Times New Roman" w:eastAsia="Times New Roman" w:hAnsi="Times New Roman" w:cs="Times New Roman"/>
          <w:sz w:val="24"/>
          <w:szCs w:val="24"/>
        </w:rPr>
        <w:tab/>
        <w:t>(Eq. 3</w:t>
      </w:r>
      <w:r w:rsidRPr="00C14D16">
        <w:rPr>
          <w:rFonts w:ascii="Times New Roman" w:eastAsia="Times New Roman" w:hAnsi="Times New Roman" w:cs="Times New Roman"/>
          <w:sz w:val="24"/>
          <w:szCs w:val="24"/>
        </w:rPr>
        <w:t>)</w:t>
      </w:r>
    </w:p>
    <w:p w14:paraId="058320CC" w14:textId="77777777" w:rsidR="00BD62D7" w:rsidRPr="00C14D16" w:rsidRDefault="00BD62D7" w:rsidP="00BD62D7">
      <w:pPr>
        <w:spacing w:line="480" w:lineRule="auto"/>
        <w:ind w:firstLine="720"/>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In addition to using these values as estimates for SOC input and mineralization in the UFF, we projected SOC accumulation through time to its equilibrium value (</w:t>
      </w:r>
      <w:r w:rsidRPr="00C14D16">
        <w:rPr>
          <w:rFonts w:ascii="Times New Roman" w:eastAsia="Times New Roman" w:hAnsi="Times New Roman" w:cs="Times New Roman"/>
          <w:i/>
          <w:sz w:val="24"/>
          <w:szCs w:val="24"/>
        </w:rPr>
        <w:t>K</w:t>
      </w:r>
      <w:r w:rsidRPr="00C14D16">
        <w:rPr>
          <w:rFonts w:ascii="Times New Roman" w:eastAsia="Times New Roman" w:hAnsi="Times New Roman" w:cs="Times New Roman"/>
          <w:sz w:val="24"/>
          <w:szCs w:val="24"/>
        </w:rPr>
        <w:t>/α) using the solution to the differential equation:</w:t>
      </w:r>
    </w:p>
    <w:p w14:paraId="128DE86F" w14:textId="1E4ECEC5" w:rsidR="00BD62D7" w:rsidRPr="00C14D16" w:rsidRDefault="00BD62D7" w:rsidP="00BD62D7">
      <w:pPr>
        <w:spacing w:line="480" w:lineRule="auto"/>
        <w:ind w:firstLine="720"/>
        <w:jc w:val="right"/>
        <w:rPr>
          <w:rFonts w:ascii="Times New Roman" w:eastAsia="Times New Roman" w:hAnsi="Times New Roman" w:cs="Times New Roman"/>
          <w:sz w:val="24"/>
          <w:szCs w:val="24"/>
        </w:rPr>
      </w:pPr>
      <m:oMath>
        <m:r>
          <m:rPr>
            <m:sty m:val="p"/>
          </m:rPr>
          <w:rPr>
            <w:rFonts w:ascii="Cambria Math" w:eastAsia="Times New Roman" w:hAnsi="Cambria Math" w:cs="Times New Roman"/>
            <w:sz w:val="24"/>
            <w:szCs w:val="24"/>
          </w:rPr>
          <m:t>SOC</m:t>
        </m:r>
        <m:r>
          <w:rPr>
            <w:rFonts w:ascii="Cambria Math" w:eastAsia="Times New Roman" w:hAnsi="Cambria Math" w:cs="Times New Roman"/>
            <w:sz w:val="24"/>
            <w:szCs w:val="24"/>
          </w:rPr>
          <m:t>(t)=</m:t>
        </m:r>
        <m:f>
          <m:fPr>
            <m:ctrlPr>
              <w:rPr>
                <w:rFonts w:ascii="Cambria Math" w:eastAsia="Times New Roman" w:hAnsi="Cambria Math" w:cs="Times New Roman"/>
                <w:sz w:val="24"/>
                <w:szCs w:val="24"/>
              </w:rPr>
            </m:ctrlPr>
          </m:fPr>
          <m:num>
            <m:r>
              <w:rPr>
                <w:rFonts w:ascii="Cambria Math" w:eastAsia="Times New Roman" w:hAnsi="Cambria Math" w:cs="Times New Roman"/>
                <w:sz w:val="24"/>
                <w:szCs w:val="24"/>
              </w:rPr>
              <m:t>K</m:t>
            </m:r>
          </m:num>
          <m:den>
            <m:r>
              <w:rPr>
                <w:rFonts w:ascii="Cambria Math" w:eastAsia="Times New Roman" w:hAnsi="Cambria Math" w:cs="Times New Roman"/>
                <w:sz w:val="24"/>
                <w:szCs w:val="24"/>
              </w:rPr>
              <m:t>α</m:t>
            </m:r>
          </m:den>
        </m:f>
        <m:d>
          <m:dPr>
            <m:ctrlPr>
              <w:rPr>
                <w:rFonts w:ascii="Cambria Math" w:eastAsia="Times New Roman" w:hAnsi="Cambria Math" w:cs="Times New Roman"/>
                <w:sz w:val="24"/>
                <w:szCs w:val="24"/>
              </w:rPr>
            </m:ctrlPr>
          </m:dPr>
          <m:e>
            <m:r>
              <w:rPr>
                <w:rFonts w:ascii="Cambria Math" w:eastAsia="Times New Roman" w:hAnsi="Cambria Math" w:cs="Times New Roman"/>
                <w:sz w:val="24"/>
                <w:szCs w:val="24"/>
              </w:rPr>
              <m:t>1-</m:t>
            </m:r>
            <m:sSup>
              <m:sSupPr>
                <m:ctrlPr>
                  <w:rPr>
                    <w:rFonts w:ascii="Cambria Math" w:eastAsia="Times New Roman" w:hAnsi="Cambria Math" w:cs="Times New Roman"/>
                    <w:sz w:val="24"/>
                    <w:szCs w:val="24"/>
                  </w:rPr>
                </m:ctrlPr>
              </m:sSupPr>
              <m:e>
                <m:r>
                  <w:rPr>
                    <w:rFonts w:ascii="Cambria Math" w:eastAsia="Times New Roman" w:hAnsi="Cambria Math" w:cs="Times New Roman"/>
                    <w:sz w:val="24"/>
                    <w:szCs w:val="24"/>
                  </w:rPr>
                  <m:t>e</m:t>
                </m:r>
              </m:e>
              <m:sup>
                <m:r>
                  <w:rPr>
                    <w:rFonts w:ascii="Cambria Math" w:eastAsia="Times New Roman" w:hAnsi="Cambria Math" w:cs="Times New Roman"/>
                    <w:sz w:val="24"/>
                    <w:szCs w:val="24"/>
                  </w:rPr>
                  <m:t>-αt</m:t>
                </m:r>
              </m:sup>
            </m:sSup>
          </m:e>
        </m:d>
        <m:r>
          <w:rPr>
            <w:rFonts w:ascii="Cambria Math" w:eastAsia="Times New Roman" w:hAnsi="Cambria Math" w:cs="Times New Roman"/>
            <w:sz w:val="24"/>
            <w:szCs w:val="24"/>
          </w:rPr>
          <m:t>+</m:t>
        </m:r>
        <m:sSup>
          <m:sSupPr>
            <m:ctrlPr>
              <w:rPr>
                <w:rFonts w:ascii="Cambria Math" w:eastAsia="Times New Roman" w:hAnsi="Cambria Math" w:cs="Times New Roman"/>
                <w:sz w:val="24"/>
                <w:szCs w:val="24"/>
              </w:rPr>
            </m:ctrlPr>
          </m:sSupPr>
          <m:e>
            <m:r>
              <w:rPr>
                <w:rFonts w:ascii="Cambria Math" w:eastAsia="Times New Roman" w:hAnsi="Cambria Math" w:cs="Times New Roman"/>
                <w:sz w:val="24"/>
                <w:szCs w:val="24"/>
              </w:rPr>
              <m:t>e</m:t>
            </m:r>
          </m:e>
          <m:sup>
            <m:r>
              <w:rPr>
                <w:rFonts w:ascii="Cambria Math" w:eastAsia="Times New Roman" w:hAnsi="Cambria Math" w:cs="Times New Roman"/>
                <w:sz w:val="24"/>
                <w:szCs w:val="24"/>
              </w:rPr>
              <m:t>-αt</m:t>
            </m:r>
          </m:sup>
        </m:sSup>
        <m:r>
          <w:rPr>
            <w:rFonts w:ascii="Cambria Math" w:eastAsia="Times New Roman" w:hAnsi="Cambria Math" w:cs="Times New Roman"/>
            <w:sz w:val="24"/>
            <w:szCs w:val="24"/>
          </w:rPr>
          <m:t>*</m:t>
        </m:r>
        <m:acc>
          <m:accPr>
            <m:chr m:val="̅"/>
            <m:ctrlPr>
              <w:rPr>
                <w:rFonts w:ascii="Cambria Math" w:eastAsia="Times New Roman" w:hAnsi="Cambria Math" w:cs="Times New Roman"/>
                <w:sz w:val="24"/>
                <w:szCs w:val="24"/>
              </w:rPr>
            </m:ctrlPr>
          </m:accPr>
          <m:e>
            <m:sSub>
              <m:sSubPr>
                <m:ctrlPr>
                  <w:rPr>
                    <w:rFonts w:ascii="Cambria Math" w:eastAsia="Times New Roman" w:hAnsi="Cambria Math" w:cs="Times New Roman"/>
                    <w:sz w:val="24"/>
                    <w:szCs w:val="24"/>
                  </w:rPr>
                </m:ctrlPr>
              </m:sSubPr>
              <m:e>
                <m:r>
                  <m:rPr>
                    <m:sty m:val="p"/>
                  </m:rPr>
                  <w:rPr>
                    <w:rFonts w:ascii="Cambria Math" w:eastAsia="Times New Roman" w:hAnsi="Cambria Math" w:cs="Times New Roman"/>
                    <w:sz w:val="24"/>
                    <w:szCs w:val="24"/>
                  </w:rPr>
                  <m:t>SOC</m:t>
                </m:r>
                <m:r>
                  <w:rPr>
                    <w:rFonts w:ascii="Cambria Math" w:eastAsia="Times New Roman" w:hAnsi="Cambria Math" w:cs="Times New Roman"/>
                    <w:sz w:val="24"/>
                    <w:szCs w:val="24"/>
                  </w:rPr>
                  <m:t>17</m:t>
                </m:r>
              </m:e>
              <m:sub>
                <m:r>
                  <w:rPr>
                    <w:rFonts w:ascii="Cambria Math" w:eastAsia="Times New Roman" w:hAnsi="Cambria Math" w:cs="Times New Roman"/>
                    <w:sz w:val="24"/>
                    <w:szCs w:val="24"/>
                  </w:rPr>
                  <m:t>o</m:t>
                </m:r>
              </m:sub>
            </m:sSub>
          </m:e>
        </m:acc>
      </m:oMath>
      <w:r w:rsidR="00F17894">
        <w:rPr>
          <w:rFonts w:ascii="Times New Roman" w:eastAsia="Times New Roman" w:hAnsi="Times New Roman" w:cs="Times New Roman"/>
          <w:sz w:val="24"/>
          <w:szCs w:val="24"/>
        </w:rPr>
        <w:tab/>
      </w:r>
      <w:r w:rsidR="00F17894">
        <w:rPr>
          <w:rFonts w:ascii="Times New Roman" w:eastAsia="Times New Roman" w:hAnsi="Times New Roman" w:cs="Times New Roman"/>
          <w:sz w:val="24"/>
          <w:szCs w:val="24"/>
        </w:rPr>
        <w:tab/>
      </w:r>
      <w:r w:rsidR="00F17894">
        <w:rPr>
          <w:rFonts w:ascii="Times New Roman" w:eastAsia="Times New Roman" w:hAnsi="Times New Roman" w:cs="Times New Roman"/>
          <w:sz w:val="24"/>
          <w:szCs w:val="24"/>
        </w:rPr>
        <w:tab/>
      </w:r>
      <w:r w:rsidR="00F17894">
        <w:rPr>
          <w:rFonts w:ascii="Times New Roman" w:eastAsia="Times New Roman" w:hAnsi="Times New Roman" w:cs="Times New Roman"/>
          <w:sz w:val="24"/>
          <w:szCs w:val="24"/>
        </w:rPr>
        <w:tab/>
        <w:t>(Eq. 4</w:t>
      </w:r>
      <w:r w:rsidRPr="00C14D16">
        <w:rPr>
          <w:rFonts w:ascii="Times New Roman" w:eastAsia="Times New Roman" w:hAnsi="Times New Roman" w:cs="Times New Roman"/>
          <w:sz w:val="24"/>
          <w:szCs w:val="24"/>
        </w:rPr>
        <w:t>)</w:t>
      </w:r>
    </w:p>
    <w:p w14:paraId="691AB83F" w14:textId="0626DBE1" w:rsidR="00BD62D7" w:rsidRPr="00C14D16" w:rsidRDefault="00BD62D7" w:rsidP="00BD62D7">
      <w:pPr>
        <w:spacing w:line="480" w:lineRule="auto"/>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 xml:space="preserve">where </w:t>
      </w:r>
      <w:r w:rsidRPr="00C14D16">
        <w:rPr>
          <w:rFonts w:ascii="Times New Roman" w:eastAsia="Times New Roman" w:hAnsi="Times New Roman" w:cs="Times New Roman"/>
          <w:i/>
          <w:sz w:val="24"/>
          <w:szCs w:val="24"/>
        </w:rPr>
        <w:t>t</w:t>
      </w:r>
      <w:r w:rsidRPr="00C14D16">
        <w:rPr>
          <w:rFonts w:ascii="Times New Roman" w:eastAsia="Times New Roman" w:hAnsi="Times New Roman" w:cs="Times New Roman"/>
          <w:sz w:val="24"/>
          <w:szCs w:val="24"/>
        </w:rPr>
        <w:t xml:space="preserve"> is time in years. </w:t>
      </w:r>
      <w:r w:rsidR="000E1B28">
        <w:rPr>
          <w:rFonts w:ascii="Times New Roman" w:eastAsia="Times New Roman" w:hAnsi="Times New Roman" w:cs="Times New Roman"/>
          <w:sz w:val="24"/>
          <w:szCs w:val="24"/>
        </w:rPr>
        <w:t>To relate the quantities from the Mass Balance Equation (Eq. 2) to system level regulation of the UFF, we estimated the minimum quantity of mulch necessary to meet the estimated C supply rate (</w:t>
      </w:r>
      <w:r w:rsidR="000E1B28">
        <w:rPr>
          <w:rFonts w:ascii="Times New Roman" w:eastAsia="Times New Roman" w:hAnsi="Times New Roman" w:cs="Times New Roman"/>
          <w:i/>
          <w:sz w:val="24"/>
          <w:szCs w:val="24"/>
        </w:rPr>
        <w:t>K</w:t>
      </w:r>
      <w:r w:rsidR="000E1B28">
        <w:rPr>
          <w:rFonts w:ascii="Times New Roman" w:eastAsia="Times New Roman" w:hAnsi="Times New Roman" w:cs="Times New Roman"/>
          <w:sz w:val="24"/>
          <w:szCs w:val="24"/>
        </w:rPr>
        <w:t xml:space="preserve">). Specifically, we used the standard C content of wood of 50% (w/w) </w:t>
      </w:r>
      <w:r w:rsidR="000E1B28">
        <w:rPr>
          <w:rFonts w:ascii="Times New Roman" w:eastAsia="Times New Roman" w:hAnsi="Times New Roman" w:cs="Times New Roman"/>
          <w:sz w:val="24"/>
          <w:szCs w:val="24"/>
        </w:rPr>
        <w:fldChar w:fldCharType="begin" w:fldLock="1"/>
      </w:r>
      <w:r w:rsidR="000E1B28">
        <w:rPr>
          <w:rFonts w:ascii="Times New Roman" w:eastAsia="Times New Roman" w:hAnsi="Times New Roman" w:cs="Times New Roman"/>
          <w:sz w:val="24"/>
          <w:szCs w:val="24"/>
        </w:rPr>
        <w:instrText>ADDIN CSL_CITATION {"citationItems":[{"id":"ITEM-1","itemData":{"abstract":"Emissions of the three most important long-lived greenhouse gases (GHG) have increased measurably over the past two centuries. Carbon dioxide (CO2), methane (CH4), and nitrous oxide (N2O) concentrations in the atmosphere have increased by approximately 38%, 143%, and 18%, respectively, since 1750. In the U.S., agriculture accounted for approximately 6% of total GHG emissions (6,957 Tg CO2 eq. [teragrams of carbon dioxide equivalent]) in 2008. Livestock, grasslands, crop production, and energy use contributed a total of 462 Tg CO2 eq. to the atmosphere in 2008. This total includes an offset from agricultural soil carbon sequestration of roughly 40 Tg CO2 eq. The primary agricultural sources are N2O emissions from cropped and grazed soils (214 Tg CO2 eq.), CH4 emissions from enteric fermentation (141 Tg CO2 eq.), CO2 emissions from energy use (72 Tg CO2 eq.), and CH4 emissions from managed livestock waste (45 Tg CO2 eq.). Forests in the United States contributed a net reduction in atmospheric GHG of approximately 886 Tg CO2 eq. in 2008, which offset total U.S. GHG emissions by approximately 13%. In aggregate, the U.S. agricultural sector (including GHG sources from crop and livestock production, grasslands, energy use and GHG sinks for forests and urban trees) was estimated to be a net sink of 424 Tg CO2 eq. in 2008.","author":[{"dropping-particle":"","family":"USDA","given":"","non-dropping-particle":"","parse-names":false,"suffix":""}],"id":"ITEM-1","issued":{"date-parts":[["2011"]]},"number-of-pages":"159","title":"U.S. Agriculture and Forestry Greenhouse Gas Inventory: 1990-2008","type":"report"},"uris":["http://www.mendeley.com/documents/?uuid=d50d36c8-d6b3-4dd9-89ae-fd6cc5a9d9b4"]}],"mendeley":{"formattedCitation":"(USDA, 2011)","plainTextFormattedCitation":"(USDA, 2011)","previouslyFormattedCitation":"(USDA, 2011)"},"properties":{"noteIndex":0},"schema":"https://github.com/citation-style-language/schema/raw/master/csl-citation.json"}</w:instrText>
      </w:r>
      <w:r w:rsidR="000E1B28">
        <w:rPr>
          <w:rFonts w:ascii="Times New Roman" w:eastAsia="Times New Roman" w:hAnsi="Times New Roman" w:cs="Times New Roman"/>
          <w:sz w:val="24"/>
          <w:szCs w:val="24"/>
        </w:rPr>
        <w:fldChar w:fldCharType="separate"/>
      </w:r>
      <w:r w:rsidR="000E1B28" w:rsidRPr="00B92A49">
        <w:rPr>
          <w:rFonts w:ascii="Times New Roman" w:eastAsia="Times New Roman" w:hAnsi="Times New Roman" w:cs="Times New Roman"/>
          <w:noProof/>
          <w:sz w:val="24"/>
          <w:szCs w:val="24"/>
        </w:rPr>
        <w:t>(USDA, 2011)</w:t>
      </w:r>
      <w:r w:rsidR="000E1B28">
        <w:rPr>
          <w:rFonts w:ascii="Times New Roman" w:eastAsia="Times New Roman" w:hAnsi="Times New Roman" w:cs="Times New Roman"/>
          <w:sz w:val="24"/>
          <w:szCs w:val="24"/>
        </w:rPr>
        <w:fldChar w:fldCharType="end"/>
      </w:r>
      <w:r w:rsidR="000E1B28">
        <w:rPr>
          <w:rFonts w:ascii="Times New Roman" w:eastAsia="Times New Roman" w:hAnsi="Times New Roman" w:cs="Times New Roman"/>
          <w:sz w:val="24"/>
          <w:szCs w:val="24"/>
        </w:rPr>
        <w:t xml:space="preserve"> and bulk density of dry wood chips of 200 kg m</w:t>
      </w:r>
      <w:r w:rsidR="000E1B28">
        <w:rPr>
          <w:rFonts w:ascii="Times New Roman" w:eastAsia="Times New Roman" w:hAnsi="Times New Roman" w:cs="Times New Roman"/>
          <w:sz w:val="24"/>
          <w:szCs w:val="24"/>
          <w:vertAlign w:val="superscript"/>
        </w:rPr>
        <w:t xml:space="preserve">-3 </w:t>
      </w:r>
      <w:r w:rsidR="000E1B28">
        <w:rPr>
          <w:rFonts w:ascii="Times New Roman" w:eastAsia="Times New Roman" w:hAnsi="Times New Roman" w:cs="Times New Roman"/>
          <w:sz w:val="24"/>
          <w:szCs w:val="24"/>
        </w:rPr>
        <w:fldChar w:fldCharType="begin" w:fldLock="1"/>
      </w:r>
      <w:r w:rsidR="000E1B28">
        <w:rPr>
          <w:rFonts w:ascii="Times New Roman" w:eastAsia="Times New Roman" w:hAnsi="Times New Roman" w:cs="Times New Roman"/>
          <w:sz w:val="24"/>
          <w:szCs w:val="24"/>
        </w:rPr>
        <w:instrText>ADDIN CSL_CITATION {"citationItems":[{"id":"ITEM-1","itemData":{"DOI":"General Technical Report FPL-GTR-190","ISBN":"1892529025","ISSN":"03781127","PMID":"786494","abstract":"Summarizes information on wood as an engineering material. Presents properties of wood and wood-based products of particular concern to the architect and engineer. Includes discussion of designing with wood and wood-based products along with some pertinent uses.","author":[{"dropping-particle":"","family":"Forest Products Laboratory","given":"","non-dropping-particle":"","parse-names":false,"suffix":""}],"container-title":"Agriculture","id":"ITEM-1","issued":{"date-parts":[["2010"]]},"page":"466","title":"Wood Handbook: Wood as an Engineering Material","type":"article-journal","volume":"72"},"uris":["http://www.mendeley.com/documents/?uuid=cd30f0e5-5183-4857-97c2-a610405b1e7c"]}],"mendeley":{"formattedCitation":"(Forest Products Laboratory, 2010)","plainTextFormattedCitation":"(Forest Products Laboratory, 2010)","previouslyFormattedCitation":"(Forest Products Laboratory, 2010)"},"properties":{"noteIndex":0},"schema":"https://github.com/citation-style-language/schema/raw/master/csl-citation.json"}</w:instrText>
      </w:r>
      <w:r w:rsidR="000E1B28">
        <w:rPr>
          <w:rFonts w:ascii="Times New Roman" w:eastAsia="Times New Roman" w:hAnsi="Times New Roman" w:cs="Times New Roman"/>
          <w:sz w:val="24"/>
          <w:szCs w:val="24"/>
        </w:rPr>
        <w:fldChar w:fldCharType="separate"/>
      </w:r>
      <w:r w:rsidR="000E1B28" w:rsidRPr="005A2E0E">
        <w:rPr>
          <w:rFonts w:ascii="Times New Roman" w:eastAsia="Times New Roman" w:hAnsi="Times New Roman" w:cs="Times New Roman"/>
          <w:noProof/>
          <w:sz w:val="24"/>
          <w:szCs w:val="24"/>
        </w:rPr>
        <w:t>(Forest Products Laboratory, 2010)</w:t>
      </w:r>
      <w:r w:rsidR="000E1B28">
        <w:rPr>
          <w:rFonts w:ascii="Times New Roman" w:eastAsia="Times New Roman" w:hAnsi="Times New Roman" w:cs="Times New Roman"/>
          <w:sz w:val="24"/>
          <w:szCs w:val="24"/>
        </w:rPr>
        <w:fldChar w:fldCharType="end"/>
      </w:r>
      <w:r w:rsidR="000E1B28">
        <w:rPr>
          <w:rFonts w:ascii="Times New Roman" w:eastAsia="Times New Roman" w:hAnsi="Times New Roman" w:cs="Times New Roman"/>
          <w:sz w:val="24"/>
          <w:szCs w:val="24"/>
        </w:rPr>
        <w:t xml:space="preserve"> to convert supply rate estimates into mass and depth of mulch.</w:t>
      </w:r>
    </w:p>
    <w:p w14:paraId="0767D982" w14:textId="5114A93F" w:rsidR="005F029E" w:rsidRPr="007214D4" w:rsidRDefault="00BD62D7" w:rsidP="00E775ED">
      <w:pPr>
        <w:spacing w:line="480" w:lineRule="auto"/>
        <w:ind w:firstLine="720"/>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To propagate uncertainty from all aspects of the model, including calibration curve estimation (</w:t>
      </w:r>
      <w:r>
        <w:rPr>
          <w:rFonts w:ascii="Times New Roman" w:eastAsia="Times New Roman" w:hAnsi="Times New Roman" w:cs="Times New Roman"/>
          <w:sz w:val="24"/>
          <w:szCs w:val="24"/>
        </w:rPr>
        <w:t xml:space="preserve">Supplementary Methods </w:t>
      </w:r>
      <w:r w:rsidRPr="00C14D16">
        <w:rPr>
          <w:rFonts w:ascii="Times New Roman" w:eastAsia="Times New Roman" w:hAnsi="Times New Roman" w:cs="Times New Roman"/>
          <w:sz w:val="24"/>
          <w:szCs w:val="24"/>
        </w:rPr>
        <w:t xml:space="preserve">Eq. </w:t>
      </w:r>
      <w:r>
        <w:rPr>
          <w:rFonts w:ascii="Times New Roman" w:eastAsia="Times New Roman" w:hAnsi="Times New Roman" w:cs="Times New Roman"/>
          <w:sz w:val="24"/>
          <w:szCs w:val="24"/>
        </w:rPr>
        <w:t>S1</w:t>
      </w:r>
      <w:r w:rsidRPr="00C14D1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S3, S7, S9</w:t>
      </w:r>
      <w:r w:rsidRPr="00C14D16">
        <w:rPr>
          <w:rFonts w:ascii="Times New Roman" w:eastAsia="Times New Roman" w:hAnsi="Times New Roman" w:cs="Times New Roman"/>
          <w:sz w:val="24"/>
          <w:szCs w:val="24"/>
        </w:rPr>
        <w:t xml:space="preserve">), and spatial detrending (e.g. </w:t>
      </w:r>
      <w:r>
        <w:rPr>
          <w:rFonts w:ascii="Times New Roman" w:eastAsia="Times New Roman" w:hAnsi="Times New Roman" w:cs="Times New Roman"/>
          <w:sz w:val="24"/>
          <w:szCs w:val="24"/>
        </w:rPr>
        <w:t>Supplementary Methods Eq. S5, S6</w:t>
      </w:r>
      <w:r w:rsidRPr="00C14D16">
        <w:rPr>
          <w:rFonts w:ascii="Times New Roman" w:eastAsia="Times New Roman" w:hAnsi="Times New Roman" w:cs="Times New Roman"/>
          <w:sz w:val="24"/>
          <w:szCs w:val="24"/>
        </w:rPr>
        <w:t>), we calculated the SOC input and m</w:t>
      </w:r>
      <w:r>
        <w:rPr>
          <w:rFonts w:ascii="Times New Roman" w:eastAsia="Times New Roman" w:hAnsi="Times New Roman" w:cs="Times New Roman"/>
          <w:sz w:val="24"/>
          <w:szCs w:val="24"/>
        </w:rPr>
        <w:t>in</w:t>
      </w:r>
      <w:r w:rsidR="0065411D">
        <w:rPr>
          <w:rFonts w:ascii="Times New Roman" w:eastAsia="Times New Roman" w:hAnsi="Times New Roman" w:cs="Times New Roman"/>
          <w:sz w:val="24"/>
          <w:szCs w:val="24"/>
        </w:rPr>
        <w:t>eralization parameters (Eq. 1</w:t>
      </w:r>
      <w:r w:rsidRPr="00C14D16">
        <w:rPr>
          <w:rFonts w:ascii="Times New Roman" w:eastAsia="Times New Roman" w:hAnsi="Times New Roman" w:cs="Times New Roman"/>
          <w:sz w:val="24"/>
          <w:szCs w:val="24"/>
        </w:rPr>
        <w:t xml:space="preserve">) during </w:t>
      </w:r>
      <w:r>
        <w:rPr>
          <w:rFonts w:ascii="Times New Roman" w:eastAsia="Times New Roman" w:hAnsi="Times New Roman" w:cs="Times New Roman"/>
          <w:sz w:val="24"/>
          <w:szCs w:val="24"/>
        </w:rPr>
        <w:t>Markov Chain Monte Carlo (</w:t>
      </w:r>
      <w:r w:rsidRPr="00C14D16">
        <w:rPr>
          <w:rFonts w:ascii="Times New Roman" w:eastAsia="Times New Roman" w:hAnsi="Times New Roman" w:cs="Times New Roman"/>
          <w:sz w:val="24"/>
          <w:szCs w:val="24"/>
        </w:rPr>
        <w:t>MCMC</w:t>
      </w:r>
      <w:r>
        <w:rPr>
          <w:rFonts w:ascii="Times New Roman" w:eastAsia="Times New Roman" w:hAnsi="Times New Roman" w:cs="Times New Roman"/>
          <w:sz w:val="24"/>
          <w:szCs w:val="24"/>
        </w:rPr>
        <w:t>)</w:t>
      </w:r>
      <w:r w:rsidRPr="00C14D16">
        <w:rPr>
          <w:rFonts w:ascii="Times New Roman" w:eastAsia="Times New Roman" w:hAnsi="Times New Roman" w:cs="Times New Roman"/>
          <w:sz w:val="24"/>
          <w:szCs w:val="24"/>
        </w:rPr>
        <w:t xml:space="preserve"> sampling and drew 1200 samples from the MCMC c</w:t>
      </w:r>
      <w:r w:rsidR="0065411D">
        <w:rPr>
          <w:rFonts w:ascii="Times New Roman" w:eastAsia="Times New Roman" w:hAnsi="Times New Roman" w:cs="Times New Roman"/>
          <w:sz w:val="24"/>
          <w:szCs w:val="24"/>
        </w:rPr>
        <w:t>hains for the projection (Eq. 4</w:t>
      </w:r>
      <w:r w:rsidR="00F17894">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0E1B28">
        <w:rPr>
          <w:rFonts w:ascii="Times New Roman" w:eastAsia="Times New Roman" w:hAnsi="Times New Roman" w:cs="Times New Roman"/>
          <w:sz w:val="24"/>
          <w:szCs w:val="24"/>
        </w:rPr>
        <w:t>For details of model fitting, see Supplementary Methods.</w:t>
      </w:r>
    </w:p>
    <w:p w14:paraId="07CCD430" w14:textId="28C1F68B" w:rsidR="00003022" w:rsidRPr="00E775ED" w:rsidRDefault="00032304" w:rsidP="00E775ED">
      <w:pPr>
        <w:spacing w:line="48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Soil r</w:t>
      </w:r>
      <w:r w:rsidR="00003022" w:rsidRPr="00E775ED">
        <w:rPr>
          <w:rFonts w:ascii="Times New Roman" w:eastAsia="Times New Roman" w:hAnsi="Times New Roman" w:cs="Times New Roman"/>
          <w:i/>
          <w:sz w:val="24"/>
          <w:szCs w:val="24"/>
        </w:rPr>
        <w:t>espiration</w:t>
      </w:r>
    </w:p>
    <w:p w14:paraId="27AC2E13" w14:textId="76217507" w:rsidR="00F51880" w:rsidRPr="00C14D16" w:rsidRDefault="00003022">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We measured soil respiration as the</w:t>
      </w:r>
      <w:r w:rsidR="002B3DD1" w:rsidRPr="00C14D16">
        <w:rPr>
          <w:rFonts w:ascii="Times New Roman" w:eastAsia="Times New Roman" w:hAnsi="Times New Roman" w:cs="Times New Roman"/>
          <w:sz w:val="24"/>
          <w:szCs w:val="24"/>
        </w:rPr>
        <w:t xml:space="preserve"> mass specific respiration</w:t>
      </w:r>
      <w:r w:rsidR="008A4190">
        <w:rPr>
          <w:rFonts w:ascii="Times New Roman" w:eastAsia="Times New Roman" w:hAnsi="Times New Roman" w:cs="Times New Roman"/>
          <w:sz w:val="24"/>
          <w:szCs w:val="24"/>
        </w:rPr>
        <w:t xml:space="preserve"> rate (MSRR)</w:t>
      </w:r>
      <w:r w:rsidR="002B3DD1" w:rsidRPr="00C14D16">
        <w:rPr>
          <w:rFonts w:ascii="Times New Roman" w:eastAsia="Times New Roman" w:hAnsi="Times New Roman" w:cs="Times New Roman"/>
          <w:sz w:val="24"/>
          <w:szCs w:val="24"/>
        </w:rPr>
        <w:t xml:space="preserve"> under standard laboratory conditions. Within 48 hours of collection, </w:t>
      </w:r>
      <w:r w:rsidR="0089401E">
        <w:rPr>
          <w:rFonts w:ascii="Times New Roman" w:eastAsia="Times New Roman" w:hAnsi="Times New Roman" w:cs="Times New Roman"/>
          <w:sz w:val="24"/>
          <w:szCs w:val="24"/>
        </w:rPr>
        <w:t>we allowed samples to equilibrate to room temperature inside</w:t>
      </w:r>
      <w:r w:rsidR="002B3DD1" w:rsidRPr="00C14D16">
        <w:rPr>
          <w:rFonts w:ascii="Times New Roman" w:eastAsia="Times New Roman" w:hAnsi="Times New Roman" w:cs="Times New Roman"/>
          <w:sz w:val="24"/>
          <w:szCs w:val="24"/>
        </w:rPr>
        <w:t xml:space="preserve"> 500 ml glass tissue culture flasks</w:t>
      </w:r>
      <w:r w:rsidR="0089401E">
        <w:rPr>
          <w:rFonts w:ascii="Times New Roman" w:eastAsia="Times New Roman" w:hAnsi="Times New Roman" w:cs="Times New Roman"/>
          <w:sz w:val="24"/>
          <w:szCs w:val="24"/>
        </w:rPr>
        <w:t>, which served as static respiration chambers</w:t>
      </w:r>
      <w:r w:rsidR="002B3DD1" w:rsidRPr="00C14D16">
        <w:rPr>
          <w:rFonts w:ascii="Times New Roman" w:eastAsia="Times New Roman" w:hAnsi="Times New Roman" w:cs="Times New Roman"/>
          <w:sz w:val="24"/>
          <w:szCs w:val="24"/>
        </w:rPr>
        <w:t>. We measured initial headspace CO</w:t>
      </w:r>
      <w:r w:rsidR="002B3DD1" w:rsidRPr="00C14D16">
        <w:rPr>
          <w:rFonts w:ascii="Times New Roman" w:eastAsia="Times New Roman" w:hAnsi="Times New Roman" w:cs="Times New Roman"/>
          <w:sz w:val="24"/>
          <w:szCs w:val="24"/>
          <w:vertAlign w:val="subscript"/>
        </w:rPr>
        <w:t>2</w:t>
      </w:r>
      <w:r w:rsidR="002B3DD1" w:rsidRPr="00C14D16">
        <w:rPr>
          <w:rFonts w:ascii="Times New Roman" w:eastAsia="Times New Roman" w:hAnsi="Times New Roman" w:cs="Times New Roman"/>
          <w:sz w:val="24"/>
          <w:szCs w:val="24"/>
        </w:rPr>
        <w:t xml:space="preserve"> concentrations by </w:t>
      </w:r>
      <w:r w:rsidR="0089401E">
        <w:rPr>
          <w:rFonts w:ascii="Times New Roman" w:eastAsia="Times New Roman" w:hAnsi="Times New Roman" w:cs="Times New Roman"/>
          <w:sz w:val="24"/>
          <w:szCs w:val="24"/>
        </w:rPr>
        <w:t xml:space="preserve">injecting 10 mL of soda-lime scrubbed air and </w:t>
      </w:r>
      <w:r w:rsidR="002B3DD1" w:rsidRPr="00C14D16">
        <w:rPr>
          <w:rFonts w:ascii="Times New Roman" w:eastAsia="Times New Roman" w:hAnsi="Times New Roman" w:cs="Times New Roman"/>
          <w:sz w:val="24"/>
          <w:szCs w:val="24"/>
        </w:rPr>
        <w:t>pumping the syringe three times</w:t>
      </w:r>
      <w:r w:rsidR="0089401E">
        <w:rPr>
          <w:rFonts w:ascii="Times New Roman" w:eastAsia="Times New Roman" w:hAnsi="Times New Roman" w:cs="Times New Roman"/>
          <w:sz w:val="24"/>
          <w:szCs w:val="24"/>
        </w:rPr>
        <w:t xml:space="preserve"> to mix. We </w:t>
      </w:r>
      <w:r w:rsidR="002B3DD1" w:rsidRPr="00C14D16">
        <w:rPr>
          <w:rFonts w:ascii="Times New Roman" w:eastAsia="Times New Roman" w:hAnsi="Times New Roman" w:cs="Times New Roman"/>
          <w:sz w:val="24"/>
          <w:szCs w:val="24"/>
        </w:rPr>
        <w:t>measured</w:t>
      </w:r>
      <w:r w:rsidR="0089401E">
        <w:rPr>
          <w:rFonts w:ascii="Times New Roman" w:eastAsia="Times New Roman" w:hAnsi="Times New Roman" w:cs="Times New Roman"/>
          <w:sz w:val="24"/>
          <w:szCs w:val="24"/>
        </w:rPr>
        <w:t xml:space="preserve"> the resulting 10 mL headspace sample</w:t>
      </w:r>
      <w:r w:rsidR="002B3DD1" w:rsidRPr="00C14D16">
        <w:rPr>
          <w:rFonts w:ascii="Times New Roman" w:eastAsia="Times New Roman" w:hAnsi="Times New Roman" w:cs="Times New Roman"/>
          <w:sz w:val="24"/>
          <w:szCs w:val="24"/>
        </w:rPr>
        <w:t xml:space="preserve"> using a PP Systems EGM-4 Infrared Gas Analyzer </w:t>
      </w:r>
      <w:r w:rsidR="00AE02AC" w:rsidRPr="00C14D16">
        <w:rPr>
          <w:rFonts w:ascii="Times New Roman" w:eastAsia="Times New Roman" w:hAnsi="Times New Roman" w:cs="Times New Roman"/>
          <w:sz w:val="24"/>
          <w:szCs w:val="24"/>
        </w:rPr>
        <w:t>(Amesbury, MA)</w:t>
      </w:r>
      <w:r w:rsidR="0089401E">
        <w:rPr>
          <w:rFonts w:ascii="Times New Roman" w:eastAsia="Times New Roman" w:hAnsi="Times New Roman" w:cs="Times New Roman"/>
          <w:sz w:val="24"/>
          <w:szCs w:val="24"/>
        </w:rPr>
        <w:t xml:space="preserve"> and</w:t>
      </w:r>
      <w:r w:rsidR="002B3DD1" w:rsidRPr="00C14D16">
        <w:rPr>
          <w:rFonts w:ascii="Times New Roman" w:eastAsia="Times New Roman" w:hAnsi="Times New Roman" w:cs="Times New Roman"/>
          <w:sz w:val="24"/>
          <w:szCs w:val="24"/>
        </w:rPr>
        <w:t xml:space="preserve"> </w:t>
      </w:r>
      <w:r w:rsidR="0089401E">
        <w:rPr>
          <w:rFonts w:ascii="Times New Roman" w:eastAsia="Times New Roman" w:hAnsi="Times New Roman" w:cs="Times New Roman"/>
          <w:sz w:val="24"/>
          <w:szCs w:val="24"/>
        </w:rPr>
        <w:t>then</w:t>
      </w:r>
      <w:r w:rsidR="002B3DD1" w:rsidRPr="00C14D16">
        <w:rPr>
          <w:rFonts w:ascii="Times New Roman" w:eastAsia="Times New Roman" w:hAnsi="Times New Roman" w:cs="Times New Roman"/>
          <w:sz w:val="24"/>
          <w:szCs w:val="24"/>
        </w:rPr>
        <w:t xml:space="preserve"> repeated the procedure</w:t>
      </w:r>
      <w:r w:rsidR="0089401E">
        <w:rPr>
          <w:rFonts w:ascii="Times New Roman" w:eastAsia="Times New Roman" w:hAnsi="Times New Roman" w:cs="Times New Roman"/>
          <w:sz w:val="24"/>
          <w:szCs w:val="24"/>
        </w:rPr>
        <w:t xml:space="preserve"> after an incubation of approximately 20 minutes. </w:t>
      </w:r>
      <w:r w:rsidR="002B3DD1" w:rsidRPr="00C14D16">
        <w:rPr>
          <w:rFonts w:ascii="Times New Roman" w:eastAsia="Times New Roman" w:hAnsi="Times New Roman" w:cs="Times New Roman"/>
          <w:sz w:val="24"/>
          <w:szCs w:val="24"/>
        </w:rPr>
        <w:t>We calculated the headspace C masses by applying the ideal gas law:</w:t>
      </w:r>
    </w:p>
    <w:p w14:paraId="137062E6" w14:textId="7C939024" w:rsidR="00F51880" w:rsidRPr="00C14D16" w:rsidRDefault="002B3DD1">
      <w:pPr>
        <w:spacing w:line="480" w:lineRule="auto"/>
        <w:jc w:val="center"/>
        <w:rPr>
          <w:rFonts w:ascii="Times New Roman" w:eastAsia="Times New Roman" w:hAnsi="Times New Roman" w:cs="Times New Roman"/>
          <w:sz w:val="24"/>
          <w:szCs w:val="24"/>
        </w:rPr>
      </w:pPr>
      <m:oMath>
        <m:r>
          <w:rPr>
            <w:rFonts w:ascii="Cambria Math" w:eastAsia="Times New Roman" w:hAnsi="Cambria Math" w:cs="Times New Roman"/>
            <w:sz w:val="24"/>
            <w:szCs w:val="24"/>
          </w:rPr>
          <m:t xml:space="preserve">mass C =12.05 * PPM  </m:t>
        </m:r>
        <m:f>
          <m:fPr>
            <m:ctrlPr>
              <w:rPr>
                <w:rFonts w:ascii="Cambria Math" w:eastAsia="Times New Roman" w:hAnsi="Cambria Math" w:cs="Times New Roman"/>
                <w:sz w:val="24"/>
                <w:szCs w:val="24"/>
              </w:rPr>
            </m:ctrlPr>
          </m:fPr>
          <m:num>
            <m:r>
              <w:rPr>
                <w:rFonts w:ascii="Cambria Math" w:eastAsia="Times New Roman" w:hAnsi="Cambria Math" w:cs="Times New Roman"/>
                <w:sz w:val="24"/>
                <w:szCs w:val="24"/>
              </w:rPr>
              <m:t xml:space="preserve">pressureATM * (jarVolume -coreLength * π * </m:t>
            </m:r>
            <m:sSup>
              <m:sSupPr>
                <m:ctrlPr>
                  <w:rPr>
                    <w:rFonts w:ascii="Cambria Math" w:eastAsia="Times New Roman" w:hAnsi="Cambria Math" w:cs="Times New Roman"/>
                    <w:sz w:val="24"/>
                    <w:szCs w:val="24"/>
                  </w:rPr>
                </m:ctrlPr>
              </m:sSupPr>
              <m:e>
                <m:r>
                  <w:rPr>
                    <w:rFonts w:ascii="Cambria Math" w:eastAsia="Times New Roman" w:hAnsi="Cambria Math" w:cs="Times New Roman"/>
                    <w:sz w:val="24"/>
                    <w:szCs w:val="24"/>
                  </w:rPr>
                  <m:t>augerRadius</m:t>
                </m:r>
              </m:e>
              <m:sup>
                <m:r>
                  <w:rPr>
                    <w:rFonts w:ascii="Cambria Math" w:eastAsia="Times New Roman" w:hAnsi="Cambria Math" w:cs="Times New Roman"/>
                    <w:sz w:val="24"/>
                    <w:szCs w:val="24"/>
                  </w:rPr>
                  <m:t>2</m:t>
                </m:r>
              </m:sup>
            </m:sSup>
            <m:r>
              <w:rPr>
                <w:rFonts w:ascii="Cambria Math" w:eastAsia="Times New Roman" w:hAnsi="Cambria Math" w:cs="Times New Roman"/>
                <w:sz w:val="24"/>
                <w:szCs w:val="24"/>
              </w:rPr>
              <m:t>)</m:t>
            </m:r>
          </m:num>
          <m:den>
            <m:r>
              <w:rPr>
                <w:rFonts w:ascii="Cambria Math" w:eastAsia="Times New Roman" w:hAnsi="Cambria Math" w:cs="Times New Roman"/>
                <w:sz w:val="24"/>
                <w:szCs w:val="24"/>
              </w:rPr>
              <m:t>(273.15 + labTemp) * R</m:t>
            </m:r>
          </m:den>
        </m:f>
      </m:oMath>
      <w:r w:rsidRPr="00C14D16">
        <w:rPr>
          <w:rFonts w:ascii="Times New Roman" w:eastAsia="Times New Roman" w:hAnsi="Times New Roman" w:cs="Times New Roman"/>
          <w:sz w:val="24"/>
          <w:szCs w:val="24"/>
        </w:rPr>
        <w:t xml:space="preserve"> </w:t>
      </w:r>
      <w:r w:rsidR="001E26EF">
        <w:rPr>
          <w:rFonts w:ascii="Times New Roman" w:eastAsia="Times New Roman" w:hAnsi="Times New Roman" w:cs="Times New Roman"/>
          <w:sz w:val="24"/>
          <w:szCs w:val="24"/>
        </w:rPr>
        <w:tab/>
      </w:r>
      <w:r w:rsidRPr="00C14D16">
        <w:rPr>
          <w:rFonts w:ascii="Times New Roman" w:eastAsia="Times New Roman" w:hAnsi="Times New Roman" w:cs="Times New Roman"/>
          <w:sz w:val="24"/>
          <w:szCs w:val="24"/>
        </w:rPr>
        <w:t xml:space="preserve">(Eq. </w:t>
      </w:r>
      <w:r w:rsidR="00F17894">
        <w:rPr>
          <w:rFonts w:ascii="Times New Roman" w:eastAsia="Times New Roman" w:hAnsi="Times New Roman" w:cs="Times New Roman"/>
          <w:sz w:val="24"/>
          <w:szCs w:val="24"/>
        </w:rPr>
        <w:t>5</w:t>
      </w:r>
      <w:r w:rsidRPr="00C14D16">
        <w:rPr>
          <w:rFonts w:ascii="Times New Roman" w:eastAsia="Times New Roman" w:hAnsi="Times New Roman" w:cs="Times New Roman"/>
          <w:sz w:val="24"/>
          <w:szCs w:val="24"/>
        </w:rPr>
        <w:t>)</w:t>
      </w:r>
    </w:p>
    <w:p w14:paraId="598EDCC8" w14:textId="6C878CA4" w:rsidR="00F51880" w:rsidRPr="00C14D16" w:rsidRDefault="002B3DD1">
      <w:pPr>
        <w:spacing w:line="480" w:lineRule="auto"/>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Where R = 82.05 cm</w:t>
      </w:r>
      <w:r w:rsidRPr="00C14D16">
        <w:rPr>
          <w:rFonts w:ascii="Times New Roman" w:eastAsia="Times New Roman" w:hAnsi="Times New Roman" w:cs="Times New Roman"/>
          <w:sz w:val="24"/>
          <w:szCs w:val="24"/>
          <w:vertAlign w:val="superscript"/>
        </w:rPr>
        <w:t>3</w:t>
      </w:r>
      <w:r w:rsidRPr="00C14D16">
        <w:rPr>
          <w:rFonts w:ascii="Times New Roman" w:eastAsia="Times New Roman" w:hAnsi="Times New Roman" w:cs="Times New Roman"/>
          <w:sz w:val="24"/>
          <w:szCs w:val="24"/>
        </w:rPr>
        <w:t xml:space="preserve"> atm g</w:t>
      </w:r>
      <w:r w:rsidRPr="00C14D16">
        <w:rPr>
          <w:rFonts w:ascii="Times New Roman" w:eastAsia="Times New Roman" w:hAnsi="Times New Roman" w:cs="Times New Roman"/>
          <w:sz w:val="24"/>
          <w:szCs w:val="24"/>
          <w:vertAlign w:val="superscript"/>
        </w:rPr>
        <w:t>-1</w:t>
      </w:r>
      <w:r w:rsidRPr="00C14D16">
        <w:rPr>
          <w:rFonts w:ascii="Times New Roman" w:eastAsia="Times New Roman" w:hAnsi="Times New Roman" w:cs="Times New Roman"/>
          <w:sz w:val="24"/>
          <w:szCs w:val="24"/>
        </w:rPr>
        <w:t>mol</w:t>
      </w:r>
      <w:r w:rsidRPr="00C14D16">
        <w:rPr>
          <w:rFonts w:ascii="Times New Roman" w:eastAsia="Times New Roman" w:hAnsi="Times New Roman" w:cs="Times New Roman"/>
          <w:sz w:val="24"/>
          <w:szCs w:val="24"/>
          <w:vertAlign w:val="superscript"/>
        </w:rPr>
        <w:t>-1</w:t>
      </w:r>
      <w:r w:rsidRPr="00C14D16">
        <w:rPr>
          <w:rFonts w:ascii="Times New Roman" w:eastAsia="Times New Roman" w:hAnsi="Times New Roman" w:cs="Times New Roman"/>
          <w:sz w:val="24"/>
          <w:szCs w:val="24"/>
        </w:rPr>
        <w:t>K</w:t>
      </w:r>
      <w:r w:rsidRPr="00C14D16">
        <w:rPr>
          <w:rFonts w:ascii="Times New Roman" w:eastAsia="Times New Roman" w:hAnsi="Times New Roman" w:cs="Times New Roman"/>
          <w:sz w:val="24"/>
          <w:szCs w:val="24"/>
          <w:vertAlign w:val="superscript"/>
        </w:rPr>
        <w:t>-1</w:t>
      </w:r>
      <w:r w:rsidRPr="00C14D16">
        <w:rPr>
          <w:rFonts w:ascii="Times New Roman" w:eastAsia="Times New Roman" w:hAnsi="Times New Roman" w:cs="Times New Roman"/>
          <w:sz w:val="24"/>
          <w:szCs w:val="24"/>
        </w:rPr>
        <w:t xml:space="preserve">. We then calculated MSRR as the increase in headspace C </w:t>
      </w:r>
      <w:r w:rsidR="00A0674C">
        <w:rPr>
          <w:rFonts w:ascii="Times New Roman" w:eastAsia="Times New Roman" w:hAnsi="Times New Roman" w:cs="Times New Roman"/>
          <w:sz w:val="24"/>
          <w:szCs w:val="24"/>
        </w:rPr>
        <w:t>m</w:t>
      </w:r>
      <w:r w:rsidR="0065411D">
        <w:rPr>
          <w:rFonts w:ascii="Times New Roman" w:eastAsia="Times New Roman" w:hAnsi="Times New Roman" w:cs="Times New Roman"/>
          <w:sz w:val="24"/>
          <w:szCs w:val="24"/>
        </w:rPr>
        <w:t>in</w:t>
      </w:r>
      <w:r w:rsidR="00A0674C">
        <w:rPr>
          <w:rFonts w:ascii="Times New Roman" w:eastAsia="Times New Roman" w:hAnsi="Times New Roman" w:cs="Times New Roman"/>
          <w:sz w:val="24"/>
          <w:szCs w:val="24"/>
          <w:vertAlign w:val="superscript"/>
        </w:rPr>
        <w:t>-1</w:t>
      </w:r>
      <w:r w:rsidRPr="00C14D16">
        <w:rPr>
          <w:rFonts w:ascii="Times New Roman" w:eastAsia="Times New Roman" w:hAnsi="Times New Roman" w:cs="Times New Roman"/>
          <w:sz w:val="24"/>
          <w:szCs w:val="24"/>
        </w:rPr>
        <w:t xml:space="preserve"> g</w:t>
      </w:r>
      <w:r w:rsidR="00A0674C">
        <w:rPr>
          <w:rFonts w:ascii="Times New Roman" w:eastAsia="Times New Roman" w:hAnsi="Times New Roman" w:cs="Times New Roman"/>
          <w:sz w:val="24"/>
          <w:szCs w:val="24"/>
          <w:vertAlign w:val="superscript"/>
        </w:rPr>
        <w:t>-1</w:t>
      </w:r>
      <w:r w:rsidRPr="00C14D16">
        <w:rPr>
          <w:rFonts w:ascii="Times New Roman" w:eastAsia="Times New Roman" w:hAnsi="Times New Roman" w:cs="Times New Roman"/>
          <w:sz w:val="24"/>
          <w:szCs w:val="24"/>
        </w:rPr>
        <w:t xml:space="preserve"> of dry soil.</w:t>
      </w:r>
    </w:p>
    <w:p w14:paraId="29B97FAA" w14:textId="77777777" w:rsidR="003A565C" w:rsidRPr="00C14D16" w:rsidRDefault="003A565C" w:rsidP="003A565C">
      <w:pPr>
        <w:spacing w:line="480" w:lineRule="auto"/>
        <w:ind w:firstLine="720"/>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 xml:space="preserve">To assess the biological relevance of differences in SBD and MSRR between upper strata of the lawn and FF in 2019, we quantified the frequencies with which samples exceeded </w:t>
      </w:r>
      <w:r>
        <w:rPr>
          <w:rFonts w:ascii="Times New Roman" w:eastAsia="Times New Roman" w:hAnsi="Times New Roman" w:cs="Times New Roman"/>
          <w:sz w:val="24"/>
          <w:szCs w:val="24"/>
        </w:rPr>
        <w:t>US Department of Agriculture</w:t>
      </w:r>
      <w:r w:rsidRPr="00C14D16">
        <w:rPr>
          <w:rFonts w:ascii="Times New Roman" w:eastAsia="Times New Roman" w:hAnsi="Times New Roman" w:cs="Times New Roman"/>
          <w:sz w:val="24"/>
          <w:szCs w:val="24"/>
        </w:rPr>
        <w:t xml:space="preserve"> thresholds for each soil health metric</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fldChar w:fldCharType="begin" w:fldLock="1"/>
      </w:r>
      <w:r>
        <w:rPr>
          <w:rFonts w:ascii="Times New Roman" w:eastAsia="Times New Roman" w:hAnsi="Times New Roman" w:cs="Times New Roman"/>
          <w:sz w:val="24"/>
          <w:szCs w:val="24"/>
        </w:rPr>
        <w:instrText>ADDIN CSL_CITATION {"citationItems":[{"id":"ITEM-1","itemData":{"abstract":"The newly updated Soil Survey Manual (issued March 2017), USDA Handbook No. 18, provides the major principles and practices needed for making and using soil surveys and for assembling and using related data. The Manual serves as a guiding document for activities of the National Cooperative Soil Survey (NCSS). Previously published in 1937, 1951, and 1993, the Soil Survey Manual is one of the defining documents for soil survey in the world.","author":[{"dropping-particle":"","family":"Soil Survey Manual","given":"","non-dropping-particle":"","parse-names":false,"suffix":""}],"container-title":"USDA","id":"ITEM-1","issued":{"date-parts":[["2017"]]},"title":"Soil Survey Manual (SSM) | NRCS Soils","type":"article-journal"},"uris":["http://www.mendeley.com/documents/?uuid=71c745f4-9e5f-3daf-a5b4-f83c76e9aa43"]}],"mendeley":{"formattedCitation":"(Soil Survey Manual, 2017)","plainTextFormattedCitation":"(Soil Survey Manual, 2017)","previouslyFormattedCitation":"(Soil Survey Manual, 2017)"},"properties":{"noteIndex":0},"schema":"https://github.com/citation-style-language/schema/raw/master/csl-citation.json"}</w:instrText>
      </w:r>
      <w:r>
        <w:rPr>
          <w:rFonts w:ascii="Times New Roman" w:eastAsia="Times New Roman" w:hAnsi="Times New Roman" w:cs="Times New Roman"/>
          <w:sz w:val="24"/>
          <w:szCs w:val="24"/>
        </w:rPr>
        <w:fldChar w:fldCharType="separate"/>
      </w:r>
      <w:r w:rsidRPr="00473EEB">
        <w:rPr>
          <w:rFonts w:ascii="Times New Roman" w:eastAsia="Times New Roman" w:hAnsi="Times New Roman" w:cs="Times New Roman"/>
          <w:noProof/>
          <w:sz w:val="24"/>
          <w:szCs w:val="24"/>
        </w:rPr>
        <w:t xml:space="preserve">(Soil Survey </w:t>
      </w:r>
      <w:r>
        <w:rPr>
          <w:rFonts w:ascii="Times New Roman" w:eastAsia="Times New Roman" w:hAnsi="Times New Roman" w:cs="Times New Roman"/>
          <w:noProof/>
          <w:sz w:val="24"/>
          <w:szCs w:val="24"/>
        </w:rPr>
        <w:t>Division Staff</w:t>
      </w:r>
      <w:r w:rsidRPr="00473EEB">
        <w:rPr>
          <w:rFonts w:ascii="Times New Roman" w:eastAsia="Times New Roman" w:hAnsi="Times New Roman" w:cs="Times New Roman"/>
          <w:noProof/>
          <w:sz w:val="24"/>
          <w:szCs w:val="24"/>
        </w:rPr>
        <w:t>, 2017)</w:t>
      </w:r>
      <w:r>
        <w:rPr>
          <w:rFonts w:ascii="Times New Roman" w:eastAsia="Times New Roman" w:hAnsi="Times New Roman" w:cs="Times New Roman"/>
          <w:sz w:val="24"/>
          <w:szCs w:val="24"/>
        </w:rPr>
        <w:fldChar w:fldCharType="end"/>
      </w:r>
      <w:r w:rsidRPr="00C14D16">
        <w:rPr>
          <w:rFonts w:ascii="Times New Roman" w:eastAsia="Times New Roman" w:hAnsi="Times New Roman" w:cs="Times New Roman"/>
          <w:sz w:val="24"/>
          <w:szCs w:val="24"/>
        </w:rPr>
        <w:t>. Soil compaction limits plant growth in sandy soils with bulk densities greater than 1.6 g cm</w:t>
      </w:r>
      <w:r w:rsidRPr="00C14D16">
        <w:rPr>
          <w:rFonts w:ascii="Times New Roman" w:eastAsia="Times New Roman" w:hAnsi="Times New Roman" w:cs="Times New Roman"/>
          <w:sz w:val="24"/>
          <w:szCs w:val="24"/>
          <w:vertAlign w:val="superscript"/>
        </w:rPr>
        <w:t>-3</w:t>
      </w:r>
      <w:r w:rsidRPr="00C14D16">
        <w:rPr>
          <w:rFonts w:ascii="Times New Roman" w:eastAsia="Times New Roman" w:hAnsi="Times New Roman" w:cs="Times New Roman"/>
          <w:sz w:val="24"/>
          <w:szCs w:val="24"/>
        </w:rPr>
        <w:t xml:space="preserve"> and in sandy loams with bulk densities greater than 1.4 cm</w:t>
      </w:r>
      <w:r w:rsidRPr="00C14D16">
        <w:rPr>
          <w:rFonts w:ascii="Times New Roman" w:eastAsia="Times New Roman" w:hAnsi="Times New Roman" w:cs="Times New Roman"/>
          <w:sz w:val="24"/>
          <w:szCs w:val="24"/>
          <w:vertAlign w:val="superscript"/>
        </w:rPr>
        <w:t>-3</w:t>
      </w:r>
      <w:r>
        <w:rPr>
          <w:rFonts w:ascii="Times New Roman" w:eastAsia="Times New Roman" w:hAnsi="Times New Roman" w:cs="Times New Roman"/>
          <w:sz w:val="24"/>
          <w:szCs w:val="24"/>
        </w:rPr>
        <w:t>.</w:t>
      </w:r>
      <w:r w:rsidRPr="00C14D16">
        <w:rPr>
          <w:rFonts w:ascii="Times New Roman" w:eastAsia="Times New Roman" w:hAnsi="Times New Roman" w:cs="Times New Roman"/>
          <w:sz w:val="24"/>
          <w:szCs w:val="24"/>
          <w:vertAlign w:val="superscript"/>
        </w:rPr>
        <w:t xml:space="preserve"> </w:t>
      </w:r>
      <w:r w:rsidRPr="00C14D16">
        <w:rPr>
          <w:rFonts w:ascii="Times New Roman" w:eastAsia="Times New Roman" w:hAnsi="Times New Roman" w:cs="Times New Roman"/>
          <w:sz w:val="24"/>
          <w:szCs w:val="24"/>
        </w:rPr>
        <w:t>Those with respiration rates below 0.032 μg C min</w:t>
      </w:r>
      <w:r w:rsidRPr="00C14D16">
        <w:rPr>
          <w:rFonts w:ascii="Times New Roman" w:eastAsia="Times New Roman" w:hAnsi="Times New Roman" w:cs="Times New Roman"/>
          <w:sz w:val="24"/>
          <w:szCs w:val="24"/>
          <w:vertAlign w:val="superscript"/>
        </w:rPr>
        <w:t>-1</w:t>
      </w:r>
      <w:r w:rsidRPr="00C14D16">
        <w:rPr>
          <w:rFonts w:ascii="Times New Roman" w:eastAsia="Times New Roman" w:hAnsi="Times New Roman" w:cs="Times New Roman"/>
          <w:sz w:val="24"/>
          <w:szCs w:val="24"/>
        </w:rPr>
        <w:t xml:space="preserve"> g</w:t>
      </w:r>
      <w:r w:rsidRPr="00C14D16">
        <w:rPr>
          <w:rFonts w:ascii="Times New Roman" w:eastAsia="Times New Roman" w:hAnsi="Times New Roman" w:cs="Times New Roman"/>
          <w:sz w:val="24"/>
          <w:szCs w:val="24"/>
          <w:vertAlign w:val="superscript"/>
        </w:rPr>
        <w:t>-1</w:t>
      </w:r>
      <w:r w:rsidRPr="00C14D16">
        <w:rPr>
          <w:rFonts w:ascii="Times New Roman" w:eastAsia="Times New Roman" w:hAnsi="Times New Roman" w:cs="Times New Roman"/>
          <w:sz w:val="24"/>
          <w:szCs w:val="24"/>
        </w:rPr>
        <w:t xml:space="preserve"> are considered to have very low soil activity relative to a typical value of 0.056 μg C min</w:t>
      </w:r>
      <w:r w:rsidRPr="00C14D16">
        <w:rPr>
          <w:rFonts w:ascii="Times New Roman" w:eastAsia="Times New Roman" w:hAnsi="Times New Roman" w:cs="Times New Roman"/>
          <w:sz w:val="24"/>
          <w:szCs w:val="24"/>
          <w:vertAlign w:val="superscript"/>
        </w:rPr>
        <w:t>-1</w:t>
      </w:r>
      <w:r w:rsidRPr="00C14D16">
        <w:rPr>
          <w:rFonts w:ascii="Times New Roman" w:eastAsia="Times New Roman" w:hAnsi="Times New Roman" w:cs="Times New Roman"/>
          <w:sz w:val="24"/>
          <w:szCs w:val="24"/>
        </w:rPr>
        <w:t xml:space="preserve"> g</w:t>
      </w:r>
      <w:r w:rsidRPr="00C14D16">
        <w:rPr>
          <w:rFonts w:ascii="Times New Roman" w:eastAsia="Times New Roman" w:hAnsi="Times New Roman" w:cs="Times New Roman"/>
          <w:sz w:val="24"/>
          <w:szCs w:val="24"/>
          <w:vertAlign w:val="superscript"/>
        </w:rPr>
        <w:t>-1</w:t>
      </w:r>
      <w:r w:rsidRPr="00C14D16">
        <w:rPr>
          <w:rFonts w:ascii="Times New Roman" w:eastAsia="Times New Roman" w:hAnsi="Times New Roman" w:cs="Times New Roman"/>
          <w:sz w:val="24"/>
          <w:szCs w:val="24"/>
        </w:rPr>
        <w:t xml:space="preserve"> in agricultural soils.</w:t>
      </w:r>
    </w:p>
    <w:p w14:paraId="7AFCA508" w14:textId="4F7DB775" w:rsidR="00F51880" w:rsidRPr="00032304" w:rsidRDefault="00032304">
      <w:pPr>
        <w:spacing w:line="480" w:lineRule="auto"/>
        <w:rPr>
          <w:rFonts w:ascii="Times New Roman" w:eastAsia="Times New Roman" w:hAnsi="Times New Roman" w:cs="Times New Roman"/>
          <w:i/>
          <w:sz w:val="24"/>
          <w:szCs w:val="24"/>
        </w:rPr>
      </w:pPr>
      <w:r w:rsidRPr="00E775ED">
        <w:rPr>
          <w:rFonts w:ascii="Times New Roman" w:eastAsia="Times New Roman" w:hAnsi="Times New Roman" w:cs="Times New Roman"/>
          <w:i/>
          <w:sz w:val="24"/>
          <w:szCs w:val="24"/>
        </w:rPr>
        <w:t xml:space="preserve">Soil </w:t>
      </w:r>
      <w:r w:rsidRPr="00032304">
        <w:rPr>
          <w:rFonts w:ascii="Times New Roman" w:eastAsia="Times New Roman" w:hAnsi="Times New Roman" w:cs="Times New Roman"/>
          <w:i/>
          <w:sz w:val="24"/>
          <w:szCs w:val="24"/>
        </w:rPr>
        <w:t>n</w:t>
      </w:r>
      <w:r w:rsidR="008A4190" w:rsidRPr="00032304">
        <w:rPr>
          <w:rFonts w:ascii="Times New Roman" w:eastAsia="Times New Roman" w:hAnsi="Times New Roman" w:cs="Times New Roman"/>
          <w:i/>
          <w:sz w:val="24"/>
          <w:szCs w:val="24"/>
        </w:rPr>
        <w:t>utrient</w:t>
      </w:r>
      <w:r w:rsidRPr="00032304">
        <w:rPr>
          <w:rFonts w:ascii="Times New Roman" w:eastAsia="Times New Roman" w:hAnsi="Times New Roman" w:cs="Times New Roman"/>
          <w:i/>
          <w:sz w:val="24"/>
          <w:szCs w:val="24"/>
        </w:rPr>
        <w:t>s</w:t>
      </w:r>
      <w:r w:rsidR="008A4190" w:rsidRPr="00032304">
        <w:rPr>
          <w:rFonts w:ascii="Times New Roman" w:eastAsia="Times New Roman" w:hAnsi="Times New Roman" w:cs="Times New Roman"/>
          <w:i/>
          <w:sz w:val="24"/>
          <w:szCs w:val="24"/>
        </w:rPr>
        <w:t xml:space="preserve"> and microb</w:t>
      </w:r>
      <w:r w:rsidRPr="00032304">
        <w:rPr>
          <w:rFonts w:ascii="Times New Roman" w:eastAsia="Times New Roman" w:hAnsi="Times New Roman" w:cs="Times New Roman"/>
          <w:i/>
          <w:sz w:val="24"/>
          <w:szCs w:val="24"/>
        </w:rPr>
        <w:t>es</w:t>
      </w:r>
    </w:p>
    <w:p w14:paraId="49541233" w14:textId="34C382FE" w:rsidR="00F51880" w:rsidRPr="00C14D16" w:rsidRDefault="002B3DD1">
      <w:pPr>
        <w:spacing w:line="480" w:lineRule="auto"/>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ab/>
        <w:t xml:space="preserve">To represent differences in soil nutrients, </w:t>
      </w:r>
      <w:r w:rsidR="00003022">
        <w:rPr>
          <w:rFonts w:ascii="Times New Roman" w:eastAsia="Times New Roman" w:hAnsi="Times New Roman" w:cs="Times New Roman"/>
          <w:sz w:val="24"/>
          <w:szCs w:val="24"/>
        </w:rPr>
        <w:t>w</w:t>
      </w:r>
      <w:r w:rsidRPr="00C14D16">
        <w:rPr>
          <w:rFonts w:ascii="Times New Roman" w:eastAsia="Times New Roman" w:hAnsi="Times New Roman" w:cs="Times New Roman"/>
          <w:sz w:val="24"/>
          <w:szCs w:val="24"/>
        </w:rPr>
        <w:t xml:space="preserve">e air dried samples and mailed them to the University of Georgia Soil, Plant, and Water Laboratory for quantification of soil pH, phosphorus (P), potassium (K), calcium (Ca), magnesium (Mg), zinc (Zn), manganese (Mn), iron (Fe), copper (Cu), molybdenum (Mo) and cation exchange capacity (CEC) by Mehlich I sum with percent base saturation. We summarized variation in scaled nutrient concentrations using Principal Component Analysis (PCA) using the function “prcomp” in R </w:t>
      </w:r>
      <w:r w:rsidR="00AE02AC">
        <w:rPr>
          <w:rFonts w:ascii="Times New Roman" w:eastAsia="Times New Roman" w:hAnsi="Times New Roman" w:cs="Times New Roman"/>
          <w:sz w:val="24"/>
          <w:szCs w:val="24"/>
        </w:rPr>
        <w:t xml:space="preserve">v 4.0.2 </w:t>
      </w:r>
      <w:r w:rsidRPr="00C14D16">
        <w:rPr>
          <w:rFonts w:ascii="Times New Roman" w:eastAsia="Times New Roman" w:hAnsi="Times New Roman" w:cs="Times New Roman"/>
          <w:sz w:val="24"/>
          <w:szCs w:val="24"/>
        </w:rPr>
        <w:t xml:space="preserve">packages “stats.” </w:t>
      </w:r>
      <w:r w:rsidR="00AE02AC">
        <w:rPr>
          <w:rFonts w:ascii="Times New Roman" w:eastAsia="Times New Roman" w:hAnsi="Times New Roman" w:cs="Times New Roman"/>
          <w:sz w:val="24"/>
          <w:szCs w:val="24"/>
        </w:rPr>
        <w:t xml:space="preserve"> </w:t>
      </w:r>
      <w:r w:rsidR="00AE02AC">
        <w:rPr>
          <w:rFonts w:ascii="Times New Roman" w:eastAsia="Times New Roman" w:hAnsi="Times New Roman" w:cs="Times New Roman"/>
          <w:sz w:val="24"/>
          <w:szCs w:val="24"/>
        </w:rPr>
        <w:fldChar w:fldCharType="begin" w:fldLock="1"/>
      </w:r>
      <w:r w:rsidR="005A2E0E">
        <w:rPr>
          <w:rFonts w:ascii="Times New Roman" w:eastAsia="Times New Roman" w:hAnsi="Times New Roman" w:cs="Times New Roman"/>
          <w:sz w:val="24"/>
          <w:szCs w:val="24"/>
        </w:rPr>
        <w:instrText>ADDIN CSL_CITATION {"citationItems":[{"id":"ITEM-1","itemData":{"abstract":"R Foundation for Statistical Computing, Vienna, Austria. ISBN 3-900051-07-0, URL http://www.R-project.org/.","author":[{"dropping-particle":"","family":"R Core Team","given":"","non-dropping-particle":"","parse-names":false,"suffix":""}],"container-title":"R Foundation for Statistical Computing","id":"ITEM-1","issued":{"date-parts":[["2020"]]},"title":"R software: Version 4.0.2","type":"article-journal"},"uris":["http://www.mendeley.com/documents/?uuid=7c1de70b-96bc-3e1a-b26f-6a292d9648b8"]}],"mendeley":{"formattedCitation":"(R Core Team, 2020)","plainTextFormattedCitation":"(R Core Team, 2020)","previouslyFormattedCitation":"(R Core Team, 2020)"},"properties":{"noteIndex":0},"schema":"https://github.com/citation-style-language/schema/raw/master/csl-citation.json"}</w:instrText>
      </w:r>
      <w:r w:rsidR="00AE02AC">
        <w:rPr>
          <w:rFonts w:ascii="Times New Roman" w:eastAsia="Times New Roman" w:hAnsi="Times New Roman" w:cs="Times New Roman"/>
          <w:sz w:val="24"/>
          <w:szCs w:val="24"/>
        </w:rPr>
        <w:fldChar w:fldCharType="separate"/>
      </w:r>
      <w:r w:rsidR="00473EEB" w:rsidRPr="00473EEB">
        <w:rPr>
          <w:rFonts w:ascii="Times New Roman" w:eastAsia="Times New Roman" w:hAnsi="Times New Roman" w:cs="Times New Roman"/>
          <w:noProof/>
          <w:sz w:val="24"/>
          <w:szCs w:val="24"/>
        </w:rPr>
        <w:t>(R Core Team, 2020)</w:t>
      </w:r>
      <w:r w:rsidR="00AE02AC">
        <w:rPr>
          <w:rFonts w:ascii="Times New Roman" w:eastAsia="Times New Roman" w:hAnsi="Times New Roman" w:cs="Times New Roman"/>
          <w:sz w:val="24"/>
          <w:szCs w:val="24"/>
        </w:rPr>
        <w:fldChar w:fldCharType="end"/>
      </w:r>
      <w:r w:rsidR="0065411D">
        <w:rPr>
          <w:rFonts w:ascii="Times New Roman" w:eastAsia="Times New Roman" w:hAnsi="Times New Roman" w:cs="Times New Roman"/>
          <w:sz w:val="24"/>
          <w:szCs w:val="24"/>
        </w:rPr>
        <w:t>.</w:t>
      </w:r>
    </w:p>
    <w:p w14:paraId="690F4C44" w14:textId="27F9F59F" w:rsidR="00FC1386" w:rsidRDefault="002B3DD1" w:rsidP="00E775ED">
      <w:pPr>
        <w:spacing w:line="480" w:lineRule="auto"/>
        <w:ind w:firstLine="720"/>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To describe soil microbial diversity, we collected six total samples</w:t>
      </w:r>
      <w:r w:rsidR="0065411D">
        <w:rPr>
          <w:rFonts w:ascii="Times New Roman" w:eastAsia="Times New Roman" w:hAnsi="Times New Roman" w:cs="Times New Roman"/>
          <w:sz w:val="24"/>
          <w:szCs w:val="24"/>
        </w:rPr>
        <w:t xml:space="preserve"> using the </w:t>
      </w:r>
      <w:r w:rsidR="00F17894">
        <w:rPr>
          <w:rFonts w:ascii="Times New Roman" w:eastAsia="Times New Roman" w:hAnsi="Times New Roman" w:cs="Times New Roman"/>
          <w:sz w:val="24"/>
          <w:szCs w:val="24"/>
        </w:rPr>
        <w:t>stratified approach</w:t>
      </w:r>
      <w:r w:rsidR="0065411D">
        <w:rPr>
          <w:rFonts w:ascii="Times New Roman" w:eastAsia="Times New Roman" w:hAnsi="Times New Roman" w:cs="Times New Roman"/>
          <w:sz w:val="24"/>
          <w:szCs w:val="24"/>
        </w:rPr>
        <w:t xml:space="preserve"> described above</w:t>
      </w:r>
      <w:r w:rsidR="00F17894">
        <w:rPr>
          <w:rFonts w:ascii="Times New Roman" w:eastAsia="Times New Roman" w:hAnsi="Times New Roman" w:cs="Times New Roman"/>
          <w:sz w:val="24"/>
          <w:szCs w:val="24"/>
        </w:rPr>
        <w:t>. At each location, we collected five cores t</w:t>
      </w:r>
      <w:r w:rsidRPr="00C14D16">
        <w:rPr>
          <w:rFonts w:ascii="Times New Roman" w:eastAsia="Times New Roman" w:hAnsi="Times New Roman" w:cs="Times New Roman"/>
          <w:sz w:val="24"/>
          <w:szCs w:val="24"/>
        </w:rPr>
        <w:t>o 20</w:t>
      </w:r>
      <w:r w:rsidR="00CB233C">
        <w:rPr>
          <w:rFonts w:ascii="Times New Roman" w:eastAsia="Times New Roman" w:hAnsi="Times New Roman" w:cs="Times New Roman"/>
          <w:sz w:val="24"/>
          <w:szCs w:val="24"/>
        </w:rPr>
        <w:t xml:space="preserve"> </w:t>
      </w:r>
      <w:r w:rsidRPr="00C14D16">
        <w:rPr>
          <w:rFonts w:ascii="Times New Roman" w:eastAsia="Times New Roman" w:hAnsi="Times New Roman" w:cs="Times New Roman"/>
          <w:sz w:val="24"/>
          <w:szCs w:val="24"/>
        </w:rPr>
        <w:t>cm depth</w:t>
      </w:r>
      <w:r w:rsidR="00F17894">
        <w:rPr>
          <w:rFonts w:ascii="Times New Roman" w:eastAsia="Times New Roman" w:hAnsi="Times New Roman" w:cs="Times New Roman"/>
          <w:sz w:val="24"/>
          <w:szCs w:val="24"/>
        </w:rPr>
        <w:t xml:space="preserve"> with a sterilized gauge auger. After removing the top 5 cm, the soil</w:t>
      </w:r>
      <w:r w:rsidR="00FC1386">
        <w:rPr>
          <w:rFonts w:ascii="Times New Roman" w:eastAsia="Times New Roman" w:hAnsi="Times New Roman" w:cs="Times New Roman"/>
          <w:sz w:val="24"/>
          <w:szCs w:val="24"/>
        </w:rPr>
        <w:t xml:space="preserve"> was homogenized</w:t>
      </w:r>
      <w:r w:rsidRPr="00C14D16">
        <w:rPr>
          <w:rFonts w:ascii="Times New Roman" w:eastAsia="Times New Roman" w:hAnsi="Times New Roman" w:cs="Times New Roman"/>
          <w:sz w:val="24"/>
          <w:szCs w:val="24"/>
        </w:rPr>
        <w:t xml:space="preserve"> and </w:t>
      </w:r>
      <w:r w:rsidR="0065411D">
        <w:rPr>
          <w:rFonts w:ascii="Times New Roman" w:eastAsia="Times New Roman" w:hAnsi="Times New Roman" w:cs="Times New Roman"/>
          <w:sz w:val="24"/>
          <w:szCs w:val="24"/>
        </w:rPr>
        <w:t>frozen at</w:t>
      </w:r>
      <w:r w:rsidRPr="00C14D16">
        <w:rPr>
          <w:rFonts w:ascii="Times New Roman" w:eastAsia="Times New Roman" w:hAnsi="Times New Roman" w:cs="Times New Roman"/>
          <w:sz w:val="24"/>
          <w:szCs w:val="24"/>
        </w:rPr>
        <w:t xml:space="preserve"> -80</w:t>
      </w:r>
      <w:r w:rsidR="00CB233C">
        <w:rPr>
          <w:rFonts w:ascii="Times New Roman" w:eastAsia="Times New Roman" w:hAnsi="Times New Roman" w:cs="Times New Roman"/>
          <w:sz w:val="24"/>
          <w:szCs w:val="24"/>
        </w:rPr>
        <w:t xml:space="preserve"> </w:t>
      </w:r>
      <w:r w:rsidR="0065411D">
        <w:rPr>
          <w:rFonts w:ascii="Times New Roman" w:eastAsia="Times New Roman" w:hAnsi="Times New Roman" w:cs="Times New Roman"/>
          <w:sz w:val="24"/>
          <w:szCs w:val="24"/>
        </w:rPr>
        <w:t>°C</w:t>
      </w:r>
      <w:r w:rsidRPr="00C14D16">
        <w:rPr>
          <w:rFonts w:ascii="Times New Roman" w:eastAsia="Times New Roman" w:hAnsi="Times New Roman" w:cs="Times New Roman"/>
          <w:sz w:val="24"/>
          <w:szCs w:val="24"/>
        </w:rPr>
        <w:t>. DNA was extracted using a Qiagen DNeasy PowerSoil kit</w:t>
      </w:r>
      <w:r w:rsidR="00AE02AC">
        <w:rPr>
          <w:rFonts w:ascii="Times New Roman" w:eastAsia="Times New Roman" w:hAnsi="Times New Roman" w:cs="Times New Roman"/>
          <w:sz w:val="24"/>
          <w:szCs w:val="24"/>
        </w:rPr>
        <w:t xml:space="preserve"> (Qiagen USA, Germantown, MD)</w:t>
      </w:r>
      <w:r w:rsidR="00F17894">
        <w:rPr>
          <w:rFonts w:ascii="Times New Roman" w:eastAsia="Times New Roman" w:hAnsi="Times New Roman" w:cs="Times New Roman"/>
          <w:sz w:val="24"/>
          <w:szCs w:val="24"/>
        </w:rPr>
        <w:t xml:space="preserve"> following the standard protocol except for</w:t>
      </w:r>
      <w:r w:rsidRPr="00C14D16">
        <w:rPr>
          <w:rFonts w:ascii="Times New Roman" w:eastAsia="Times New Roman" w:hAnsi="Times New Roman" w:cs="Times New Roman"/>
          <w:sz w:val="24"/>
          <w:szCs w:val="24"/>
        </w:rPr>
        <w:t xml:space="preserve"> increas</w:t>
      </w:r>
      <w:r w:rsidR="00F17894">
        <w:rPr>
          <w:rFonts w:ascii="Times New Roman" w:eastAsia="Times New Roman" w:hAnsi="Times New Roman" w:cs="Times New Roman"/>
          <w:sz w:val="24"/>
          <w:szCs w:val="24"/>
        </w:rPr>
        <w:t>ing</w:t>
      </w:r>
      <w:r w:rsidRPr="00C14D16">
        <w:rPr>
          <w:rFonts w:ascii="Times New Roman" w:eastAsia="Times New Roman" w:hAnsi="Times New Roman" w:cs="Times New Roman"/>
          <w:sz w:val="24"/>
          <w:szCs w:val="24"/>
        </w:rPr>
        <w:t xml:space="preserve"> </w:t>
      </w:r>
      <w:r w:rsidR="00F17894">
        <w:rPr>
          <w:rFonts w:ascii="Times New Roman" w:eastAsia="Times New Roman" w:hAnsi="Times New Roman" w:cs="Times New Roman"/>
          <w:sz w:val="24"/>
          <w:szCs w:val="24"/>
        </w:rPr>
        <w:t xml:space="preserve">the </w:t>
      </w:r>
      <w:r w:rsidRPr="00C14D16">
        <w:rPr>
          <w:rFonts w:ascii="Times New Roman" w:eastAsia="Times New Roman" w:hAnsi="Times New Roman" w:cs="Times New Roman"/>
          <w:sz w:val="24"/>
          <w:szCs w:val="24"/>
        </w:rPr>
        <w:t xml:space="preserve">vortexing time to 10 min to improve inhibitor removal. DNA was extracted into 100μL nanopure water. </w:t>
      </w:r>
      <w:r w:rsidR="0065411D">
        <w:rPr>
          <w:rFonts w:ascii="Times New Roman" w:eastAsia="Times New Roman" w:hAnsi="Times New Roman" w:cs="Times New Roman"/>
          <w:sz w:val="24"/>
          <w:szCs w:val="24"/>
        </w:rPr>
        <w:t xml:space="preserve">We sent 25μL of total DNA </w:t>
      </w:r>
      <w:r w:rsidRPr="00C14D16">
        <w:rPr>
          <w:rFonts w:ascii="Times New Roman" w:eastAsia="Times New Roman" w:hAnsi="Times New Roman" w:cs="Times New Roman"/>
          <w:sz w:val="24"/>
          <w:szCs w:val="24"/>
        </w:rPr>
        <w:t>to Molec</w:t>
      </w:r>
      <w:r w:rsidR="001E26EF">
        <w:rPr>
          <w:rFonts w:ascii="Times New Roman" w:eastAsia="Times New Roman" w:hAnsi="Times New Roman" w:cs="Times New Roman"/>
          <w:sz w:val="24"/>
          <w:szCs w:val="24"/>
        </w:rPr>
        <w:t>ular Research LP Laboratory (MR</w:t>
      </w:r>
      <w:r w:rsidRPr="00C14D16">
        <w:rPr>
          <w:rFonts w:ascii="Times New Roman" w:eastAsia="Times New Roman" w:hAnsi="Times New Roman" w:cs="Times New Roman"/>
          <w:sz w:val="24"/>
          <w:szCs w:val="24"/>
        </w:rPr>
        <w:t xml:space="preserve"> DNA, Shallowater, TX) for diversity assays based on DNA barcoding. </w:t>
      </w:r>
      <w:r w:rsidR="00FC1386">
        <w:rPr>
          <w:rFonts w:ascii="Times New Roman" w:eastAsia="Times New Roman" w:hAnsi="Times New Roman" w:cs="Times New Roman"/>
          <w:sz w:val="24"/>
          <w:szCs w:val="24"/>
        </w:rPr>
        <w:t>For bacteria identification, 16S rRNA V4 region was amplified (</w:t>
      </w:r>
      <w:r w:rsidR="00FC1386" w:rsidRPr="00C14D16">
        <w:rPr>
          <w:rFonts w:ascii="Times New Roman" w:eastAsia="Times New Roman" w:hAnsi="Times New Roman" w:cs="Times New Roman"/>
          <w:sz w:val="24"/>
          <w:szCs w:val="24"/>
        </w:rPr>
        <w:t>5</w:t>
      </w:r>
      <w:r w:rsidR="00FC1386">
        <w:rPr>
          <w:rFonts w:ascii="Times New Roman" w:eastAsia="Times New Roman" w:hAnsi="Times New Roman" w:cs="Times New Roman"/>
          <w:sz w:val="24"/>
          <w:szCs w:val="24"/>
        </w:rPr>
        <w:t xml:space="preserve">15/806 </w:t>
      </w:r>
      <w:r w:rsidR="00FC1386" w:rsidRPr="00C14D16">
        <w:rPr>
          <w:rFonts w:ascii="Times New Roman" w:eastAsia="Times New Roman" w:hAnsi="Times New Roman" w:cs="Times New Roman"/>
          <w:sz w:val="24"/>
          <w:szCs w:val="24"/>
        </w:rPr>
        <w:t>primers</w:t>
      </w:r>
      <w:r w:rsidR="00F17894">
        <w:rPr>
          <w:rFonts w:ascii="Times New Roman" w:eastAsia="Times New Roman" w:hAnsi="Times New Roman" w:cs="Times New Roman"/>
          <w:sz w:val="24"/>
          <w:szCs w:val="24"/>
        </w:rPr>
        <w:t>,</w:t>
      </w:r>
      <w:r w:rsidR="00FC1386" w:rsidRPr="00C14D16">
        <w:rPr>
          <w:rFonts w:ascii="Times New Roman" w:eastAsia="Times New Roman" w:hAnsi="Times New Roman" w:cs="Times New Roman"/>
          <w:sz w:val="24"/>
          <w:szCs w:val="24"/>
        </w:rPr>
        <w:t xml:space="preserve"> </w:t>
      </w:r>
      <w:r w:rsidR="00FC1386">
        <w:rPr>
          <w:rFonts w:ascii="Times New Roman" w:eastAsia="Times New Roman" w:hAnsi="Times New Roman" w:cs="Times New Roman"/>
          <w:sz w:val="24"/>
          <w:szCs w:val="24"/>
        </w:rPr>
        <w:t xml:space="preserve">Parada et al. 2016) with a HotStar Taq Plus Master Mix Kit following manufacturer instructions (Qiagen, USA). For fungal identification, </w:t>
      </w:r>
      <w:r w:rsidR="00F17894">
        <w:rPr>
          <w:rFonts w:ascii="Times New Roman" w:eastAsia="Times New Roman" w:hAnsi="Times New Roman" w:cs="Times New Roman"/>
          <w:sz w:val="24"/>
          <w:szCs w:val="24"/>
        </w:rPr>
        <w:t>the ITS region was amplified</w:t>
      </w:r>
      <w:r w:rsidR="00FC1386">
        <w:rPr>
          <w:rFonts w:ascii="Times New Roman" w:eastAsia="Times New Roman" w:hAnsi="Times New Roman" w:cs="Times New Roman"/>
          <w:sz w:val="24"/>
          <w:szCs w:val="24"/>
        </w:rPr>
        <w:t xml:space="preserve"> (ITS1 and ITS4</w:t>
      </w:r>
      <w:r w:rsidR="00F17894">
        <w:rPr>
          <w:rFonts w:ascii="Times New Roman" w:eastAsia="Times New Roman" w:hAnsi="Times New Roman" w:cs="Times New Roman"/>
          <w:sz w:val="24"/>
          <w:szCs w:val="24"/>
        </w:rPr>
        <w:t xml:space="preserve"> primers, </w:t>
      </w:r>
      <w:r w:rsidR="00303BED">
        <w:rPr>
          <w:rFonts w:ascii="Times New Roman" w:eastAsia="Times New Roman" w:hAnsi="Times New Roman" w:cs="Times New Roman"/>
          <w:sz w:val="24"/>
          <w:szCs w:val="24"/>
        </w:rPr>
        <w:t>White et al., 1990)</w:t>
      </w:r>
      <w:r w:rsidR="00FC1386">
        <w:rPr>
          <w:rFonts w:ascii="Times New Roman" w:eastAsia="Times New Roman" w:hAnsi="Times New Roman" w:cs="Times New Roman"/>
          <w:sz w:val="24"/>
          <w:szCs w:val="24"/>
        </w:rPr>
        <w:t xml:space="preserve">. Amplicons were barcoded </w:t>
      </w:r>
      <w:r w:rsidR="00F17894">
        <w:rPr>
          <w:rFonts w:ascii="Times New Roman" w:eastAsia="Times New Roman" w:hAnsi="Times New Roman" w:cs="Times New Roman"/>
          <w:sz w:val="24"/>
          <w:szCs w:val="24"/>
        </w:rPr>
        <w:t xml:space="preserve">using </w:t>
      </w:r>
      <w:r w:rsidR="00FC1386">
        <w:rPr>
          <w:rFonts w:ascii="Times New Roman" w:eastAsia="Times New Roman" w:hAnsi="Times New Roman" w:cs="Times New Roman"/>
          <w:sz w:val="24"/>
          <w:szCs w:val="24"/>
        </w:rPr>
        <w:t>bTEFAP (Dowd et al., 2008), adapted for the sequencing technology used here. Sequencing was</w:t>
      </w:r>
      <w:r w:rsidR="00FC1386" w:rsidRPr="00C14D16">
        <w:rPr>
          <w:rFonts w:ascii="Times New Roman" w:eastAsia="Times New Roman" w:hAnsi="Times New Roman" w:cs="Times New Roman"/>
          <w:sz w:val="24"/>
          <w:szCs w:val="24"/>
        </w:rPr>
        <w:t xml:space="preserve"> performed with ThermoFisher Scientific Ion S5</w:t>
      </w:r>
      <w:r w:rsidR="00FC1386">
        <w:rPr>
          <w:rFonts w:ascii="Times New Roman" w:eastAsia="Times New Roman" w:hAnsi="Times New Roman" w:cs="Times New Roman"/>
          <w:sz w:val="24"/>
          <w:szCs w:val="24"/>
        </w:rPr>
        <w:t>, following manufactu</w:t>
      </w:r>
      <w:r w:rsidR="00030CF4">
        <w:rPr>
          <w:rFonts w:ascii="Times New Roman" w:eastAsia="Times New Roman" w:hAnsi="Times New Roman" w:cs="Times New Roman"/>
          <w:sz w:val="24"/>
          <w:szCs w:val="24"/>
        </w:rPr>
        <w:t>rers’ instructions</w:t>
      </w:r>
      <w:r w:rsidR="00FC1386" w:rsidRPr="00C14D16">
        <w:rPr>
          <w:rFonts w:ascii="Times New Roman" w:eastAsia="Times New Roman" w:hAnsi="Times New Roman" w:cs="Times New Roman"/>
          <w:sz w:val="24"/>
          <w:szCs w:val="24"/>
        </w:rPr>
        <w:t xml:space="preserve">. </w:t>
      </w:r>
      <w:r w:rsidR="00FC1386">
        <w:rPr>
          <w:rFonts w:ascii="Times New Roman" w:eastAsia="Times New Roman" w:hAnsi="Times New Roman" w:cs="Times New Roman"/>
          <w:sz w:val="24"/>
          <w:szCs w:val="24"/>
        </w:rPr>
        <w:t xml:space="preserve">Sequences were processed by removing barcodes, primers, short sequences &lt;150 bp, sequences with ambiguous base calls and sequences with homopolymer runs exceeding 6bp. </w:t>
      </w:r>
      <w:r w:rsidR="00FC1386" w:rsidRPr="00C14D16">
        <w:rPr>
          <w:rFonts w:ascii="Times New Roman" w:eastAsia="Times New Roman" w:hAnsi="Times New Roman" w:cs="Times New Roman"/>
          <w:sz w:val="24"/>
          <w:szCs w:val="24"/>
        </w:rPr>
        <w:t xml:space="preserve"> </w:t>
      </w:r>
      <w:r w:rsidR="00FC1386">
        <w:rPr>
          <w:rFonts w:ascii="Times New Roman" w:eastAsia="Times New Roman" w:hAnsi="Times New Roman" w:cs="Times New Roman"/>
          <w:sz w:val="24"/>
          <w:szCs w:val="24"/>
        </w:rPr>
        <w:t xml:space="preserve">Then sequences were denoised, OTUs were generated by clustering at 97% similarity (3% divergence), and singleton sequences and chimeras were removed. The resulting OTUs were taxonomically classified using BLASTn against a curated database. The number of sequences per taxonomic level were compiled as counts. </w:t>
      </w:r>
    </w:p>
    <w:p w14:paraId="13486390" w14:textId="120A06E3" w:rsidR="00F51880" w:rsidRPr="00C14D16" w:rsidRDefault="002B3DD1" w:rsidP="00030CF4">
      <w:pPr>
        <w:spacing w:line="480" w:lineRule="auto"/>
        <w:ind w:firstLine="720"/>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 xml:space="preserve">We calculated observed richness and the Chao 1 alpha diversity metric from fungal and bacterial samples using the function “estimate_richness” in the R package phyloseq </w:t>
      </w:r>
      <w:r w:rsidR="005A63C1">
        <w:rPr>
          <w:rFonts w:ascii="Times New Roman" w:eastAsia="Times New Roman" w:hAnsi="Times New Roman" w:cs="Times New Roman"/>
          <w:sz w:val="24"/>
          <w:szCs w:val="24"/>
        </w:rPr>
        <w:fldChar w:fldCharType="begin" w:fldLock="1"/>
      </w:r>
      <w:r w:rsidR="005A2E0E">
        <w:rPr>
          <w:rFonts w:ascii="Times New Roman" w:eastAsia="Times New Roman" w:hAnsi="Times New Roman" w:cs="Times New Roman"/>
          <w:sz w:val="24"/>
          <w:szCs w:val="24"/>
        </w:rPr>
        <w:instrText>ADDIN CSL_CITATION {"citationItems":[{"id":"ITEM-1","itemData":{"DOI":"10.1371/journal.pone.0061217","ISSN":"19326203","abstract":"Background:The analysis of microbial communities through DNA sequencing brings many challenges: the integration of different types of data with methods from ecology, genetics, phylogenetics, multivariate statistics, visualization and testing. With the increased breadth of experimental designs now being pursued, project-specific statistical analyses are often needed, and these analyses are often difficult (or impossible) for peer researchers to independently reproduce. The vast majority of the requisite tools for performing these analyses reproducibly are already implemented in R and its extensions (packages), but with limited support for high throughput microbiome census data.Results:Here we describe a software project, phyloseq, dedicated to the object-oriented representation and analysis of microbiome census data in R. It supports importing data from a variety of common formats, as well as many analysis techniques. These include calibration, filtering, subsetting, agglomeration, multi-table comparisons, diversity analysis, parallelized Fast UniFrac, ordination methods, and production of publication-quality graphics; all in a manner that is easy to document, share, and modify. We show how to apply functions from other R packages to phyloseq-represented data, illustrating the availability of a large number of open source analysis techniques. We discuss the use of phyloseq with tools for reproducible research, a practice common in other fields but still rare in the analysis of highly parallel microbiome census data. We have made available all of the materials necessary to completely reproduce the analysis and figures included in this article, an example of best practices for reproducible research.Conclusions:The phyloseq project for R is a new open-source software package, freely available on the web from both GitHub and Bioconductor. © 2013 McMurdie, Holmes.","author":[{"dropping-particle":"","family":"McMurdie","given":"Paul J.","non-dropping-particle":"","parse-names":false,"suffix":""},{"dropping-particle":"","family":"Holmes","given":"Susan","non-dropping-particle":"","parse-names":false,"suffix":""}],"container-title":"PLoS ONE","id":"ITEM-1","issue":"4","issued":{"date-parts":[["2013"]]},"title":"Phyloseq: An R Package for Reproducible Interactive Analysis and Graphics of Microbiome Census Data","type":"article-journal","volume":"8"},"uris":["http://www.mendeley.com/documents/?uuid=83e033fd-913d-3c27-be1f-dbec26ba03cd"]}],"mendeley":{"formattedCitation":"(McMurdie and Holmes, 2013)","plainTextFormattedCitation":"(McMurdie and Holmes, 2013)","previouslyFormattedCitation":"(McMurdie and Holmes, 2013)"},"properties":{"noteIndex":0},"schema":"https://github.com/citation-style-language/schema/raw/master/csl-citation.json"}</w:instrText>
      </w:r>
      <w:r w:rsidR="005A63C1">
        <w:rPr>
          <w:rFonts w:ascii="Times New Roman" w:eastAsia="Times New Roman" w:hAnsi="Times New Roman" w:cs="Times New Roman"/>
          <w:sz w:val="24"/>
          <w:szCs w:val="24"/>
        </w:rPr>
        <w:fldChar w:fldCharType="separate"/>
      </w:r>
      <w:r w:rsidR="00473EEB" w:rsidRPr="00473EEB">
        <w:rPr>
          <w:rFonts w:ascii="Times New Roman" w:eastAsia="Times New Roman" w:hAnsi="Times New Roman" w:cs="Times New Roman"/>
          <w:noProof/>
          <w:sz w:val="24"/>
          <w:szCs w:val="24"/>
        </w:rPr>
        <w:t>(McMurdie and Holmes, 2013)</w:t>
      </w:r>
      <w:r w:rsidR="005A63C1">
        <w:rPr>
          <w:rFonts w:ascii="Times New Roman" w:eastAsia="Times New Roman" w:hAnsi="Times New Roman" w:cs="Times New Roman"/>
          <w:sz w:val="24"/>
          <w:szCs w:val="24"/>
        </w:rPr>
        <w:fldChar w:fldCharType="end"/>
      </w:r>
      <w:r w:rsidR="000E1B28">
        <w:rPr>
          <w:rFonts w:ascii="Times New Roman" w:eastAsia="Times New Roman" w:hAnsi="Times New Roman" w:cs="Times New Roman"/>
          <w:sz w:val="24"/>
          <w:szCs w:val="24"/>
        </w:rPr>
        <w:t xml:space="preserve"> and considered areas different if their estimated standard errors did not overlap</w:t>
      </w:r>
      <w:r w:rsidR="005A63C1">
        <w:rPr>
          <w:rFonts w:ascii="Times New Roman" w:eastAsia="Times New Roman" w:hAnsi="Times New Roman" w:cs="Times New Roman"/>
          <w:sz w:val="24"/>
          <w:szCs w:val="24"/>
        </w:rPr>
        <w:t xml:space="preserve">. </w:t>
      </w:r>
      <w:r w:rsidRPr="00C14D16">
        <w:rPr>
          <w:rFonts w:ascii="Times New Roman" w:eastAsia="Times New Roman" w:hAnsi="Times New Roman" w:cs="Times New Roman"/>
          <w:sz w:val="24"/>
          <w:szCs w:val="24"/>
        </w:rPr>
        <w:t>To represent overall differences in community composition, we us</w:t>
      </w:r>
      <w:r w:rsidR="005A63C1">
        <w:rPr>
          <w:rFonts w:ascii="Times New Roman" w:eastAsia="Times New Roman" w:hAnsi="Times New Roman" w:cs="Times New Roman"/>
          <w:sz w:val="24"/>
          <w:szCs w:val="24"/>
        </w:rPr>
        <w:t>ed Principal Coordinate A</w:t>
      </w:r>
      <w:r w:rsidRPr="00C14D16">
        <w:rPr>
          <w:rFonts w:ascii="Times New Roman" w:eastAsia="Times New Roman" w:hAnsi="Times New Roman" w:cs="Times New Roman"/>
          <w:sz w:val="24"/>
          <w:szCs w:val="24"/>
        </w:rPr>
        <w:t xml:space="preserve">nalysis (PCoA) of Bray-Curtis distances implemented </w:t>
      </w:r>
      <w:r w:rsidR="00B00C7F">
        <w:rPr>
          <w:rFonts w:ascii="Times New Roman" w:eastAsia="Times New Roman" w:hAnsi="Times New Roman" w:cs="Times New Roman"/>
          <w:sz w:val="24"/>
          <w:szCs w:val="24"/>
        </w:rPr>
        <w:t xml:space="preserve">using </w:t>
      </w:r>
      <w:r w:rsidRPr="00C14D16">
        <w:rPr>
          <w:rFonts w:ascii="Times New Roman" w:eastAsia="Times New Roman" w:hAnsi="Times New Roman" w:cs="Times New Roman"/>
          <w:sz w:val="24"/>
          <w:szCs w:val="24"/>
        </w:rPr>
        <w:t xml:space="preserve">“ordinate” in phyloseq. To identify distinctive fungal taxa in each area, we used indicator species analysis as implemented by the “multipatt” function in R package “indicspecies” </w:t>
      </w:r>
      <w:r w:rsidR="005A63C1">
        <w:rPr>
          <w:rFonts w:ascii="Times New Roman" w:eastAsia="Times New Roman" w:hAnsi="Times New Roman" w:cs="Times New Roman"/>
          <w:sz w:val="24"/>
          <w:szCs w:val="24"/>
        </w:rPr>
        <w:fldChar w:fldCharType="begin" w:fldLock="1"/>
      </w:r>
      <w:r w:rsidR="005A2E0E">
        <w:rPr>
          <w:rFonts w:ascii="Times New Roman" w:eastAsia="Times New Roman" w:hAnsi="Times New Roman" w:cs="Times New Roman"/>
          <w:sz w:val="24"/>
          <w:szCs w:val="24"/>
        </w:rPr>
        <w:instrText>ADDIN CSL_CITATION {"citationItems":[{"id":"ITEM-1","itemData":{"ISSN":"00129658","abstract":"Ecologists often face the task of studying the association between single species and one or several groups of sites representing habitat types, community types, or other categories. Besides characterizing the ecological preference of the species, the strength of the association usually presents a lot of interest for conservation biology, landscape mapping and management, and natural reserve design, among other applications. The indices most frequently employed to assess these relationships are the phi coefficient of association and the indicator value index (indVal). We compare these two approaches by putting them into a broader framework of related measures, which includes several new indices. We present permutation tests to assess the statistical significance of species-site group associations and bootstrap methods for obtaining confidence intervals. Correlation measures, such as the phi coefficient, are more context-dependent than indicator values but allow focusing on the preference of the species. In contrast, the two components of an indicator value index directly assess the value of the species as a bioindicator because they can be interpreted as its positive predictive value and sensitivity. Ecologists should select the most appropriate index of association strength according to their objective and then compute confidence intervals to determine the precision of the estimate. © 2009 by the Ecological Society of America.","author":[{"dropping-particle":"","family":"Cáceres","given":"Miquel","non-dropping-particle":"De","parse-names":false,"suffix":""},{"dropping-particle":"","family":"Legendre","given":"Pierre","non-dropping-particle":"","parse-names":false,"suffix":""}],"container-title":"CRAN Repository","id":"ITEM-1","issued":{"date-parts":[["2020"]]},"title":"Package 'indicspecies'","type":"article-journal"},"uris":["http://www.mendeley.com/documents/?uuid=0f4b0b37-36d9-3600-a9d0-cc637b584b92"]}],"mendeley":{"formattedCitation":"(De Cáceres and Legendre, 2020)","plainTextFormattedCitation":"(De Cáceres and Legendre, 2020)","previouslyFormattedCitation":"(De Cáceres and Legendre, 2020)"},"properties":{"noteIndex":0},"schema":"https://github.com/citation-style-language/schema/raw/master/csl-citation.json"}</w:instrText>
      </w:r>
      <w:r w:rsidR="005A63C1">
        <w:rPr>
          <w:rFonts w:ascii="Times New Roman" w:eastAsia="Times New Roman" w:hAnsi="Times New Roman" w:cs="Times New Roman"/>
          <w:sz w:val="24"/>
          <w:szCs w:val="24"/>
        </w:rPr>
        <w:fldChar w:fldCharType="separate"/>
      </w:r>
      <w:r w:rsidR="00473EEB" w:rsidRPr="00473EEB">
        <w:rPr>
          <w:rFonts w:ascii="Times New Roman" w:eastAsia="Times New Roman" w:hAnsi="Times New Roman" w:cs="Times New Roman"/>
          <w:noProof/>
          <w:sz w:val="24"/>
          <w:szCs w:val="24"/>
        </w:rPr>
        <w:t>(De Cáceres and Legendre, 2020)</w:t>
      </w:r>
      <w:r w:rsidR="005A63C1">
        <w:rPr>
          <w:rFonts w:ascii="Times New Roman" w:eastAsia="Times New Roman" w:hAnsi="Times New Roman" w:cs="Times New Roman"/>
          <w:sz w:val="24"/>
          <w:szCs w:val="24"/>
        </w:rPr>
        <w:fldChar w:fldCharType="end"/>
      </w:r>
      <w:r w:rsidRPr="00C14D16">
        <w:rPr>
          <w:rFonts w:ascii="Times New Roman" w:eastAsia="Times New Roman" w:hAnsi="Times New Roman" w:cs="Times New Roman"/>
          <w:sz w:val="24"/>
          <w:szCs w:val="24"/>
        </w:rPr>
        <w:t>, correcting for differences in sample numbers in each area. We selected any taxa with marginally significant point biserial correlation coefficients (p&lt;0.1) for further functional characterization by cross referencing fungal OTUs to the FunGuild Database</w:t>
      </w:r>
      <w:r w:rsidR="005A63C1">
        <w:rPr>
          <w:rFonts w:ascii="Times New Roman" w:eastAsia="Times New Roman" w:hAnsi="Times New Roman" w:cs="Times New Roman"/>
          <w:sz w:val="24"/>
          <w:szCs w:val="24"/>
        </w:rPr>
        <w:t xml:space="preserve"> </w:t>
      </w:r>
      <w:r w:rsidR="005A63C1">
        <w:rPr>
          <w:rFonts w:ascii="Times New Roman" w:eastAsia="Times New Roman" w:hAnsi="Times New Roman" w:cs="Times New Roman"/>
          <w:sz w:val="24"/>
          <w:szCs w:val="24"/>
        </w:rPr>
        <w:fldChar w:fldCharType="begin" w:fldLock="1"/>
      </w:r>
      <w:r w:rsidR="005A2E0E">
        <w:rPr>
          <w:rFonts w:ascii="Times New Roman" w:eastAsia="Times New Roman" w:hAnsi="Times New Roman" w:cs="Times New Roman"/>
          <w:sz w:val="24"/>
          <w:szCs w:val="24"/>
        </w:rPr>
        <w:instrText>ADDIN CSL_CITATION {"citationItems":[{"id":"ITEM-1","itemData":{"DOI":"10.1016/j.funeco.2015.06.006","ISSN":"17545048","abstract":"Fungi typically live in highly diverse communities composed of multiple ecological guilds. Although high-throughput sequencing has greatly increased the ability to quantify the diversity of fungi in environmental samples, researchers currently lack a simple and consistent way to sort large sequence pools into ecologically meaningful categories. We address this issue by introducing FUNGuild, a tool that can be used to taxonomically parse fungal OTUs by ecological guild independent of sequencing platform or analysis pipeline. Using a database and an accompanying bioinformatics script, we demonstrate the application of FUNGuild to three high-throughput sequencing datasets from different habitats: forest soils, grassland soils, and decomposing wood. We found that guilds characteristic of each habitat (i.e., saprotrophic and ectomycorrhizal fungi in forest soils, saprotrophic and arbuscular mycorrhizal fungi in grassland soils, saprotrophic, wood decomposer, and plant pathogenic fungi in decomposing wood) were each well represented. The example datasets demonstrate that while we could quickly and efficiently assign a large portion of the data to guilds, another large portion could not be assigned, reflecting the need to expand and improve the database as well as to gain a better understanding of natural history for many described and undescribed fungal species. As a community resource, FUNGuild is dependent on third-party annotation, so we invite researchers to populate it with new categories and records as well as refine those already in existence.","author":[{"dropping-particle":"","family":"Nguyen","given":"Nhu H.","non-dropping-particle":"","parse-names":false,"suffix":""},{"dropping-particle":"","family":"Song","given":"Zewei","non-dropping-particle":"","parse-names":false,"suffix":""},{"dropping-particle":"","family":"Bates","given":"Scott T.","non-dropping-particle":"","parse-names":false,"suffix":""},{"dropping-particle":"","family":"Branco","given":"Sara","non-dropping-particle":"","parse-names":false,"suffix":""},{"dropping-particle":"","family":"Tedersoo","given":"Leho","non-dropping-particle":"","parse-names":false,"suffix":""},{"dropping-particle":"","family":"Menke","given":"Jon","non-dropping-particle":"","parse-names":false,"suffix":""},{"dropping-particle":"","family":"Schilling","given":"Jonathan S.","non-dropping-particle":"","parse-names":false,"suffix":""},{"dropping-particle":"","family":"Kennedy","given":"Peter G.","non-dropping-particle":"","parse-names":false,"suffix":""}],"container-title":"Fungal Ecology","id":"ITEM-1","issued":{"date-parts":[["2016"]]},"title":"FUNGuild: An open annotation tool for parsing fungal community datasets by ecological guild","type":"article-journal","volume":"20"},"uris":["http://www.mendeley.com/documents/?uuid=8162be67-000a-3271-8c65-e408904c0048"]}],"mendeley":{"formattedCitation":"(Nguyen et al., 2016)","plainTextFormattedCitation":"(Nguyen et al., 2016)","previouslyFormattedCitation":"(Nguyen et al., 2016)"},"properties":{"noteIndex":0},"schema":"https://github.com/citation-style-language/schema/raw/master/csl-citation.json"}</w:instrText>
      </w:r>
      <w:r w:rsidR="005A63C1">
        <w:rPr>
          <w:rFonts w:ascii="Times New Roman" w:eastAsia="Times New Roman" w:hAnsi="Times New Roman" w:cs="Times New Roman"/>
          <w:sz w:val="24"/>
          <w:szCs w:val="24"/>
        </w:rPr>
        <w:fldChar w:fldCharType="separate"/>
      </w:r>
      <w:r w:rsidR="00473EEB" w:rsidRPr="00473EEB">
        <w:rPr>
          <w:rFonts w:ascii="Times New Roman" w:eastAsia="Times New Roman" w:hAnsi="Times New Roman" w:cs="Times New Roman"/>
          <w:noProof/>
          <w:sz w:val="24"/>
          <w:szCs w:val="24"/>
        </w:rPr>
        <w:t>(Nguyen et al., 2016)</w:t>
      </w:r>
      <w:r w:rsidR="005A63C1">
        <w:rPr>
          <w:rFonts w:ascii="Times New Roman" w:eastAsia="Times New Roman" w:hAnsi="Times New Roman" w:cs="Times New Roman"/>
          <w:sz w:val="24"/>
          <w:szCs w:val="24"/>
        </w:rPr>
        <w:fldChar w:fldCharType="end"/>
      </w:r>
      <w:r w:rsidRPr="00C14D16">
        <w:rPr>
          <w:rFonts w:ascii="Times New Roman" w:eastAsia="Times New Roman" w:hAnsi="Times New Roman" w:cs="Times New Roman"/>
          <w:sz w:val="24"/>
          <w:szCs w:val="24"/>
        </w:rPr>
        <w:t>. We analyzed evidence for functional differentiation by comparing the trophic guild classification of distinctive fungal OTUs in the UFF versus all others using Fisher’s Exact Test</w:t>
      </w:r>
      <w:r w:rsidR="00B00C7F">
        <w:rPr>
          <w:rFonts w:ascii="Times New Roman" w:eastAsia="Times New Roman" w:hAnsi="Times New Roman" w:cs="Times New Roman"/>
          <w:sz w:val="24"/>
          <w:szCs w:val="24"/>
        </w:rPr>
        <w:t xml:space="preserve"> in R package “stats”</w:t>
      </w:r>
      <w:r w:rsidRPr="00C14D16">
        <w:rPr>
          <w:rFonts w:ascii="Times New Roman" w:eastAsia="Times New Roman" w:hAnsi="Times New Roman" w:cs="Times New Roman"/>
          <w:sz w:val="24"/>
          <w:szCs w:val="24"/>
        </w:rPr>
        <w:t>.</w:t>
      </w:r>
    </w:p>
    <w:p w14:paraId="5E01BA2C" w14:textId="2ACFA98D" w:rsidR="00F51880" w:rsidRPr="00C14D16" w:rsidRDefault="00343E40">
      <w:pPr>
        <w:spacing w:line="480" w:lineRule="auto"/>
        <w:rPr>
          <w:rFonts w:ascii="Times New Roman" w:eastAsia="Times New Roman" w:hAnsi="Times New Roman" w:cs="Times New Roman"/>
          <w:i/>
          <w:sz w:val="24"/>
          <w:szCs w:val="24"/>
        </w:rPr>
      </w:pPr>
      <w:r>
        <w:rPr>
          <w:rFonts w:ascii="Times New Roman" w:eastAsia="Times New Roman" w:hAnsi="Times New Roman" w:cs="Times New Roman"/>
          <w:b/>
          <w:sz w:val="24"/>
          <w:szCs w:val="24"/>
        </w:rPr>
        <w:t>Results</w:t>
      </w:r>
    </w:p>
    <w:p w14:paraId="03501968" w14:textId="7D366386" w:rsidR="00F51880" w:rsidRPr="00C14D16" w:rsidRDefault="002B3DD1">
      <w:pPr>
        <w:spacing w:line="480" w:lineRule="auto"/>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 xml:space="preserve">            Converting lawn to UFF precipitated a dramatic change in soil structure and function</w:t>
      </w:r>
      <w:r w:rsidR="00B00C7F">
        <w:rPr>
          <w:rFonts w:ascii="Times New Roman" w:eastAsia="Times New Roman" w:hAnsi="Times New Roman" w:cs="Times New Roman"/>
          <w:sz w:val="24"/>
          <w:szCs w:val="24"/>
        </w:rPr>
        <w:t xml:space="preserve"> </w:t>
      </w:r>
      <w:r w:rsidR="000A44AC">
        <w:rPr>
          <w:rFonts w:ascii="Times New Roman" w:eastAsia="Times New Roman" w:hAnsi="Times New Roman" w:cs="Times New Roman"/>
          <w:sz w:val="24"/>
          <w:szCs w:val="24"/>
        </w:rPr>
        <w:t xml:space="preserve">after only two years </w:t>
      </w:r>
      <w:r w:rsidR="00B00C7F">
        <w:rPr>
          <w:rFonts w:ascii="Times New Roman" w:eastAsia="Times New Roman" w:hAnsi="Times New Roman" w:cs="Times New Roman"/>
          <w:sz w:val="24"/>
          <w:szCs w:val="24"/>
        </w:rPr>
        <w:t>(Fig 1)</w:t>
      </w:r>
      <w:r w:rsidRPr="00C14D16">
        <w:rPr>
          <w:rFonts w:ascii="Times New Roman" w:eastAsia="Times New Roman" w:hAnsi="Times New Roman" w:cs="Times New Roman"/>
          <w:sz w:val="24"/>
          <w:szCs w:val="24"/>
        </w:rPr>
        <w:t xml:space="preserve">. </w:t>
      </w:r>
      <w:r w:rsidR="00A6248F">
        <w:rPr>
          <w:rFonts w:ascii="Times New Roman" w:eastAsia="Times New Roman" w:hAnsi="Times New Roman" w:cs="Times New Roman"/>
          <w:sz w:val="24"/>
          <w:szCs w:val="24"/>
        </w:rPr>
        <w:t>T</w:t>
      </w:r>
      <w:r w:rsidRPr="00C14D16">
        <w:rPr>
          <w:rFonts w:ascii="Times New Roman" w:eastAsia="Times New Roman" w:hAnsi="Times New Roman" w:cs="Times New Roman"/>
          <w:sz w:val="24"/>
          <w:szCs w:val="24"/>
        </w:rPr>
        <w:t xml:space="preserve">he majority of samples </w:t>
      </w:r>
      <w:r w:rsidR="00A6248F">
        <w:rPr>
          <w:rFonts w:ascii="Times New Roman" w:eastAsia="Times New Roman" w:hAnsi="Times New Roman" w:cs="Times New Roman"/>
          <w:sz w:val="24"/>
          <w:szCs w:val="24"/>
        </w:rPr>
        <w:t xml:space="preserve">from the top 10 cm of lawn soil </w:t>
      </w:r>
      <w:r w:rsidRPr="00C14D16">
        <w:rPr>
          <w:rFonts w:ascii="Times New Roman" w:eastAsia="Times New Roman" w:hAnsi="Times New Roman" w:cs="Times New Roman"/>
          <w:sz w:val="24"/>
          <w:szCs w:val="24"/>
        </w:rPr>
        <w:t>(24/32) exceeded the soil compaction standard for sandy loams (&gt;1.4 g cm</w:t>
      </w:r>
      <w:r w:rsidRPr="00C14D16">
        <w:rPr>
          <w:rFonts w:ascii="Times New Roman" w:eastAsia="Times New Roman" w:hAnsi="Times New Roman" w:cs="Times New Roman"/>
          <w:sz w:val="24"/>
          <w:szCs w:val="24"/>
          <w:vertAlign w:val="superscript"/>
        </w:rPr>
        <w:t>-3</w:t>
      </w:r>
      <w:r w:rsidR="009C03F2">
        <w:rPr>
          <w:rFonts w:ascii="Times New Roman" w:eastAsia="Times New Roman" w:hAnsi="Times New Roman" w:cs="Times New Roman"/>
          <w:sz w:val="24"/>
          <w:szCs w:val="24"/>
        </w:rPr>
        <w:t>) and five</w:t>
      </w:r>
      <w:r w:rsidRPr="00C14D16">
        <w:rPr>
          <w:rFonts w:ascii="Times New Roman" w:eastAsia="Times New Roman" w:hAnsi="Times New Roman" w:cs="Times New Roman"/>
          <w:sz w:val="24"/>
          <w:szCs w:val="24"/>
        </w:rPr>
        <w:t xml:space="preserve"> samples exceeded the soil compaction standard for sands (&gt;1.6 cm</w:t>
      </w:r>
      <w:r w:rsidRPr="00C14D16">
        <w:rPr>
          <w:rFonts w:ascii="Times New Roman" w:eastAsia="Times New Roman" w:hAnsi="Times New Roman" w:cs="Times New Roman"/>
          <w:sz w:val="24"/>
          <w:szCs w:val="24"/>
          <w:vertAlign w:val="superscript"/>
        </w:rPr>
        <w:t>-3</w:t>
      </w:r>
      <w:r w:rsidRPr="00C14D16">
        <w:rPr>
          <w:rFonts w:ascii="Times New Roman" w:eastAsia="Times New Roman" w:hAnsi="Times New Roman" w:cs="Times New Roman"/>
          <w:sz w:val="24"/>
          <w:szCs w:val="24"/>
        </w:rPr>
        <w:t xml:space="preserve">). In contrast, just </w:t>
      </w:r>
      <w:r w:rsidR="00A6248F">
        <w:rPr>
          <w:rFonts w:ascii="Times New Roman" w:eastAsia="Times New Roman" w:hAnsi="Times New Roman" w:cs="Times New Roman"/>
          <w:sz w:val="24"/>
          <w:szCs w:val="24"/>
        </w:rPr>
        <w:t xml:space="preserve">1/32 samples from the </w:t>
      </w:r>
      <w:r w:rsidR="000A44AC">
        <w:rPr>
          <w:rFonts w:ascii="Times New Roman" w:eastAsia="Times New Roman" w:hAnsi="Times New Roman" w:cs="Times New Roman"/>
          <w:sz w:val="24"/>
          <w:szCs w:val="24"/>
        </w:rPr>
        <w:t xml:space="preserve">same </w:t>
      </w:r>
      <w:r w:rsidR="00A6248F">
        <w:rPr>
          <w:rFonts w:ascii="Times New Roman" w:eastAsia="Times New Roman" w:hAnsi="Times New Roman" w:cs="Times New Roman"/>
          <w:sz w:val="24"/>
          <w:szCs w:val="24"/>
        </w:rPr>
        <w:t>stratu</w:t>
      </w:r>
      <w:r w:rsidR="000A44AC">
        <w:rPr>
          <w:rFonts w:ascii="Times New Roman" w:eastAsia="Times New Roman" w:hAnsi="Times New Roman" w:cs="Times New Roman"/>
          <w:sz w:val="24"/>
          <w:szCs w:val="24"/>
        </w:rPr>
        <w:t>m</w:t>
      </w:r>
      <w:r w:rsidR="00A6248F">
        <w:rPr>
          <w:rFonts w:ascii="Times New Roman" w:eastAsia="Times New Roman" w:hAnsi="Times New Roman" w:cs="Times New Roman"/>
          <w:sz w:val="24"/>
          <w:szCs w:val="24"/>
        </w:rPr>
        <w:t xml:space="preserve"> beneath the UFF </w:t>
      </w:r>
      <w:r w:rsidRPr="00C14D16">
        <w:rPr>
          <w:rFonts w:ascii="Times New Roman" w:eastAsia="Times New Roman" w:hAnsi="Times New Roman" w:cs="Times New Roman"/>
          <w:sz w:val="24"/>
          <w:szCs w:val="24"/>
        </w:rPr>
        <w:t>exceeded 1.4 cm</w:t>
      </w:r>
      <w:r w:rsidRPr="00C14D16">
        <w:rPr>
          <w:rFonts w:ascii="Times New Roman" w:eastAsia="Times New Roman" w:hAnsi="Times New Roman" w:cs="Times New Roman"/>
          <w:sz w:val="24"/>
          <w:szCs w:val="24"/>
          <w:vertAlign w:val="superscript"/>
        </w:rPr>
        <w:t>-3</w:t>
      </w:r>
      <w:r w:rsidR="000A44AC">
        <w:rPr>
          <w:rFonts w:ascii="Times New Roman" w:eastAsia="Times New Roman" w:hAnsi="Times New Roman" w:cs="Times New Roman"/>
          <w:sz w:val="24"/>
          <w:szCs w:val="24"/>
        </w:rPr>
        <w:t xml:space="preserve">, </w:t>
      </w:r>
      <w:r w:rsidRPr="00C14D16">
        <w:rPr>
          <w:rFonts w:ascii="Times New Roman" w:eastAsia="Times New Roman" w:hAnsi="Times New Roman" w:cs="Times New Roman"/>
          <w:sz w:val="24"/>
          <w:szCs w:val="24"/>
        </w:rPr>
        <w:t xml:space="preserve">despite the added weight of plants and soils on berms. Taking the spatial structure of the sampling locations into account, the average SBD </w:t>
      </w:r>
      <w:r w:rsidR="001815BA">
        <w:rPr>
          <w:rFonts w:ascii="Times New Roman" w:eastAsia="Times New Roman" w:hAnsi="Times New Roman" w:cs="Times New Roman"/>
          <w:sz w:val="24"/>
          <w:szCs w:val="24"/>
        </w:rPr>
        <w:t xml:space="preserve">of </w:t>
      </w:r>
      <w:r w:rsidRPr="00C14D16">
        <w:rPr>
          <w:rFonts w:ascii="Times New Roman" w:eastAsia="Times New Roman" w:hAnsi="Times New Roman" w:cs="Times New Roman"/>
          <w:sz w:val="24"/>
          <w:szCs w:val="24"/>
        </w:rPr>
        <w:t xml:space="preserve">the </w:t>
      </w:r>
      <w:r w:rsidR="00A6248F">
        <w:rPr>
          <w:rFonts w:ascii="Times New Roman" w:eastAsia="Times New Roman" w:hAnsi="Times New Roman" w:cs="Times New Roman"/>
          <w:sz w:val="24"/>
          <w:szCs w:val="24"/>
        </w:rPr>
        <w:t xml:space="preserve">upper stratum of the </w:t>
      </w:r>
      <w:r w:rsidRPr="00C14D16">
        <w:rPr>
          <w:rFonts w:ascii="Times New Roman" w:eastAsia="Times New Roman" w:hAnsi="Times New Roman" w:cs="Times New Roman"/>
          <w:sz w:val="24"/>
          <w:szCs w:val="24"/>
        </w:rPr>
        <w:t>lawn was 1.478 g cm</w:t>
      </w:r>
      <w:r w:rsidR="00FC1386">
        <w:rPr>
          <w:rFonts w:ascii="Times New Roman" w:eastAsia="Times New Roman" w:hAnsi="Times New Roman" w:cs="Times New Roman"/>
          <w:sz w:val="24"/>
          <w:szCs w:val="24"/>
          <w:vertAlign w:val="superscript"/>
        </w:rPr>
        <w:t xml:space="preserve">-3 </w:t>
      </w:r>
      <w:r w:rsidRPr="00C14D16">
        <w:rPr>
          <w:rFonts w:ascii="Times New Roman" w:eastAsia="Times New Roman" w:hAnsi="Times New Roman" w:cs="Times New Roman"/>
          <w:sz w:val="24"/>
          <w:szCs w:val="24"/>
        </w:rPr>
        <w:t>([1.436, 1.522] 95%CI), which was nearly double that of the</w:t>
      </w:r>
      <w:r w:rsidR="00A6248F">
        <w:rPr>
          <w:rFonts w:ascii="Times New Roman" w:eastAsia="Times New Roman" w:hAnsi="Times New Roman" w:cs="Times New Roman"/>
          <w:sz w:val="24"/>
          <w:szCs w:val="24"/>
        </w:rPr>
        <w:t xml:space="preserve"> upper stratum beneath the</w:t>
      </w:r>
      <w:r w:rsidRPr="00C14D16">
        <w:rPr>
          <w:rFonts w:ascii="Times New Roman" w:eastAsia="Times New Roman" w:hAnsi="Times New Roman" w:cs="Times New Roman"/>
          <w:sz w:val="24"/>
          <w:szCs w:val="24"/>
        </w:rPr>
        <w:t xml:space="preserve"> UFF, 0.750 g cm</w:t>
      </w:r>
      <w:r w:rsidRPr="00C14D16">
        <w:rPr>
          <w:rFonts w:ascii="Times New Roman" w:eastAsia="Times New Roman" w:hAnsi="Times New Roman" w:cs="Times New Roman"/>
          <w:sz w:val="24"/>
          <w:szCs w:val="24"/>
          <w:vertAlign w:val="superscript"/>
        </w:rPr>
        <w:t xml:space="preserve">-3  </w:t>
      </w:r>
      <w:r w:rsidRPr="00C14D16">
        <w:rPr>
          <w:rFonts w:ascii="Times New Roman" w:eastAsia="Times New Roman" w:hAnsi="Times New Roman" w:cs="Times New Roman"/>
          <w:sz w:val="24"/>
          <w:szCs w:val="24"/>
        </w:rPr>
        <w:t xml:space="preserve">([0.686, 0.818] 95%CI). The differences in the original lower strata were less extreme but still significantly lower </w:t>
      </w:r>
      <w:r w:rsidR="00B00C7F">
        <w:rPr>
          <w:rFonts w:ascii="Times New Roman" w:eastAsia="Times New Roman" w:hAnsi="Times New Roman" w:cs="Times New Roman"/>
          <w:sz w:val="24"/>
          <w:szCs w:val="24"/>
        </w:rPr>
        <w:t>under</w:t>
      </w:r>
      <w:r w:rsidR="00B00C7F" w:rsidRPr="00C14D16">
        <w:rPr>
          <w:rFonts w:ascii="Times New Roman" w:eastAsia="Times New Roman" w:hAnsi="Times New Roman" w:cs="Times New Roman"/>
          <w:sz w:val="24"/>
          <w:szCs w:val="24"/>
        </w:rPr>
        <w:t xml:space="preserve"> </w:t>
      </w:r>
      <w:r w:rsidRPr="00C14D16">
        <w:rPr>
          <w:rFonts w:ascii="Times New Roman" w:eastAsia="Times New Roman" w:hAnsi="Times New Roman" w:cs="Times New Roman"/>
          <w:sz w:val="24"/>
          <w:szCs w:val="24"/>
        </w:rPr>
        <w:t xml:space="preserve">the UFF </w:t>
      </w:r>
      <w:r w:rsidR="00FC1386">
        <w:rPr>
          <w:rFonts w:ascii="Times New Roman" w:eastAsia="Times New Roman" w:hAnsi="Times New Roman" w:cs="Times New Roman"/>
          <w:sz w:val="24"/>
          <w:szCs w:val="24"/>
        </w:rPr>
        <w:t xml:space="preserve">(Lawn 10-20 cm </w:t>
      </w:r>
      <w:r w:rsidR="00A6248F">
        <w:rPr>
          <w:rFonts w:ascii="Times New Roman" w:eastAsia="Times New Roman" w:hAnsi="Times New Roman" w:cs="Times New Roman"/>
          <w:sz w:val="24"/>
          <w:szCs w:val="24"/>
        </w:rPr>
        <w:t>mean SBD=</w:t>
      </w:r>
      <w:r w:rsidR="00FC1386">
        <w:rPr>
          <w:rFonts w:ascii="Times New Roman" w:eastAsia="Times New Roman" w:hAnsi="Times New Roman" w:cs="Times New Roman"/>
          <w:sz w:val="24"/>
          <w:szCs w:val="24"/>
        </w:rPr>
        <w:t>1.336</w:t>
      </w:r>
      <w:r w:rsidRPr="00C14D16">
        <w:rPr>
          <w:rFonts w:ascii="Times New Roman" w:eastAsia="Times New Roman" w:hAnsi="Times New Roman" w:cs="Times New Roman"/>
          <w:sz w:val="24"/>
          <w:szCs w:val="24"/>
        </w:rPr>
        <w:t xml:space="preserve"> g cm</w:t>
      </w:r>
      <w:r w:rsidRPr="00C14D16">
        <w:rPr>
          <w:rFonts w:ascii="Times New Roman" w:eastAsia="Times New Roman" w:hAnsi="Times New Roman" w:cs="Times New Roman"/>
          <w:sz w:val="24"/>
          <w:szCs w:val="24"/>
          <w:vertAlign w:val="superscript"/>
        </w:rPr>
        <w:t xml:space="preserve">-3 </w:t>
      </w:r>
      <w:r w:rsidRPr="00C14D16">
        <w:rPr>
          <w:rFonts w:ascii="Times New Roman" w:eastAsia="Times New Roman" w:hAnsi="Times New Roman" w:cs="Times New Roman"/>
          <w:sz w:val="24"/>
          <w:szCs w:val="24"/>
        </w:rPr>
        <w:t>[1.298, 1.374] 95% CI,</w:t>
      </w:r>
      <w:r w:rsidR="00A6248F">
        <w:rPr>
          <w:rFonts w:ascii="Times New Roman" w:eastAsia="Times New Roman" w:hAnsi="Times New Roman" w:cs="Times New Roman"/>
          <w:sz w:val="24"/>
          <w:szCs w:val="24"/>
        </w:rPr>
        <w:t xml:space="preserve"> UFF original 10-20 cm mean SBD= </w:t>
      </w:r>
      <w:r w:rsidRPr="00C14D16">
        <w:rPr>
          <w:rFonts w:ascii="Times New Roman" w:eastAsia="Times New Roman" w:hAnsi="Times New Roman" w:cs="Times New Roman"/>
          <w:sz w:val="24"/>
          <w:szCs w:val="24"/>
        </w:rPr>
        <w:t>0.969 g cm</w:t>
      </w:r>
      <w:r w:rsidRPr="00C14D16">
        <w:rPr>
          <w:rFonts w:ascii="Times New Roman" w:eastAsia="Times New Roman" w:hAnsi="Times New Roman" w:cs="Times New Roman"/>
          <w:sz w:val="24"/>
          <w:szCs w:val="24"/>
          <w:vertAlign w:val="superscript"/>
        </w:rPr>
        <w:t>-3</w:t>
      </w:r>
      <w:r w:rsidRPr="00C14D16">
        <w:rPr>
          <w:rFonts w:ascii="Times New Roman" w:eastAsia="Times New Roman" w:hAnsi="Times New Roman" w:cs="Times New Roman"/>
          <w:sz w:val="24"/>
          <w:szCs w:val="24"/>
        </w:rPr>
        <w:t xml:space="preserve"> [0.886, 1.057] 95%CI)</w:t>
      </w:r>
      <w:r w:rsidR="000A44AC">
        <w:rPr>
          <w:rFonts w:ascii="Times New Roman" w:eastAsia="Times New Roman" w:hAnsi="Times New Roman" w:cs="Times New Roman"/>
          <w:sz w:val="24"/>
          <w:szCs w:val="24"/>
        </w:rPr>
        <w:t>. T</w:t>
      </w:r>
      <w:r w:rsidRPr="00C14D16">
        <w:rPr>
          <w:rFonts w:ascii="Times New Roman" w:eastAsia="Times New Roman" w:hAnsi="Times New Roman" w:cs="Times New Roman"/>
          <w:sz w:val="24"/>
          <w:szCs w:val="24"/>
        </w:rPr>
        <w:t>he lowest average SBD occurred in the imported soils in the be</w:t>
      </w:r>
      <w:r w:rsidR="00A6248F">
        <w:rPr>
          <w:rFonts w:ascii="Times New Roman" w:eastAsia="Times New Roman" w:hAnsi="Times New Roman" w:cs="Times New Roman"/>
          <w:sz w:val="24"/>
          <w:szCs w:val="24"/>
        </w:rPr>
        <w:t>rm stratum of the UFF (mean SBD=</w:t>
      </w:r>
      <w:r w:rsidRPr="00C14D16">
        <w:rPr>
          <w:rFonts w:ascii="Times New Roman" w:eastAsia="Times New Roman" w:hAnsi="Times New Roman" w:cs="Times New Roman"/>
          <w:sz w:val="24"/>
          <w:szCs w:val="24"/>
        </w:rPr>
        <w:t>0.584 g cm</w:t>
      </w:r>
      <w:r w:rsidRPr="00C14D16">
        <w:rPr>
          <w:rFonts w:ascii="Times New Roman" w:eastAsia="Times New Roman" w:hAnsi="Times New Roman" w:cs="Times New Roman"/>
          <w:sz w:val="24"/>
          <w:szCs w:val="24"/>
          <w:vertAlign w:val="superscript"/>
        </w:rPr>
        <w:t xml:space="preserve">-3 </w:t>
      </w:r>
      <w:r w:rsidRPr="00C14D16">
        <w:rPr>
          <w:rFonts w:ascii="Times New Roman" w:eastAsia="Times New Roman" w:hAnsi="Times New Roman" w:cs="Times New Roman"/>
          <w:sz w:val="24"/>
          <w:szCs w:val="24"/>
        </w:rPr>
        <w:t>[0.534, 0.636] 95%CI)</w:t>
      </w:r>
      <w:r w:rsidR="000A44AC">
        <w:rPr>
          <w:rFonts w:ascii="Times New Roman" w:eastAsia="Times New Roman" w:hAnsi="Times New Roman" w:cs="Times New Roman"/>
          <w:sz w:val="24"/>
          <w:szCs w:val="24"/>
        </w:rPr>
        <w:t>.</w:t>
      </w:r>
    </w:p>
    <w:p w14:paraId="32EB6214" w14:textId="7BFC54D6" w:rsidR="00F51880" w:rsidRPr="00C14D16" w:rsidRDefault="002B3DD1">
      <w:pPr>
        <w:spacing w:line="480" w:lineRule="auto"/>
        <w:ind w:firstLine="720"/>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 xml:space="preserve">Rapid soil decompaction </w:t>
      </w:r>
      <w:r w:rsidR="000A44AC">
        <w:rPr>
          <w:rFonts w:ascii="Times New Roman" w:eastAsia="Times New Roman" w:hAnsi="Times New Roman" w:cs="Times New Roman"/>
          <w:sz w:val="24"/>
          <w:szCs w:val="24"/>
        </w:rPr>
        <w:t xml:space="preserve">in the UFF </w:t>
      </w:r>
      <w:r w:rsidRPr="00C14D16">
        <w:rPr>
          <w:rFonts w:ascii="Times New Roman" w:eastAsia="Times New Roman" w:hAnsi="Times New Roman" w:cs="Times New Roman"/>
          <w:sz w:val="24"/>
          <w:szCs w:val="24"/>
        </w:rPr>
        <w:t>was associated with an agriculturally relevant increase in microbi</w:t>
      </w:r>
      <w:r w:rsidR="009C03F2">
        <w:rPr>
          <w:rFonts w:ascii="Times New Roman" w:eastAsia="Times New Roman" w:hAnsi="Times New Roman" w:cs="Times New Roman"/>
          <w:sz w:val="24"/>
          <w:szCs w:val="24"/>
        </w:rPr>
        <w:t>al activity (Fig. 1</w:t>
      </w:r>
      <w:r w:rsidRPr="00C14D16">
        <w:rPr>
          <w:rFonts w:ascii="Times New Roman" w:eastAsia="Times New Roman" w:hAnsi="Times New Roman" w:cs="Times New Roman"/>
          <w:sz w:val="24"/>
          <w:szCs w:val="24"/>
        </w:rPr>
        <w:t xml:space="preserve">). </w:t>
      </w:r>
      <w:r w:rsidR="00A6248F">
        <w:rPr>
          <w:rFonts w:ascii="Times New Roman" w:eastAsia="Times New Roman" w:hAnsi="Times New Roman" w:cs="Times New Roman"/>
          <w:sz w:val="24"/>
          <w:szCs w:val="24"/>
        </w:rPr>
        <w:t>Taking the spatial structure of the 32 sampling locations into account,</w:t>
      </w:r>
      <w:r w:rsidRPr="00C14D16">
        <w:rPr>
          <w:rFonts w:ascii="Times New Roman" w:eastAsia="Times New Roman" w:hAnsi="Times New Roman" w:cs="Times New Roman"/>
          <w:sz w:val="24"/>
          <w:szCs w:val="24"/>
        </w:rPr>
        <w:t xml:space="preserve"> the average mass specific respiration rate </w:t>
      </w:r>
      <w:r w:rsidR="00A6248F">
        <w:rPr>
          <w:rFonts w:ascii="Times New Roman" w:eastAsia="Times New Roman" w:hAnsi="Times New Roman" w:cs="Times New Roman"/>
          <w:sz w:val="24"/>
          <w:szCs w:val="24"/>
        </w:rPr>
        <w:t xml:space="preserve">in the upper stratum of lawn soil </w:t>
      </w:r>
      <w:r w:rsidRPr="00C14D16">
        <w:rPr>
          <w:rFonts w:ascii="Times New Roman" w:eastAsia="Times New Roman" w:hAnsi="Times New Roman" w:cs="Times New Roman"/>
          <w:sz w:val="24"/>
          <w:szCs w:val="24"/>
        </w:rPr>
        <w:t>was 0.0015 μg C g</w:t>
      </w:r>
      <w:r w:rsidRPr="00C14D16">
        <w:rPr>
          <w:rFonts w:ascii="Times New Roman" w:eastAsia="Times New Roman" w:hAnsi="Times New Roman" w:cs="Times New Roman"/>
          <w:sz w:val="24"/>
          <w:szCs w:val="24"/>
          <w:vertAlign w:val="superscript"/>
        </w:rPr>
        <w:t>-1</w:t>
      </w:r>
      <w:r w:rsidRPr="00C14D16">
        <w:rPr>
          <w:rFonts w:ascii="Times New Roman" w:eastAsia="Times New Roman" w:hAnsi="Times New Roman" w:cs="Times New Roman"/>
          <w:sz w:val="24"/>
          <w:szCs w:val="24"/>
        </w:rPr>
        <w:t xml:space="preserve"> min</w:t>
      </w:r>
      <w:r w:rsidRPr="00C14D16">
        <w:rPr>
          <w:rFonts w:ascii="Times New Roman" w:eastAsia="Times New Roman" w:hAnsi="Times New Roman" w:cs="Times New Roman"/>
          <w:sz w:val="24"/>
          <w:szCs w:val="24"/>
          <w:vertAlign w:val="superscript"/>
        </w:rPr>
        <w:t>-1</w:t>
      </w:r>
      <w:r w:rsidRPr="00C14D16">
        <w:rPr>
          <w:rFonts w:ascii="Times New Roman" w:eastAsia="Times New Roman" w:hAnsi="Times New Roman" w:cs="Times New Roman"/>
          <w:sz w:val="24"/>
          <w:szCs w:val="24"/>
        </w:rPr>
        <w:t xml:space="preserve"> ([0.0012, 0.0019] 95%CI), approximately 20 times slower than the common threshold for the least healthy category of soil microbial activity of 0.032 μg C g</w:t>
      </w:r>
      <w:r w:rsidRPr="00C14D16">
        <w:rPr>
          <w:rFonts w:ascii="Times New Roman" w:eastAsia="Times New Roman" w:hAnsi="Times New Roman" w:cs="Times New Roman"/>
          <w:sz w:val="24"/>
          <w:szCs w:val="24"/>
          <w:vertAlign w:val="superscript"/>
        </w:rPr>
        <w:t>-1</w:t>
      </w:r>
      <w:r w:rsidRPr="00C14D16">
        <w:rPr>
          <w:rFonts w:ascii="Times New Roman" w:eastAsia="Times New Roman" w:hAnsi="Times New Roman" w:cs="Times New Roman"/>
          <w:sz w:val="24"/>
          <w:szCs w:val="24"/>
        </w:rPr>
        <w:t xml:space="preserve"> min</w:t>
      </w:r>
      <w:r w:rsidRPr="00C14D16">
        <w:rPr>
          <w:rFonts w:ascii="Times New Roman" w:eastAsia="Times New Roman" w:hAnsi="Times New Roman" w:cs="Times New Roman"/>
          <w:sz w:val="24"/>
          <w:szCs w:val="24"/>
          <w:vertAlign w:val="superscript"/>
        </w:rPr>
        <w:t>-1</w:t>
      </w:r>
      <w:r w:rsidRPr="00C14D16">
        <w:rPr>
          <w:rFonts w:ascii="Times New Roman" w:eastAsia="Times New Roman" w:hAnsi="Times New Roman" w:cs="Times New Roman"/>
          <w:sz w:val="24"/>
          <w:szCs w:val="24"/>
        </w:rPr>
        <w:t xml:space="preserve">. In the corresponding stratum under the </w:t>
      </w:r>
      <w:r w:rsidR="00430620">
        <w:rPr>
          <w:rFonts w:ascii="Times New Roman" w:eastAsia="Times New Roman" w:hAnsi="Times New Roman" w:cs="Times New Roman"/>
          <w:sz w:val="24"/>
          <w:szCs w:val="24"/>
        </w:rPr>
        <w:t>U</w:t>
      </w:r>
      <w:r w:rsidRPr="00C14D16">
        <w:rPr>
          <w:rFonts w:ascii="Times New Roman" w:eastAsia="Times New Roman" w:hAnsi="Times New Roman" w:cs="Times New Roman"/>
          <w:sz w:val="24"/>
          <w:szCs w:val="24"/>
        </w:rPr>
        <w:t xml:space="preserve">FF, average respiration rates were an order of </w:t>
      </w:r>
      <w:r w:rsidR="00A6248F">
        <w:rPr>
          <w:rFonts w:ascii="Times New Roman" w:eastAsia="Times New Roman" w:hAnsi="Times New Roman" w:cs="Times New Roman"/>
          <w:sz w:val="24"/>
          <w:szCs w:val="24"/>
        </w:rPr>
        <w:t>magnitude faster</w:t>
      </w:r>
      <w:r w:rsidRPr="00C14D16">
        <w:rPr>
          <w:rFonts w:ascii="Times New Roman" w:eastAsia="Times New Roman" w:hAnsi="Times New Roman" w:cs="Times New Roman"/>
          <w:sz w:val="24"/>
          <w:szCs w:val="24"/>
        </w:rPr>
        <w:t>, 0.0175 μg C g</w:t>
      </w:r>
      <w:r w:rsidRPr="00C14D16">
        <w:rPr>
          <w:rFonts w:ascii="Times New Roman" w:eastAsia="Times New Roman" w:hAnsi="Times New Roman" w:cs="Times New Roman"/>
          <w:sz w:val="24"/>
          <w:szCs w:val="24"/>
          <w:vertAlign w:val="superscript"/>
        </w:rPr>
        <w:t>-1</w:t>
      </w:r>
      <w:r w:rsidRPr="00C14D16">
        <w:rPr>
          <w:rFonts w:ascii="Times New Roman" w:eastAsia="Times New Roman" w:hAnsi="Times New Roman" w:cs="Times New Roman"/>
          <w:sz w:val="24"/>
          <w:szCs w:val="24"/>
        </w:rPr>
        <w:t xml:space="preserve"> min</w:t>
      </w:r>
      <w:r w:rsidRPr="00C14D16">
        <w:rPr>
          <w:rFonts w:ascii="Times New Roman" w:eastAsia="Times New Roman" w:hAnsi="Times New Roman" w:cs="Times New Roman"/>
          <w:sz w:val="24"/>
          <w:szCs w:val="24"/>
          <w:vertAlign w:val="superscript"/>
        </w:rPr>
        <w:t>-1</w:t>
      </w:r>
      <w:r w:rsidRPr="00C14D16">
        <w:rPr>
          <w:rFonts w:ascii="Times New Roman" w:eastAsia="Times New Roman" w:hAnsi="Times New Roman" w:cs="Times New Roman"/>
          <w:sz w:val="24"/>
          <w:szCs w:val="24"/>
        </w:rPr>
        <w:t xml:space="preserve"> ([0.0112, 0.0258] 95%CI) and similar to the respiration rate of berm soil (0.0156 μg C g</w:t>
      </w:r>
      <w:r w:rsidRPr="00C14D16">
        <w:rPr>
          <w:rFonts w:ascii="Times New Roman" w:eastAsia="Times New Roman" w:hAnsi="Times New Roman" w:cs="Times New Roman"/>
          <w:sz w:val="24"/>
          <w:szCs w:val="24"/>
          <w:vertAlign w:val="superscript"/>
        </w:rPr>
        <w:t>-1</w:t>
      </w:r>
      <w:r w:rsidRPr="00C14D16">
        <w:rPr>
          <w:rFonts w:ascii="Times New Roman" w:eastAsia="Times New Roman" w:hAnsi="Times New Roman" w:cs="Times New Roman"/>
          <w:sz w:val="24"/>
          <w:szCs w:val="24"/>
        </w:rPr>
        <w:t xml:space="preserve"> min</w:t>
      </w:r>
      <w:r w:rsidRPr="00C14D16">
        <w:rPr>
          <w:rFonts w:ascii="Times New Roman" w:eastAsia="Times New Roman" w:hAnsi="Times New Roman" w:cs="Times New Roman"/>
          <w:sz w:val="24"/>
          <w:szCs w:val="24"/>
          <w:vertAlign w:val="superscript"/>
        </w:rPr>
        <w:t>-1</w:t>
      </w:r>
      <w:r w:rsidRPr="00C14D16">
        <w:rPr>
          <w:rFonts w:ascii="Times New Roman" w:eastAsia="Times New Roman" w:hAnsi="Times New Roman" w:cs="Times New Roman"/>
          <w:sz w:val="24"/>
          <w:szCs w:val="24"/>
        </w:rPr>
        <w:t xml:space="preserve">  [0.0101, 0.0230] 95%CI)</w:t>
      </w:r>
      <w:r w:rsidR="000A44AC">
        <w:rPr>
          <w:rFonts w:ascii="Times New Roman" w:eastAsia="Times New Roman" w:hAnsi="Times New Roman" w:cs="Times New Roman"/>
          <w:sz w:val="24"/>
          <w:szCs w:val="24"/>
        </w:rPr>
        <w:t>. Among</w:t>
      </w:r>
      <w:r w:rsidRPr="00C14D16">
        <w:rPr>
          <w:rFonts w:ascii="Times New Roman" w:eastAsia="Times New Roman" w:hAnsi="Times New Roman" w:cs="Times New Roman"/>
          <w:sz w:val="24"/>
          <w:szCs w:val="24"/>
        </w:rPr>
        <w:t xml:space="preserve"> 64 </w:t>
      </w:r>
      <w:r w:rsidR="000A44AC">
        <w:rPr>
          <w:rFonts w:ascii="Times New Roman" w:eastAsia="Times New Roman" w:hAnsi="Times New Roman" w:cs="Times New Roman"/>
          <w:sz w:val="24"/>
          <w:szCs w:val="24"/>
        </w:rPr>
        <w:t>U</w:t>
      </w:r>
      <w:r w:rsidRPr="00C14D16">
        <w:rPr>
          <w:rFonts w:ascii="Times New Roman" w:eastAsia="Times New Roman" w:hAnsi="Times New Roman" w:cs="Times New Roman"/>
          <w:sz w:val="24"/>
          <w:szCs w:val="24"/>
        </w:rPr>
        <w:t>FF samples</w:t>
      </w:r>
      <w:r w:rsidR="000A44AC">
        <w:rPr>
          <w:rFonts w:ascii="Times New Roman" w:eastAsia="Times New Roman" w:hAnsi="Times New Roman" w:cs="Times New Roman"/>
          <w:sz w:val="24"/>
          <w:szCs w:val="24"/>
        </w:rPr>
        <w:t>, 21</w:t>
      </w:r>
      <w:r w:rsidRPr="00C14D16">
        <w:rPr>
          <w:rFonts w:ascii="Times New Roman" w:eastAsia="Times New Roman" w:hAnsi="Times New Roman" w:cs="Times New Roman"/>
          <w:sz w:val="24"/>
          <w:szCs w:val="24"/>
        </w:rPr>
        <w:t xml:space="preserve"> exceed</w:t>
      </w:r>
      <w:r w:rsidR="000A44AC">
        <w:rPr>
          <w:rFonts w:ascii="Times New Roman" w:eastAsia="Times New Roman" w:hAnsi="Times New Roman" w:cs="Times New Roman"/>
          <w:sz w:val="24"/>
          <w:szCs w:val="24"/>
        </w:rPr>
        <w:t>ed</w:t>
      </w:r>
      <w:r w:rsidRPr="00C14D16">
        <w:rPr>
          <w:rFonts w:ascii="Times New Roman" w:eastAsia="Times New Roman" w:hAnsi="Times New Roman" w:cs="Times New Roman"/>
          <w:sz w:val="24"/>
          <w:szCs w:val="24"/>
        </w:rPr>
        <w:t xml:space="preserve"> the threshold for the least healthy category of soil activity compared to just one sample of 32 from the lawn. Among all 96 samples, 11/12 with healthy levels of soil activity (&gt;0.056 μg C g</w:t>
      </w:r>
      <w:r w:rsidRPr="00C14D16">
        <w:rPr>
          <w:rFonts w:ascii="Times New Roman" w:eastAsia="Times New Roman" w:hAnsi="Times New Roman" w:cs="Times New Roman"/>
          <w:sz w:val="24"/>
          <w:szCs w:val="24"/>
          <w:vertAlign w:val="superscript"/>
        </w:rPr>
        <w:t>-1</w:t>
      </w:r>
      <w:r w:rsidRPr="00C14D16">
        <w:rPr>
          <w:rFonts w:ascii="Times New Roman" w:eastAsia="Times New Roman" w:hAnsi="Times New Roman" w:cs="Times New Roman"/>
          <w:sz w:val="24"/>
          <w:szCs w:val="24"/>
        </w:rPr>
        <w:t xml:space="preserve"> min</w:t>
      </w:r>
      <w:r w:rsidRPr="00C14D16">
        <w:rPr>
          <w:rFonts w:ascii="Times New Roman" w:eastAsia="Times New Roman" w:hAnsi="Times New Roman" w:cs="Times New Roman"/>
          <w:sz w:val="24"/>
          <w:szCs w:val="24"/>
          <w:vertAlign w:val="superscript"/>
        </w:rPr>
        <w:t>-1</w:t>
      </w:r>
      <w:r w:rsidRPr="00C14D16">
        <w:rPr>
          <w:rFonts w:ascii="Times New Roman" w:eastAsia="Times New Roman" w:hAnsi="Times New Roman" w:cs="Times New Roman"/>
          <w:sz w:val="24"/>
          <w:szCs w:val="24"/>
        </w:rPr>
        <w:t xml:space="preserve">) occurred in the UFF. </w:t>
      </w:r>
    </w:p>
    <w:p w14:paraId="2A761587" w14:textId="289285A8" w:rsidR="00F51880" w:rsidRPr="00C14D16" w:rsidRDefault="002B3DD1">
      <w:pPr>
        <w:spacing w:line="480" w:lineRule="auto"/>
        <w:ind w:firstLine="720"/>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Compared to control sites in the lawn, FF soils also had higher concentr</w:t>
      </w:r>
      <w:r w:rsidR="009C03F2">
        <w:rPr>
          <w:rFonts w:ascii="Times New Roman" w:eastAsia="Times New Roman" w:hAnsi="Times New Roman" w:cs="Times New Roman"/>
          <w:sz w:val="24"/>
          <w:szCs w:val="24"/>
        </w:rPr>
        <w:t>ations of soil nutrients (Fig. 2A</w:t>
      </w:r>
      <w:r w:rsidRPr="00C14D16">
        <w:rPr>
          <w:rFonts w:ascii="Times New Roman" w:eastAsia="Times New Roman" w:hAnsi="Times New Roman" w:cs="Times New Roman"/>
          <w:sz w:val="24"/>
          <w:szCs w:val="24"/>
        </w:rPr>
        <w:t>). Cation exchange capacity (CEC), which measures overall nutrient availabi</w:t>
      </w:r>
      <w:r w:rsidR="00A6248F">
        <w:rPr>
          <w:rFonts w:ascii="Times New Roman" w:eastAsia="Times New Roman" w:hAnsi="Times New Roman" w:cs="Times New Roman"/>
          <w:sz w:val="24"/>
          <w:szCs w:val="24"/>
        </w:rPr>
        <w:t>lity, was only 7.75 meq per 100</w:t>
      </w:r>
      <w:r w:rsidRPr="00C14D16">
        <w:rPr>
          <w:rFonts w:ascii="Times New Roman" w:eastAsia="Times New Roman" w:hAnsi="Times New Roman" w:cs="Times New Roman"/>
          <w:sz w:val="24"/>
          <w:szCs w:val="24"/>
        </w:rPr>
        <w:t xml:space="preserve">g in a physically aggregated sample from the lawn. In contrast, CEC in the UFF was 4.63 times higher. Every measurement of K, Ca, Mg, Mn and Fe concentrations from the </w:t>
      </w:r>
      <w:r w:rsidR="000B4A11">
        <w:rPr>
          <w:rFonts w:ascii="Times New Roman" w:eastAsia="Times New Roman" w:hAnsi="Times New Roman" w:cs="Times New Roman"/>
          <w:sz w:val="24"/>
          <w:szCs w:val="24"/>
        </w:rPr>
        <w:t xml:space="preserve">five </w:t>
      </w:r>
      <w:r w:rsidRPr="00C14D16">
        <w:rPr>
          <w:rFonts w:ascii="Times New Roman" w:eastAsia="Times New Roman" w:hAnsi="Times New Roman" w:cs="Times New Roman"/>
          <w:sz w:val="24"/>
          <w:szCs w:val="24"/>
        </w:rPr>
        <w:t xml:space="preserve">UFF </w:t>
      </w:r>
      <w:r w:rsidR="000B4A11">
        <w:rPr>
          <w:rFonts w:ascii="Times New Roman" w:eastAsia="Times New Roman" w:hAnsi="Times New Roman" w:cs="Times New Roman"/>
          <w:sz w:val="24"/>
          <w:szCs w:val="24"/>
        </w:rPr>
        <w:t xml:space="preserve">samples </w:t>
      </w:r>
      <w:r w:rsidRPr="00C14D16">
        <w:rPr>
          <w:rFonts w:ascii="Times New Roman" w:eastAsia="Times New Roman" w:hAnsi="Times New Roman" w:cs="Times New Roman"/>
          <w:sz w:val="24"/>
          <w:szCs w:val="24"/>
        </w:rPr>
        <w:t xml:space="preserve">exceeded those from the </w:t>
      </w:r>
      <w:r w:rsidR="000B4A11">
        <w:rPr>
          <w:rFonts w:ascii="Times New Roman" w:eastAsia="Times New Roman" w:hAnsi="Times New Roman" w:cs="Times New Roman"/>
          <w:sz w:val="24"/>
          <w:szCs w:val="24"/>
        </w:rPr>
        <w:t xml:space="preserve">three </w:t>
      </w:r>
      <w:r w:rsidRPr="00C14D16">
        <w:rPr>
          <w:rFonts w:ascii="Times New Roman" w:eastAsia="Times New Roman" w:hAnsi="Times New Roman" w:cs="Times New Roman"/>
          <w:sz w:val="24"/>
          <w:szCs w:val="24"/>
        </w:rPr>
        <w:t>lawn</w:t>
      </w:r>
      <w:r w:rsidR="000B4A11">
        <w:rPr>
          <w:rFonts w:ascii="Times New Roman" w:eastAsia="Times New Roman" w:hAnsi="Times New Roman" w:cs="Times New Roman"/>
          <w:sz w:val="24"/>
          <w:szCs w:val="24"/>
        </w:rPr>
        <w:t xml:space="preserve"> samples</w:t>
      </w:r>
      <w:r w:rsidRPr="00C14D16">
        <w:rPr>
          <w:rFonts w:ascii="Times New Roman" w:eastAsia="Times New Roman" w:hAnsi="Times New Roman" w:cs="Times New Roman"/>
          <w:sz w:val="24"/>
          <w:szCs w:val="24"/>
        </w:rPr>
        <w:t xml:space="preserve">. </w:t>
      </w:r>
    </w:p>
    <w:p w14:paraId="3039EDFD" w14:textId="0D53D3E9" w:rsidR="00B5680C" w:rsidRDefault="002B3DD1">
      <w:pPr>
        <w:spacing w:line="480" w:lineRule="auto"/>
        <w:rPr>
          <w:rFonts w:ascii="Times New Roman" w:eastAsia="Times New Roman" w:hAnsi="Times New Roman" w:cs="Times New Roman"/>
          <w:sz w:val="24"/>
          <w:szCs w:val="24"/>
        </w:rPr>
      </w:pPr>
      <w:r w:rsidRPr="00C14D16">
        <w:rPr>
          <w:rFonts w:ascii="Times New Roman" w:eastAsia="Times New Roman" w:hAnsi="Times New Roman" w:cs="Times New Roman"/>
          <w:i/>
          <w:sz w:val="24"/>
          <w:szCs w:val="24"/>
        </w:rPr>
        <w:tab/>
      </w:r>
      <w:r w:rsidRPr="00C14D16">
        <w:rPr>
          <w:rFonts w:ascii="Times New Roman" w:eastAsia="Times New Roman" w:hAnsi="Times New Roman" w:cs="Times New Roman"/>
          <w:sz w:val="24"/>
          <w:szCs w:val="24"/>
        </w:rPr>
        <w:t xml:space="preserve">Microbial communities from </w:t>
      </w:r>
      <w:r w:rsidR="00430620">
        <w:rPr>
          <w:rFonts w:ascii="Times New Roman" w:eastAsia="Times New Roman" w:hAnsi="Times New Roman" w:cs="Times New Roman"/>
          <w:sz w:val="24"/>
          <w:szCs w:val="24"/>
        </w:rPr>
        <w:t>more functional</w:t>
      </w:r>
      <w:r w:rsidRPr="00C14D16">
        <w:rPr>
          <w:rFonts w:ascii="Times New Roman" w:eastAsia="Times New Roman" w:hAnsi="Times New Roman" w:cs="Times New Roman"/>
          <w:sz w:val="24"/>
          <w:szCs w:val="24"/>
        </w:rPr>
        <w:t xml:space="preserve"> UFF soil were diverse and distinctive compared to lawn </w:t>
      </w:r>
      <w:r w:rsidR="000A44AC">
        <w:rPr>
          <w:rFonts w:ascii="Times New Roman" w:eastAsia="Times New Roman" w:hAnsi="Times New Roman" w:cs="Times New Roman"/>
          <w:sz w:val="24"/>
          <w:szCs w:val="24"/>
        </w:rPr>
        <w:t xml:space="preserve">soil </w:t>
      </w:r>
      <w:r w:rsidRPr="00C14D16">
        <w:rPr>
          <w:rFonts w:ascii="Times New Roman" w:eastAsia="Times New Roman" w:hAnsi="Times New Roman" w:cs="Times New Roman"/>
          <w:sz w:val="24"/>
          <w:szCs w:val="24"/>
        </w:rPr>
        <w:t>(Fig</w:t>
      </w:r>
      <w:r w:rsidR="009C03F2">
        <w:rPr>
          <w:rFonts w:ascii="Times New Roman" w:eastAsia="Times New Roman" w:hAnsi="Times New Roman" w:cs="Times New Roman"/>
          <w:sz w:val="24"/>
          <w:szCs w:val="24"/>
        </w:rPr>
        <w:t>. 2B</w:t>
      </w:r>
      <w:r w:rsidR="006F4F15">
        <w:rPr>
          <w:rFonts w:ascii="Times New Roman" w:eastAsia="Times New Roman" w:hAnsi="Times New Roman" w:cs="Times New Roman"/>
          <w:sz w:val="24"/>
          <w:szCs w:val="24"/>
        </w:rPr>
        <w:t>). Among 417</w:t>
      </w:r>
      <w:r w:rsidRPr="00C14D16">
        <w:rPr>
          <w:rFonts w:ascii="Times New Roman" w:eastAsia="Times New Roman" w:hAnsi="Times New Roman" w:cs="Times New Roman"/>
          <w:sz w:val="24"/>
          <w:szCs w:val="24"/>
        </w:rPr>
        <w:t xml:space="preserve"> unique fungal OTUs, the Chao 1 index of the </w:t>
      </w:r>
      <w:r w:rsidR="00E64307">
        <w:rPr>
          <w:rFonts w:ascii="Times New Roman" w:eastAsia="Times New Roman" w:hAnsi="Times New Roman" w:cs="Times New Roman"/>
          <w:sz w:val="24"/>
          <w:szCs w:val="24"/>
        </w:rPr>
        <w:t>four</w:t>
      </w:r>
      <w:r w:rsidRPr="00C14D16">
        <w:rPr>
          <w:rFonts w:ascii="Times New Roman" w:eastAsia="Times New Roman" w:hAnsi="Times New Roman" w:cs="Times New Roman"/>
          <w:sz w:val="24"/>
          <w:szCs w:val="24"/>
        </w:rPr>
        <w:t xml:space="preserve"> UFF samples was 423.1 (± 4.4 s.e.) compared to 395.3 (±18.5 s.e.) in two samples from the lawn. Overall, 99 OTUs were unique to the UFF compared to just 24 from the lawn. The UFF included 26 marginally significant indicator taxa that matched the FunGuild traits database. The trophic modes for the 26 distinctive UFF soil fungi were significantly different from 224 other fungi (Fisher’s Exact Test, </w:t>
      </w:r>
      <w:r w:rsidRPr="00327A69">
        <w:rPr>
          <w:rFonts w:ascii="Times New Roman" w:eastAsia="Times New Roman" w:hAnsi="Times New Roman" w:cs="Times New Roman"/>
          <w:i/>
          <w:sz w:val="24"/>
          <w:szCs w:val="24"/>
        </w:rPr>
        <w:t>p</w:t>
      </w:r>
      <w:r w:rsidRPr="00C14D16">
        <w:rPr>
          <w:rFonts w:ascii="Times New Roman" w:eastAsia="Times New Roman" w:hAnsi="Times New Roman" w:cs="Times New Roman"/>
          <w:sz w:val="24"/>
          <w:szCs w:val="24"/>
        </w:rPr>
        <w:t>=0.012)</w:t>
      </w:r>
      <w:r w:rsidR="00B00C7F">
        <w:rPr>
          <w:rFonts w:ascii="Times New Roman" w:eastAsia="Times New Roman" w:hAnsi="Times New Roman" w:cs="Times New Roman"/>
          <w:sz w:val="24"/>
          <w:szCs w:val="24"/>
        </w:rPr>
        <w:t xml:space="preserve">. </w:t>
      </w:r>
      <w:r w:rsidR="00B5680C">
        <w:rPr>
          <w:rFonts w:ascii="Times New Roman" w:eastAsia="Times New Roman" w:hAnsi="Times New Roman" w:cs="Times New Roman"/>
          <w:sz w:val="24"/>
          <w:szCs w:val="24"/>
        </w:rPr>
        <w:t xml:space="preserve">Fungal communities exhibited fine scale variability, with different taxa dominating specific samples (Supplemental Table S4 A). For example, </w:t>
      </w:r>
      <w:r w:rsidR="00B5680C">
        <w:rPr>
          <w:rFonts w:ascii="Times New Roman" w:eastAsia="Times New Roman" w:hAnsi="Times New Roman" w:cs="Times New Roman"/>
          <w:i/>
          <w:iCs/>
          <w:sz w:val="24"/>
          <w:szCs w:val="24"/>
        </w:rPr>
        <w:t xml:space="preserve">Trechispora </w:t>
      </w:r>
      <w:r w:rsidR="000B4A11">
        <w:rPr>
          <w:rFonts w:ascii="Times New Roman" w:eastAsia="Times New Roman" w:hAnsi="Times New Roman" w:cs="Times New Roman"/>
          <w:sz w:val="24"/>
          <w:szCs w:val="24"/>
        </w:rPr>
        <w:t>was the most abundant taxon</w:t>
      </w:r>
      <w:r w:rsidR="00B5680C">
        <w:rPr>
          <w:rFonts w:ascii="Times New Roman" w:eastAsia="Times New Roman" w:hAnsi="Times New Roman" w:cs="Times New Roman"/>
          <w:sz w:val="24"/>
          <w:szCs w:val="24"/>
        </w:rPr>
        <w:t xml:space="preserve"> in one </w:t>
      </w:r>
      <w:r w:rsidR="00327A69">
        <w:rPr>
          <w:rFonts w:ascii="Times New Roman" w:eastAsia="Times New Roman" w:hAnsi="Times New Roman" w:cs="Times New Roman"/>
          <w:sz w:val="24"/>
          <w:szCs w:val="24"/>
        </w:rPr>
        <w:t>UFF soil sample</w:t>
      </w:r>
      <w:r w:rsidR="00B5680C">
        <w:rPr>
          <w:rFonts w:ascii="Times New Roman" w:eastAsia="Times New Roman" w:hAnsi="Times New Roman" w:cs="Times New Roman"/>
          <w:sz w:val="24"/>
          <w:szCs w:val="24"/>
        </w:rPr>
        <w:t xml:space="preserve"> (16.95%) and was present at low abundance in the rest of the samples (0.04-0.09%). Similarly, </w:t>
      </w:r>
      <w:r w:rsidR="00B5680C">
        <w:rPr>
          <w:rFonts w:ascii="Times New Roman" w:eastAsia="Times New Roman" w:hAnsi="Times New Roman" w:cs="Times New Roman"/>
          <w:i/>
          <w:iCs/>
          <w:sz w:val="24"/>
          <w:szCs w:val="24"/>
        </w:rPr>
        <w:t xml:space="preserve">Pisolithus </w:t>
      </w:r>
      <w:r w:rsidR="00B5680C">
        <w:rPr>
          <w:rFonts w:ascii="Times New Roman" w:eastAsia="Times New Roman" w:hAnsi="Times New Roman" w:cs="Times New Roman"/>
          <w:sz w:val="24"/>
          <w:szCs w:val="24"/>
        </w:rPr>
        <w:t>was the mo</w:t>
      </w:r>
      <w:r w:rsidR="000B4A11">
        <w:rPr>
          <w:rFonts w:ascii="Times New Roman" w:eastAsia="Times New Roman" w:hAnsi="Times New Roman" w:cs="Times New Roman"/>
          <w:sz w:val="24"/>
          <w:szCs w:val="24"/>
        </w:rPr>
        <w:t>st abundant taxon</w:t>
      </w:r>
      <w:r w:rsidR="00B5680C">
        <w:rPr>
          <w:rFonts w:ascii="Times New Roman" w:eastAsia="Times New Roman" w:hAnsi="Times New Roman" w:cs="Times New Roman"/>
          <w:sz w:val="24"/>
          <w:szCs w:val="24"/>
        </w:rPr>
        <w:t xml:space="preserve"> present in a lawn sample (29.82%) but was present at low abundance in the rest of the samples (0.08-0.13%). </w:t>
      </w:r>
    </w:p>
    <w:p w14:paraId="2316F62D" w14:textId="7B91D8E7" w:rsidR="00F51880" w:rsidRPr="00C14D16" w:rsidRDefault="002B3DD1" w:rsidP="00B5680C">
      <w:pPr>
        <w:spacing w:line="480" w:lineRule="auto"/>
        <w:ind w:firstLine="720"/>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Bacterial communities from the UFF were also more diverse and distinctive. Among 2323 bacterial OTUs, the Chao 1 index for the UFF samples was 2317.5 (± 10.7 s.e.) with 130 unique taxa compared to an alpha diversity of 2291.3 (±19.4 s.e.) and 39 unique taxa in the lawn.</w:t>
      </w:r>
      <w:r w:rsidR="00B5680C">
        <w:rPr>
          <w:rFonts w:ascii="Times New Roman" w:eastAsia="Times New Roman" w:hAnsi="Times New Roman" w:cs="Times New Roman"/>
          <w:sz w:val="24"/>
          <w:szCs w:val="24"/>
        </w:rPr>
        <w:t xml:space="preserve"> </w:t>
      </w:r>
      <w:r w:rsidR="00B5680C" w:rsidRPr="00B5680C">
        <w:rPr>
          <w:rFonts w:ascii="Times New Roman" w:eastAsia="Times New Roman" w:hAnsi="Times New Roman" w:cs="Times New Roman"/>
          <w:sz w:val="24"/>
          <w:szCs w:val="24"/>
        </w:rPr>
        <w:t xml:space="preserve">The most abundant bacteria taxa in each sample were variable with some overlap between </w:t>
      </w:r>
      <w:r w:rsidR="00327A69">
        <w:rPr>
          <w:rFonts w:ascii="Times New Roman" w:eastAsia="Times New Roman" w:hAnsi="Times New Roman" w:cs="Times New Roman"/>
          <w:sz w:val="24"/>
          <w:szCs w:val="24"/>
        </w:rPr>
        <w:t xml:space="preserve">UFF samples and the lawn samples </w:t>
      </w:r>
      <w:r w:rsidR="00B5680C" w:rsidRPr="00B5680C">
        <w:rPr>
          <w:rFonts w:ascii="Times New Roman" w:eastAsia="Times New Roman" w:hAnsi="Times New Roman" w:cs="Times New Roman"/>
          <w:sz w:val="24"/>
          <w:szCs w:val="24"/>
        </w:rPr>
        <w:t xml:space="preserve">(Supplemental Table </w:t>
      </w:r>
      <w:r w:rsidR="00B5680C">
        <w:rPr>
          <w:rFonts w:ascii="Times New Roman" w:eastAsia="Times New Roman" w:hAnsi="Times New Roman" w:cs="Times New Roman"/>
          <w:sz w:val="24"/>
          <w:szCs w:val="24"/>
        </w:rPr>
        <w:t>S4</w:t>
      </w:r>
      <w:r w:rsidR="00B5680C" w:rsidRPr="00B5680C">
        <w:rPr>
          <w:rFonts w:ascii="Times New Roman" w:eastAsia="Times New Roman" w:hAnsi="Times New Roman" w:cs="Times New Roman"/>
          <w:sz w:val="24"/>
          <w:szCs w:val="24"/>
        </w:rPr>
        <w:t xml:space="preserve">,B). </w:t>
      </w:r>
      <w:r w:rsidR="00B5680C" w:rsidRPr="00B5680C">
        <w:rPr>
          <w:rFonts w:ascii="Times New Roman" w:eastAsia="Times New Roman" w:hAnsi="Times New Roman" w:cs="Times New Roman"/>
          <w:i/>
          <w:sz w:val="24"/>
          <w:szCs w:val="24"/>
        </w:rPr>
        <w:t>Steroidobacter</w:t>
      </w:r>
      <w:r w:rsidR="00B5680C" w:rsidRPr="00B5680C">
        <w:rPr>
          <w:rFonts w:ascii="Times New Roman" w:eastAsia="Times New Roman" w:hAnsi="Times New Roman" w:cs="Times New Roman"/>
          <w:sz w:val="24"/>
          <w:szCs w:val="24"/>
        </w:rPr>
        <w:t xml:space="preserve"> </w:t>
      </w:r>
      <w:r w:rsidR="00327A69">
        <w:rPr>
          <w:rFonts w:ascii="Times New Roman" w:eastAsia="Times New Roman" w:hAnsi="Times New Roman" w:cs="Times New Roman"/>
          <w:sz w:val="24"/>
          <w:szCs w:val="24"/>
        </w:rPr>
        <w:t>were</w:t>
      </w:r>
      <w:r w:rsidR="00B5680C" w:rsidRPr="00B5680C">
        <w:rPr>
          <w:rFonts w:ascii="Times New Roman" w:eastAsia="Times New Roman" w:hAnsi="Times New Roman" w:cs="Times New Roman"/>
          <w:sz w:val="24"/>
          <w:szCs w:val="24"/>
        </w:rPr>
        <w:t xml:space="preserve"> the most abundant bacteria in UFF soils (1.40-4.91%) compared to the lawn soils (0.17-1.24%). This genus has been previously reported present in farmed soils (Huang et al. 2019). </w:t>
      </w:r>
      <w:r w:rsidR="00B5680C" w:rsidRPr="00B5680C">
        <w:rPr>
          <w:rFonts w:ascii="Times New Roman" w:eastAsia="Times New Roman" w:hAnsi="Times New Roman" w:cs="Times New Roman"/>
          <w:i/>
          <w:sz w:val="24"/>
          <w:szCs w:val="24"/>
        </w:rPr>
        <w:t>Holophaga</w:t>
      </w:r>
      <w:r w:rsidR="00327A69">
        <w:rPr>
          <w:rFonts w:ascii="Times New Roman" w:eastAsia="Times New Roman" w:hAnsi="Times New Roman" w:cs="Times New Roman"/>
          <w:i/>
          <w:sz w:val="24"/>
          <w:szCs w:val="24"/>
        </w:rPr>
        <w:t xml:space="preserve">, </w:t>
      </w:r>
      <w:r w:rsidR="00327A69">
        <w:rPr>
          <w:rFonts w:ascii="Times New Roman" w:eastAsia="Times New Roman" w:hAnsi="Times New Roman" w:cs="Times New Roman"/>
          <w:sz w:val="24"/>
          <w:szCs w:val="24"/>
        </w:rPr>
        <w:t>which has</w:t>
      </w:r>
      <w:r w:rsidR="00327A69">
        <w:rPr>
          <w:rFonts w:ascii="Times New Roman" w:eastAsia="Times New Roman" w:hAnsi="Times New Roman" w:cs="Times New Roman"/>
          <w:i/>
          <w:sz w:val="24"/>
          <w:szCs w:val="24"/>
        </w:rPr>
        <w:t xml:space="preserve"> </w:t>
      </w:r>
      <w:r w:rsidR="00327A69">
        <w:rPr>
          <w:rFonts w:ascii="Times New Roman" w:eastAsia="Times New Roman" w:hAnsi="Times New Roman" w:cs="Times New Roman"/>
          <w:sz w:val="24"/>
          <w:szCs w:val="24"/>
        </w:rPr>
        <w:t>been reported from</w:t>
      </w:r>
      <w:r w:rsidR="00327A69" w:rsidRPr="00B5680C">
        <w:rPr>
          <w:rFonts w:ascii="Times New Roman" w:eastAsia="Times New Roman" w:hAnsi="Times New Roman" w:cs="Times New Roman"/>
          <w:sz w:val="24"/>
          <w:szCs w:val="24"/>
        </w:rPr>
        <w:t xml:space="preserve"> natur</w:t>
      </w:r>
      <w:r w:rsidR="00327A69">
        <w:rPr>
          <w:rFonts w:ascii="Times New Roman" w:eastAsia="Times New Roman" w:hAnsi="Times New Roman" w:cs="Times New Roman"/>
          <w:sz w:val="24"/>
          <w:szCs w:val="24"/>
        </w:rPr>
        <w:t>al forest soils (Hackl et al. 2014), was</w:t>
      </w:r>
      <w:r w:rsidR="00B5680C" w:rsidRPr="00B5680C">
        <w:rPr>
          <w:rFonts w:ascii="Times New Roman" w:eastAsia="Times New Roman" w:hAnsi="Times New Roman" w:cs="Times New Roman"/>
          <w:sz w:val="24"/>
          <w:szCs w:val="24"/>
        </w:rPr>
        <w:t xml:space="preserve"> also abundant in UFF soils (1.18-2.89%) </w:t>
      </w:r>
      <w:r w:rsidR="00327A69">
        <w:rPr>
          <w:rFonts w:ascii="Times New Roman" w:eastAsia="Times New Roman" w:hAnsi="Times New Roman" w:cs="Times New Roman"/>
          <w:sz w:val="24"/>
          <w:szCs w:val="24"/>
        </w:rPr>
        <w:t>but had</w:t>
      </w:r>
      <w:r w:rsidR="00B5680C" w:rsidRPr="00B5680C">
        <w:rPr>
          <w:rFonts w:ascii="Times New Roman" w:eastAsia="Times New Roman" w:hAnsi="Times New Roman" w:cs="Times New Roman"/>
          <w:sz w:val="24"/>
          <w:szCs w:val="24"/>
        </w:rPr>
        <w:t xml:space="preserve"> low abu</w:t>
      </w:r>
      <w:r w:rsidR="00B00C7F">
        <w:rPr>
          <w:rFonts w:ascii="Times New Roman" w:eastAsia="Times New Roman" w:hAnsi="Times New Roman" w:cs="Times New Roman"/>
          <w:sz w:val="24"/>
          <w:szCs w:val="24"/>
        </w:rPr>
        <w:t>n</w:t>
      </w:r>
      <w:r w:rsidR="00B5680C" w:rsidRPr="00B5680C">
        <w:rPr>
          <w:rFonts w:ascii="Times New Roman" w:eastAsia="Times New Roman" w:hAnsi="Times New Roman" w:cs="Times New Roman"/>
          <w:sz w:val="24"/>
          <w:szCs w:val="24"/>
        </w:rPr>
        <w:t>danc</w:t>
      </w:r>
      <w:r w:rsidR="00327A69">
        <w:rPr>
          <w:rFonts w:ascii="Times New Roman" w:eastAsia="Times New Roman" w:hAnsi="Times New Roman" w:cs="Times New Roman"/>
          <w:sz w:val="24"/>
          <w:szCs w:val="24"/>
        </w:rPr>
        <w:t>e in lawn soil (0.06-0.42%). The most abundant genus in the lawn soil was</w:t>
      </w:r>
      <w:r w:rsidR="00B5680C" w:rsidRPr="00B5680C">
        <w:rPr>
          <w:rFonts w:ascii="Times New Roman" w:eastAsia="Times New Roman" w:hAnsi="Times New Roman" w:cs="Times New Roman"/>
          <w:sz w:val="24"/>
          <w:szCs w:val="24"/>
        </w:rPr>
        <w:t xml:space="preserve"> </w:t>
      </w:r>
      <w:r w:rsidR="00B5680C" w:rsidRPr="00B5680C">
        <w:rPr>
          <w:rFonts w:ascii="Times New Roman" w:eastAsia="Times New Roman" w:hAnsi="Times New Roman" w:cs="Times New Roman"/>
          <w:i/>
          <w:sz w:val="24"/>
          <w:szCs w:val="24"/>
        </w:rPr>
        <w:t>Actinoallomurus</w:t>
      </w:r>
      <w:r w:rsidR="00B5680C" w:rsidRPr="00B5680C">
        <w:rPr>
          <w:rFonts w:ascii="Times New Roman" w:eastAsia="Times New Roman" w:hAnsi="Times New Roman" w:cs="Times New Roman"/>
          <w:sz w:val="24"/>
          <w:szCs w:val="24"/>
        </w:rPr>
        <w:t xml:space="preserve">, </w:t>
      </w:r>
      <w:r w:rsidR="00327A69">
        <w:rPr>
          <w:rFonts w:ascii="Times New Roman" w:eastAsia="Times New Roman" w:hAnsi="Times New Roman" w:cs="Times New Roman"/>
          <w:sz w:val="24"/>
          <w:szCs w:val="24"/>
        </w:rPr>
        <w:t xml:space="preserve">which </w:t>
      </w:r>
      <w:r w:rsidR="00B5680C" w:rsidRPr="00B5680C">
        <w:rPr>
          <w:rFonts w:ascii="Times New Roman" w:eastAsia="Times New Roman" w:hAnsi="Times New Roman" w:cs="Times New Roman"/>
          <w:sz w:val="24"/>
          <w:szCs w:val="24"/>
        </w:rPr>
        <w:t>previously reported present in mangrove soils</w:t>
      </w:r>
      <w:r w:rsidR="00327A69">
        <w:rPr>
          <w:rFonts w:ascii="Times New Roman" w:eastAsia="Times New Roman" w:hAnsi="Times New Roman" w:cs="Times New Roman"/>
          <w:sz w:val="24"/>
          <w:szCs w:val="24"/>
        </w:rPr>
        <w:t xml:space="preserve"> (Tang et al. 2013),</w:t>
      </w:r>
      <w:r w:rsidR="00B5680C" w:rsidRPr="00B5680C">
        <w:rPr>
          <w:rFonts w:ascii="Times New Roman" w:eastAsia="Times New Roman" w:hAnsi="Times New Roman" w:cs="Times New Roman"/>
          <w:sz w:val="24"/>
          <w:szCs w:val="24"/>
        </w:rPr>
        <w:t xml:space="preserve"> however it was found in small amounts (2.4%) </w:t>
      </w:r>
    </w:p>
    <w:p w14:paraId="42EEF30A" w14:textId="1DCE34D3" w:rsidR="00F51880" w:rsidRPr="00C14D16" w:rsidRDefault="002B3DD1">
      <w:pPr>
        <w:spacing w:line="480" w:lineRule="auto"/>
        <w:rPr>
          <w:rFonts w:ascii="Times New Roman" w:eastAsia="Times New Roman" w:hAnsi="Times New Roman" w:cs="Times New Roman"/>
          <w:sz w:val="24"/>
          <w:szCs w:val="24"/>
        </w:rPr>
      </w:pPr>
      <w:r w:rsidRPr="00C14D16">
        <w:rPr>
          <w:rFonts w:ascii="Times New Roman" w:eastAsia="Times New Roman" w:hAnsi="Times New Roman" w:cs="Times New Roman"/>
          <w:b/>
          <w:sz w:val="24"/>
          <w:szCs w:val="24"/>
        </w:rPr>
        <w:tab/>
      </w:r>
      <w:r w:rsidRPr="00C14D16">
        <w:rPr>
          <w:rFonts w:ascii="Times New Roman" w:eastAsia="Times New Roman" w:hAnsi="Times New Roman" w:cs="Times New Roman"/>
          <w:sz w:val="24"/>
          <w:szCs w:val="24"/>
        </w:rPr>
        <w:t>As soil functions improved, and distinctively rich microbial communities developed, the UFF sequestered much more organic C belowground than traditionally managed lawn. Shortly after establishment, all of the difference in SOC stocks between areas was attributable to C add</w:t>
      </w:r>
      <w:r w:rsidR="009C03F2">
        <w:rPr>
          <w:rFonts w:ascii="Times New Roman" w:eastAsia="Times New Roman" w:hAnsi="Times New Roman" w:cs="Times New Roman"/>
          <w:sz w:val="24"/>
          <w:szCs w:val="24"/>
        </w:rPr>
        <w:t>ed with the berm stratum (Fig. 3</w:t>
      </w:r>
      <w:r w:rsidRPr="00C14D16">
        <w:rPr>
          <w:rFonts w:ascii="Times New Roman" w:eastAsia="Times New Roman" w:hAnsi="Times New Roman" w:cs="Times New Roman"/>
          <w:sz w:val="24"/>
          <w:szCs w:val="24"/>
        </w:rPr>
        <w:t xml:space="preserve">). After two years of management for useful tree growth, SOC more than doubled </w:t>
      </w:r>
      <w:r w:rsidR="000B4A11">
        <w:rPr>
          <w:rFonts w:ascii="Times New Roman" w:eastAsia="Times New Roman" w:hAnsi="Times New Roman" w:cs="Times New Roman"/>
          <w:sz w:val="24"/>
          <w:szCs w:val="24"/>
        </w:rPr>
        <w:t xml:space="preserve">among 168 samples from </w:t>
      </w:r>
      <w:r w:rsidRPr="00C14D16">
        <w:rPr>
          <w:rFonts w:ascii="Times New Roman" w:eastAsia="Times New Roman" w:hAnsi="Times New Roman" w:cs="Times New Roman"/>
          <w:sz w:val="24"/>
          <w:szCs w:val="24"/>
        </w:rPr>
        <w:t xml:space="preserve">the top 30 cm of the </w:t>
      </w:r>
      <w:r w:rsidR="00F436C9">
        <w:rPr>
          <w:rFonts w:ascii="Times New Roman" w:eastAsia="Times New Roman" w:hAnsi="Times New Roman" w:cs="Times New Roman"/>
          <w:sz w:val="24"/>
          <w:szCs w:val="24"/>
        </w:rPr>
        <w:t>UFF. Taking the spatial structure into account, the average soil C concentration in the UFF increased</w:t>
      </w:r>
      <w:r w:rsidRPr="00C14D16">
        <w:rPr>
          <w:rFonts w:ascii="Times New Roman" w:eastAsia="Times New Roman" w:hAnsi="Times New Roman" w:cs="Times New Roman"/>
          <w:sz w:val="24"/>
          <w:szCs w:val="24"/>
        </w:rPr>
        <w:t xml:space="preserve"> </w:t>
      </w:r>
      <w:r w:rsidR="00F436C9">
        <w:rPr>
          <w:rFonts w:ascii="Times New Roman" w:eastAsia="Times New Roman" w:hAnsi="Times New Roman" w:cs="Times New Roman"/>
          <w:sz w:val="24"/>
          <w:szCs w:val="24"/>
        </w:rPr>
        <w:t xml:space="preserve">from </w:t>
      </w:r>
      <w:r w:rsidR="0004577C">
        <w:rPr>
          <w:rFonts w:ascii="Times New Roman" w:eastAsia="Times New Roman" w:hAnsi="Times New Roman" w:cs="Times New Roman"/>
          <w:sz w:val="24"/>
          <w:szCs w:val="24"/>
        </w:rPr>
        <w:t xml:space="preserve">5.89 </w:t>
      </w:r>
      <w:r w:rsidRPr="00C14D16">
        <w:rPr>
          <w:rFonts w:ascii="Times New Roman" w:eastAsia="Times New Roman" w:hAnsi="Times New Roman" w:cs="Times New Roman"/>
          <w:sz w:val="24"/>
          <w:szCs w:val="24"/>
        </w:rPr>
        <w:t>(</w:t>
      </w:r>
      <w:r w:rsidR="0004577C">
        <w:rPr>
          <w:rFonts w:ascii="Times New Roman" w:eastAsia="Times New Roman" w:hAnsi="Times New Roman" w:cs="Times New Roman"/>
          <w:sz w:val="24"/>
          <w:szCs w:val="24"/>
        </w:rPr>
        <w:t>[4.48, 7.63]</w:t>
      </w:r>
      <w:r w:rsidRPr="00C14D16">
        <w:rPr>
          <w:rFonts w:ascii="Times New Roman" w:eastAsia="Times New Roman" w:hAnsi="Times New Roman" w:cs="Times New Roman"/>
          <w:sz w:val="24"/>
          <w:szCs w:val="24"/>
        </w:rPr>
        <w:t xml:space="preserve"> 95%CI) to </w:t>
      </w:r>
      <w:r w:rsidR="0004577C">
        <w:rPr>
          <w:rFonts w:ascii="Times New Roman" w:eastAsia="Times New Roman" w:hAnsi="Times New Roman" w:cs="Times New Roman"/>
          <w:sz w:val="24"/>
          <w:szCs w:val="24"/>
        </w:rPr>
        <w:t xml:space="preserve">14.12 </w:t>
      </w:r>
      <w:r w:rsidRPr="00C14D16">
        <w:rPr>
          <w:rFonts w:ascii="Times New Roman" w:eastAsia="Times New Roman" w:hAnsi="Times New Roman" w:cs="Times New Roman"/>
          <w:sz w:val="24"/>
          <w:szCs w:val="24"/>
        </w:rPr>
        <w:t>(</w:t>
      </w:r>
      <w:r w:rsidR="0004577C">
        <w:rPr>
          <w:rFonts w:ascii="Times New Roman" w:eastAsia="Times New Roman" w:hAnsi="Times New Roman" w:cs="Times New Roman"/>
          <w:sz w:val="24"/>
          <w:szCs w:val="24"/>
        </w:rPr>
        <w:t>[8.68, 22.72]</w:t>
      </w:r>
      <w:r w:rsidR="00B00C7F">
        <w:rPr>
          <w:rFonts w:ascii="Times New Roman" w:eastAsia="Times New Roman" w:hAnsi="Times New Roman" w:cs="Times New Roman"/>
          <w:sz w:val="24"/>
          <w:szCs w:val="24"/>
        </w:rPr>
        <w:t xml:space="preserve"> </w:t>
      </w:r>
      <w:r w:rsidRPr="00C14D16">
        <w:rPr>
          <w:rFonts w:ascii="Times New Roman" w:eastAsia="Times New Roman" w:hAnsi="Times New Roman" w:cs="Times New Roman"/>
          <w:sz w:val="24"/>
          <w:szCs w:val="24"/>
        </w:rPr>
        <w:t>95%CI) kg C m</w:t>
      </w:r>
      <w:r w:rsidRPr="00C14D16">
        <w:rPr>
          <w:rFonts w:ascii="Times New Roman" w:eastAsia="Times New Roman" w:hAnsi="Times New Roman" w:cs="Times New Roman"/>
          <w:sz w:val="24"/>
          <w:szCs w:val="24"/>
          <w:vertAlign w:val="superscript"/>
        </w:rPr>
        <w:t>-2</w:t>
      </w:r>
      <w:r w:rsidR="00F436C9">
        <w:rPr>
          <w:rFonts w:ascii="Times New Roman" w:eastAsia="Times New Roman" w:hAnsi="Times New Roman" w:cs="Times New Roman"/>
          <w:sz w:val="24"/>
          <w:szCs w:val="24"/>
        </w:rPr>
        <w:t>. In contrast, soil C concentrations in the lawn increased</w:t>
      </w:r>
      <w:r w:rsidRPr="00C14D16">
        <w:rPr>
          <w:rFonts w:ascii="Times New Roman" w:eastAsia="Times New Roman" w:hAnsi="Times New Roman" w:cs="Times New Roman"/>
          <w:sz w:val="24"/>
          <w:szCs w:val="24"/>
        </w:rPr>
        <w:t xml:space="preserve"> only 2</w:t>
      </w:r>
      <w:r w:rsidR="00B00C7F">
        <w:rPr>
          <w:rFonts w:ascii="Times New Roman" w:eastAsia="Times New Roman" w:hAnsi="Times New Roman" w:cs="Times New Roman"/>
          <w:sz w:val="24"/>
          <w:szCs w:val="24"/>
        </w:rPr>
        <w:t>5</w:t>
      </w:r>
      <w:r w:rsidRPr="00C14D16">
        <w:rPr>
          <w:rFonts w:ascii="Times New Roman" w:eastAsia="Times New Roman" w:hAnsi="Times New Roman" w:cs="Times New Roman"/>
          <w:sz w:val="24"/>
          <w:szCs w:val="24"/>
        </w:rPr>
        <w:t xml:space="preserve">% from </w:t>
      </w:r>
      <w:r w:rsidR="00B00C7F">
        <w:rPr>
          <w:rFonts w:ascii="Times New Roman" w:eastAsia="Times New Roman" w:hAnsi="Times New Roman" w:cs="Times New Roman"/>
          <w:sz w:val="24"/>
          <w:szCs w:val="24"/>
        </w:rPr>
        <w:t>3.92</w:t>
      </w:r>
      <w:r w:rsidRPr="00C14D16">
        <w:rPr>
          <w:rFonts w:ascii="Times New Roman" w:eastAsia="Times New Roman" w:hAnsi="Times New Roman" w:cs="Times New Roman"/>
          <w:sz w:val="24"/>
          <w:szCs w:val="24"/>
        </w:rPr>
        <w:t xml:space="preserve"> (</w:t>
      </w:r>
      <w:r w:rsidR="00F07F64">
        <w:rPr>
          <w:rFonts w:ascii="Times New Roman" w:eastAsia="Times New Roman" w:hAnsi="Times New Roman" w:cs="Times New Roman"/>
          <w:sz w:val="24"/>
          <w:szCs w:val="24"/>
        </w:rPr>
        <w:t>[3.00,5.05]</w:t>
      </w:r>
      <w:r w:rsidRPr="00C14D16">
        <w:rPr>
          <w:rFonts w:ascii="Times New Roman" w:eastAsia="Times New Roman" w:hAnsi="Times New Roman" w:cs="Times New Roman"/>
          <w:sz w:val="24"/>
          <w:szCs w:val="24"/>
        </w:rPr>
        <w:t xml:space="preserve"> 95%CI) to </w:t>
      </w:r>
      <w:r w:rsidR="00F07F64">
        <w:rPr>
          <w:rFonts w:ascii="Times New Roman" w:eastAsia="Times New Roman" w:hAnsi="Times New Roman" w:cs="Times New Roman"/>
          <w:sz w:val="24"/>
          <w:szCs w:val="24"/>
        </w:rPr>
        <w:t>4.91</w:t>
      </w:r>
      <w:r w:rsidRPr="00C14D16">
        <w:rPr>
          <w:rFonts w:ascii="Times New Roman" w:eastAsia="Times New Roman" w:hAnsi="Times New Roman" w:cs="Times New Roman"/>
          <w:sz w:val="24"/>
          <w:szCs w:val="24"/>
        </w:rPr>
        <w:t xml:space="preserve"> (</w:t>
      </w:r>
      <w:r w:rsidR="00F07F64">
        <w:rPr>
          <w:rFonts w:ascii="Times New Roman" w:eastAsia="Times New Roman" w:hAnsi="Times New Roman" w:cs="Times New Roman"/>
          <w:sz w:val="24"/>
          <w:szCs w:val="24"/>
        </w:rPr>
        <w:t>[3.25, 7.16]</w:t>
      </w:r>
      <w:r w:rsidRPr="00C14D16">
        <w:rPr>
          <w:rFonts w:ascii="Times New Roman" w:eastAsia="Times New Roman" w:hAnsi="Times New Roman" w:cs="Times New Roman"/>
          <w:sz w:val="24"/>
          <w:szCs w:val="24"/>
        </w:rPr>
        <w:t xml:space="preserve"> 95%CI) kg C m</w:t>
      </w:r>
      <w:r w:rsidRPr="00C14D16">
        <w:rPr>
          <w:rFonts w:ascii="Times New Roman" w:eastAsia="Times New Roman" w:hAnsi="Times New Roman" w:cs="Times New Roman"/>
          <w:sz w:val="24"/>
          <w:szCs w:val="24"/>
          <w:vertAlign w:val="superscript"/>
        </w:rPr>
        <w:t>-2</w:t>
      </w:r>
      <w:r w:rsidRPr="00C14D16">
        <w:rPr>
          <w:rFonts w:ascii="Times New Roman" w:eastAsia="Times New Roman" w:hAnsi="Times New Roman" w:cs="Times New Roman"/>
          <w:sz w:val="24"/>
          <w:szCs w:val="24"/>
        </w:rPr>
        <w:t xml:space="preserve"> </w:t>
      </w:r>
      <w:r w:rsidR="009C03F2">
        <w:rPr>
          <w:rFonts w:ascii="Times New Roman" w:eastAsia="Times New Roman" w:hAnsi="Times New Roman" w:cs="Times New Roman"/>
          <w:sz w:val="24"/>
          <w:szCs w:val="24"/>
        </w:rPr>
        <w:t>(Fig. 3</w:t>
      </w:r>
      <w:r w:rsidRPr="00C14D16">
        <w:rPr>
          <w:rFonts w:ascii="Times New Roman" w:eastAsia="Times New Roman" w:hAnsi="Times New Roman" w:cs="Times New Roman"/>
          <w:sz w:val="24"/>
          <w:szCs w:val="24"/>
        </w:rPr>
        <w:t>)</w:t>
      </w:r>
      <w:r w:rsidR="00F436C9">
        <w:rPr>
          <w:rFonts w:ascii="Times New Roman" w:eastAsia="Times New Roman" w:hAnsi="Times New Roman" w:cs="Times New Roman"/>
          <w:sz w:val="24"/>
          <w:szCs w:val="24"/>
        </w:rPr>
        <w:t>, which was not significantly different</w:t>
      </w:r>
      <w:r w:rsidRPr="00C14D16">
        <w:rPr>
          <w:rFonts w:ascii="Times New Roman" w:eastAsia="Times New Roman" w:hAnsi="Times New Roman" w:cs="Times New Roman"/>
          <w:sz w:val="24"/>
          <w:szCs w:val="24"/>
        </w:rPr>
        <w:t>. The original soil strata beneath the UFF sequestered slightly more C than corresponding areas of the lawn (</w:t>
      </w:r>
      <w:r w:rsidR="009C03F2">
        <w:rPr>
          <w:rFonts w:ascii="Times New Roman" w:eastAsia="Times New Roman" w:hAnsi="Times New Roman" w:cs="Times New Roman"/>
          <w:sz w:val="24"/>
          <w:szCs w:val="24"/>
        </w:rPr>
        <w:t>U</w:t>
      </w:r>
      <w:r w:rsidRPr="00C14D16">
        <w:rPr>
          <w:rFonts w:ascii="Times New Roman" w:eastAsia="Times New Roman" w:hAnsi="Times New Roman" w:cs="Times New Roman"/>
          <w:sz w:val="24"/>
          <w:szCs w:val="24"/>
        </w:rPr>
        <w:t>F</w:t>
      </w:r>
      <w:r w:rsidR="000B4A11">
        <w:rPr>
          <w:rFonts w:ascii="Times New Roman" w:eastAsia="Times New Roman" w:hAnsi="Times New Roman" w:cs="Times New Roman"/>
          <w:sz w:val="24"/>
          <w:szCs w:val="24"/>
        </w:rPr>
        <w:t>F original soil C sequestration</w:t>
      </w:r>
      <w:r w:rsidR="00F436C9">
        <w:rPr>
          <w:rFonts w:ascii="Times New Roman" w:eastAsia="Times New Roman" w:hAnsi="Times New Roman" w:cs="Times New Roman"/>
          <w:sz w:val="24"/>
          <w:szCs w:val="24"/>
        </w:rPr>
        <w:t xml:space="preserve"> </w:t>
      </w:r>
      <w:r w:rsidR="000B4A11">
        <w:rPr>
          <w:rFonts w:ascii="Times New Roman" w:eastAsia="Times New Roman" w:hAnsi="Times New Roman" w:cs="Times New Roman"/>
          <w:sz w:val="24"/>
          <w:szCs w:val="24"/>
        </w:rPr>
        <w:t>=</w:t>
      </w:r>
      <w:r w:rsidR="00F436C9">
        <w:rPr>
          <w:rFonts w:ascii="Times New Roman" w:eastAsia="Times New Roman" w:hAnsi="Times New Roman" w:cs="Times New Roman"/>
          <w:sz w:val="24"/>
          <w:szCs w:val="24"/>
        </w:rPr>
        <w:t xml:space="preserve"> </w:t>
      </w:r>
      <w:r w:rsidRPr="00C14D16">
        <w:rPr>
          <w:rFonts w:ascii="Times New Roman" w:eastAsia="Times New Roman" w:hAnsi="Times New Roman" w:cs="Times New Roman"/>
          <w:sz w:val="24"/>
          <w:szCs w:val="24"/>
        </w:rPr>
        <w:t>0.7</w:t>
      </w:r>
      <w:r w:rsidR="00B00C7F">
        <w:rPr>
          <w:rFonts w:ascii="Times New Roman" w:eastAsia="Times New Roman" w:hAnsi="Times New Roman" w:cs="Times New Roman"/>
          <w:sz w:val="24"/>
          <w:szCs w:val="24"/>
        </w:rPr>
        <w:t>7</w:t>
      </w:r>
      <w:r w:rsidR="00B439C2">
        <w:rPr>
          <w:rFonts w:ascii="Times New Roman" w:eastAsia="Times New Roman" w:hAnsi="Times New Roman" w:cs="Times New Roman"/>
          <w:sz w:val="24"/>
          <w:szCs w:val="24"/>
        </w:rPr>
        <w:t xml:space="preserve"> ([0.21,1.74] 95%CI)</w:t>
      </w:r>
      <w:r w:rsidRPr="00C14D16">
        <w:rPr>
          <w:rFonts w:ascii="Times New Roman" w:eastAsia="Times New Roman" w:hAnsi="Times New Roman" w:cs="Times New Roman"/>
          <w:sz w:val="24"/>
          <w:szCs w:val="24"/>
        </w:rPr>
        <w:t xml:space="preserve"> kg m</w:t>
      </w:r>
      <w:r w:rsidRPr="00C14D16">
        <w:rPr>
          <w:rFonts w:ascii="Times New Roman" w:eastAsia="Times New Roman" w:hAnsi="Times New Roman" w:cs="Times New Roman"/>
          <w:sz w:val="24"/>
          <w:szCs w:val="24"/>
          <w:vertAlign w:val="superscript"/>
        </w:rPr>
        <w:t>-2</w:t>
      </w:r>
      <w:r w:rsidRPr="00C14D16">
        <w:rPr>
          <w:rFonts w:ascii="Times New Roman" w:eastAsia="Times New Roman" w:hAnsi="Times New Roman" w:cs="Times New Roman"/>
          <w:sz w:val="24"/>
          <w:szCs w:val="24"/>
        </w:rPr>
        <w:t xml:space="preserve"> y</w:t>
      </w:r>
      <w:r w:rsidRPr="00C14D16">
        <w:rPr>
          <w:rFonts w:ascii="Times New Roman" w:eastAsia="Times New Roman" w:hAnsi="Times New Roman" w:cs="Times New Roman"/>
          <w:sz w:val="24"/>
          <w:szCs w:val="24"/>
          <w:vertAlign w:val="superscript"/>
        </w:rPr>
        <w:t>-1</w:t>
      </w:r>
      <w:r w:rsidRPr="00C14D16">
        <w:rPr>
          <w:rFonts w:ascii="Times New Roman" w:eastAsia="Times New Roman" w:hAnsi="Times New Roman" w:cs="Times New Roman"/>
          <w:sz w:val="24"/>
          <w:szCs w:val="24"/>
        </w:rPr>
        <w:t>, Lawn soil C sequestration</w:t>
      </w:r>
      <w:r w:rsidR="00F436C9">
        <w:rPr>
          <w:rFonts w:ascii="Times New Roman" w:eastAsia="Times New Roman" w:hAnsi="Times New Roman" w:cs="Times New Roman"/>
          <w:sz w:val="24"/>
          <w:szCs w:val="24"/>
        </w:rPr>
        <w:t xml:space="preserve"> </w:t>
      </w:r>
      <w:r w:rsidR="00B439C2">
        <w:rPr>
          <w:rFonts w:ascii="Times New Roman" w:eastAsia="Times New Roman" w:hAnsi="Times New Roman" w:cs="Times New Roman"/>
          <w:sz w:val="24"/>
          <w:szCs w:val="24"/>
        </w:rPr>
        <w:t>=</w:t>
      </w:r>
      <w:r w:rsidR="00F436C9">
        <w:rPr>
          <w:rFonts w:ascii="Times New Roman" w:eastAsia="Times New Roman" w:hAnsi="Times New Roman" w:cs="Times New Roman"/>
          <w:sz w:val="24"/>
          <w:szCs w:val="24"/>
        </w:rPr>
        <w:t xml:space="preserve"> </w:t>
      </w:r>
      <w:r w:rsidRPr="00C14D16">
        <w:rPr>
          <w:rFonts w:ascii="Times New Roman" w:eastAsia="Times New Roman" w:hAnsi="Times New Roman" w:cs="Times New Roman"/>
          <w:sz w:val="24"/>
          <w:szCs w:val="24"/>
        </w:rPr>
        <w:t>0.4</w:t>
      </w:r>
      <w:r w:rsidR="00B00C7F">
        <w:rPr>
          <w:rFonts w:ascii="Times New Roman" w:eastAsia="Times New Roman" w:hAnsi="Times New Roman" w:cs="Times New Roman"/>
          <w:sz w:val="24"/>
          <w:szCs w:val="24"/>
        </w:rPr>
        <w:t>9</w:t>
      </w:r>
      <w:r w:rsidRPr="00C14D16">
        <w:rPr>
          <w:rFonts w:ascii="Times New Roman" w:eastAsia="Times New Roman" w:hAnsi="Times New Roman" w:cs="Times New Roman"/>
          <w:sz w:val="24"/>
          <w:szCs w:val="24"/>
        </w:rPr>
        <w:t xml:space="preserve"> </w:t>
      </w:r>
      <w:r w:rsidR="00B439C2">
        <w:rPr>
          <w:rFonts w:ascii="Times New Roman" w:eastAsia="Times New Roman" w:hAnsi="Times New Roman" w:cs="Times New Roman"/>
          <w:sz w:val="24"/>
          <w:szCs w:val="24"/>
        </w:rPr>
        <w:t xml:space="preserve">([0.04,1.23] 95%CI </w:t>
      </w:r>
      <w:r w:rsidRPr="00C14D16">
        <w:rPr>
          <w:rFonts w:ascii="Times New Roman" w:eastAsia="Times New Roman" w:hAnsi="Times New Roman" w:cs="Times New Roman"/>
          <w:sz w:val="24"/>
          <w:szCs w:val="24"/>
        </w:rPr>
        <w:t>kg m</w:t>
      </w:r>
      <w:r w:rsidRPr="00C14D16">
        <w:rPr>
          <w:rFonts w:ascii="Times New Roman" w:eastAsia="Times New Roman" w:hAnsi="Times New Roman" w:cs="Times New Roman"/>
          <w:sz w:val="24"/>
          <w:szCs w:val="24"/>
          <w:vertAlign w:val="superscript"/>
        </w:rPr>
        <w:t xml:space="preserve">-2  </w:t>
      </w:r>
      <w:r w:rsidRPr="00C14D16">
        <w:rPr>
          <w:rFonts w:ascii="Times New Roman" w:eastAsia="Times New Roman" w:hAnsi="Times New Roman" w:cs="Times New Roman"/>
          <w:sz w:val="24"/>
          <w:szCs w:val="24"/>
        </w:rPr>
        <w:t>y</w:t>
      </w:r>
      <w:r w:rsidRPr="00C14D16">
        <w:rPr>
          <w:rFonts w:ascii="Times New Roman" w:eastAsia="Times New Roman" w:hAnsi="Times New Roman" w:cs="Times New Roman"/>
          <w:sz w:val="24"/>
          <w:szCs w:val="24"/>
          <w:vertAlign w:val="superscript"/>
        </w:rPr>
        <w:t>-1</w:t>
      </w:r>
      <w:r w:rsidRPr="00C14D16">
        <w:rPr>
          <w:rFonts w:ascii="Times New Roman" w:eastAsia="Times New Roman" w:hAnsi="Times New Roman" w:cs="Times New Roman"/>
          <w:sz w:val="24"/>
          <w:szCs w:val="24"/>
        </w:rPr>
        <w:t>), while the vast majority of C was sequestered in the berm stratum (</w:t>
      </w:r>
      <w:r w:rsidR="000A44AC">
        <w:rPr>
          <w:rFonts w:ascii="Times New Roman" w:eastAsia="Times New Roman" w:hAnsi="Times New Roman" w:cs="Times New Roman"/>
          <w:sz w:val="24"/>
          <w:szCs w:val="24"/>
        </w:rPr>
        <w:t>3</w:t>
      </w:r>
      <w:r w:rsidRPr="00C14D16">
        <w:rPr>
          <w:rFonts w:ascii="Times New Roman" w:eastAsia="Times New Roman" w:hAnsi="Times New Roman" w:cs="Times New Roman"/>
          <w:sz w:val="24"/>
          <w:szCs w:val="24"/>
        </w:rPr>
        <w:t>.</w:t>
      </w:r>
      <w:r w:rsidR="000A44AC">
        <w:rPr>
          <w:rFonts w:ascii="Times New Roman" w:eastAsia="Times New Roman" w:hAnsi="Times New Roman" w:cs="Times New Roman"/>
          <w:sz w:val="24"/>
          <w:szCs w:val="24"/>
        </w:rPr>
        <w:t>35</w:t>
      </w:r>
      <w:r w:rsidR="00B439C2">
        <w:rPr>
          <w:rFonts w:ascii="Times New Roman" w:eastAsia="Times New Roman" w:hAnsi="Times New Roman" w:cs="Times New Roman"/>
          <w:sz w:val="24"/>
          <w:szCs w:val="24"/>
        </w:rPr>
        <w:t xml:space="preserve"> </w:t>
      </w:r>
      <w:r w:rsidR="00A04D58">
        <w:rPr>
          <w:rFonts w:ascii="Times New Roman" w:eastAsia="Times New Roman" w:hAnsi="Times New Roman" w:cs="Times New Roman"/>
          <w:sz w:val="24"/>
          <w:szCs w:val="24"/>
        </w:rPr>
        <w:t>(</w:t>
      </w:r>
      <w:r w:rsidR="00B439C2">
        <w:rPr>
          <w:rFonts w:ascii="Times New Roman" w:eastAsia="Times New Roman" w:hAnsi="Times New Roman" w:cs="Times New Roman"/>
          <w:sz w:val="24"/>
          <w:szCs w:val="24"/>
        </w:rPr>
        <w:t>[</w:t>
      </w:r>
      <w:r w:rsidR="00A04D58">
        <w:rPr>
          <w:rFonts w:ascii="Times New Roman" w:eastAsia="Times New Roman" w:hAnsi="Times New Roman" w:cs="Times New Roman"/>
          <w:sz w:val="24"/>
          <w:szCs w:val="24"/>
        </w:rPr>
        <w:t>1.40,6.83</w:t>
      </w:r>
      <w:r w:rsidR="00B439C2">
        <w:rPr>
          <w:rFonts w:ascii="Times New Roman" w:eastAsia="Times New Roman" w:hAnsi="Times New Roman" w:cs="Times New Roman"/>
          <w:sz w:val="24"/>
          <w:szCs w:val="24"/>
        </w:rPr>
        <w:t>]</w:t>
      </w:r>
      <w:r w:rsidR="001D1625">
        <w:rPr>
          <w:rFonts w:ascii="Times New Roman" w:eastAsia="Times New Roman" w:hAnsi="Times New Roman" w:cs="Times New Roman"/>
          <w:sz w:val="24"/>
          <w:szCs w:val="24"/>
        </w:rPr>
        <w:t xml:space="preserve"> 95%CI</w:t>
      </w:r>
      <w:r w:rsidR="00A04D58">
        <w:rPr>
          <w:rFonts w:ascii="Times New Roman" w:eastAsia="Times New Roman" w:hAnsi="Times New Roman" w:cs="Times New Roman"/>
          <w:sz w:val="24"/>
          <w:szCs w:val="24"/>
        </w:rPr>
        <w:t>)</w:t>
      </w:r>
      <w:r w:rsidR="00B439C2">
        <w:rPr>
          <w:rFonts w:ascii="Times New Roman" w:eastAsia="Times New Roman" w:hAnsi="Times New Roman" w:cs="Times New Roman"/>
          <w:sz w:val="24"/>
          <w:szCs w:val="24"/>
        </w:rPr>
        <w:t xml:space="preserve"> kg</w:t>
      </w:r>
      <w:r w:rsidRPr="00C14D16">
        <w:rPr>
          <w:rFonts w:ascii="Times New Roman" w:eastAsia="Times New Roman" w:hAnsi="Times New Roman" w:cs="Times New Roman"/>
          <w:sz w:val="24"/>
          <w:szCs w:val="24"/>
        </w:rPr>
        <w:t xml:space="preserve"> m</w:t>
      </w:r>
      <w:r w:rsidRPr="00C14D16">
        <w:rPr>
          <w:rFonts w:ascii="Times New Roman" w:eastAsia="Times New Roman" w:hAnsi="Times New Roman" w:cs="Times New Roman"/>
          <w:sz w:val="24"/>
          <w:szCs w:val="24"/>
          <w:vertAlign w:val="superscript"/>
        </w:rPr>
        <w:t xml:space="preserve">-2  </w:t>
      </w:r>
      <w:r w:rsidRPr="00C14D16">
        <w:rPr>
          <w:rFonts w:ascii="Times New Roman" w:eastAsia="Times New Roman" w:hAnsi="Times New Roman" w:cs="Times New Roman"/>
          <w:sz w:val="24"/>
          <w:szCs w:val="24"/>
        </w:rPr>
        <w:t>y</w:t>
      </w:r>
      <w:r w:rsidRPr="00C14D16">
        <w:rPr>
          <w:rFonts w:ascii="Times New Roman" w:eastAsia="Times New Roman" w:hAnsi="Times New Roman" w:cs="Times New Roman"/>
          <w:sz w:val="24"/>
          <w:szCs w:val="24"/>
          <w:vertAlign w:val="superscript"/>
        </w:rPr>
        <w:t>-1</w:t>
      </w:r>
      <w:r w:rsidRPr="00C14D16">
        <w:rPr>
          <w:rFonts w:ascii="Times New Roman" w:eastAsia="Times New Roman" w:hAnsi="Times New Roman" w:cs="Times New Roman"/>
          <w:sz w:val="24"/>
          <w:szCs w:val="24"/>
        </w:rPr>
        <w:t>).</w:t>
      </w:r>
    </w:p>
    <w:p w14:paraId="40F00399" w14:textId="01CA4CA4" w:rsidR="00F51880" w:rsidRPr="001D1625" w:rsidRDefault="002B3DD1" w:rsidP="0053505F">
      <w:pPr>
        <w:spacing w:line="480" w:lineRule="auto"/>
        <w:rPr>
          <w:rFonts w:ascii="Times New Roman" w:eastAsia="Times New Roman" w:hAnsi="Times New Roman" w:cs="Times New Roman"/>
          <w:sz w:val="24"/>
          <w:szCs w:val="24"/>
        </w:rPr>
      </w:pPr>
      <w:r w:rsidRPr="00C14D16">
        <w:rPr>
          <w:rFonts w:ascii="Times New Roman" w:eastAsia="Times New Roman" w:hAnsi="Times New Roman" w:cs="Times New Roman"/>
          <w:i/>
          <w:sz w:val="24"/>
          <w:szCs w:val="24"/>
        </w:rPr>
        <w:tab/>
      </w:r>
      <w:r w:rsidRPr="00C14D16">
        <w:rPr>
          <w:rFonts w:ascii="Times New Roman" w:eastAsia="Times New Roman" w:hAnsi="Times New Roman" w:cs="Times New Roman"/>
          <w:sz w:val="24"/>
          <w:szCs w:val="24"/>
        </w:rPr>
        <w:t xml:space="preserve">While differences between areas demonstrated how quickly UFF adds SOC, fine scale variation within the UFF indicated approaching limits to its SOC sequestration capacity. Contrary to our expectation that different tree functional traits would exaggerate fine-scale variation in C sequestration, </w:t>
      </w:r>
      <w:r w:rsidR="00430620">
        <w:rPr>
          <w:rFonts w:ascii="Times New Roman" w:eastAsia="Times New Roman" w:hAnsi="Times New Roman" w:cs="Times New Roman"/>
          <w:sz w:val="24"/>
          <w:szCs w:val="24"/>
        </w:rPr>
        <w:t>C</w:t>
      </w:r>
      <w:r w:rsidRPr="00C14D16">
        <w:rPr>
          <w:rFonts w:ascii="Times New Roman" w:eastAsia="Times New Roman" w:hAnsi="Times New Roman" w:cs="Times New Roman"/>
          <w:sz w:val="24"/>
          <w:szCs w:val="24"/>
        </w:rPr>
        <w:t xml:space="preserve"> densities became more homogenous because locations that began with relatively high SOC sequestered less C than locations with re</w:t>
      </w:r>
      <w:r w:rsidR="009C03F2">
        <w:rPr>
          <w:rFonts w:ascii="Times New Roman" w:eastAsia="Times New Roman" w:hAnsi="Times New Roman" w:cs="Times New Roman"/>
          <w:sz w:val="24"/>
          <w:szCs w:val="24"/>
        </w:rPr>
        <w:t>latively low initial SOC (Fig.</w:t>
      </w:r>
      <w:r w:rsidRPr="00C14D16">
        <w:rPr>
          <w:rFonts w:ascii="Times New Roman" w:eastAsia="Times New Roman" w:hAnsi="Times New Roman" w:cs="Times New Roman"/>
          <w:sz w:val="24"/>
          <w:szCs w:val="24"/>
        </w:rPr>
        <w:t xml:space="preserve"> 4</w:t>
      </w:r>
      <w:r w:rsidR="00430620">
        <w:rPr>
          <w:rFonts w:ascii="Times New Roman" w:eastAsia="Times New Roman" w:hAnsi="Times New Roman" w:cs="Times New Roman"/>
          <w:sz w:val="24"/>
          <w:szCs w:val="24"/>
        </w:rPr>
        <w:t>A</w:t>
      </w:r>
      <w:r w:rsidRPr="00C14D16">
        <w:rPr>
          <w:rFonts w:ascii="Times New Roman" w:eastAsia="Times New Roman" w:hAnsi="Times New Roman" w:cs="Times New Roman"/>
          <w:sz w:val="24"/>
          <w:szCs w:val="24"/>
        </w:rPr>
        <w:t>). The negative linear relationship between initial SOC stocks and SOC sequestration is consistent with a simple s</w:t>
      </w:r>
      <w:r w:rsidR="00F436C9">
        <w:rPr>
          <w:rFonts w:ascii="Times New Roman" w:eastAsia="Times New Roman" w:hAnsi="Times New Roman" w:cs="Times New Roman"/>
          <w:sz w:val="24"/>
          <w:szCs w:val="24"/>
        </w:rPr>
        <w:t>oil C mass balance model (Eq. 1</w:t>
      </w:r>
      <w:r w:rsidRPr="00C14D16">
        <w:rPr>
          <w:rFonts w:ascii="Times New Roman" w:eastAsia="Times New Roman" w:hAnsi="Times New Roman" w:cs="Times New Roman"/>
          <w:sz w:val="24"/>
          <w:szCs w:val="24"/>
        </w:rPr>
        <w:t>). After parameterizing the model from spatially</w:t>
      </w:r>
      <w:r w:rsidR="00F436C9">
        <w:rPr>
          <w:rFonts w:ascii="Times New Roman" w:eastAsia="Times New Roman" w:hAnsi="Times New Roman" w:cs="Times New Roman"/>
          <w:sz w:val="24"/>
          <w:szCs w:val="24"/>
        </w:rPr>
        <w:t xml:space="preserve"> detrended C stock and sequestration values</w:t>
      </w:r>
      <w:r w:rsidRPr="00C14D16">
        <w:rPr>
          <w:rFonts w:ascii="Times New Roman" w:eastAsia="Times New Roman" w:hAnsi="Times New Roman" w:cs="Times New Roman"/>
          <w:sz w:val="24"/>
          <w:szCs w:val="24"/>
        </w:rPr>
        <w:t>, the SOC supply rate was estimated as 6.</w:t>
      </w:r>
      <w:r w:rsidR="0093497E">
        <w:rPr>
          <w:rFonts w:ascii="Times New Roman" w:eastAsia="Times New Roman" w:hAnsi="Times New Roman" w:cs="Times New Roman"/>
          <w:sz w:val="24"/>
          <w:szCs w:val="24"/>
        </w:rPr>
        <w:t>57</w:t>
      </w:r>
      <w:r w:rsidR="0093497E" w:rsidRPr="00C14D16">
        <w:rPr>
          <w:rFonts w:ascii="Times New Roman" w:eastAsia="Times New Roman" w:hAnsi="Times New Roman" w:cs="Times New Roman"/>
          <w:sz w:val="24"/>
          <w:szCs w:val="24"/>
        </w:rPr>
        <w:t xml:space="preserve"> </w:t>
      </w:r>
      <w:r w:rsidRPr="00C14D16">
        <w:rPr>
          <w:rFonts w:ascii="Times New Roman" w:eastAsia="Times New Roman" w:hAnsi="Times New Roman" w:cs="Times New Roman"/>
          <w:sz w:val="24"/>
          <w:szCs w:val="24"/>
        </w:rPr>
        <w:t>kg C m</w:t>
      </w:r>
      <w:r w:rsidRPr="00C14D16">
        <w:rPr>
          <w:rFonts w:ascii="Times New Roman" w:eastAsia="Times New Roman" w:hAnsi="Times New Roman" w:cs="Times New Roman"/>
          <w:sz w:val="24"/>
          <w:szCs w:val="24"/>
          <w:vertAlign w:val="superscript"/>
        </w:rPr>
        <w:t xml:space="preserve">-2 </w:t>
      </w:r>
      <w:r w:rsidRPr="00C14D16">
        <w:rPr>
          <w:rFonts w:ascii="Times New Roman" w:eastAsia="Times New Roman" w:hAnsi="Times New Roman" w:cs="Times New Roman"/>
          <w:sz w:val="24"/>
          <w:szCs w:val="24"/>
        </w:rPr>
        <w:t>yr</w:t>
      </w:r>
      <w:r w:rsidRPr="00C14D16">
        <w:rPr>
          <w:rFonts w:ascii="Times New Roman" w:eastAsia="Times New Roman" w:hAnsi="Times New Roman" w:cs="Times New Roman"/>
          <w:sz w:val="24"/>
          <w:szCs w:val="24"/>
          <w:vertAlign w:val="superscript"/>
        </w:rPr>
        <w:t>-1</w:t>
      </w:r>
      <w:r w:rsidRPr="00C14D16">
        <w:rPr>
          <w:rFonts w:ascii="Times New Roman" w:eastAsia="Times New Roman" w:hAnsi="Times New Roman" w:cs="Times New Roman"/>
          <w:sz w:val="24"/>
          <w:szCs w:val="24"/>
        </w:rPr>
        <w:t xml:space="preserve"> ([3.7</w:t>
      </w:r>
      <w:r w:rsidR="0093497E">
        <w:rPr>
          <w:rFonts w:ascii="Times New Roman" w:eastAsia="Times New Roman" w:hAnsi="Times New Roman" w:cs="Times New Roman"/>
          <w:sz w:val="24"/>
          <w:szCs w:val="24"/>
        </w:rPr>
        <w:t>3</w:t>
      </w:r>
      <w:r w:rsidRPr="00C14D16">
        <w:rPr>
          <w:rFonts w:ascii="Times New Roman" w:eastAsia="Times New Roman" w:hAnsi="Times New Roman" w:cs="Times New Roman"/>
          <w:sz w:val="24"/>
          <w:szCs w:val="24"/>
        </w:rPr>
        <w:t xml:space="preserve">, </w:t>
      </w:r>
      <w:r w:rsidR="00044E9A">
        <w:rPr>
          <w:rFonts w:ascii="Times New Roman" w:eastAsia="Times New Roman" w:hAnsi="Times New Roman" w:cs="Times New Roman"/>
          <w:sz w:val="24"/>
          <w:szCs w:val="24"/>
        </w:rPr>
        <w:t>10.9</w:t>
      </w:r>
      <w:r w:rsidRPr="00C14D16">
        <w:rPr>
          <w:rFonts w:ascii="Times New Roman" w:eastAsia="Times New Roman" w:hAnsi="Times New Roman" w:cs="Times New Roman"/>
          <w:sz w:val="24"/>
          <w:szCs w:val="24"/>
        </w:rPr>
        <w:t>] 95%CI) and the SOC mineralization rate was estimated as 0.41 yr</w:t>
      </w:r>
      <w:r w:rsidRPr="00C14D16">
        <w:rPr>
          <w:rFonts w:ascii="Times New Roman" w:eastAsia="Times New Roman" w:hAnsi="Times New Roman" w:cs="Times New Roman"/>
          <w:sz w:val="24"/>
          <w:szCs w:val="24"/>
          <w:vertAlign w:val="superscript"/>
        </w:rPr>
        <w:t>-1</w:t>
      </w:r>
      <w:r w:rsidRPr="00C14D16">
        <w:rPr>
          <w:rFonts w:ascii="Times New Roman" w:eastAsia="Times New Roman" w:hAnsi="Times New Roman" w:cs="Times New Roman"/>
          <w:sz w:val="24"/>
          <w:szCs w:val="24"/>
        </w:rPr>
        <w:t xml:space="preserve"> ([0.0</w:t>
      </w:r>
      <w:r w:rsidR="0093497E">
        <w:rPr>
          <w:rFonts w:ascii="Times New Roman" w:eastAsia="Times New Roman" w:hAnsi="Times New Roman" w:cs="Times New Roman"/>
          <w:sz w:val="24"/>
          <w:szCs w:val="24"/>
        </w:rPr>
        <w:t>4</w:t>
      </w:r>
      <w:r w:rsidRPr="00C14D16">
        <w:rPr>
          <w:rFonts w:ascii="Times New Roman" w:eastAsia="Times New Roman" w:hAnsi="Times New Roman" w:cs="Times New Roman"/>
          <w:sz w:val="24"/>
          <w:szCs w:val="24"/>
        </w:rPr>
        <w:t>, 0.7</w:t>
      </w:r>
      <w:r w:rsidR="0093497E">
        <w:rPr>
          <w:rFonts w:ascii="Times New Roman" w:eastAsia="Times New Roman" w:hAnsi="Times New Roman" w:cs="Times New Roman"/>
          <w:sz w:val="24"/>
          <w:szCs w:val="24"/>
        </w:rPr>
        <w:t>0</w:t>
      </w:r>
      <w:r w:rsidRPr="00C14D16">
        <w:rPr>
          <w:rFonts w:ascii="Times New Roman" w:eastAsia="Times New Roman" w:hAnsi="Times New Roman" w:cs="Times New Roman"/>
          <w:sz w:val="24"/>
          <w:szCs w:val="24"/>
        </w:rPr>
        <w:t xml:space="preserve">] 95%CI). </w:t>
      </w:r>
      <w:r w:rsidR="00F436C9">
        <w:rPr>
          <w:rFonts w:ascii="Times New Roman" w:eastAsia="Times New Roman" w:hAnsi="Times New Roman" w:cs="Times New Roman"/>
          <w:sz w:val="24"/>
          <w:szCs w:val="24"/>
        </w:rPr>
        <w:t>Meeting the estimated SOC supply rate from added mulch alone would have required</w:t>
      </w:r>
      <w:r w:rsidR="008814E4">
        <w:rPr>
          <w:rFonts w:ascii="Times New Roman" w:eastAsia="Times New Roman" w:hAnsi="Times New Roman" w:cs="Times New Roman"/>
          <w:sz w:val="24"/>
          <w:szCs w:val="24"/>
        </w:rPr>
        <w:t xml:space="preserve"> 13.2 kg </w:t>
      </w:r>
      <w:r w:rsidR="008814E4" w:rsidRPr="00C14D16">
        <w:rPr>
          <w:rFonts w:ascii="Times New Roman" w:eastAsia="Times New Roman" w:hAnsi="Times New Roman" w:cs="Times New Roman"/>
          <w:sz w:val="24"/>
          <w:szCs w:val="24"/>
        </w:rPr>
        <w:t>m</w:t>
      </w:r>
      <w:r w:rsidR="008814E4" w:rsidRPr="00C14D16">
        <w:rPr>
          <w:rFonts w:ascii="Times New Roman" w:eastAsia="Times New Roman" w:hAnsi="Times New Roman" w:cs="Times New Roman"/>
          <w:sz w:val="24"/>
          <w:szCs w:val="24"/>
          <w:vertAlign w:val="superscript"/>
        </w:rPr>
        <w:t xml:space="preserve">-2 </w:t>
      </w:r>
      <w:r w:rsidR="008814E4" w:rsidRPr="00C14D16">
        <w:rPr>
          <w:rFonts w:ascii="Times New Roman" w:eastAsia="Times New Roman" w:hAnsi="Times New Roman" w:cs="Times New Roman"/>
          <w:sz w:val="24"/>
          <w:szCs w:val="24"/>
        </w:rPr>
        <w:t>yr</w:t>
      </w:r>
      <w:r w:rsidR="008814E4" w:rsidRPr="00C14D16">
        <w:rPr>
          <w:rFonts w:ascii="Times New Roman" w:eastAsia="Times New Roman" w:hAnsi="Times New Roman" w:cs="Times New Roman"/>
          <w:sz w:val="24"/>
          <w:szCs w:val="24"/>
          <w:vertAlign w:val="superscript"/>
        </w:rPr>
        <w:t>-1</w:t>
      </w:r>
      <w:r w:rsidR="008814E4">
        <w:rPr>
          <w:rFonts w:ascii="Times New Roman" w:eastAsia="Times New Roman" w:hAnsi="Times New Roman" w:cs="Times New Roman"/>
          <w:sz w:val="24"/>
          <w:szCs w:val="24"/>
          <w:vertAlign w:val="superscript"/>
        </w:rPr>
        <w:t xml:space="preserve"> </w:t>
      </w:r>
      <w:r w:rsidR="008814E4">
        <w:rPr>
          <w:rFonts w:ascii="Times New Roman" w:eastAsia="Times New Roman" w:hAnsi="Times New Roman" w:cs="Times New Roman"/>
          <w:sz w:val="24"/>
          <w:szCs w:val="24"/>
        </w:rPr>
        <w:t>([7.</w:t>
      </w:r>
      <w:r w:rsidR="00B439C2">
        <w:rPr>
          <w:rFonts w:ascii="Times New Roman" w:eastAsia="Times New Roman" w:hAnsi="Times New Roman" w:cs="Times New Roman"/>
          <w:sz w:val="24"/>
          <w:szCs w:val="24"/>
        </w:rPr>
        <w:t>46</w:t>
      </w:r>
      <w:r w:rsidR="008814E4">
        <w:rPr>
          <w:rFonts w:ascii="Times New Roman" w:eastAsia="Times New Roman" w:hAnsi="Times New Roman" w:cs="Times New Roman"/>
          <w:sz w:val="24"/>
          <w:szCs w:val="24"/>
        </w:rPr>
        <w:t>, 2</w:t>
      </w:r>
      <w:r w:rsidR="00B439C2">
        <w:rPr>
          <w:rFonts w:ascii="Times New Roman" w:eastAsia="Times New Roman" w:hAnsi="Times New Roman" w:cs="Times New Roman"/>
          <w:sz w:val="24"/>
          <w:szCs w:val="24"/>
        </w:rPr>
        <w:t>1</w:t>
      </w:r>
      <w:r w:rsidR="008814E4">
        <w:rPr>
          <w:rFonts w:ascii="Times New Roman" w:eastAsia="Times New Roman" w:hAnsi="Times New Roman" w:cs="Times New Roman"/>
          <w:sz w:val="24"/>
          <w:szCs w:val="24"/>
        </w:rPr>
        <w:t>.</w:t>
      </w:r>
      <w:r w:rsidR="00B439C2">
        <w:rPr>
          <w:rFonts w:ascii="Times New Roman" w:eastAsia="Times New Roman" w:hAnsi="Times New Roman" w:cs="Times New Roman"/>
          <w:sz w:val="24"/>
          <w:szCs w:val="24"/>
        </w:rPr>
        <w:t>9</w:t>
      </w:r>
      <w:r w:rsidR="008814E4" w:rsidRPr="00C14D16">
        <w:rPr>
          <w:rFonts w:ascii="Times New Roman" w:eastAsia="Times New Roman" w:hAnsi="Times New Roman" w:cs="Times New Roman"/>
          <w:sz w:val="24"/>
          <w:szCs w:val="24"/>
        </w:rPr>
        <w:t>] 95%CI</w:t>
      </w:r>
      <w:r w:rsidR="008814E4">
        <w:rPr>
          <w:rFonts w:ascii="Times New Roman" w:eastAsia="Times New Roman" w:hAnsi="Times New Roman" w:cs="Times New Roman"/>
          <w:sz w:val="24"/>
          <w:szCs w:val="24"/>
        </w:rPr>
        <w:t xml:space="preserve">) </w:t>
      </w:r>
      <w:r w:rsidR="0053505F">
        <w:rPr>
          <w:rFonts w:ascii="Times New Roman" w:eastAsia="Times New Roman" w:hAnsi="Times New Roman" w:cs="Times New Roman"/>
          <w:sz w:val="24"/>
          <w:szCs w:val="24"/>
        </w:rPr>
        <w:t>corresponding to a</w:t>
      </w:r>
      <w:r w:rsidR="00A37896">
        <w:rPr>
          <w:rFonts w:ascii="Times New Roman" w:eastAsia="Times New Roman" w:hAnsi="Times New Roman" w:cs="Times New Roman"/>
          <w:sz w:val="24"/>
          <w:szCs w:val="24"/>
        </w:rPr>
        <w:t xml:space="preserve"> layer </w:t>
      </w:r>
      <w:r w:rsidR="008814E4">
        <w:rPr>
          <w:rFonts w:ascii="Times New Roman" w:eastAsia="Times New Roman" w:hAnsi="Times New Roman" w:cs="Times New Roman"/>
          <w:sz w:val="24"/>
          <w:szCs w:val="24"/>
        </w:rPr>
        <w:t xml:space="preserve">6.6 cm deep </w:t>
      </w:r>
      <w:r w:rsidR="0053505F">
        <w:rPr>
          <w:rFonts w:ascii="Times New Roman" w:eastAsia="Times New Roman" w:hAnsi="Times New Roman" w:cs="Times New Roman"/>
          <w:sz w:val="24"/>
          <w:szCs w:val="24"/>
        </w:rPr>
        <w:t>converted directly into soil C each year</w:t>
      </w:r>
      <w:r w:rsidR="008527F6">
        <w:rPr>
          <w:rFonts w:ascii="Times New Roman" w:eastAsia="Times New Roman" w:hAnsi="Times New Roman" w:cs="Times New Roman"/>
          <w:sz w:val="24"/>
          <w:szCs w:val="24"/>
        </w:rPr>
        <w:t xml:space="preserve">. </w:t>
      </w:r>
      <w:r w:rsidR="00A37896">
        <w:rPr>
          <w:rFonts w:ascii="Times New Roman" w:eastAsia="Times New Roman" w:hAnsi="Times New Roman" w:cs="Times New Roman"/>
          <w:sz w:val="24"/>
          <w:szCs w:val="24"/>
        </w:rPr>
        <w:t>Given the estimated SOC</w:t>
      </w:r>
      <w:r w:rsidRPr="00C14D16">
        <w:rPr>
          <w:rFonts w:ascii="Times New Roman" w:eastAsia="Times New Roman" w:hAnsi="Times New Roman" w:cs="Times New Roman"/>
          <w:sz w:val="24"/>
          <w:szCs w:val="24"/>
        </w:rPr>
        <w:t xml:space="preserve"> supply and mineralization rates, the mass balance equation projected an equilibrium SOC stock of </w:t>
      </w:r>
      <w:r w:rsidR="0004577C">
        <w:rPr>
          <w:rFonts w:ascii="Times New Roman" w:eastAsia="Times New Roman" w:hAnsi="Times New Roman" w:cs="Times New Roman"/>
          <w:sz w:val="24"/>
          <w:szCs w:val="24"/>
        </w:rPr>
        <w:t xml:space="preserve">16.16 </w:t>
      </w:r>
      <w:r w:rsidRPr="00C14D16">
        <w:rPr>
          <w:rFonts w:ascii="Times New Roman" w:eastAsia="Times New Roman" w:hAnsi="Times New Roman" w:cs="Times New Roman"/>
          <w:sz w:val="24"/>
          <w:szCs w:val="24"/>
        </w:rPr>
        <w:t>kg C m</w:t>
      </w:r>
      <w:r w:rsidRPr="00C14D16">
        <w:rPr>
          <w:rFonts w:ascii="Times New Roman" w:eastAsia="Times New Roman" w:hAnsi="Times New Roman" w:cs="Times New Roman"/>
          <w:sz w:val="24"/>
          <w:szCs w:val="24"/>
          <w:vertAlign w:val="superscript"/>
        </w:rPr>
        <w:t>-2</w:t>
      </w:r>
      <w:r w:rsidRPr="00C14D16">
        <w:rPr>
          <w:rFonts w:ascii="Times New Roman" w:eastAsia="Times New Roman" w:hAnsi="Times New Roman" w:cs="Times New Roman"/>
          <w:sz w:val="24"/>
          <w:szCs w:val="24"/>
        </w:rPr>
        <w:t xml:space="preserve"> ([</w:t>
      </w:r>
      <w:r w:rsidR="0004577C">
        <w:rPr>
          <w:rFonts w:ascii="Times New Roman" w:eastAsia="Times New Roman" w:hAnsi="Times New Roman" w:cs="Times New Roman"/>
          <w:sz w:val="24"/>
          <w:szCs w:val="24"/>
        </w:rPr>
        <w:t>8.55</w:t>
      </w:r>
      <w:r w:rsidRPr="00C14D16">
        <w:rPr>
          <w:rFonts w:ascii="Times New Roman" w:eastAsia="Times New Roman" w:hAnsi="Times New Roman" w:cs="Times New Roman"/>
          <w:sz w:val="24"/>
          <w:szCs w:val="24"/>
        </w:rPr>
        <w:t xml:space="preserve">, </w:t>
      </w:r>
      <w:r w:rsidR="0004577C">
        <w:rPr>
          <w:rFonts w:ascii="Times New Roman" w:eastAsia="Times New Roman" w:hAnsi="Times New Roman" w:cs="Times New Roman"/>
          <w:sz w:val="24"/>
          <w:szCs w:val="24"/>
        </w:rPr>
        <w:t>36.25</w:t>
      </w:r>
      <w:r w:rsidRPr="00C14D16">
        <w:rPr>
          <w:rFonts w:ascii="Times New Roman" w:eastAsia="Times New Roman" w:hAnsi="Times New Roman" w:cs="Times New Roman"/>
          <w:sz w:val="24"/>
          <w:szCs w:val="24"/>
        </w:rPr>
        <w:t xml:space="preserve">] 95%CI). After just two years, the UFF had attained nearly 90% of its estimated SOC stock capacity and </w:t>
      </w:r>
      <w:r w:rsidR="0053505F">
        <w:rPr>
          <w:rFonts w:ascii="Times New Roman" w:eastAsia="Times New Roman" w:hAnsi="Times New Roman" w:cs="Times New Roman"/>
          <w:sz w:val="24"/>
          <w:szCs w:val="24"/>
        </w:rPr>
        <w:t>was</w:t>
      </w:r>
      <w:r w:rsidR="009C03F2">
        <w:rPr>
          <w:rFonts w:ascii="Times New Roman" w:eastAsia="Times New Roman" w:hAnsi="Times New Roman" w:cs="Times New Roman"/>
          <w:sz w:val="24"/>
          <w:szCs w:val="24"/>
        </w:rPr>
        <w:t xml:space="preserve"> project</w:t>
      </w:r>
      <w:r w:rsidR="00C52239">
        <w:rPr>
          <w:rFonts w:ascii="Times New Roman" w:eastAsia="Times New Roman" w:hAnsi="Times New Roman" w:cs="Times New Roman"/>
          <w:sz w:val="24"/>
          <w:szCs w:val="24"/>
        </w:rPr>
        <w:t>ed</w:t>
      </w:r>
      <w:r w:rsidR="009C03F2">
        <w:rPr>
          <w:rFonts w:ascii="Times New Roman" w:eastAsia="Times New Roman" w:hAnsi="Times New Roman" w:cs="Times New Roman"/>
          <w:sz w:val="24"/>
          <w:szCs w:val="24"/>
        </w:rPr>
        <w:t xml:space="preserve"> to</w:t>
      </w:r>
      <w:r w:rsidRPr="00C14D16">
        <w:rPr>
          <w:rFonts w:ascii="Times New Roman" w:eastAsia="Times New Roman" w:hAnsi="Times New Roman" w:cs="Times New Roman"/>
          <w:sz w:val="24"/>
          <w:szCs w:val="24"/>
        </w:rPr>
        <w:t xml:space="preserve"> achieve 95% of its capacity after only 4 years.</w:t>
      </w:r>
      <w:r w:rsidR="0093497E">
        <w:rPr>
          <w:rFonts w:ascii="Times New Roman" w:eastAsia="Times New Roman" w:hAnsi="Times New Roman" w:cs="Times New Roman"/>
          <w:sz w:val="24"/>
          <w:szCs w:val="24"/>
        </w:rPr>
        <w:t xml:space="preserve"> By contrast, </w:t>
      </w:r>
      <w:r w:rsidR="001D1625">
        <w:rPr>
          <w:rFonts w:ascii="Times New Roman" w:eastAsia="Times New Roman" w:hAnsi="Times New Roman" w:cs="Times New Roman"/>
          <w:sz w:val="24"/>
          <w:szCs w:val="24"/>
        </w:rPr>
        <w:t xml:space="preserve">the estimated SOC supply rate in the lawn was significantly lower than in the UFF, 2.56 ([1.61,3.79] 95%CI) </w:t>
      </w:r>
      <w:r w:rsidR="001D1625" w:rsidRPr="00C14D16">
        <w:rPr>
          <w:rFonts w:ascii="Times New Roman" w:eastAsia="Times New Roman" w:hAnsi="Times New Roman" w:cs="Times New Roman"/>
          <w:sz w:val="24"/>
          <w:szCs w:val="24"/>
        </w:rPr>
        <w:t>kg C m</w:t>
      </w:r>
      <w:r w:rsidR="001D1625" w:rsidRPr="00C14D16">
        <w:rPr>
          <w:rFonts w:ascii="Times New Roman" w:eastAsia="Times New Roman" w:hAnsi="Times New Roman" w:cs="Times New Roman"/>
          <w:sz w:val="24"/>
          <w:szCs w:val="24"/>
          <w:vertAlign w:val="superscript"/>
        </w:rPr>
        <w:t xml:space="preserve">-2 </w:t>
      </w:r>
      <w:r w:rsidR="001D1625" w:rsidRPr="00C14D16">
        <w:rPr>
          <w:rFonts w:ascii="Times New Roman" w:eastAsia="Times New Roman" w:hAnsi="Times New Roman" w:cs="Times New Roman"/>
          <w:sz w:val="24"/>
          <w:szCs w:val="24"/>
        </w:rPr>
        <w:t>yr</w:t>
      </w:r>
      <w:r w:rsidR="001D1625" w:rsidRPr="00C14D16">
        <w:rPr>
          <w:rFonts w:ascii="Times New Roman" w:eastAsia="Times New Roman" w:hAnsi="Times New Roman" w:cs="Times New Roman"/>
          <w:sz w:val="24"/>
          <w:szCs w:val="24"/>
          <w:vertAlign w:val="superscript"/>
        </w:rPr>
        <w:t>-1</w:t>
      </w:r>
      <w:r w:rsidR="001D1625">
        <w:rPr>
          <w:rFonts w:ascii="Times New Roman" w:eastAsia="Times New Roman" w:hAnsi="Times New Roman" w:cs="Times New Roman"/>
          <w:sz w:val="24"/>
          <w:szCs w:val="24"/>
        </w:rPr>
        <w:t xml:space="preserve"> </w:t>
      </w:r>
      <w:r w:rsidR="00A04D58">
        <w:rPr>
          <w:rFonts w:ascii="Times New Roman" w:eastAsia="Times New Roman" w:hAnsi="Times New Roman" w:cs="Times New Roman"/>
          <w:sz w:val="24"/>
          <w:szCs w:val="24"/>
        </w:rPr>
        <w:t xml:space="preserve">with a </w:t>
      </w:r>
      <w:r w:rsidR="001D1625">
        <w:rPr>
          <w:rFonts w:ascii="Times New Roman" w:eastAsia="Times New Roman" w:hAnsi="Times New Roman" w:cs="Times New Roman"/>
          <w:sz w:val="24"/>
          <w:szCs w:val="24"/>
        </w:rPr>
        <w:t xml:space="preserve">slightly higher </w:t>
      </w:r>
      <w:r w:rsidR="00A04D58">
        <w:rPr>
          <w:rFonts w:ascii="Times New Roman" w:eastAsia="Times New Roman" w:hAnsi="Times New Roman" w:cs="Times New Roman"/>
          <w:sz w:val="24"/>
          <w:szCs w:val="24"/>
        </w:rPr>
        <w:t xml:space="preserve">mineralization rate </w:t>
      </w:r>
      <w:r w:rsidR="001D1625">
        <w:rPr>
          <w:rFonts w:ascii="Times New Roman" w:eastAsia="Times New Roman" w:hAnsi="Times New Roman" w:cs="Times New Roman"/>
          <w:sz w:val="24"/>
          <w:szCs w:val="24"/>
        </w:rPr>
        <w:t xml:space="preserve">(0.526 [0.40,0.67] 95%CI </w:t>
      </w:r>
      <w:r w:rsidR="001D1625" w:rsidRPr="00C14D16">
        <w:rPr>
          <w:rFonts w:ascii="Times New Roman" w:eastAsia="Times New Roman" w:hAnsi="Times New Roman" w:cs="Times New Roman"/>
          <w:sz w:val="24"/>
          <w:szCs w:val="24"/>
        </w:rPr>
        <w:t>yr</w:t>
      </w:r>
      <w:r w:rsidR="001D1625" w:rsidRPr="00C14D16">
        <w:rPr>
          <w:rFonts w:ascii="Times New Roman" w:eastAsia="Times New Roman" w:hAnsi="Times New Roman" w:cs="Times New Roman"/>
          <w:sz w:val="24"/>
          <w:szCs w:val="24"/>
          <w:vertAlign w:val="superscript"/>
        </w:rPr>
        <w:t>-1</w:t>
      </w:r>
      <w:r w:rsidR="00A04D58">
        <w:rPr>
          <w:rFonts w:ascii="Times New Roman" w:eastAsia="Times New Roman" w:hAnsi="Times New Roman" w:cs="Times New Roman"/>
          <w:sz w:val="24"/>
          <w:szCs w:val="24"/>
        </w:rPr>
        <w:t xml:space="preserve">) and was within </w:t>
      </w:r>
      <w:r w:rsidR="001D1625">
        <w:rPr>
          <w:rFonts w:ascii="Times New Roman" w:eastAsia="Times New Roman" w:hAnsi="Times New Roman" w:cs="Times New Roman"/>
          <w:sz w:val="24"/>
          <w:szCs w:val="24"/>
        </w:rPr>
        <w:t>1% of its estimated equilibrium</w:t>
      </w:r>
      <w:r w:rsidR="00A04D58">
        <w:rPr>
          <w:rFonts w:ascii="Times New Roman" w:eastAsia="Times New Roman" w:hAnsi="Times New Roman" w:cs="Times New Roman"/>
          <w:sz w:val="24"/>
          <w:szCs w:val="24"/>
        </w:rPr>
        <w:t>,</w:t>
      </w:r>
      <w:r w:rsidR="001D1625">
        <w:rPr>
          <w:rFonts w:ascii="Times New Roman" w:eastAsia="Times New Roman" w:hAnsi="Times New Roman" w:cs="Times New Roman"/>
          <w:sz w:val="24"/>
          <w:szCs w:val="24"/>
        </w:rPr>
        <w:t xml:space="preserve"> 4.88 ([3.27,7.09] 95% CI) </w:t>
      </w:r>
      <w:r w:rsidR="001D1625" w:rsidRPr="00C14D16">
        <w:rPr>
          <w:rFonts w:ascii="Times New Roman" w:eastAsia="Times New Roman" w:hAnsi="Times New Roman" w:cs="Times New Roman"/>
          <w:sz w:val="24"/>
          <w:szCs w:val="24"/>
        </w:rPr>
        <w:t>kg C m</w:t>
      </w:r>
      <w:r w:rsidR="001D1625" w:rsidRPr="00C14D16">
        <w:rPr>
          <w:rFonts w:ascii="Times New Roman" w:eastAsia="Times New Roman" w:hAnsi="Times New Roman" w:cs="Times New Roman"/>
          <w:sz w:val="24"/>
          <w:szCs w:val="24"/>
          <w:vertAlign w:val="superscript"/>
        </w:rPr>
        <w:t>-2</w:t>
      </w:r>
      <w:r w:rsidR="00D85446">
        <w:rPr>
          <w:rFonts w:ascii="Times New Roman" w:eastAsia="Times New Roman" w:hAnsi="Times New Roman" w:cs="Times New Roman"/>
          <w:sz w:val="24"/>
          <w:szCs w:val="24"/>
          <w:vertAlign w:val="superscript"/>
        </w:rPr>
        <w:t xml:space="preserve"> </w:t>
      </w:r>
      <w:r w:rsidR="00032304">
        <w:rPr>
          <w:rFonts w:ascii="Times New Roman" w:eastAsia="Times New Roman" w:hAnsi="Times New Roman" w:cs="Times New Roman"/>
          <w:sz w:val="24"/>
          <w:szCs w:val="24"/>
        </w:rPr>
        <w:t>(Figure S2</w:t>
      </w:r>
      <w:r w:rsidR="00D85446">
        <w:rPr>
          <w:rFonts w:ascii="Times New Roman" w:eastAsia="Times New Roman" w:hAnsi="Times New Roman" w:cs="Times New Roman"/>
          <w:sz w:val="24"/>
          <w:szCs w:val="24"/>
        </w:rPr>
        <w:t>)</w:t>
      </w:r>
      <w:r w:rsidR="0053505F">
        <w:rPr>
          <w:rFonts w:ascii="Times New Roman" w:eastAsia="Times New Roman" w:hAnsi="Times New Roman" w:cs="Times New Roman"/>
          <w:sz w:val="24"/>
          <w:szCs w:val="24"/>
        </w:rPr>
        <w:t>, which aligns with our statistically insignificant estimated increase in SOC.</w:t>
      </w:r>
    </w:p>
    <w:p w14:paraId="3E174799" w14:textId="77777777" w:rsidR="0053505F" w:rsidRDefault="0053505F">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52BB6C51" w14:textId="188193FE" w:rsidR="00F51880" w:rsidRPr="00C14D16" w:rsidRDefault="00B92A49">
      <w:pPr>
        <w:spacing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Discussion</w:t>
      </w:r>
    </w:p>
    <w:p w14:paraId="7B373A76" w14:textId="17D7E1A9" w:rsidR="00F51880" w:rsidRPr="00C14D16" w:rsidRDefault="00F76594">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Established ecological theory </w:t>
      </w:r>
      <w:r>
        <w:rPr>
          <w:rFonts w:ascii="Times New Roman" w:eastAsia="Times New Roman" w:hAnsi="Times New Roman" w:cs="Times New Roman"/>
          <w:sz w:val="24"/>
          <w:szCs w:val="24"/>
        </w:rPr>
        <w:fldChar w:fldCharType="begin" w:fldLock="1"/>
      </w:r>
      <w:r w:rsidR="005A2E0E">
        <w:rPr>
          <w:rFonts w:ascii="Times New Roman" w:eastAsia="Times New Roman" w:hAnsi="Times New Roman" w:cs="Times New Roman"/>
          <w:sz w:val="24"/>
          <w:szCs w:val="24"/>
        </w:rPr>
        <w:instrText>ADDIN CSL_CITATION {"citationItems":[{"id":"ITEM-1","itemData":{"DOI":"10.1038/nclimate1862","ISSN":"1758678X","abstract":"Increasingly governments and the private sector are using planted forests to offset carbon emissions. Few studies, however, examine how tree diversity-defined here as species richness and/or stand composition-affects carbon storage in these plantings. Using aboveground tree biomass as a proxy for carbon storage, we used meta-analysis to compare carbon storage in tree mixtures with monoculture plantings. Tree mixes stored at least as much carbon as monocultures consisting of the mixture's most productive species and at times outperformed monoculture plantings. In mixed-species stands, individual species, and in particular nitrogen-fixing trees, increased stand biomass. Further motivations for incorporating tree richness into planted forests include the contribution of diversity to total forest carbon-pool development, carbon-pool stability and the provision of extra ecosystem services. Our findings suggest a two-pronged strategy for designing carbon plantings including: (1) increased tree species richness; and (2) the addition of species that contribute to carbon storage and other target functions. © 2013 Macmillan Publishers Limited. All rights reserved .","author":[{"dropping-particle":"","family":"Hulvey","given":"Kristin B.","non-dropping-particle":"","parse-names":false,"suffix":""},{"dropping-particle":"","family":"Hobbs","given":"Richard J.","non-dropping-particle":"","parse-names":false,"suffix":""},{"dropping-particle":"","family":"Standish","given":"Rachel J.","non-dropping-particle":"","parse-names":false,"suffix":""},{"dropping-particle":"","family":"Lindenmayer","given":"David B.","non-dropping-particle":"","parse-names":false,"suffix":""},{"dropping-particle":"","family":"Lach","given":"Lori","non-dropping-particle":"","parse-names":false,"suffix":""},{"dropping-particle":"","family":"Perring","given":"Michael P.","non-dropping-particle":"","parse-names":false,"suffix":""}],"container-title":"Nature Climate Change","id":"ITEM-1","issue":"10","issued":{"date-parts":[["2013"]]},"page":"869-874","publisher":"Nature Publishing Group","title":"Benefits of tree mixes in carbon plantings","type":"article-journal","volume":"3"},"uris":["http://www.mendeley.com/documents/?uuid=d6c82b4d-9c80-4f22-a66d-d3779e9acd35"]},{"id":"ITEM-2","itemData":{"DOI":"10.1098/rstb.2009.0155","ISSN":"1471-2970","PMID":"20008385","abstract":"Community ecology and ecosystem ecology provide two perspectives on complex ecological systems that have largely complementary strengths and weaknesses. Merging the two perspectives is necessary both to ensure continued scientific progress and to provide society with the scientific means to face growing environmental challenges. Recent research on biodiversity and ecosystem functioning has contributed to this goal in several ways. By addressing a new question of high relevance for both science and society, by challenging existing paradigms, by tightly linking theory and experiments, by building scientific consensus beyond differences in opinion, by integrating fragmented disciplines and research fields, by connecting itself to other disciplines and management issues, it has helped transform ecology not only in content, but also in form. Creating a genuine evolutionary ecosystem ecology that links the evolution of species traits at the individual level, the dynamics of species interactions, and the overall functioning of ecosystems would give new impetus to this much-needed process of unification across ecological disciplines. Recent community evolution models are a promising step in that direction.","author":[{"dropping-particle":"","family":"Loreau","given":"Michel","non-dropping-particle":"","parse-names":false,"suffix":""}],"container-title":"Philosophical transactions of the Royal Society of London. Series B, Biological sciences","id":"ITEM-2","issue":"1537","issued":{"date-parts":[["2010","1","12"]]},"page":"49-60","title":"Linking biodiversity and ecosystems: towards a unifying ecological theory.","type":"article-journal","volume":"365"},"uris":["http://www.mendeley.com/documents/?uuid=94cf0678-f79d-4820-b401-b6ff3e24de21"]}],"mendeley":{"formattedCitation":"(Hulvey et al., 2013; Loreau, 2010)","plainTextFormattedCitation":"(Hulvey et al., 2013; Loreau, 2010)","previouslyFormattedCitation":"(Hulvey et al., 2013; Loreau, 2010)"},"properties":{"noteIndex":0},"schema":"https://github.com/citation-style-language/schema/raw/master/csl-citation.json"}</w:instrText>
      </w:r>
      <w:r>
        <w:rPr>
          <w:rFonts w:ascii="Times New Roman" w:eastAsia="Times New Roman" w:hAnsi="Times New Roman" w:cs="Times New Roman"/>
          <w:sz w:val="24"/>
          <w:szCs w:val="24"/>
        </w:rPr>
        <w:fldChar w:fldCharType="separate"/>
      </w:r>
      <w:r w:rsidR="00473EEB" w:rsidRPr="00473EEB">
        <w:rPr>
          <w:rFonts w:ascii="Times New Roman" w:eastAsia="Times New Roman" w:hAnsi="Times New Roman" w:cs="Times New Roman"/>
          <w:noProof/>
          <w:sz w:val="24"/>
          <w:szCs w:val="24"/>
        </w:rPr>
        <w:t>(Hulvey et al., 2013; Loreau, 2010)</w:t>
      </w:r>
      <w:r>
        <w:rPr>
          <w:rFonts w:ascii="Times New Roman" w:eastAsia="Times New Roman" w:hAnsi="Times New Roman" w:cs="Times New Roman"/>
          <w:sz w:val="24"/>
          <w:szCs w:val="24"/>
        </w:rPr>
        <w:fldChar w:fldCharType="end"/>
      </w:r>
      <w:r w:rsidR="002B3DD1" w:rsidRPr="00C14D16">
        <w:rPr>
          <w:rFonts w:ascii="Times New Roman" w:eastAsia="Times New Roman" w:hAnsi="Times New Roman" w:cs="Times New Roman"/>
          <w:sz w:val="24"/>
          <w:szCs w:val="24"/>
        </w:rPr>
        <w:t xml:space="preserve"> and emerging empirical synthese</w:t>
      </w:r>
      <w:r>
        <w:rPr>
          <w:rFonts w:ascii="Times New Roman" w:eastAsia="Times New Roman" w:hAnsi="Times New Roman" w:cs="Times New Roman"/>
          <w:sz w:val="24"/>
          <w:szCs w:val="24"/>
        </w:rPr>
        <w:t xml:space="preserve">s </w:t>
      </w:r>
      <w:r>
        <w:rPr>
          <w:rFonts w:ascii="Times New Roman" w:eastAsia="Times New Roman" w:hAnsi="Times New Roman" w:cs="Times New Roman"/>
          <w:sz w:val="24"/>
          <w:szCs w:val="24"/>
        </w:rPr>
        <w:fldChar w:fldCharType="begin" w:fldLock="1"/>
      </w:r>
      <w:r w:rsidR="005A2E0E">
        <w:rPr>
          <w:rFonts w:ascii="Times New Roman" w:eastAsia="Times New Roman" w:hAnsi="Times New Roman" w:cs="Times New Roman"/>
          <w:sz w:val="24"/>
          <w:szCs w:val="24"/>
        </w:rPr>
        <w:instrText>ADDIN CSL_CITATION {"citationItems":[{"id":"ITEM-1","itemData":{"DOI":"10.1016/j.ufug.2019.126482","ISBN":"9781315609386","ISSN":"16108167","author":[{"dropping-particle":"","family":"Salbitano","given":"Fabio","non-dropping-particle":"","parse-names":false,"suffix":""},{"dropping-particle":"","family":"Fini","given":"Alessio","non-dropping-particle":"","parse-names":false,"suffix":""},{"dropping-particle":"","family":"Borelli","given":"Simone","non-dropping-particle":"","parse-names":false,"suffix":""},{"dropping-particle":"","family":"Konijnendijk","given":"Cecil C.","non-dropping-particle":"","parse-names":false,"suffix":""}],"container-title":"Urban Forestry and Urban Greening","id":"ITEM-1","issue":"October","issued":{"date-parts":[["2019"]]},"title":"Editorial - Urban Food Forestry: Current state and future perspectives","type":"article-journal","volume":"45"},"uris":["http://www.mendeley.com/documents/?uuid=c8974283-8995-4368-8f1b-85b2e21e0622"]},{"id":"ITEM-2","itemData":{"DOI":"10.1016/j.agee.2017.11.032","ISSN":"01678809","abstract":"Climate change mitigation and food security are two of the main challenges of human society. Agroforestry systems, defined as the presence of trees on external and internal boundaries, cropland, or on any other available niche of farmland, can provide both climate change mitigation and food. There are several types of agroforestry systems with different rates of above ground and soil carbon (C) sequestration. The amount of carbon sequestered can depend on the type of system, climate, time since land use change and previous land use. Data was collected from a total of 86 published and peer reviewed studies on soil and above ground carbon sequestration for different agroforestry systems, climates and regions in the world. The objective was to understand which agroforestry systems provide the greatest benefits, and what are the main factors influencing, soil and above ground carbon sequestration. The results show that, on average, more soil carbon sequestration occurs in agroforestry systems classified as silvopastoral (4.38 tC ha−1 yr−1), and more above ground carbon sequestration occurs in improved fallows (11.29 tC ha−1 yr−1). On average, carbon benefits are greater in agroforestry systems Tropical climates when compared to agroforestry systems located in other climates, both in terms of soil (2.23 tC ha−1 yr−1) and above ground (4.85 tC ha−1 yr−1). In terms of land use change, the greatest above ground carbon sequestration (12.8 tC ha−1 yr−1) occurs when degraded land is replaced by improved fallow and the greatest soil carbon sequestration (4.38 tC ha−1 yr−1) results from the transition of a grassland system to a silvopastoral system. Time since the change is implemented was the main factor influencing above ground carbon sequestration, while climate mainly influences soil carbon sequestration most. The results of the analysis may be used to inform practitioners and policy makers on the most effective agroforestry system for carbon sequestration. The lack of data on carbon stocks before the implementation land use change and the lack of reporting on soil sampling design and variances were the main limitations in the data. The need to report this data should be considered in future studies if agroforestry systems are expected to play an important role as a climate change mitigation strategy.","author":[{"dropping-particle":"","family":"Feliciano","given":"Diana","non-dropping-particle":"","parse-names":false,"suffix":""},{"dropping-particle":"","family":"Ledo","given":"Alicia","non-dropping-particle":"","parse-names":false,"suffix":""},{"dropping-particle":"","family":"Hillier","given":"Jon","non-dropping-particle":"","parse-names":false,"suffix":""},{"dropping-particle":"","family":"Nayak","given":"Dali Rani","non-dropping-particle":"","parse-names":false,"suffix":""}],"container-title":"Agriculture, Ecosystems and Environment","id":"ITEM-2","issue":"November 2017","issued":{"date-parts":[["2018"]]},"page":"117-129","publisher":"Elsevier","title":"Which agroforestry options give the greatest soil and above ground carbon benefits in different world regions?","type":"article-journal","volume":"254"},"uris":["http://www.mendeley.com/documents/?uuid=18766366-0124-484e-aa3a-37c236321497"]}],"mendeley":{"formattedCitation":"(Feliciano et al., 2018; Salbitano et al., 2019)","plainTextFormattedCitation":"(Feliciano et al., 2018; Salbitano et al., 2019)","previouslyFormattedCitation":"(Feliciano et al., 2018; Salbitano et al., 2019)"},"properties":{"noteIndex":0},"schema":"https://github.com/citation-style-language/schema/raw/master/csl-citation.json"}</w:instrText>
      </w:r>
      <w:r>
        <w:rPr>
          <w:rFonts w:ascii="Times New Roman" w:eastAsia="Times New Roman" w:hAnsi="Times New Roman" w:cs="Times New Roman"/>
          <w:sz w:val="24"/>
          <w:szCs w:val="24"/>
        </w:rPr>
        <w:fldChar w:fldCharType="separate"/>
      </w:r>
      <w:r w:rsidR="00473EEB" w:rsidRPr="00473EEB">
        <w:rPr>
          <w:rFonts w:ascii="Times New Roman" w:eastAsia="Times New Roman" w:hAnsi="Times New Roman" w:cs="Times New Roman"/>
          <w:noProof/>
          <w:sz w:val="24"/>
          <w:szCs w:val="24"/>
        </w:rPr>
        <w:t>(Feliciano et al., 2018; Salbitano et al., 2019)</w:t>
      </w:r>
      <w:r>
        <w:rPr>
          <w:rFonts w:ascii="Times New Roman" w:eastAsia="Times New Roman" w:hAnsi="Times New Roman" w:cs="Times New Roman"/>
          <w:sz w:val="24"/>
          <w:szCs w:val="24"/>
        </w:rPr>
        <w:fldChar w:fldCharType="end"/>
      </w:r>
      <w:r w:rsidR="002B3DD1" w:rsidRPr="00C14D16">
        <w:rPr>
          <w:rFonts w:ascii="Times New Roman" w:eastAsia="Times New Roman" w:hAnsi="Times New Roman" w:cs="Times New Roman"/>
          <w:sz w:val="24"/>
          <w:szCs w:val="24"/>
        </w:rPr>
        <w:t xml:space="preserve"> agree with policy analysis </w:t>
      </w:r>
      <w:r>
        <w:rPr>
          <w:rFonts w:ascii="Times New Roman" w:eastAsia="Times New Roman" w:hAnsi="Times New Roman" w:cs="Times New Roman"/>
          <w:sz w:val="24"/>
          <w:szCs w:val="24"/>
        </w:rPr>
        <w:fldChar w:fldCharType="begin" w:fldLock="1"/>
      </w:r>
      <w:r w:rsidR="005A2E0E">
        <w:rPr>
          <w:rFonts w:ascii="Times New Roman" w:eastAsia="Times New Roman" w:hAnsi="Times New Roman" w:cs="Times New Roman"/>
          <w:sz w:val="24"/>
          <w:szCs w:val="24"/>
        </w:rPr>
        <w:instrText>ADDIN CSL_CITATION {"citationItems":[{"id":"ITEM-1","itemData":{"DOI":"10.1111/gcb.15219","ISSN":"13652486","PMID":"32531815","abstract":"Interlocked challenges of climate change, biodiversity loss, and land degradation require transformative interventions in the land management and food production sectors to reduce carbon emissions, strengthen adaptive capacity, and increase food security. However, deciding which interventions to pursue and understanding their relative co-benefits with and trade-offs against different social and environmental goals have been difficult without comparisons across a range of possible actions. This study examined 40 different options, implemented through land management, value chains, or risk management, for their relative impacts across 18 Nature's Contributions to People (NCPs) and the 17 Sustainable Development Goals (SDGs). We find that a relatively small number of interventions show positive synergies with both SDGs and NCPs with no significant adverse trade-offs; these include improved cropland management, improved grazing land management, improved livestock management, agroforestry, integrated water management, increased soil organic carbon content, reduced soil erosion, salinization, and compaction, fire management, reduced landslides and hazards, reduced pollution, reduced post-harvest losses, improved energy use in food systems, and disaster risk management. Several interventions show potentially significant negative impacts on both SDGs and NCPs; these include bioenergy and bioenergy with carbon capture and storage, afforestation, and some risk sharing measures, like commercial crop insurance. Our results demonstrate that a better understanding of co-benefits and trade-offs of different policy approaches can help decision-makers choose the more effective, or at the very minimum, more benign interventions for implementation.","author":[{"dropping-particle":"","family":"McElwee","given":"Pamela","non-dropping-particle":"","parse-names":false,"suffix":""},{"dropping-particle":"","family":"Calvin","given":"Katherine","non-dropping-particle":"","parse-names":false,"suffix":""},{"dropping-particle":"","family":"Campbell","given":"Donovan","non-dropping-particle":"","parse-names":false,"suffix":""},{"dropping-particle":"","family":"Cherubini","given":"Francesco","non-dropping-particle":"","parse-names":false,"suffix":""},{"dropping-particle":"","family":"Grassi","given":"Giacomo","non-dropping-particle":"","parse-names":false,"suffix":""},{"dropping-particle":"","family":"Korotkov","given":"Vladimir","non-dropping-particle":"","parse-names":false,"suffix":""},{"dropping-particle":"","family":"Hoang","given":"Anh","non-dropping-particle":"Le","parse-names":false,"suffix":""},{"dropping-particle":"","family":"Lwasa","given":"Shuaib","non-dropping-particle":"","parse-names":false,"suffix":""},{"dropping-particle":"","family":"Nkem","given":"Johnson","non-dropping-particle":"","parse-names":false,"suffix":""},{"dropping-particle":"","family":"Nkonya","given":"Ephraim","non-dropping-particle":"","parse-names":false,"suffix":""},{"dropping-particle":"","family":"Saigusa","given":"Nobuko","non-dropping-particle":"","parse-names":false,"suffix":""},{"dropping-particle":"","family":"Soussana","given":"Jean Francois","non-dropping-particle":"","parse-names":false,"suffix":""},{"dropping-particle":"","family":"Taboada","given":"Miguel Angel","non-dropping-particle":"","parse-names":false,"suffix":""},{"dropping-particle":"","family":"Manning","given":"Frances","non-dropping-particle":"","parse-names":false,"suffix":""},{"dropping-particle":"","family":"Nampanzira","given":"Dorothy","non-dropping-particle":"","parse-names":false,"suffix":""},{"dropping-particle":"","family":"Smith","given":"Pete","non-dropping-particle":"","parse-names":false,"suffix":""}],"container-title":"Global Change Biology","id":"ITEM-1","issue":"9","issued":{"date-parts":[["2020"]]},"page":"4691-4721","title":"The impact of interventions in the global land and agri-food sectors on Nature’s Contributions to People and the UN Sustainable Development Goals","type":"article-journal","volume":"26"},"uris":["http://www.mendeley.com/documents/?uuid=07d3e6e9-08ef-4385-8b9d-98ff7f19755b"]}],"mendeley":{"formattedCitation":"(McElwee et al., 2020)","plainTextFormattedCitation":"(McElwee et al., 2020)","previouslyFormattedCitation":"(McElwee et al., 2020)"},"properties":{"noteIndex":0},"schema":"https://github.com/citation-style-language/schema/raw/master/csl-citation.json"}</w:instrText>
      </w:r>
      <w:r>
        <w:rPr>
          <w:rFonts w:ascii="Times New Roman" w:eastAsia="Times New Roman" w:hAnsi="Times New Roman" w:cs="Times New Roman"/>
          <w:sz w:val="24"/>
          <w:szCs w:val="24"/>
        </w:rPr>
        <w:fldChar w:fldCharType="separate"/>
      </w:r>
      <w:r w:rsidR="00473EEB" w:rsidRPr="00473EEB">
        <w:rPr>
          <w:rFonts w:ascii="Times New Roman" w:eastAsia="Times New Roman" w:hAnsi="Times New Roman" w:cs="Times New Roman"/>
          <w:noProof/>
          <w:sz w:val="24"/>
          <w:szCs w:val="24"/>
        </w:rPr>
        <w:t>(McElwee et al., 2020)</w:t>
      </w:r>
      <w:r>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xml:space="preserve"> </w:t>
      </w:r>
      <w:r w:rsidR="002B3DD1" w:rsidRPr="00C14D16">
        <w:rPr>
          <w:rFonts w:ascii="Times New Roman" w:eastAsia="Times New Roman" w:hAnsi="Times New Roman" w:cs="Times New Roman"/>
          <w:sz w:val="24"/>
          <w:szCs w:val="24"/>
        </w:rPr>
        <w:t xml:space="preserve">that replacing unproductive urban land uses with UFF can mitigate related problems of urban food security and climate change. Only two years after converting lawn to UFF, our land use experiment demonstrated agriculturally relevant improvements in multiple dimensions of soil </w:t>
      </w:r>
      <w:r w:rsidR="00DB7A79">
        <w:rPr>
          <w:rFonts w:ascii="Times New Roman" w:eastAsia="Times New Roman" w:hAnsi="Times New Roman" w:cs="Times New Roman"/>
          <w:sz w:val="24"/>
          <w:szCs w:val="24"/>
        </w:rPr>
        <w:t>function</w:t>
      </w:r>
      <w:r w:rsidR="002B3DD1" w:rsidRPr="00C14D16">
        <w:rPr>
          <w:rFonts w:ascii="Times New Roman" w:eastAsia="Times New Roman" w:hAnsi="Times New Roman" w:cs="Times New Roman"/>
          <w:sz w:val="24"/>
          <w:szCs w:val="24"/>
        </w:rPr>
        <w:t xml:space="preserve"> </w:t>
      </w:r>
      <w:r w:rsidR="0053505F">
        <w:rPr>
          <w:rFonts w:ascii="Times New Roman" w:eastAsia="Times New Roman" w:hAnsi="Times New Roman" w:cs="Times New Roman"/>
          <w:sz w:val="24"/>
          <w:szCs w:val="24"/>
        </w:rPr>
        <w:t xml:space="preserve">including </w:t>
      </w:r>
      <w:r w:rsidR="002B3DD1" w:rsidRPr="00C14D16">
        <w:rPr>
          <w:rFonts w:ascii="Times New Roman" w:eastAsia="Times New Roman" w:hAnsi="Times New Roman" w:cs="Times New Roman"/>
          <w:sz w:val="24"/>
          <w:szCs w:val="24"/>
        </w:rPr>
        <w:t xml:space="preserve">rapid soil </w:t>
      </w:r>
      <w:r w:rsidR="00C52239">
        <w:rPr>
          <w:rFonts w:ascii="Times New Roman" w:eastAsia="Times New Roman" w:hAnsi="Times New Roman" w:cs="Times New Roman"/>
          <w:sz w:val="24"/>
          <w:szCs w:val="24"/>
        </w:rPr>
        <w:t xml:space="preserve">C </w:t>
      </w:r>
      <w:r w:rsidR="002B3DD1" w:rsidRPr="00C14D16">
        <w:rPr>
          <w:rFonts w:ascii="Times New Roman" w:eastAsia="Times New Roman" w:hAnsi="Times New Roman" w:cs="Times New Roman"/>
          <w:sz w:val="24"/>
          <w:szCs w:val="24"/>
        </w:rPr>
        <w:t xml:space="preserve">sequestration. However, fine-scale changes in </w:t>
      </w:r>
      <w:r w:rsidR="00DB7A79">
        <w:rPr>
          <w:rFonts w:ascii="Times New Roman" w:eastAsia="Times New Roman" w:hAnsi="Times New Roman" w:cs="Times New Roman"/>
          <w:sz w:val="24"/>
          <w:szCs w:val="24"/>
        </w:rPr>
        <w:t>C</w:t>
      </w:r>
      <w:r w:rsidR="002B3DD1" w:rsidRPr="00C14D16">
        <w:rPr>
          <w:rFonts w:ascii="Times New Roman" w:eastAsia="Times New Roman" w:hAnsi="Times New Roman" w:cs="Times New Roman"/>
          <w:sz w:val="24"/>
          <w:szCs w:val="24"/>
        </w:rPr>
        <w:t xml:space="preserve"> stocks generated more uniform conditions, despite the high diversity of tree species involved, implying that the UFF already exhibits system-level regulation that will limit soil C sequestration. Comparing our results to existing analyses of urban agriculture and agroforestry contextualizes the promise and limitations of UFF as a sustainable solution to major environmental challenges.</w:t>
      </w:r>
    </w:p>
    <w:p w14:paraId="10CAB54F" w14:textId="62AC5B29" w:rsidR="00F51880" w:rsidRPr="00B92A49" w:rsidRDefault="002B3DD1">
      <w:pPr>
        <w:spacing w:line="480" w:lineRule="auto"/>
        <w:rPr>
          <w:rFonts w:ascii="Times New Roman" w:eastAsia="Times New Roman" w:hAnsi="Times New Roman" w:cs="Times New Roman"/>
          <w:i/>
          <w:sz w:val="24"/>
          <w:szCs w:val="24"/>
        </w:rPr>
      </w:pPr>
      <w:r w:rsidRPr="00B92A49">
        <w:rPr>
          <w:rFonts w:ascii="Times New Roman" w:eastAsia="Times New Roman" w:hAnsi="Times New Roman" w:cs="Times New Roman"/>
          <w:i/>
          <w:sz w:val="24"/>
          <w:szCs w:val="24"/>
        </w:rPr>
        <w:t xml:space="preserve">UFF improves soil </w:t>
      </w:r>
      <w:r w:rsidR="0071100E">
        <w:rPr>
          <w:rFonts w:ascii="Times New Roman" w:eastAsia="Times New Roman" w:hAnsi="Times New Roman" w:cs="Times New Roman"/>
          <w:i/>
          <w:sz w:val="24"/>
          <w:szCs w:val="24"/>
        </w:rPr>
        <w:t>function</w:t>
      </w:r>
    </w:p>
    <w:p w14:paraId="4B9A55AA" w14:textId="32CDEA83" w:rsidR="00F51880" w:rsidRPr="00C14D16" w:rsidRDefault="002B3DD1">
      <w:pPr>
        <w:spacing w:line="480" w:lineRule="auto"/>
        <w:ind w:firstLine="720"/>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 xml:space="preserve">Soil compaction, whereby stress from mechanical loads reduces soil pore space and associated biological functions, is the most widespread and important physical means for soil degradation in urbanized and agricultural soils </w:t>
      </w:r>
      <w:r w:rsidR="00F76594">
        <w:rPr>
          <w:rFonts w:ascii="Times New Roman" w:eastAsia="Times New Roman" w:hAnsi="Times New Roman" w:cs="Times New Roman"/>
          <w:sz w:val="24"/>
          <w:szCs w:val="24"/>
        </w:rPr>
        <w:fldChar w:fldCharType="begin" w:fldLock="1"/>
      </w:r>
      <w:r w:rsidR="005A2E0E">
        <w:rPr>
          <w:rFonts w:ascii="Times New Roman" w:eastAsia="Times New Roman" w:hAnsi="Times New Roman" w:cs="Times New Roman"/>
          <w:sz w:val="24"/>
          <w:szCs w:val="24"/>
        </w:rPr>
        <w:instrText>ADDIN CSL_CITATION {"citationItems":[{"id":"ITEM-1","itemData":{"DOI":"10.1111/gcb.13068","ISSN":"13652486","PMID":"26301476","abstract":"Soils are subject to varying degrees of direct or indirect human disturbance, constituting a major global change driver. Factoring out natural from direct and indirect human influence is not always straightforward, but some human activities have clear impacts. These include land-use change, land management and land degradation (erosion, compaction, sealing and salinization). The intensity of land use also exerts a great impact on soils, and soils are also subject to indirect impacts arising from human activity, such as acid deposition (sulphur and nitrogen) and heavy metal pollution. In this critical review, we report the state-of-the-art understanding of these global change pressures on soils, identify knowledge gaps and research challenges and highlight actions and policies to minimize adverse environmental impacts arising from these global change drivers. Soils are central to considerations of what constitutes sustainable intensification. Therefore, ensuring that vulnerable and high environmental value soils are considered when protecting important habitats and ecosystems, will help to reduce the pressure on land from global change drivers. To ensure that soils are protected as part of wider environmental efforts, a global soil resilience programme should be considered, to monitor, recover or sustain soil fertility and function, and to enhance the ecosystem services provided by soils. Soils cannot, and should not, be considered in isolation of the ecosystems that they underpin and vice versa. The role of soils in supporting ecosystems and natural capital needs greater recognition. The lasting legacy of the International Year of Soils in 2015 should be to put soils at the centre of policy supporting environmental protection and sustainable development.","author":[{"dropping-particle":"","family":"Smith","given":"Pete","non-dropping-particle":"","parse-names":false,"suffix":""},{"dropping-particle":"","family":"House","given":"Joanna I.","non-dropping-particle":"","parse-names":false,"suffix":""},{"dropping-particle":"","family":"Bustamante","given":"Mercedes","non-dropping-particle":"","parse-names":false,"suffix":""},{"dropping-particle":"","family":"Sobocká","given":"Jaroslava","non-dropping-particle":"","parse-names":false,"suffix":""},{"dropping-particle":"","family":"Harper","given":"Richard","non-dropping-particle":"","parse-names":false,"suffix":""},{"dropping-particle":"","family":"Pan","given":"Genxing","non-dropping-particle":"","parse-names":false,"suffix":""},{"dropping-particle":"","family":"West","given":"Paul C.","non-dropping-particle":"","parse-names":false,"suffix":""},{"dropping-particle":"","family":"Clark","given":"Joanna M.","non-dropping-particle":"","parse-names":false,"suffix":""},{"dropping-particle":"","family":"Adhya","given":"Tapan","non-dropping-particle":"","parse-names":false,"suffix":""},{"dropping-particle":"","family":"Rumpel","given":"Cornelia","non-dropping-particle":"","parse-names":false,"suffix":""},{"dropping-particle":"","family":"Paustian","given":"Keith","non-dropping-particle":"","parse-names":false,"suffix":""},{"dropping-particle":"","family":"Kuikman","given":"Peter","non-dropping-particle":"","parse-names":false,"suffix":""},{"dropping-particle":"","family":"Cotrufo","given":"M. Francesca","non-dropping-particle":"","parse-names":false,"suffix":""},{"dropping-particle":"","family":"Elliott","given":"Jane A.","non-dropping-particle":"","parse-names":false,"suffix":""},{"dropping-particle":"","family":"Mcdowell","given":"Richard","non-dropping-particle":"","parse-names":false,"suffix":""},{"dropping-particle":"","family":"Griffiths","given":"Robert I.","non-dropping-particle":"","parse-names":false,"suffix":""},{"dropping-particle":"","family":"Asakawa","given":"Susumu","non-dropping-particle":"","parse-names":false,"suffix":""},{"dropping-particle":"","family":"Bondeau","given":"Alberte","non-dropping-particle":"","parse-names":false,"suffix":""},{"dropping-particle":"","family":"Jain","given":"Atul K.","non-dropping-particle":"","parse-names":false,"suffix":""},{"dropping-particle":"","family":"Meersmans","given":"Jeroen","non-dropping-particle":"","parse-names":false,"suffix":""},{"dropping-particle":"","family":"Pugh","given":"Thomas A.M.","non-dropping-particle":"","parse-names":false,"suffix":""}],"container-title":"Global Change Biology","id":"ITEM-1","issue":"3","issued":{"date-parts":[["2016"]]},"page":"1008-1028","title":"Global change pressures on soils from land use and management","type":"article-journal","volume":"22"},"uris":["http://www.mendeley.com/documents/?uuid=51829495-de60-4779-9d0d-1637fce6204f"]},{"id":"ITEM-2","itemData":{"DOI":"10.1007/s13593-011-0071-8","ISBN":"1359301100","ISSN":"17740746","abstract":"Compaction of agricultural soils is a concern for many agricultural soil scientists and farmers since soil compaction, due to heavy field traffic, has resulted in yield reduction of most agronomic crops throughout the world. Soil compaction is a physical form of soil degradation that alters soil structure, limits water and air infiltration, and reduces root penetration in the soil. Consequences of soil compaction are still underestimated. A complete understanding of processes involved in soil compaction is necessary to meet the future global challenge of food security. We review here the advances in understanding, quantification, and prediction of the effects of soil compaction. We found the following major points: (1) When a soil is exposed to a vehicular traffic load, soil water contents, soil texture and structure, and soil organic matter are the three main factors which determine the degree of compactness in that soil. (2) Soil compaction has direct effects on soil physical properties such as bulk density, strength, and porosity; therefore, these parameters can be used to quantify the soil compactness. (3) Modified soil physical properties due to soil compaction can alter elements mobility and change nitrogen and carbon cycles in favour of more emissions of greenhouse gases under wet conditions. (4) Severe soil compaction induces root deformation, stunted shoot growth, late germination, low germination rate, and high mortality rate. (5) Soil compaction decreases soil biodiversity by decreasing microbial biomass, enzymatic activity, soil fauna, and ground flora. (6) Boussinesq equations and finite element method models, that predict the effects of the soil compaction, are restricted to elastic domain and do not consider existence of preferential paths of stress propagation and localization of deformation in compacted soils. (7) Recent advances in physics of granular media and soil mechanics relevant to soil compaction should be used to progress in modelling soil compaction. © 2012 INRA and Springer-Verlag, France.","author":[{"dropping-particle":"","family":"Nawaz","given":"Muhammad Farrakh","non-dropping-particle":"","parse-names":false,"suffix":""},{"dropping-particle":"","family":"Bourrié","given":"Guilhem","non-dropping-particle":"","parse-names":false,"suffix":""},{"dropping-particle":"","family":"Trolard","given":"Fabienne","non-dropping-particle":"","parse-names":false,"suffix":""}],"container-title":"Agronomy for Sustainable Development","id":"ITEM-2","issue":"2","issued":{"date-parts":[["2013"]]},"page":"291-309","title":"Soil compaction impact and modelling. A review","type":"article-journal","volume":"33"},"uris":["http://www.mendeley.com/documents/?uuid=6f0599e7-35b0-4b2f-8922-d3f434de6396"]}],"mendeley":{"formattedCitation":"(Nawaz et al., 2013; Smith et al., 2016)","plainTextFormattedCitation":"(Nawaz et al., 2013; Smith et al., 2016)","previouslyFormattedCitation":"(Nawaz et al., 2013; Smith et al., 2016)"},"properties":{"noteIndex":0},"schema":"https://github.com/citation-style-language/schema/raw/master/csl-citation.json"}</w:instrText>
      </w:r>
      <w:r w:rsidR="00F76594">
        <w:rPr>
          <w:rFonts w:ascii="Times New Roman" w:eastAsia="Times New Roman" w:hAnsi="Times New Roman" w:cs="Times New Roman"/>
          <w:sz w:val="24"/>
          <w:szCs w:val="24"/>
        </w:rPr>
        <w:fldChar w:fldCharType="separate"/>
      </w:r>
      <w:r w:rsidR="00473EEB" w:rsidRPr="00473EEB">
        <w:rPr>
          <w:rFonts w:ascii="Times New Roman" w:eastAsia="Times New Roman" w:hAnsi="Times New Roman" w:cs="Times New Roman"/>
          <w:noProof/>
          <w:sz w:val="24"/>
          <w:szCs w:val="24"/>
        </w:rPr>
        <w:t>(Nawaz et al., 2013; Smith et al., 2016)</w:t>
      </w:r>
      <w:r w:rsidR="00F76594">
        <w:rPr>
          <w:rFonts w:ascii="Times New Roman" w:eastAsia="Times New Roman" w:hAnsi="Times New Roman" w:cs="Times New Roman"/>
          <w:sz w:val="24"/>
          <w:szCs w:val="24"/>
        </w:rPr>
        <w:fldChar w:fldCharType="end"/>
      </w:r>
      <w:r w:rsidRPr="00C14D16">
        <w:rPr>
          <w:rFonts w:ascii="Times New Roman" w:eastAsia="Times New Roman" w:hAnsi="Times New Roman" w:cs="Times New Roman"/>
          <w:sz w:val="24"/>
          <w:szCs w:val="24"/>
        </w:rPr>
        <w:t>. Natural recovery can take decades of physical cycling and bioperturbation</w:t>
      </w:r>
      <w:r w:rsidR="00F76594">
        <w:rPr>
          <w:rFonts w:ascii="Times New Roman" w:eastAsia="Times New Roman" w:hAnsi="Times New Roman" w:cs="Times New Roman"/>
          <w:sz w:val="24"/>
          <w:szCs w:val="24"/>
        </w:rPr>
        <w:t xml:space="preserve"> </w:t>
      </w:r>
      <w:r w:rsidR="00F76594">
        <w:rPr>
          <w:rFonts w:ascii="Times New Roman" w:eastAsia="Times New Roman" w:hAnsi="Times New Roman" w:cs="Times New Roman"/>
          <w:sz w:val="24"/>
          <w:szCs w:val="24"/>
        </w:rPr>
        <w:fldChar w:fldCharType="begin" w:fldLock="1"/>
      </w:r>
      <w:r w:rsidR="005A2E0E">
        <w:rPr>
          <w:rFonts w:ascii="Times New Roman" w:eastAsia="Times New Roman" w:hAnsi="Times New Roman" w:cs="Times New Roman"/>
          <w:sz w:val="24"/>
          <w:szCs w:val="24"/>
        </w:rPr>
        <w:instrText>ADDIN CSL_CITATION {"citationItems":[{"id":"ITEM-1","itemData":{"DOI":"10.1007/s13593-011-0071-8","ISBN":"1359301100","ISSN":"17740746","abstract":"Compaction of agricultural soils is a concern for many agricultural soil scientists and farmers since soil compaction, due to heavy field traffic, has resulted in yield reduction of most agronomic crops throughout the world. Soil compaction is a physical form of soil degradation that alters soil structure, limits water and air infiltration, and reduces root penetration in the soil. Consequences of soil compaction are still underestimated. A complete understanding of processes involved in soil compaction is necessary to meet the future global challenge of food security. We review here the advances in understanding, quantification, and prediction of the effects of soil compaction. We found the following major points: (1) When a soil is exposed to a vehicular traffic load, soil water contents, soil texture and structure, and soil organic matter are the three main factors which determine the degree of compactness in that soil. (2) Soil compaction has direct effects on soil physical properties such as bulk density, strength, and porosity; therefore, these parameters can be used to quantify the soil compactness. (3) Modified soil physical properties due to soil compaction can alter elements mobility and change nitrogen and carbon cycles in favour of more emissions of greenhouse gases under wet conditions. (4) Severe soil compaction induces root deformation, stunted shoot growth, late germination, low germination rate, and high mortality rate. (5) Soil compaction decreases soil biodiversity by decreasing microbial biomass, enzymatic activity, soil fauna, and ground flora. (6) Boussinesq equations and finite element method models, that predict the effects of the soil compaction, are restricted to elastic domain and do not consider existence of preferential paths of stress propagation and localization of deformation in compacted soils. (7) Recent advances in physics of granular media and soil mechanics relevant to soil compaction should be used to progress in modelling soil compaction. © 2012 INRA and Springer-Verlag, France.","author":[{"dropping-particle":"","family":"Nawaz","given":"Muhammad Farrakh","non-dropping-particle":"","parse-names":false,"suffix":""},{"dropping-particle":"","family":"Bourrié","given":"Guilhem","non-dropping-particle":"","parse-names":false,"suffix":""},{"dropping-particle":"","family":"Trolard","given":"Fabienne","non-dropping-particle":"","parse-names":false,"suffix":""}],"container-title":"Agronomy for Sustainable Development","id":"ITEM-1","issue":"2","issued":{"date-parts":[["2013"]]},"page":"291-309","title":"Soil compaction impact and modelling. A review","type":"article-journal","volume":"33"},"uris":["http://www.mendeley.com/documents/?uuid=6f0599e7-35b0-4b2f-8922-d3f434de6396"]}],"mendeley":{"formattedCitation":"(Nawaz et al., 2013)","plainTextFormattedCitation":"(Nawaz et al., 2013)","previouslyFormattedCitation":"(Nawaz et al., 2013)"},"properties":{"noteIndex":0},"schema":"https://github.com/citation-style-language/schema/raw/master/csl-citation.json"}</w:instrText>
      </w:r>
      <w:r w:rsidR="00F76594">
        <w:rPr>
          <w:rFonts w:ascii="Times New Roman" w:eastAsia="Times New Roman" w:hAnsi="Times New Roman" w:cs="Times New Roman"/>
          <w:sz w:val="24"/>
          <w:szCs w:val="24"/>
        </w:rPr>
        <w:fldChar w:fldCharType="separate"/>
      </w:r>
      <w:r w:rsidR="00473EEB" w:rsidRPr="00473EEB">
        <w:rPr>
          <w:rFonts w:ascii="Times New Roman" w:eastAsia="Times New Roman" w:hAnsi="Times New Roman" w:cs="Times New Roman"/>
          <w:noProof/>
          <w:sz w:val="24"/>
          <w:szCs w:val="24"/>
        </w:rPr>
        <w:t>(Nawaz et al., 2013)</w:t>
      </w:r>
      <w:r w:rsidR="00F76594">
        <w:rPr>
          <w:rFonts w:ascii="Times New Roman" w:eastAsia="Times New Roman" w:hAnsi="Times New Roman" w:cs="Times New Roman"/>
          <w:sz w:val="24"/>
          <w:szCs w:val="24"/>
        </w:rPr>
        <w:fldChar w:fldCharType="end"/>
      </w:r>
      <w:r w:rsidRPr="00C14D16">
        <w:rPr>
          <w:rFonts w:ascii="Times New Roman" w:eastAsia="Times New Roman" w:hAnsi="Times New Roman" w:cs="Times New Roman"/>
          <w:sz w:val="24"/>
          <w:szCs w:val="24"/>
        </w:rPr>
        <w:t>. However, we found rapid decompaction following land use change, as measured by significant differences in SBD between the UFF and control sites in the lawn. The magnitude of change was similar to that reported in other recent studies of land use change. Two years after converting vacant lots in Ohio USA to vegetable gardens</w:t>
      </w:r>
      <w:r w:rsidR="00C52239">
        <w:rPr>
          <w:rFonts w:ascii="Times New Roman" w:eastAsia="Times New Roman" w:hAnsi="Times New Roman" w:cs="Times New Roman"/>
          <w:sz w:val="24"/>
          <w:szCs w:val="24"/>
        </w:rPr>
        <w:t xml:space="preserve"> by adding soil amendments</w:t>
      </w:r>
      <w:r w:rsidRPr="00C14D16">
        <w:rPr>
          <w:rFonts w:ascii="Times New Roman" w:eastAsia="Times New Roman" w:hAnsi="Times New Roman" w:cs="Times New Roman"/>
          <w:sz w:val="24"/>
          <w:szCs w:val="24"/>
        </w:rPr>
        <w:t xml:space="preserve">, surface </w:t>
      </w:r>
      <w:r w:rsidR="00C52239">
        <w:rPr>
          <w:rFonts w:ascii="Times New Roman" w:eastAsia="Times New Roman" w:hAnsi="Times New Roman" w:cs="Times New Roman"/>
          <w:sz w:val="24"/>
          <w:szCs w:val="24"/>
        </w:rPr>
        <w:t xml:space="preserve">SBD </w:t>
      </w:r>
      <w:r w:rsidRPr="00C14D16">
        <w:rPr>
          <w:rFonts w:ascii="Times New Roman" w:eastAsia="Times New Roman" w:hAnsi="Times New Roman" w:cs="Times New Roman"/>
          <w:sz w:val="24"/>
          <w:szCs w:val="24"/>
        </w:rPr>
        <w:t>decreased from 1.79 g cm</w:t>
      </w:r>
      <w:r w:rsidRPr="00C14D16">
        <w:rPr>
          <w:rFonts w:ascii="Times New Roman" w:eastAsia="Times New Roman" w:hAnsi="Times New Roman" w:cs="Times New Roman"/>
          <w:sz w:val="24"/>
          <w:szCs w:val="24"/>
          <w:vertAlign w:val="superscript"/>
        </w:rPr>
        <w:t xml:space="preserve">-3 </w:t>
      </w:r>
      <w:r w:rsidRPr="00C14D16">
        <w:rPr>
          <w:rFonts w:ascii="Times New Roman" w:eastAsia="Times New Roman" w:hAnsi="Times New Roman" w:cs="Times New Roman"/>
          <w:sz w:val="24"/>
          <w:szCs w:val="24"/>
        </w:rPr>
        <w:t>to 0.98 g cm</w:t>
      </w:r>
      <w:r w:rsidRPr="00C14D16">
        <w:rPr>
          <w:rFonts w:ascii="Times New Roman" w:eastAsia="Times New Roman" w:hAnsi="Times New Roman" w:cs="Times New Roman"/>
          <w:sz w:val="24"/>
          <w:szCs w:val="24"/>
          <w:vertAlign w:val="superscript"/>
        </w:rPr>
        <w:t>-3</w:t>
      </w:r>
      <w:r w:rsidR="00A04D58">
        <w:rPr>
          <w:rFonts w:ascii="Times New Roman" w:eastAsia="Times New Roman" w:hAnsi="Times New Roman" w:cs="Times New Roman"/>
          <w:sz w:val="24"/>
          <w:szCs w:val="24"/>
          <w:vertAlign w:val="superscript"/>
        </w:rPr>
        <w:t xml:space="preserve"> </w:t>
      </w:r>
      <w:r w:rsidR="00A04D58">
        <w:rPr>
          <w:rFonts w:ascii="Times New Roman" w:eastAsia="Times New Roman" w:hAnsi="Times New Roman" w:cs="Times New Roman"/>
          <w:sz w:val="24"/>
          <w:szCs w:val="24"/>
        </w:rPr>
        <w:fldChar w:fldCharType="begin" w:fldLock="1"/>
      </w:r>
      <w:r w:rsidR="00A04D58">
        <w:rPr>
          <w:rFonts w:ascii="Times New Roman" w:eastAsia="Times New Roman" w:hAnsi="Times New Roman" w:cs="Times New Roman"/>
          <w:sz w:val="24"/>
          <w:szCs w:val="24"/>
        </w:rPr>
        <w:instrText>ADDIN CSL_CITATION {"citationItems":[{"id":"ITEM-1","itemData":{"DOI":"10.1002/ldr.2342","ISSN":"1099145X","abstract":"Following the decline of industrial manufacturing, many US cities have experienced severe population reductions that have resulted in large areas of vacant land. Urban agriculture has emerged as a desirable land use for these spaces, but degraded soils are common. Therefore, we measured soil and plant responses to amendments and management in urban lots where vacant houses had recently been demolished in Youngstown, OH, USA. Soil degradation was observed following demolition activities in the form of compaction (bulk density of 1·5-1·8Mgm-3) and low soil microbial biomass C (21mgCkg-1 soil). Our split-plot experiment measured the effects of organic matter (OM) amendments produced from yard wastes and the use of raised beds on soil properties and vegetable crop yields. Two years after their application, OM amendments resulted in significant improvement to a number of soil physical, chemical, and biological properties. Vegetable crop yields were improved by OM amendments in 2011 and by both OM amendments and the use of raised beds in 2012. A soil quality index, developed using factor analysis and the Soil Management Assessment Framework, produced values ranging from 0·60 to 0·85, which are comparable to those reported for rural agricultural soils. All results indicate that urban agriculture can be productive in vacant urban land and that amendments produced from urban yard wastes can improve soil quality at previously degraded sites and increase crop yields for urban agriculture.","author":[{"dropping-particle":"","family":"Beniston","given":"Joshua W.","non-dropping-particle":"","parse-names":false,"suffix":""},{"dropping-particle":"","family":"Lal","given":"Rattan","non-dropping-particle":"","parse-names":false,"suffix":""},{"dropping-particle":"","family":"Mercer","given":"Kristin L.","non-dropping-particle":"","parse-names":false,"suffix":""}],"container-title":"Land Degradation and Development","id":"ITEM-1","issue":"4","issued":{"date-parts":[["2016"]]},"page":"996-1006","title":"Assessing and Managing Soil Quality for Urban Agriculture in a Degraded Vacant Lot Soil","type":"article-journal","volume":"27"},"uris":["http://www.mendeley.com/documents/?uuid=d0f73cd7-bb9c-488d-a730-f5127e9cbbf8"]}],"mendeley":{"formattedCitation":"(Beniston et al., 2016)","plainTextFormattedCitation":"(Beniston et al., 2016)","previouslyFormattedCitation":"(Beniston et al., 2016)"},"properties":{"noteIndex":0},"schema":"https://github.com/citation-style-language/schema/raw/master/csl-citation.json"}</w:instrText>
      </w:r>
      <w:r w:rsidR="00A04D58">
        <w:rPr>
          <w:rFonts w:ascii="Times New Roman" w:eastAsia="Times New Roman" w:hAnsi="Times New Roman" w:cs="Times New Roman"/>
          <w:sz w:val="24"/>
          <w:szCs w:val="24"/>
        </w:rPr>
        <w:fldChar w:fldCharType="separate"/>
      </w:r>
      <w:r w:rsidR="00A04D58" w:rsidRPr="00473EEB">
        <w:rPr>
          <w:rFonts w:ascii="Times New Roman" w:eastAsia="Times New Roman" w:hAnsi="Times New Roman" w:cs="Times New Roman"/>
          <w:noProof/>
          <w:sz w:val="24"/>
          <w:szCs w:val="24"/>
        </w:rPr>
        <w:t>(Beniston et al., 2016)</w:t>
      </w:r>
      <w:r w:rsidR="00A04D58">
        <w:rPr>
          <w:rFonts w:ascii="Times New Roman" w:eastAsia="Times New Roman" w:hAnsi="Times New Roman" w:cs="Times New Roman"/>
          <w:sz w:val="24"/>
          <w:szCs w:val="24"/>
        </w:rPr>
        <w:fldChar w:fldCharType="end"/>
      </w:r>
      <w:r w:rsidR="00A04D58">
        <w:rPr>
          <w:rFonts w:ascii="Times New Roman" w:eastAsia="Times New Roman" w:hAnsi="Times New Roman" w:cs="Times New Roman"/>
          <w:sz w:val="24"/>
          <w:szCs w:val="24"/>
        </w:rPr>
        <w:t xml:space="preserve">, </w:t>
      </w:r>
      <w:r w:rsidRPr="00C14D16">
        <w:rPr>
          <w:rFonts w:ascii="Times New Roman" w:eastAsia="Times New Roman" w:hAnsi="Times New Roman" w:cs="Times New Roman"/>
          <w:sz w:val="24"/>
          <w:szCs w:val="24"/>
        </w:rPr>
        <w:t>a change approximately 11% greater than what we observed between the upper stratum of the lawn and the cor</w:t>
      </w:r>
      <w:r w:rsidR="00DB7A79">
        <w:rPr>
          <w:rFonts w:ascii="Times New Roman" w:eastAsia="Times New Roman" w:hAnsi="Times New Roman" w:cs="Times New Roman"/>
          <w:sz w:val="24"/>
          <w:szCs w:val="24"/>
        </w:rPr>
        <w:t>responding stratum of the UFF. Rapid soil decompaction in the</w:t>
      </w:r>
      <w:r w:rsidRPr="00C14D16">
        <w:rPr>
          <w:rFonts w:ascii="Times New Roman" w:eastAsia="Times New Roman" w:hAnsi="Times New Roman" w:cs="Times New Roman"/>
          <w:sz w:val="24"/>
          <w:szCs w:val="24"/>
        </w:rPr>
        <w:t xml:space="preserve"> UFF without direct mechanical perturbation probably reflects a combination of factors, including exclusion of heavy lawn mowers, increased woody root growth and infiltration of organic matter produced </w:t>
      </w:r>
      <w:r w:rsidRPr="00C14D16">
        <w:rPr>
          <w:rFonts w:ascii="Times New Roman" w:eastAsia="Times New Roman" w:hAnsi="Times New Roman" w:cs="Times New Roman"/>
          <w:i/>
          <w:sz w:val="24"/>
          <w:szCs w:val="24"/>
        </w:rPr>
        <w:t>in situ</w:t>
      </w:r>
      <w:r w:rsidR="0053505F">
        <w:rPr>
          <w:rFonts w:ascii="Times New Roman" w:eastAsia="Times New Roman" w:hAnsi="Times New Roman" w:cs="Times New Roman"/>
          <w:sz w:val="24"/>
          <w:szCs w:val="24"/>
        </w:rPr>
        <w:t xml:space="preserve"> and added with management</w:t>
      </w:r>
      <w:r w:rsidRPr="00C14D16">
        <w:rPr>
          <w:rFonts w:ascii="Times New Roman" w:eastAsia="Times New Roman" w:hAnsi="Times New Roman" w:cs="Times New Roman"/>
          <w:sz w:val="24"/>
          <w:szCs w:val="24"/>
        </w:rPr>
        <w:t>.</w:t>
      </w:r>
    </w:p>
    <w:p w14:paraId="7AD53CE9" w14:textId="6D5B3867" w:rsidR="00F51880" w:rsidRPr="00C14D16" w:rsidRDefault="002B3DD1">
      <w:pPr>
        <w:spacing w:line="480" w:lineRule="auto"/>
        <w:ind w:firstLine="720"/>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 xml:space="preserve">Converting lawn to UFF also improved biological and chemical metrics for soil </w:t>
      </w:r>
      <w:r w:rsidR="00DB7A79">
        <w:rPr>
          <w:rFonts w:ascii="Times New Roman" w:eastAsia="Times New Roman" w:hAnsi="Times New Roman" w:cs="Times New Roman"/>
          <w:sz w:val="24"/>
          <w:szCs w:val="24"/>
        </w:rPr>
        <w:t>function</w:t>
      </w:r>
      <w:r w:rsidRPr="00C14D16">
        <w:rPr>
          <w:rFonts w:ascii="Times New Roman" w:eastAsia="Times New Roman" w:hAnsi="Times New Roman" w:cs="Times New Roman"/>
          <w:sz w:val="24"/>
          <w:szCs w:val="24"/>
        </w:rPr>
        <w:t xml:space="preserve">. Soil activity, as measured by </w:t>
      </w:r>
      <w:r w:rsidR="00C52239">
        <w:rPr>
          <w:rFonts w:ascii="Times New Roman" w:eastAsia="Times New Roman" w:hAnsi="Times New Roman" w:cs="Times New Roman"/>
          <w:sz w:val="24"/>
          <w:szCs w:val="24"/>
        </w:rPr>
        <w:t>short-term respiration</w:t>
      </w:r>
      <w:r w:rsidRPr="00C14D16">
        <w:rPr>
          <w:rFonts w:ascii="Times New Roman" w:eastAsia="Times New Roman" w:hAnsi="Times New Roman" w:cs="Times New Roman"/>
          <w:sz w:val="24"/>
          <w:szCs w:val="24"/>
        </w:rPr>
        <w:t>, was significantly higher in both the imported berm soil and original topsoil than it was in the topsoil of the lawn. Similar increases in soil respiration have been documented close to established trees in both experiments and observ</w:t>
      </w:r>
      <w:r w:rsidR="000A58F4">
        <w:rPr>
          <w:rFonts w:ascii="Times New Roman" w:eastAsia="Times New Roman" w:hAnsi="Times New Roman" w:cs="Times New Roman"/>
          <w:sz w:val="24"/>
          <w:szCs w:val="24"/>
        </w:rPr>
        <w:t xml:space="preserve">ations of agroforestry systems </w:t>
      </w:r>
      <w:r w:rsidR="000A58F4">
        <w:rPr>
          <w:rFonts w:ascii="Times New Roman" w:eastAsia="Times New Roman" w:hAnsi="Times New Roman" w:cs="Times New Roman"/>
          <w:sz w:val="24"/>
          <w:szCs w:val="24"/>
        </w:rPr>
        <w:fldChar w:fldCharType="begin" w:fldLock="1"/>
      </w:r>
      <w:r w:rsidR="005A2E0E">
        <w:rPr>
          <w:rFonts w:ascii="Times New Roman" w:eastAsia="Times New Roman" w:hAnsi="Times New Roman" w:cs="Times New Roman"/>
          <w:sz w:val="24"/>
          <w:szCs w:val="24"/>
        </w:rPr>
        <w:instrText>ADDIN CSL_CITATION {"citationItems":[{"id":"ITEM-1","itemData":{"DOI":"10.1023/A:1025404019211","ISSN":"01674366","abstract":"Little information is available on soil respiration and microbial biomass in soils under agroforestry systems. We measured soil respiration rate and microbial biomass under two age classes (young and old) of a pecan (Carya illinoinensis) - cotton (Gossypium hirsutum) alley cropping system, two age classes of pecan orchards, and a cotton monoculture on a well-drained, Redbay sandy loam (a fine-loamy, siliceous, thermic Rhodic Paleudult) in southern USA. Soil respiration was quantified monthly during the growing season from May to November 2001 using the soda-lime technique and was corrected based on infrared gas analyzer (IRGA) measurements. The overall soil respiration rates ranged from 177 to 776 mg CO2 m-2 h-1. During the growing season, soil respiration was higher in the old alley cropping system than in the young alley cropping system, the old pecan orchard, the young pecan orchard, and the monoculture. Microbial biomass C was higher in the old alley cropping system (375 mg C kg-1) and in the old pecan orchard (376 mg C kg-1) compared to the young alley cropping system (118 mg C kg -1), young pecan orchard (88 mg C kg-1), and the cotton monoculture (163 mg C kg-1). Soil respiration was correlated positively with soil temperature, microbial biomass, organic matter, and fine root biomass. The effect of alley cropping on soil properties during the brief history of alley cropping was not significant except in the old systems, where there was a trend of increasing soil respiration with short-term alley cropping. Over time, different land use and management practices influenced soil properties such as soil temperature, moisture, microbial biomass, organic matter, and fine root biomass, which in turn affected the magnitude of soil respiration. Our results suggest that trees in agroforestry systems have the potential to enhance soil fertility and sustainability of farmlands by improving soil microbial activity and accreting residual soil carbon.","author":[{"dropping-particle":"","family":"Lee","given":"K. H.","non-dropping-particle":"","parse-names":false,"suffix":""},{"dropping-particle":"","family":"Jose","given":"S.","non-dropping-particle":"","parse-names":false,"suffix":""}],"container-title":"Agroforestry Systems","id":"ITEM-1","issue":"1","issued":{"date-parts":[["2003"]]},"page":"45-54","title":"Soil respiration and microbial biomass in a pecan - Cotton alley cropping system in southern USA","type":"article-journal","volume":"58"},"uris":["http://www.mendeley.com/documents/?uuid=417af050-54a1-476c-8e22-fd4b2f5084ef"]},{"id":"ITEM-2","itemData":{"DOI":"10.1007/s10457-016-0049-2","ISSN":"15729680","abstract":"Tree occurrence in silvopastoral systems of Central America has been under pressure for various reasons including attempts to improve grassland productivity and the need for wood. However, scattered isolated trees are also recognized to provide ecosystem services like shade, fodder and fruits that are important to cattle in the dry season. In addition, trees may enhance the climate change mitigation potential of silvopastoral systems through increased carbon (C) uptake and subsequent soil carbon sequestration. Through differences in plant traits like nutrient uptake, canopy structure and litter quality, tree species may have an effect on C and nutrient cycling. Due to a prevailing north-easterly wind in the study area, three distinct areas associated with the impact of tree litter deposition were identified: (1) open pasture—no tree litter deposition; (2) tree canopy—above and belowground tree litter; and (3) leaf litter cone—aboveground tree litter deposition. Furthermore, the effect of tree species, Guazuma ulmifolia and Crescentia alata, were considered. The presence of trees, as compared to pasture, caused larger topsoil C, N and P contents. In the subsoil, C content was also larger due to tree presence. Soil fractionation showed that tree-induced larger litter input subsequently increased free and occluded OM fractions and ultimately increased stabilized SOM fractions. Therefore, trees were found to enhance soil C sequestration in these silvopastoral systems. This is also supported by the soil respiration data. Although the respiration rates in the pasture subplots were lower than in the leaf litter subplots, the difference was not significant, which suggests that part of the extra C input to the leaf litter subplots stayed in the soil. Nutrient cycling was also enhanced by tree presence, but with a clear differentiation between species. C. alata (Jícaro) enhanced available and stabilized forms of organic N, while G. ulmifolia (Guácimo) enhanced available soil P and stabilized organic P.","author":[{"dropping-particle":"","family":"Hoosbeek","given":"Marcel R.","non-dropping-particle":"","parse-names":false,"suffix":""},{"dropping-particle":"","family":"Remme","given":"Roy P.","non-dropping-particle":"","parse-names":false,"suffix":""},{"dropping-particle":"","family":"Rusch","given":"Graciela M.","non-dropping-particle":"","parse-names":false,"suffix":""}],"container-title":"Agroforestry Systems","id":"ITEM-2","issue":"2","issued":{"date-parts":[["2018"]]},"page":"263-273","publisher":"Springer Netherlands","title":"Trees enhance soil carbon sequestration and nutrient cycling in a silvopastoral system in south-western Nicaragua","type":"article-journal","volume":"92"},"uris":["http://www.mendeley.com/documents/?uuid=43a88c1e-8c59-43e1-8333-9317513c401e"]}],"mendeley":{"formattedCitation":"(Hoosbeek et al., 2018; Lee and Jose, 2003)","plainTextFormattedCitation":"(Hoosbeek et al., 2018; Lee and Jose, 2003)","previouslyFormattedCitation":"(Hoosbeek et al., 2018; Lee and Jose, 2003)"},"properties":{"noteIndex":0},"schema":"https://github.com/citation-style-language/schema/raw/master/csl-citation.json"}</w:instrText>
      </w:r>
      <w:r w:rsidR="000A58F4">
        <w:rPr>
          <w:rFonts w:ascii="Times New Roman" w:eastAsia="Times New Roman" w:hAnsi="Times New Roman" w:cs="Times New Roman"/>
          <w:sz w:val="24"/>
          <w:szCs w:val="24"/>
        </w:rPr>
        <w:fldChar w:fldCharType="separate"/>
      </w:r>
      <w:r w:rsidR="00473EEB" w:rsidRPr="00473EEB">
        <w:rPr>
          <w:rFonts w:ascii="Times New Roman" w:eastAsia="Times New Roman" w:hAnsi="Times New Roman" w:cs="Times New Roman"/>
          <w:noProof/>
          <w:sz w:val="24"/>
          <w:szCs w:val="24"/>
        </w:rPr>
        <w:t>(Hoosbeek et al., 2018; Lee and Jose, 2003)</w:t>
      </w:r>
      <w:r w:rsidR="000A58F4">
        <w:rPr>
          <w:rFonts w:ascii="Times New Roman" w:eastAsia="Times New Roman" w:hAnsi="Times New Roman" w:cs="Times New Roman"/>
          <w:sz w:val="24"/>
          <w:szCs w:val="24"/>
        </w:rPr>
        <w:fldChar w:fldCharType="end"/>
      </w:r>
      <w:r w:rsidRPr="00C14D16">
        <w:rPr>
          <w:rFonts w:ascii="Times New Roman" w:eastAsia="Times New Roman" w:hAnsi="Times New Roman" w:cs="Times New Roman"/>
          <w:sz w:val="24"/>
          <w:szCs w:val="24"/>
        </w:rPr>
        <w:t xml:space="preserve">. We note that the short duration of our </w:t>
      </w:r>
      <w:r w:rsidRPr="00C14D16">
        <w:rPr>
          <w:rFonts w:ascii="Times New Roman" w:eastAsia="Times New Roman" w:hAnsi="Times New Roman" w:cs="Times New Roman"/>
          <w:i/>
          <w:sz w:val="24"/>
          <w:szCs w:val="24"/>
        </w:rPr>
        <w:t>ex situ</w:t>
      </w:r>
      <w:r w:rsidRPr="00C14D16">
        <w:rPr>
          <w:rFonts w:ascii="Times New Roman" w:eastAsia="Times New Roman" w:hAnsi="Times New Roman" w:cs="Times New Roman"/>
          <w:sz w:val="24"/>
          <w:szCs w:val="24"/>
        </w:rPr>
        <w:t xml:space="preserve"> measurements exclude soil </w:t>
      </w:r>
      <w:r w:rsidR="0053505F">
        <w:rPr>
          <w:rFonts w:ascii="Times New Roman" w:eastAsia="Times New Roman" w:hAnsi="Times New Roman" w:cs="Times New Roman"/>
          <w:sz w:val="24"/>
          <w:szCs w:val="24"/>
        </w:rPr>
        <w:t>C</w:t>
      </w:r>
      <w:r w:rsidRPr="00C14D16">
        <w:rPr>
          <w:rFonts w:ascii="Times New Roman" w:eastAsia="Times New Roman" w:hAnsi="Times New Roman" w:cs="Times New Roman"/>
          <w:sz w:val="24"/>
          <w:szCs w:val="24"/>
        </w:rPr>
        <w:t xml:space="preserve"> efflux from more recalcitrant compounds and root respiration. Longer incubations and </w:t>
      </w:r>
      <w:r w:rsidRPr="00C14D16">
        <w:rPr>
          <w:rFonts w:ascii="Times New Roman" w:eastAsia="Times New Roman" w:hAnsi="Times New Roman" w:cs="Times New Roman"/>
          <w:i/>
          <w:sz w:val="24"/>
          <w:szCs w:val="24"/>
        </w:rPr>
        <w:t>in situ</w:t>
      </w:r>
      <w:r w:rsidRPr="00C14D16">
        <w:rPr>
          <w:rFonts w:ascii="Times New Roman" w:eastAsia="Times New Roman" w:hAnsi="Times New Roman" w:cs="Times New Roman"/>
          <w:sz w:val="24"/>
          <w:szCs w:val="24"/>
        </w:rPr>
        <w:t xml:space="preserve"> measurements would be necessary to estimate ecosystem-level soil C efflux in a way that is comparable to the mineralization rates that we estimated using the mass balance model</w:t>
      </w:r>
      <w:r w:rsidR="00DB7A79">
        <w:rPr>
          <w:rFonts w:ascii="Times New Roman" w:eastAsia="Times New Roman" w:hAnsi="Times New Roman" w:cs="Times New Roman"/>
          <w:sz w:val="24"/>
          <w:szCs w:val="24"/>
        </w:rPr>
        <w:t xml:space="preserve"> (Eq. </w:t>
      </w:r>
      <w:r w:rsidR="00A04D58">
        <w:rPr>
          <w:rFonts w:ascii="Times New Roman" w:eastAsia="Times New Roman" w:hAnsi="Times New Roman" w:cs="Times New Roman"/>
          <w:sz w:val="24"/>
          <w:szCs w:val="24"/>
        </w:rPr>
        <w:t>1</w:t>
      </w:r>
      <w:r w:rsidR="00DB7A79">
        <w:rPr>
          <w:rFonts w:ascii="Times New Roman" w:eastAsia="Times New Roman" w:hAnsi="Times New Roman" w:cs="Times New Roman"/>
          <w:sz w:val="24"/>
          <w:szCs w:val="24"/>
        </w:rPr>
        <w:t>)</w:t>
      </w:r>
      <w:r w:rsidRPr="00C14D16">
        <w:rPr>
          <w:rFonts w:ascii="Times New Roman" w:eastAsia="Times New Roman" w:hAnsi="Times New Roman" w:cs="Times New Roman"/>
          <w:sz w:val="24"/>
          <w:szCs w:val="24"/>
        </w:rPr>
        <w:t>.</w:t>
      </w:r>
    </w:p>
    <w:p w14:paraId="618EB4E6" w14:textId="2070D18B" w:rsidR="00F51880" w:rsidRPr="00C14D16" w:rsidRDefault="002B3DD1">
      <w:pPr>
        <w:spacing w:line="480" w:lineRule="auto"/>
        <w:ind w:firstLine="720"/>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 xml:space="preserve">Higher soil activity tends to increase nutrient availability </w:t>
      </w:r>
      <w:r w:rsidR="000A58F4">
        <w:rPr>
          <w:rFonts w:ascii="Times New Roman" w:eastAsia="Times New Roman" w:hAnsi="Times New Roman" w:cs="Times New Roman"/>
          <w:sz w:val="24"/>
          <w:szCs w:val="24"/>
        </w:rPr>
        <w:fldChar w:fldCharType="begin" w:fldLock="1"/>
      </w:r>
      <w:r w:rsidR="005A2E0E">
        <w:rPr>
          <w:rFonts w:ascii="Times New Roman" w:eastAsia="Times New Roman" w:hAnsi="Times New Roman" w:cs="Times New Roman"/>
          <w:sz w:val="24"/>
          <w:szCs w:val="24"/>
        </w:rPr>
        <w:instrText>ADDIN CSL_CITATION {"citationItems":[{"id":"ITEM-1","itemData":{"DOI":"10.1111/j.1461-0248.2007.01139.x","ISSN":"1461023X","PMID":"18047587","abstract":"Microbes are the unseen majority in soil and comprise a large portion of life's genetic diversity. Despite their abundance, the impact of soil microbes on ecosystem processes is still poorly understood. Here we explore the various roles that soil microbes play in terrestrial ecosystems with special emphasis on their contribution to plant productivity and diversity. Soil microbes are important regulators of plant productivity, especially in nutrient poor ecosystems where plant symbionts are responsible for the acquisition of limiting nutrients. Mycorrhizal fungi and nitrogen-fixing bacteria are responsible for c. 5-20% (grassland and savannah) to 80% (temperate and boreal forests) of all nitrogen, and up to 75% of phosphorus, that is acquired by plants annually. Free-living microbes also strongly regulate plant productivity, through the mineralization of, and competition for, nutrients that sustain plant productivity. Soil microbes, including microbial pathogens, are also important regulators of plant community dynamics and plant diversity, determining plant abundance and, in some cases, facilitating invasion by exotic plants. Conservative estimates suggest that c. 20 000 plant species are completely dependent on microbial symbionts for growth and survival pointing to the importance of soil microbes as regulators of plant species richness on Earth. Overall, this review shows that soil microbes must be considered as important drivers of plant diversity and productivity in terrestrial ecosystems. © 2007 Blackwell Publishing Ltd/CNRS.","author":[{"dropping-particle":"","family":"Heijden","given":"Marcel G.A.","non-dropping-particle":"Van Der","parse-names":false,"suffix":""},{"dropping-particle":"","family":"Bardgett","given":"Richard D.","non-dropping-particle":"","parse-names":false,"suffix":""},{"dropping-particle":"","family":"Straalen","given":"Nico M.","non-dropping-particle":"Van","parse-names":false,"suffix":""}],"container-title":"Ecology Letters","id":"ITEM-1","issue":"3","issued":{"date-parts":[["2008"]]},"page":"296-310","title":"The unseen majority: Soil microbes as drivers of plant diversity and productivity in terrestrial ecosystems","type":"article-journal","volume":"11"},"uris":["http://www.mendeley.com/documents/?uuid=7dd63f5c-a771-429b-8274-d3843bc658d0"]}],"mendeley":{"formattedCitation":"(Van Der Heijden et al., 2008)","plainTextFormattedCitation":"(Van Der Heijden et al., 2008)","previouslyFormattedCitation":"(Van Der Heijden et al., 2008)"},"properties":{"noteIndex":0},"schema":"https://github.com/citation-style-language/schema/raw/master/csl-citation.json"}</w:instrText>
      </w:r>
      <w:r w:rsidR="000A58F4">
        <w:rPr>
          <w:rFonts w:ascii="Times New Roman" w:eastAsia="Times New Roman" w:hAnsi="Times New Roman" w:cs="Times New Roman"/>
          <w:sz w:val="24"/>
          <w:szCs w:val="24"/>
        </w:rPr>
        <w:fldChar w:fldCharType="separate"/>
      </w:r>
      <w:r w:rsidR="00473EEB" w:rsidRPr="00473EEB">
        <w:rPr>
          <w:rFonts w:ascii="Times New Roman" w:eastAsia="Times New Roman" w:hAnsi="Times New Roman" w:cs="Times New Roman"/>
          <w:noProof/>
          <w:sz w:val="24"/>
          <w:szCs w:val="24"/>
        </w:rPr>
        <w:t>(Van Der Heijden et al., 2008)</w:t>
      </w:r>
      <w:r w:rsidR="000A58F4">
        <w:rPr>
          <w:rFonts w:ascii="Times New Roman" w:eastAsia="Times New Roman" w:hAnsi="Times New Roman" w:cs="Times New Roman"/>
          <w:sz w:val="24"/>
          <w:szCs w:val="24"/>
        </w:rPr>
        <w:fldChar w:fldCharType="end"/>
      </w:r>
      <w:r w:rsidR="000A58F4">
        <w:rPr>
          <w:rFonts w:ascii="Times New Roman" w:eastAsia="Times New Roman" w:hAnsi="Times New Roman" w:cs="Times New Roman"/>
          <w:sz w:val="24"/>
          <w:szCs w:val="24"/>
        </w:rPr>
        <w:t xml:space="preserve">, </w:t>
      </w:r>
      <w:r w:rsidRPr="00C14D16">
        <w:rPr>
          <w:rFonts w:ascii="Times New Roman" w:eastAsia="Times New Roman" w:hAnsi="Times New Roman" w:cs="Times New Roman"/>
          <w:sz w:val="24"/>
          <w:szCs w:val="24"/>
        </w:rPr>
        <w:t xml:space="preserve">which is consistent with the higher nutrient concentrations and CEC that we measured in the UFF compared to the lawn. Some of the improvement in soil activity and nutrient availability could directly reflect input from compost, which was instrumental in improving </w:t>
      </w:r>
      <w:r w:rsidR="0053505F">
        <w:rPr>
          <w:rFonts w:ascii="Times New Roman" w:eastAsia="Times New Roman" w:hAnsi="Times New Roman" w:cs="Times New Roman"/>
          <w:sz w:val="24"/>
          <w:szCs w:val="24"/>
        </w:rPr>
        <w:t>C</w:t>
      </w:r>
      <w:r w:rsidRPr="00C14D16">
        <w:rPr>
          <w:rFonts w:ascii="Times New Roman" w:eastAsia="Times New Roman" w:hAnsi="Times New Roman" w:cs="Times New Roman"/>
          <w:sz w:val="24"/>
          <w:szCs w:val="24"/>
        </w:rPr>
        <w:t xml:space="preserve"> stocks in experimental reforestation plots in New York City </w:t>
      </w:r>
      <w:r w:rsidR="000A58F4">
        <w:rPr>
          <w:rFonts w:ascii="Times New Roman" w:eastAsia="Times New Roman" w:hAnsi="Times New Roman" w:cs="Times New Roman"/>
          <w:sz w:val="24"/>
          <w:szCs w:val="24"/>
        </w:rPr>
        <w:fldChar w:fldCharType="begin" w:fldLock="1"/>
      </w:r>
      <w:r w:rsidR="005A2E0E">
        <w:rPr>
          <w:rFonts w:ascii="Times New Roman" w:eastAsia="Times New Roman" w:hAnsi="Times New Roman" w:cs="Times New Roman"/>
          <w:sz w:val="24"/>
          <w:szCs w:val="24"/>
        </w:rPr>
        <w:instrText>ADDIN CSL_CITATION {"citationItems":[{"id":"ITEM-1","itemData":{"DOI":"10.1002/eap.2336","ISSN":"19395582","abstract":"As urbanization increases worldwide, investments in nature-based solutions that aim to mitigate urban stressors and counter the impacts of global climate change are also on the rise. Tree planting on degraded urban lands—or afforestation—is one form of nature-based solution that has been increasingly implemented in cities around the world. The benefits of afforestation are, however, contingent on the capacity of soils to support the growth of planted trees, which poses a challenge in some urban settings where unfavorable soil conditions limit tree performance. Soil-focused site treatments could help urban areas overcome impediments to afforestation, yet few studies have examined the long-term (&gt;5 yr) effects of site treatments on soils and other management objectives. We analyzed the impacts of compost amendments, interplanting with shrubs, and tree species composition (six species vs. two species) on soil conditions and associated tree growth in 54 experimental afforestation plots in New York City, USA. We compared baseline soil conditions to conditions after 6 yr and examined changes in the treatment effects from 1 to 6 yr. Site treatments and tree planting increased soil microbial biomass, water holding capacity, and total carbon and nitrogen, and reduced soil pH and bulk density relative to baseline conditions. These changes were most pronounced in compost-amended plots, and the effects of the shrub and species composition treatments were minimal. In fact, compost was key to sustaining long-term changes in soil carbon stocks, which increased by 17% in compost-amended plots but declined in unamended plots. Plots amended with compost also had 59% more nitrogen than unamended plots, which was associated with a 20% increase in the basal area of planted trees. Improvements in soil conditions after 6 yr departed from the initial trends observed after 1 yr, highlighting the importance of longer-term studies to quantify restoration success. Altogether, our results show that site treatments and tree planting can have long-lasting impacts on soil conditions and that these changes can support multiple urban land management objectives.","author":[{"dropping-particle":"","family":"Ward","given":"Elisabeth B.","non-dropping-particle":"","parse-names":false,"suffix":""},{"dropping-particle":"","family":"Doroski","given":"Danica A.","non-dropping-particle":"","parse-names":false,"suffix":""},{"dropping-particle":"","family":"Felson","given":"Alexander J.","non-dropping-particle":"","parse-names":false,"suffix":""},{"dropping-particle":"","family":"Hallett","given":"Richard A.","non-dropping-particle":"","parse-names":false,"suffix":""},{"dropping-particle":"","family":"Oldfield","given":"Emily E.","non-dropping-particle":"","parse-names":false,"suffix":""},{"dropping-particle":"","family":"Kuebbing","given":"Sara E.","non-dropping-particle":"","parse-names":false,"suffix":""},{"dropping-particle":"","family":"Bradford","given":"Mark A.","non-dropping-particle":"","parse-names":false,"suffix":""}],"container-title":"Ecological Applications","id":"ITEM-1","issue":"5","issued":{"date-parts":[["2021"]]},"page":"1-15","title":"Positive long-term impacts of restoration on soils in an experimental urban forest","type":"article-journal","volume":"31"},"uris":["http://www.mendeley.com/documents/?uuid=7be3cb3a-16b3-4f42-86de-184d1dd060d5"]}],"mendeley":{"formattedCitation":"(Ward et al., 2021)","plainTextFormattedCitation":"(Ward et al., 2021)","previouslyFormattedCitation":"(Ward et al., 2021)"},"properties":{"noteIndex":0},"schema":"https://github.com/citation-style-language/schema/raw/master/csl-citation.json"}</w:instrText>
      </w:r>
      <w:r w:rsidR="000A58F4">
        <w:rPr>
          <w:rFonts w:ascii="Times New Roman" w:eastAsia="Times New Roman" w:hAnsi="Times New Roman" w:cs="Times New Roman"/>
          <w:sz w:val="24"/>
          <w:szCs w:val="24"/>
        </w:rPr>
        <w:fldChar w:fldCharType="separate"/>
      </w:r>
      <w:r w:rsidR="00473EEB" w:rsidRPr="00473EEB">
        <w:rPr>
          <w:rFonts w:ascii="Times New Roman" w:eastAsia="Times New Roman" w:hAnsi="Times New Roman" w:cs="Times New Roman"/>
          <w:noProof/>
          <w:sz w:val="24"/>
          <w:szCs w:val="24"/>
        </w:rPr>
        <w:t>(Ward et al., 2021)</w:t>
      </w:r>
      <w:r w:rsidR="000A58F4">
        <w:rPr>
          <w:rFonts w:ascii="Times New Roman" w:eastAsia="Times New Roman" w:hAnsi="Times New Roman" w:cs="Times New Roman"/>
          <w:sz w:val="24"/>
          <w:szCs w:val="24"/>
        </w:rPr>
        <w:fldChar w:fldCharType="end"/>
      </w:r>
      <w:r w:rsidR="000A58F4">
        <w:rPr>
          <w:rFonts w:ascii="Times New Roman" w:eastAsia="Times New Roman" w:hAnsi="Times New Roman" w:cs="Times New Roman"/>
          <w:sz w:val="24"/>
          <w:szCs w:val="24"/>
        </w:rPr>
        <w:t xml:space="preserve">. </w:t>
      </w:r>
      <w:r w:rsidRPr="00C14D16">
        <w:rPr>
          <w:rFonts w:ascii="Times New Roman" w:eastAsia="Times New Roman" w:hAnsi="Times New Roman" w:cs="Times New Roman"/>
          <w:sz w:val="24"/>
          <w:szCs w:val="24"/>
        </w:rPr>
        <w:t xml:space="preserve">However, a forest garden in France without exogenous inputs exhibited higher CEC and nutrient availability than conventional agricultural soils, likely because tree roots improved mineral weathering and plant litter retained nutrients within the system </w:t>
      </w:r>
      <w:r w:rsidR="000A58F4">
        <w:rPr>
          <w:rFonts w:ascii="Times New Roman" w:eastAsia="Times New Roman" w:hAnsi="Times New Roman" w:cs="Times New Roman"/>
          <w:sz w:val="24"/>
          <w:szCs w:val="24"/>
        </w:rPr>
        <w:fldChar w:fldCharType="begin" w:fldLock="1"/>
      </w:r>
      <w:r w:rsidR="005A2E0E">
        <w:rPr>
          <w:rFonts w:ascii="Times New Roman" w:eastAsia="Times New Roman" w:hAnsi="Times New Roman" w:cs="Times New Roman"/>
          <w:sz w:val="24"/>
          <w:szCs w:val="24"/>
        </w:rPr>
        <w:instrText>ADDIN CSL_CITATION {"citationItems":[{"id":"ITEM-1","itemData":{"DOI":"10.3389/fenvs.2018.00116","ISSN":"2296665X","abstract":"The limitations of conventional agriculture have accelerated the need for a transition to an environmentally and economically sustainable agricultural model. In this regard, the role played by soil organic matter (SOM) is key. Here, we aimed to study the impact of permaculture and biointensive micro-gardening practices, characterized by intensive cultivation, the use of large and localized organic inputs and the non-use of mineral fertilizers and pesticides, on soil physicochemical properties and SOM distribution in aggregate-size fractions. The physicochemical properties of soils in permaculture farming implemented for 7 years were compared with a soil under pasture. A soil experiencing conventional agriculture practices in similar geopedoclimatic conditions was simultaneously studied. Soils were separated into four aggregate-size fractions, into which organic carbon (OC) concentrations have been measured. The major soil physicochemical properties were measured on the bulk soils. The concentrations of total OC and nitrogen (N) in bulk soils were higher under permaculture practices, due to significant inputs of manure and compost, resulting in higher concentrations of the bioavailable nutrients Ca, Mg, K, and P. The permaculture practices sustained a level of macroaggregation similar to that of the pasture, and well above that of conventional practices. OC concentrations increased in the 250-2,000, 50-250 μm and occluded 50-250 μm fractions, but not in the &lt; 50 μm fraction compared to pasture. This can be explained by the too short duration of permaculture practices for allowing the decomposition of coarse particulate organic matter (POM) into fine sized SOM that is more associated with mineral particles. The higher OC stocks in permaculture are therefore mainly governed by the coarse POM fraction. Our results show that permaculture/biointensive micro-gardening practices enhance SOM storage and modify the distribution of SOM in aggregate-size fractions, while substantially improving nutrient bioavailability and suggest that these practices strongly affect soil properties. The effects of permaculture practices on soil properties would certainly vary depending on geopedoclimatic context, justifying the need to implement the approach for other soil types. Finally, we recommend to compare biogeochemical budget and nutrients use efficiency of permaculture gardening with conventional horticulture gardening.","author":[{"dropping-particle":"","family":"Tombeur","given":"Felix","non-dropping-particle":"de","parse-names":false,"suffix":""},{"dropping-particle":"","family":"Sohy","given":"Valentin","non-dropping-particle":"","parse-names":false,"suffix":""},{"dropping-particle":"","family":"Chenu","given":"Claire","non-dropping-particle":"","parse-names":false,"suffix":""},{"dropping-particle":"","family":"Colinet","given":"Gilles","non-dropping-particle":"","parse-names":false,"suffix":""},{"dropping-particle":"","family":"Cornelis","given":"Jean Thomas","non-dropping-particle":"","parse-names":false,"suffix":""}],"container-title":"Frontiers in Environmental Science","id":"ITEM-1","issue":"OCT","issued":{"date-parts":[["2018"]]},"page":"1-12","title":"Effects of permaculture practices on soil physicochemical properties and organic matter distribution in aggregates: A case study of the bec-hellouin farm (France)","type":"article-journal","volume":"6"},"uris":["http://www.mendeley.com/documents/?uuid=283c9c04-0eb0-4a85-9b27-6eeb4fce3218"]}],"mendeley":{"formattedCitation":"(de Tombeur et al., 2018)","plainTextFormattedCitation":"(de Tombeur et al., 2018)","previouslyFormattedCitation":"(de Tombeur et al., 2018)"},"properties":{"noteIndex":0},"schema":"https://github.com/citation-style-language/schema/raw/master/csl-citation.json"}</w:instrText>
      </w:r>
      <w:r w:rsidR="000A58F4">
        <w:rPr>
          <w:rFonts w:ascii="Times New Roman" w:eastAsia="Times New Roman" w:hAnsi="Times New Roman" w:cs="Times New Roman"/>
          <w:sz w:val="24"/>
          <w:szCs w:val="24"/>
        </w:rPr>
        <w:fldChar w:fldCharType="separate"/>
      </w:r>
      <w:r w:rsidR="00473EEB" w:rsidRPr="00473EEB">
        <w:rPr>
          <w:rFonts w:ascii="Times New Roman" w:eastAsia="Times New Roman" w:hAnsi="Times New Roman" w:cs="Times New Roman"/>
          <w:noProof/>
          <w:sz w:val="24"/>
          <w:szCs w:val="24"/>
        </w:rPr>
        <w:t>(de Tombeur et al., 2018)</w:t>
      </w:r>
      <w:r w:rsidR="000A58F4">
        <w:rPr>
          <w:rFonts w:ascii="Times New Roman" w:eastAsia="Times New Roman" w:hAnsi="Times New Roman" w:cs="Times New Roman"/>
          <w:sz w:val="24"/>
          <w:szCs w:val="24"/>
        </w:rPr>
        <w:fldChar w:fldCharType="end"/>
      </w:r>
      <w:r w:rsidRPr="00C14D16">
        <w:rPr>
          <w:rFonts w:ascii="Times New Roman" w:eastAsia="Times New Roman" w:hAnsi="Times New Roman" w:cs="Times New Roman"/>
          <w:sz w:val="24"/>
          <w:szCs w:val="24"/>
        </w:rPr>
        <w:t>.  Determining whether improved soil chemistry sustainably increases yields will require more detailed analysis of soil nutrient speciation as well as an assessment of nutrient losses with harvest compared to input from compost and other exogenous sources.</w:t>
      </w:r>
    </w:p>
    <w:p w14:paraId="3ABEB7F1" w14:textId="22FDD98B" w:rsidR="00F51880" w:rsidRPr="00C14D16" w:rsidRDefault="002B3DD1">
      <w:pPr>
        <w:spacing w:line="480" w:lineRule="auto"/>
        <w:ind w:firstLine="720"/>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 xml:space="preserve">Improvements in both soil activity and nutrient availability coincided with the development of a more diverse and functionally distinctive soil microbial community in the UFF compared to the lawn. The differences that we observed may combine </w:t>
      </w:r>
      <w:r w:rsidR="000A58F4">
        <w:rPr>
          <w:rFonts w:ascii="Times New Roman" w:eastAsia="Times New Roman" w:hAnsi="Times New Roman" w:cs="Times New Roman"/>
          <w:sz w:val="24"/>
          <w:szCs w:val="24"/>
        </w:rPr>
        <w:t>the known beneficial effects of</w:t>
      </w:r>
      <w:r w:rsidRPr="00C14D16">
        <w:rPr>
          <w:rFonts w:ascii="Times New Roman" w:eastAsia="Times New Roman" w:hAnsi="Times New Roman" w:cs="Times New Roman"/>
          <w:sz w:val="24"/>
          <w:szCs w:val="24"/>
        </w:rPr>
        <w:t xml:space="preserve"> both agroforestry and urba</w:t>
      </w:r>
      <w:r w:rsidR="00C52239">
        <w:rPr>
          <w:rFonts w:ascii="Times New Roman" w:eastAsia="Times New Roman" w:hAnsi="Times New Roman" w:cs="Times New Roman"/>
          <w:sz w:val="24"/>
          <w:szCs w:val="24"/>
        </w:rPr>
        <w:t>n agriculture</w:t>
      </w:r>
      <w:r w:rsidRPr="00C14D16">
        <w:rPr>
          <w:rFonts w:ascii="Times New Roman" w:eastAsia="Times New Roman" w:hAnsi="Times New Roman" w:cs="Times New Roman"/>
          <w:sz w:val="24"/>
          <w:szCs w:val="24"/>
        </w:rPr>
        <w:t xml:space="preserve">. Converting forests to agriculture generally decreases the diversity of soil bacteria, which recovers following reforestation </w:t>
      </w:r>
      <w:r w:rsidR="000A58F4">
        <w:rPr>
          <w:rFonts w:ascii="Times New Roman" w:eastAsia="Times New Roman" w:hAnsi="Times New Roman" w:cs="Times New Roman"/>
          <w:sz w:val="24"/>
          <w:szCs w:val="24"/>
        </w:rPr>
        <w:fldChar w:fldCharType="begin" w:fldLock="1"/>
      </w:r>
      <w:r w:rsidR="005A2E0E">
        <w:rPr>
          <w:rFonts w:ascii="Times New Roman" w:eastAsia="Times New Roman" w:hAnsi="Times New Roman" w:cs="Times New Roman"/>
          <w:sz w:val="24"/>
          <w:szCs w:val="24"/>
        </w:rPr>
        <w:instrText>ADDIN CSL_CITATION {"citationItems":[{"id":"ITEM-1","itemData":{"DOI":"10.1111/btp.12931","ISSN":"17447429","abstract":"Modifications to vegetation and soil due to changes in land use have the potential to alter the soil microbiome, with consequences for carbon and nutrient cycling. Despite the important function of soil microorganisms, little is known about their response to land-use change, especially in tropical regions where current rates of land conversion are greatest. The aim of this meta-analysis was to examine how land-use change influences soil microbial properties in tropical ecosystems and to identify current trends and knowledge gaps in the literature. We identified 83 published paired studies that reported data on microbial biomass, abundance, composition, and enzyme activity under representative land-use changes in the tropics. We calculated response ratios for studies that compared the following: reference forests to (a) agriculture, (b) pastures, (c) plantations, and (d) secondary forests. Soil microbial biomass decreased with forest conversion to agriculture and plantations. Microbial biomass response to land-use change depended on rainfall classes, although this was the only microbial variable which had sufficient data to test for a rainfall effect. Microbial abundance and enzyme activity showed variable results depending on the type of forest conversion. Microbial diversity and richness did not show any pattern with forest conversion or recovery to secondary forests. Published studies were not representative of the range of biophysical conditions observed in the tropics. Sites in moist regions in the American tropics were overrepresented. To better predict how land-use change affects the soil microbiome and its contribution to nutrient cycling, research should reflect observed environmental variation in the tropics. Abstract in Spanish is available with online material.","author":[{"dropping-particle":"","family":"Díaz-Vallejo","given":"Emily Judith","non-dropping-particle":"","parse-names":false,"suffix":""},{"dropping-particle":"","family":"Seeley","given":"Megan","non-dropping-particle":"","parse-names":false,"suffix":""},{"dropping-particle":"","family":"Smith","given":"A. Peyton","non-dropping-particle":"","parse-names":false,"suffix":""},{"dropping-particle":"","family":"Marín-Spiotta","given":"Erika","non-dropping-particle":"","parse-names":false,"suffix":""}],"container-title":"Biotropica","id":"ITEM-1","issue":"3","issued":{"date-parts":[["2021"]]},"title":"A meta-analysis of tropical land-use change effects on the soil microbiome: Emerging patterns and knowledge gaps","type":"article","volume":"53"},"uris":["http://www.mendeley.com/documents/?uuid=ae50c746-fcb4-34b9-89f4-0e9342bb538b"]}],"mendeley":{"formattedCitation":"(Díaz-Vallejo et al., 2021)","plainTextFormattedCitation":"(Díaz-Vallejo et al., 2021)","previouslyFormattedCitation":"(Díaz-Vallejo et al., 2021)"},"properties":{"noteIndex":0},"schema":"https://github.com/citation-style-language/schema/raw/master/csl-citation.json"}</w:instrText>
      </w:r>
      <w:r w:rsidR="000A58F4">
        <w:rPr>
          <w:rFonts w:ascii="Times New Roman" w:eastAsia="Times New Roman" w:hAnsi="Times New Roman" w:cs="Times New Roman"/>
          <w:sz w:val="24"/>
          <w:szCs w:val="24"/>
        </w:rPr>
        <w:fldChar w:fldCharType="separate"/>
      </w:r>
      <w:r w:rsidR="00473EEB" w:rsidRPr="00473EEB">
        <w:rPr>
          <w:rFonts w:ascii="Times New Roman" w:eastAsia="Times New Roman" w:hAnsi="Times New Roman" w:cs="Times New Roman"/>
          <w:noProof/>
          <w:sz w:val="24"/>
          <w:szCs w:val="24"/>
        </w:rPr>
        <w:t>(Díaz-Vallejo et al., 2021)</w:t>
      </w:r>
      <w:r w:rsidR="000A58F4">
        <w:rPr>
          <w:rFonts w:ascii="Times New Roman" w:eastAsia="Times New Roman" w:hAnsi="Times New Roman" w:cs="Times New Roman"/>
          <w:sz w:val="24"/>
          <w:szCs w:val="24"/>
        </w:rPr>
        <w:fldChar w:fldCharType="end"/>
      </w:r>
      <w:r w:rsidRPr="00C14D16">
        <w:rPr>
          <w:rFonts w:ascii="Times New Roman" w:eastAsia="Times New Roman" w:hAnsi="Times New Roman" w:cs="Times New Roman"/>
          <w:sz w:val="24"/>
          <w:szCs w:val="24"/>
        </w:rPr>
        <w:t xml:space="preserve">. These changes can have important functional consequences. Compared to farmland, agroforestry systems in China had higher soil </w:t>
      </w:r>
      <w:r w:rsidR="00A04D58">
        <w:rPr>
          <w:rFonts w:ascii="Times New Roman" w:eastAsia="Times New Roman" w:hAnsi="Times New Roman" w:cs="Times New Roman"/>
          <w:sz w:val="24"/>
          <w:szCs w:val="24"/>
        </w:rPr>
        <w:t>C</w:t>
      </w:r>
      <w:r w:rsidR="00A04D58" w:rsidRPr="00C14D16">
        <w:rPr>
          <w:rFonts w:ascii="Times New Roman" w:eastAsia="Times New Roman" w:hAnsi="Times New Roman" w:cs="Times New Roman"/>
          <w:sz w:val="24"/>
          <w:szCs w:val="24"/>
        </w:rPr>
        <w:t xml:space="preserve"> </w:t>
      </w:r>
      <w:r w:rsidRPr="00C14D16">
        <w:rPr>
          <w:rFonts w:ascii="Times New Roman" w:eastAsia="Times New Roman" w:hAnsi="Times New Roman" w:cs="Times New Roman"/>
          <w:sz w:val="24"/>
          <w:szCs w:val="24"/>
        </w:rPr>
        <w:t>and respiration, which correlated with increased divers</w:t>
      </w:r>
      <w:r w:rsidR="000A58F4">
        <w:rPr>
          <w:rFonts w:ascii="Times New Roman" w:eastAsia="Times New Roman" w:hAnsi="Times New Roman" w:cs="Times New Roman"/>
          <w:sz w:val="24"/>
          <w:szCs w:val="24"/>
        </w:rPr>
        <w:t xml:space="preserve">ity of both bacteria and fungi </w:t>
      </w:r>
      <w:r w:rsidR="000A58F4">
        <w:rPr>
          <w:rFonts w:ascii="Times New Roman" w:eastAsia="Times New Roman" w:hAnsi="Times New Roman" w:cs="Times New Roman"/>
          <w:sz w:val="24"/>
          <w:szCs w:val="24"/>
        </w:rPr>
        <w:fldChar w:fldCharType="begin" w:fldLock="1"/>
      </w:r>
      <w:r w:rsidR="005A2E0E">
        <w:rPr>
          <w:rFonts w:ascii="Times New Roman" w:eastAsia="Times New Roman" w:hAnsi="Times New Roman" w:cs="Times New Roman"/>
          <w:sz w:val="24"/>
          <w:szCs w:val="24"/>
        </w:rPr>
        <w:instrText>ADDIN CSL_CITATION {"citationItems":[{"id":"ITEM-1","itemData":{"DOI":"10.1016/j.foreco.2017.11.011","ISSN":"03781127","abstract":"Land-use change can modify terrestrial ecosystem processes with potentially important effects on below-ground carbon dynamics. Soil microbes are considered the rate-limiting factor in carbon decomposition. However, the effect of land-use change on soil microbial community and the mechanism of soil carbon dynamics remain unclear. In this study, soil samples were collected during four periods (April, June, August, and October) at sites in the Loess Plateau in China with different land- use types: Robinia pseudoacacia L. (RP) and abandoned land (AL); these areas were converted 40 years ago from similar farmlands, while the millet (Setaria italica) farmlands (FL) were selected as a control in our study. Quantitative PCR and Illumina sequencing of the 16S rRNA and ITS genes were performed to analyze the abundance, diversity, and compositions of the soil microbes (bacteria and fungi). Additionally, soil organic carbon fractions (soil organic carbon: SOC, dissolved organic carbon: DOC, microbial biomass carbon: MBC) and soil respiration components (soil respiration: SR, heterotrophic respiration: HR, autotrophic respiration: AR) were evaluated. The results showed that SOC fractions and soil respiration increased after land-use change, with significant correlation being observed. In particular, DOC was more related to SR and HR than to the other fractions. Moreover, the abundance and diversity of the microbes (bacteria and fungi) were greatly affected by the land- use change; both of them were significantly and positively correlated with soil organic carbon fractions and soil respiration components. For dominant bacterial phyla, both Proteobacteria and Bacteroidetes were significantly more abundant in the afforested soil than in the FL, while the abundances of Actinobacteria and Chloroflexi ranked as FL &gt; AL &gt; RP. For dominant fungal phyla, Ascomycota responded positively to land- use changes, whereas Basidiomycota responded negatively. Such changes in the abundances of microbial phyla were significantly correlated with the linkage of soil organic carbon fractions and respiration components. Altogether, these results suggest that the changes in components of soil respiration may be highly susceptible to soil organic carbon fractions, especially to DOC, and this linkage is largely modulated by microbial community across land-use changes.","author":[{"dropping-particle":"","family":"Ren","given":"Chengjie","non-dropping-particle":"","parse-names":false,"suffix":""},{"dropping-particle":"","family":"Wang","given":"Tao","non-dropping-particle":"","parse-names":false,"suffix":""},{"dropping-particle":"","family":"Xu","given":"Yadong","non-dropping-particle":"","parse-names":false,"suffix":""},{"dropping-particle":"","family":"Deng","given":"Jian","non-dropping-particle":"","parse-names":false,"suffix":""},{"dropping-particle":"","family":"Zhao","given":"Fazhu","non-dropping-particle":"","parse-names":false,"suffix":""},{"dropping-particle":"","family":"Yang","given":"Gaihe","non-dropping-particle":"","parse-names":false,"suffix":""},{"dropping-particle":"","family":"Han","given":"Xinhui","non-dropping-particle":"","parse-names":false,"suffix":""},{"dropping-particle":"","family":"Feng","given":"Yongzhong","non-dropping-particle":"","parse-names":false,"suffix":""},{"dropping-particle":"","family":"Ren","given":"Guangxin","non-dropping-particle":"","parse-names":false,"suffix":""}],"container-title":"Forest Ecology and Management","id":"ITEM-1","issue":"November 2017","issued":{"date-parts":[["2018"]]},"page":"170-178","publisher":"Elsevier","title":"Differential soil microbial community responses to the linkage of soil organic carbon fractions with respiration across land-use changes","type":"article-journal","volume":"409"},"uris":["http://www.mendeley.com/documents/?uuid=2b1f431f-3240-4d62-bb19-3a494a473fd0"]}],"mendeley":{"formattedCitation":"(Ren et al., 2018)","plainTextFormattedCitation":"(Ren et al., 2018)","previouslyFormattedCitation":"(Ren et al., 2018)"},"properties":{"noteIndex":0},"schema":"https://github.com/citation-style-language/schema/raw/master/csl-citation.json"}</w:instrText>
      </w:r>
      <w:r w:rsidR="000A58F4">
        <w:rPr>
          <w:rFonts w:ascii="Times New Roman" w:eastAsia="Times New Roman" w:hAnsi="Times New Roman" w:cs="Times New Roman"/>
          <w:sz w:val="24"/>
          <w:szCs w:val="24"/>
        </w:rPr>
        <w:fldChar w:fldCharType="separate"/>
      </w:r>
      <w:r w:rsidR="00473EEB" w:rsidRPr="00473EEB">
        <w:rPr>
          <w:rFonts w:ascii="Times New Roman" w:eastAsia="Times New Roman" w:hAnsi="Times New Roman" w:cs="Times New Roman"/>
          <w:noProof/>
          <w:sz w:val="24"/>
          <w:szCs w:val="24"/>
        </w:rPr>
        <w:t>(Ren et al., 2018)</w:t>
      </w:r>
      <w:r w:rsidR="000A58F4">
        <w:rPr>
          <w:rFonts w:ascii="Times New Roman" w:eastAsia="Times New Roman" w:hAnsi="Times New Roman" w:cs="Times New Roman"/>
          <w:sz w:val="24"/>
          <w:szCs w:val="24"/>
        </w:rPr>
        <w:fldChar w:fldCharType="end"/>
      </w:r>
      <w:r w:rsidRPr="00C14D16">
        <w:rPr>
          <w:rFonts w:ascii="Times New Roman" w:eastAsia="Times New Roman" w:hAnsi="Times New Roman" w:cs="Times New Roman"/>
          <w:sz w:val="24"/>
          <w:szCs w:val="24"/>
        </w:rPr>
        <w:t xml:space="preserve">. The increases in bacteria were also associated with changes in nutrient composition </w:t>
      </w:r>
      <w:r w:rsidR="000A58F4">
        <w:rPr>
          <w:rFonts w:ascii="Times New Roman" w:eastAsia="Times New Roman" w:hAnsi="Times New Roman" w:cs="Times New Roman"/>
          <w:sz w:val="24"/>
          <w:szCs w:val="24"/>
        </w:rPr>
        <w:fldChar w:fldCharType="begin" w:fldLock="1"/>
      </w:r>
      <w:r w:rsidR="005A2E0E">
        <w:rPr>
          <w:rFonts w:ascii="Times New Roman" w:eastAsia="Times New Roman" w:hAnsi="Times New Roman" w:cs="Times New Roman"/>
          <w:sz w:val="24"/>
          <w:szCs w:val="24"/>
        </w:rPr>
        <w:instrText>ADDIN CSL_CITATION {"citationItems":[{"id":"ITEM-1","itemData":{"DOI":"10.1016/j.foreco.2017.11.011","ISSN":"03781127","abstract":"Land-use change can modify terrestrial ecosystem processes with potentially important effects on below-ground carbon dynamics. Soil microbes are considered the rate-limiting factor in carbon decomposition. However, the effect of land-use change on soil microbial community and the mechanism of soil carbon dynamics remain unclear. In this study, soil samples were collected during four periods (April, June, August, and October) at sites in the Loess Plateau in China with different land- use types: Robinia pseudoacacia L. (RP) and abandoned land (AL); these areas were converted 40 years ago from similar farmlands, while the millet (Setaria italica) farmlands (FL) were selected as a control in our study. Quantitative PCR and Illumina sequencing of the 16S rRNA and ITS genes were performed to analyze the abundance, diversity, and compositions of the soil microbes (bacteria and fungi). Additionally, soil organic carbon fractions (soil organic carbon: SOC, dissolved organic carbon: DOC, microbial biomass carbon: MBC) and soil respiration components (soil respiration: SR, heterotrophic respiration: HR, autotrophic respiration: AR) were evaluated. The results showed that SOC fractions and soil respiration increased after land-use change, with significant correlation being observed. In particular, DOC was more related to SR and HR than to the other fractions. Moreover, the abundance and diversity of the microbes (bacteria and fungi) were greatly affected by the land- use change; both of them were significantly and positively correlated with soil organic carbon fractions and soil respiration components. For dominant bacterial phyla, both Proteobacteria and Bacteroidetes were significantly more abundant in the afforested soil than in the FL, while the abundances of Actinobacteria and Chloroflexi ranked as FL &gt; AL &gt; RP. For dominant fungal phyla, Ascomycota responded positively to land- use changes, whereas Basidiomycota responded negatively. Such changes in the abundances of microbial phyla were significantly correlated with the linkage of soil organic carbon fractions and respiration components. Altogether, these results suggest that the changes in components of soil respiration may be highly susceptible to soil organic carbon fractions, especially to DOC, and this linkage is largely modulated by microbial community across land-use changes.","author":[{"dropping-particle":"","family":"Ren","given":"Chengjie","non-dropping-particle":"","parse-names":false,"suffix":""},{"dropping-particle":"","family":"Wang","given":"Tao","non-dropping-particle":"","parse-names":false,"suffix":""},{"dropping-particle":"","family":"Xu","given":"Yadong","non-dropping-particle":"","parse-names":false,"suffix":""},{"dropping-particle":"","family":"Deng","given":"Jian","non-dropping-particle":"","parse-names":false,"suffix":""},{"dropping-particle":"","family":"Zhao","given":"Fazhu","non-dropping-particle":"","parse-names":false,"suffix":""},{"dropping-particle":"","family":"Yang","given":"Gaihe","non-dropping-particle":"","parse-names":false,"suffix":""},{"dropping-particle":"","family":"Han","given":"Xinhui","non-dropping-particle":"","parse-names":false,"suffix":""},{"dropping-particle":"","family":"Feng","given":"Yongzhong","non-dropping-particle":"","parse-names":false,"suffix":""},{"dropping-particle":"","family":"Ren","given":"Guangxin","non-dropping-particle":"","parse-names":false,"suffix":""}],"container-title":"Forest Ecology and Management","id":"ITEM-1","issue":"November 2017","issued":{"date-parts":[["2018"]]},"page":"170-178","publisher":"Elsevier","title":"Differential soil microbial community responses to the linkage of soil organic carbon fractions with respiration across land-use changes","type":"article-journal","volume":"409"},"uris":["http://www.mendeley.com/documents/?uuid=2b1f431f-3240-4d62-bb19-3a494a473fd0"]}],"mendeley":{"formattedCitation":"(Ren et al., 2018)","plainTextFormattedCitation":"(Ren et al., 2018)","previouslyFormattedCitation":"(Ren et al., 2018)"},"properties":{"noteIndex":0},"schema":"https://github.com/citation-style-language/schema/raw/master/csl-citation.json"}</w:instrText>
      </w:r>
      <w:r w:rsidR="000A58F4">
        <w:rPr>
          <w:rFonts w:ascii="Times New Roman" w:eastAsia="Times New Roman" w:hAnsi="Times New Roman" w:cs="Times New Roman"/>
          <w:sz w:val="24"/>
          <w:szCs w:val="24"/>
        </w:rPr>
        <w:fldChar w:fldCharType="separate"/>
      </w:r>
      <w:r w:rsidR="00473EEB" w:rsidRPr="00473EEB">
        <w:rPr>
          <w:rFonts w:ascii="Times New Roman" w:eastAsia="Times New Roman" w:hAnsi="Times New Roman" w:cs="Times New Roman"/>
          <w:noProof/>
          <w:sz w:val="24"/>
          <w:szCs w:val="24"/>
        </w:rPr>
        <w:t>(Ren et al., 2018)</w:t>
      </w:r>
      <w:r w:rsidR="000A58F4">
        <w:rPr>
          <w:rFonts w:ascii="Times New Roman" w:eastAsia="Times New Roman" w:hAnsi="Times New Roman" w:cs="Times New Roman"/>
          <w:sz w:val="24"/>
          <w:szCs w:val="24"/>
        </w:rPr>
        <w:fldChar w:fldCharType="end"/>
      </w:r>
      <w:r w:rsidRPr="00C14D16">
        <w:rPr>
          <w:rFonts w:ascii="Times New Roman" w:eastAsia="Times New Roman" w:hAnsi="Times New Roman" w:cs="Times New Roman"/>
          <w:sz w:val="24"/>
          <w:szCs w:val="24"/>
        </w:rPr>
        <w:t xml:space="preserve">. Urbanization also impacts soil microbial community structure and function, such that urban soils tend to have reduced bacterial biomass and diversity </w:t>
      </w:r>
      <w:r w:rsidR="000A58F4">
        <w:rPr>
          <w:rFonts w:ascii="Times New Roman" w:eastAsia="Times New Roman" w:hAnsi="Times New Roman" w:cs="Times New Roman"/>
          <w:sz w:val="24"/>
          <w:szCs w:val="24"/>
        </w:rPr>
        <w:fldChar w:fldCharType="begin" w:fldLock="1"/>
      </w:r>
      <w:r w:rsidR="005A2E0E">
        <w:rPr>
          <w:rFonts w:ascii="Times New Roman" w:eastAsia="Times New Roman" w:hAnsi="Times New Roman" w:cs="Times New Roman"/>
          <w:sz w:val="24"/>
          <w:szCs w:val="24"/>
        </w:rPr>
        <w:instrText>ADDIN CSL_CITATION {"citationItems":[{"id":"ITEM-1","itemData":{"DOI":"10.1007/s10311-018-0751-6","ISBN":"0123456789","ISSN":"16103661","abstract":"The last century was marked by a high demographic revolution and the fast development of urban environments. Now, more than 50% of the world’s 7.5 billion humans live in cities. This change has often induced the degradation of environmental quality in urban areas. As a consequence, management policies are now fostering the ‘return of nature’ in cities, which, in turn, is requiring a better understanding of the ecology of urban environments. In particular, there is a need for a better knowledge on soil management because soils provide many functions in cities such as urban agriculture. Optimizing the diversity of soil-living organisms is essential to many environmental functions such as water depollution, biochemical cycles, fertility and carbon storage. However, few studies on the biological quality of urban soils have been performed so far. This article reviews actual knowledge on soil biological quality for urban management. The definition of urban soils is discussed, and we present services provided by soils. We also review modern methods and techniques to assess the biological quality of urban soils. Last, we suggest communication means to improve the consideration of soil quality in urban planning policies aimed at sustainable cities.","author":[{"dropping-particle":"","family":"Guilland","given":"C.","non-dropping-particle":"","parse-names":false,"suffix":""},{"dropping-particle":"","family":"Maron","given":"P. A.","non-dropping-particle":"","parse-names":false,"suffix":""},{"dropping-particle":"","family":"Damas","given":"O.","non-dropping-particle":"","parse-names":false,"suffix":""},{"dropping-particle":"","family":"Ranjard","given":"L.","non-dropping-particle":"","parse-names":false,"suffix":""}],"container-title":"Environmental Chemistry Letters","id":"ITEM-1","issue":"4","issued":{"date-parts":[["2018"]]},"page":"1267-1282","publisher":"Springer International Publishing","title":"Biodiversity of urban soils for sustainable cities","type":"article-journal","volume":"16"},"uris":["http://www.mendeley.com/documents/?uuid=19dd99dd-1fa2-41ce-80cc-50adaabd5d1f"]}],"mendeley":{"formattedCitation":"(Guilland et al., 2018)","plainTextFormattedCitation":"(Guilland et al., 2018)","previouslyFormattedCitation":"(Guilland et al., 2018)"},"properties":{"noteIndex":0},"schema":"https://github.com/citation-style-language/schema/raw/master/csl-citation.json"}</w:instrText>
      </w:r>
      <w:r w:rsidR="000A58F4">
        <w:rPr>
          <w:rFonts w:ascii="Times New Roman" w:eastAsia="Times New Roman" w:hAnsi="Times New Roman" w:cs="Times New Roman"/>
          <w:sz w:val="24"/>
          <w:szCs w:val="24"/>
        </w:rPr>
        <w:fldChar w:fldCharType="separate"/>
      </w:r>
      <w:r w:rsidR="00473EEB" w:rsidRPr="00473EEB">
        <w:rPr>
          <w:rFonts w:ascii="Times New Roman" w:eastAsia="Times New Roman" w:hAnsi="Times New Roman" w:cs="Times New Roman"/>
          <w:noProof/>
          <w:sz w:val="24"/>
          <w:szCs w:val="24"/>
        </w:rPr>
        <w:t>(Guilland et al., 2018)</w:t>
      </w:r>
      <w:r w:rsidR="000A58F4">
        <w:rPr>
          <w:rFonts w:ascii="Times New Roman" w:eastAsia="Times New Roman" w:hAnsi="Times New Roman" w:cs="Times New Roman"/>
          <w:sz w:val="24"/>
          <w:szCs w:val="24"/>
        </w:rPr>
        <w:fldChar w:fldCharType="end"/>
      </w:r>
      <w:r w:rsidR="000A58F4">
        <w:rPr>
          <w:rFonts w:ascii="Times New Roman" w:eastAsia="Times New Roman" w:hAnsi="Times New Roman" w:cs="Times New Roman"/>
          <w:sz w:val="24"/>
          <w:szCs w:val="24"/>
        </w:rPr>
        <w:t xml:space="preserve">. </w:t>
      </w:r>
      <w:r w:rsidRPr="00C14D16">
        <w:rPr>
          <w:rFonts w:ascii="Times New Roman" w:eastAsia="Times New Roman" w:hAnsi="Times New Roman" w:cs="Times New Roman"/>
          <w:sz w:val="24"/>
          <w:szCs w:val="24"/>
        </w:rPr>
        <w:t xml:space="preserve">However, microbial diversity within urban greenspaces varies greatly depending on cultivation and the presence of woody plants. In Adelaide, Australia, nutrient availability and bacterial richness were highest in urban garden plots and much lower in lawns of sports fields </w:t>
      </w:r>
      <w:r w:rsidR="000A58F4">
        <w:rPr>
          <w:rFonts w:ascii="Times New Roman" w:eastAsia="Times New Roman" w:hAnsi="Times New Roman" w:cs="Times New Roman"/>
          <w:sz w:val="24"/>
          <w:szCs w:val="24"/>
        </w:rPr>
        <w:fldChar w:fldCharType="begin" w:fldLock="1"/>
      </w:r>
      <w:r w:rsidR="005A2E0E">
        <w:rPr>
          <w:rFonts w:ascii="Times New Roman" w:eastAsia="Times New Roman" w:hAnsi="Times New Roman" w:cs="Times New Roman"/>
          <w:sz w:val="24"/>
          <w:szCs w:val="24"/>
        </w:rPr>
        <w:instrText>ADDIN CSL_CITATION {"citationItems":[{"id":"ITEM-1","itemData":{"DOI":"10.1016/j.envres.2020.110425","ISSN":"10960953","PMID":"33157108","abstract":"The vegetation and soil microbiome within urban green spaces is increasingly managed to help conserve biodiversity and improve human health concurrently. However, the effects of green space management on urban soil ecosystems is poorly understood, despite their importance. Across 40 urban green spaces in metropolitan Adelaide, South Australia, we show that soil bacterial communities are strongly affected by urban green space type (incl. sport fields, community gardens, parklands and revegetated areas), and that plant species richness is positively associated with soil bacterial diversity. Importantly, these microbiome trends were not affected by geographic proximity of sample sites. Our results provide early evidence that urban green space management can have predictable effects on the soil microbiome, at least from a diversity perspective, which could prove important to inform policy development if urban green spaces are to be managed to optimise population health benefits.","author":[{"dropping-particle":"","family":"Baruch","given":"Zdravko","non-dropping-particle":"","parse-names":false,"suffix":""},{"dropping-particle":"","family":"Liddicoat","given":"Craig","non-dropping-particle":"","parse-names":false,"suffix":""},{"dropping-particle":"","family":"Cando-Dumancela","given":"Christian","non-dropping-particle":"","parse-names":false,"suffix":""},{"dropping-particle":"","family":"Laws","given":"Mark","non-dropping-particle":"","parse-names":false,"suffix":""},{"dropping-particle":"","family":"Morelli","given":"Hamish","non-dropping-particle":"","parse-names":false,"suffix":""},{"dropping-particle":"","family":"Weinstein","given":"Philip","non-dropping-particle":"","parse-names":false,"suffix":""},{"dropping-particle":"","family":"Young","given":"Jennifer M.","non-dropping-particle":"","parse-names":false,"suffix":""},{"dropping-particle":"","family":"Breed","given":"Martin F.","non-dropping-particle":"","parse-names":false,"suffix":""}],"container-title":"Environmental Research","id":"ITEM-1","issue":"September 2020","issued":{"date-parts":[["2021"]]},"page":"110425","publisher":"Elsevier Inc.","title":"Increased plant species richness associates with greater soil bacterial diversity in urban green spaces","type":"article-journal","volume":"196"},"uris":["http://www.mendeley.com/documents/?uuid=51e67096-5e6a-49a3-825e-82bb64dc1c96"]}],"mendeley":{"formattedCitation":"(Baruch et al., 2021)","plainTextFormattedCitation":"(Baruch et al., 2021)","previouslyFormattedCitation":"(Baruch et al., 2021)"},"properties":{"noteIndex":0},"schema":"https://github.com/citation-style-language/schema/raw/master/csl-citation.json"}</w:instrText>
      </w:r>
      <w:r w:rsidR="000A58F4">
        <w:rPr>
          <w:rFonts w:ascii="Times New Roman" w:eastAsia="Times New Roman" w:hAnsi="Times New Roman" w:cs="Times New Roman"/>
          <w:sz w:val="24"/>
          <w:szCs w:val="24"/>
        </w:rPr>
        <w:fldChar w:fldCharType="separate"/>
      </w:r>
      <w:r w:rsidR="00473EEB" w:rsidRPr="00473EEB">
        <w:rPr>
          <w:rFonts w:ascii="Times New Roman" w:eastAsia="Times New Roman" w:hAnsi="Times New Roman" w:cs="Times New Roman"/>
          <w:noProof/>
          <w:sz w:val="24"/>
          <w:szCs w:val="24"/>
        </w:rPr>
        <w:t>(Baruch et al., 2021)</w:t>
      </w:r>
      <w:r w:rsidR="000A58F4">
        <w:rPr>
          <w:rFonts w:ascii="Times New Roman" w:eastAsia="Times New Roman" w:hAnsi="Times New Roman" w:cs="Times New Roman"/>
          <w:sz w:val="24"/>
          <w:szCs w:val="24"/>
        </w:rPr>
        <w:fldChar w:fldCharType="end"/>
      </w:r>
      <w:r w:rsidRPr="00C14D16">
        <w:rPr>
          <w:rFonts w:ascii="Times New Roman" w:eastAsia="Times New Roman" w:hAnsi="Times New Roman" w:cs="Times New Roman"/>
          <w:sz w:val="24"/>
          <w:szCs w:val="24"/>
        </w:rPr>
        <w:t xml:space="preserve">. Sports fields also had lower fungal richness, particularly among saprotprohic taxa, compared to urban greenspaces with woody vegetation </w:t>
      </w:r>
      <w:r w:rsidR="000A58F4">
        <w:rPr>
          <w:rFonts w:ascii="Times New Roman" w:eastAsia="Times New Roman" w:hAnsi="Times New Roman" w:cs="Times New Roman"/>
          <w:sz w:val="24"/>
          <w:szCs w:val="24"/>
        </w:rPr>
        <w:fldChar w:fldCharType="begin" w:fldLock="1"/>
      </w:r>
      <w:r w:rsidR="005A2E0E">
        <w:rPr>
          <w:rFonts w:ascii="Times New Roman" w:eastAsia="Times New Roman" w:hAnsi="Times New Roman" w:cs="Times New Roman"/>
          <w:sz w:val="24"/>
          <w:szCs w:val="24"/>
        </w:rPr>
        <w:instrText>ADDIN CSL_CITATION {"citationItems":[{"id":"ITEM-1","itemData":{"DOI":"10.1016/j.funeco.2020.100939","ISSN":"17545048","abstract":"Plant-soil feedbacks not only shape plant communities but also the abiotic and biotic nature of soils. These feedbacks are well-studied in natural and agricultural landscapes, but poorly studied in cities. Here, we investigated soil fungal communities, vegetation and soil abiotic properties in five urban green space types within urban Adelaide, South Australia. We surveyed eight, spatially-independent replicates of Sport Fields, Community Gardens, Parklands, Young Revegetation, and Old Revegetation sites. Vegetation strongly associated with soil fungal abundance and diversity. Revegetated urban green spaces had appreciably higher fungal diversity than other spaces, as well as greater richness in saprotrophic and pathotrophic fungi. We suggest that restoration of urban green space fungal microbiomes appears possible via replanting the native vegetation community. Such revegetation interventions will likely have positive outcomes for not only biodiversity conservation but also human health, via re-creating a biodiverse environmental microbiome.","author":[{"dropping-particle":"","family":"Baruch","given":"Zdravko","non-dropping-particle":"","parse-names":false,"suffix":""},{"dropping-particle":"","family":"Liddicoat","given":"Craig","non-dropping-particle":"","parse-names":false,"suffix":""},{"dropping-particle":"","family":"Laws","given":"Mark","non-dropping-particle":"","parse-names":false,"suffix":""},{"dropping-particle":"","family":"Kiri Marker","given":"L.","non-dropping-particle":"","parse-names":false,"suffix":""},{"dropping-particle":"","family":"Morelli","given":"Hamish","non-dropping-particle":"","parse-names":false,"suffix":""},{"dropping-particle":"","family":"Yan","given":"Dong Feng","non-dropping-particle":"","parse-names":false,"suffix":""},{"dropping-particle":"","family":"Young","given":"Jennifer M.","non-dropping-particle":"","parse-names":false,"suffix":""},{"dropping-particle":"","family":"Breed","given":"Martin F.","non-dropping-particle":"","parse-names":false,"suffix":""}],"container-title":"Fungal Ecology","id":"ITEM-1","issued":{"date-parts":[["2020"]]},"page":"100939","publisher":"Elsevier Ltd","title":"Characterising the soil fungal microbiome in metropolitan green spaces across a vegetation biodiversity gradient","type":"article-journal","volume":"47"},"uris":["http://www.mendeley.com/documents/?uuid=ad5d371e-e2aa-43ed-b2b0-b827c84b381b"]}],"mendeley":{"formattedCitation":"(Baruch et al., 2020)","plainTextFormattedCitation":"(Baruch et al., 2020)","previouslyFormattedCitation":"(Baruch et al., 2020)"},"properties":{"noteIndex":0},"schema":"https://github.com/citation-style-language/schema/raw/master/csl-citation.json"}</w:instrText>
      </w:r>
      <w:r w:rsidR="000A58F4">
        <w:rPr>
          <w:rFonts w:ascii="Times New Roman" w:eastAsia="Times New Roman" w:hAnsi="Times New Roman" w:cs="Times New Roman"/>
          <w:sz w:val="24"/>
          <w:szCs w:val="24"/>
        </w:rPr>
        <w:fldChar w:fldCharType="separate"/>
      </w:r>
      <w:r w:rsidR="00473EEB" w:rsidRPr="00473EEB">
        <w:rPr>
          <w:rFonts w:ascii="Times New Roman" w:eastAsia="Times New Roman" w:hAnsi="Times New Roman" w:cs="Times New Roman"/>
          <w:noProof/>
          <w:sz w:val="24"/>
          <w:szCs w:val="24"/>
        </w:rPr>
        <w:t>(Baruch et al., 2020)</w:t>
      </w:r>
      <w:r w:rsidR="000A58F4">
        <w:rPr>
          <w:rFonts w:ascii="Times New Roman" w:eastAsia="Times New Roman" w:hAnsi="Times New Roman" w:cs="Times New Roman"/>
          <w:sz w:val="24"/>
          <w:szCs w:val="24"/>
        </w:rPr>
        <w:fldChar w:fldCharType="end"/>
      </w:r>
      <w:r w:rsidRPr="00C14D16">
        <w:rPr>
          <w:rFonts w:ascii="Times New Roman" w:eastAsia="Times New Roman" w:hAnsi="Times New Roman" w:cs="Times New Roman"/>
          <w:sz w:val="24"/>
          <w:szCs w:val="24"/>
        </w:rPr>
        <w:t xml:space="preserve">. Taken together with our analysis, these results strongly suggest that cultivating diverse woody plant species in urban settings changes microbial communities in ways that promote physical and chemical dimensions of soil </w:t>
      </w:r>
      <w:r w:rsidR="00DB7A79">
        <w:rPr>
          <w:rFonts w:ascii="Times New Roman" w:eastAsia="Times New Roman" w:hAnsi="Times New Roman" w:cs="Times New Roman"/>
          <w:sz w:val="24"/>
          <w:szCs w:val="24"/>
        </w:rPr>
        <w:t>function</w:t>
      </w:r>
      <w:r w:rsidRPr="00C14D16">
        <w:rPr>
          <w:rFonts w:ascii="Times New Roman" w:eastAsia="Times New Roman" w:hAnsi="Times New Roman" w:cs="Times New Roman"/>
          <w:sz w:val="24"/>
          <w:szCs w:val="24"/>
        </w:rPr>
        <w:t xml:space="preserve"> relative to traditionally managed </w:t>
      </w:r>
      <w:r w:rsidR="00430620">
        <w:rPr>
          <w:rFonts w:ascii="Times New Roman" w:eastAsia="Times New Roman" w:hAnsi="Times New Roman" w:cs="Times New Roman"/>
          <w:sz w:val="24"/>
          <w:szCs w:val="24"/>
        </w:rPr>
        <w:t>lawn</w:t>
      </w:r>
      <w:r w:rsidRPr="00C14D16">
        <w:rPr>
          <w:rFonts w:ascii="Times New Roman" w:eastAsia="Times New Roman" w:hAnsi="Times New Roman" w:cs="Times New Roman"/>
          <w:sz w:val="24"/>
          <w:szCs w:val="24"/>
        </w:rPr>
        <w:t>.</w:t>
      </w:r>
    </w:p>
    <w:p w14:paraId="41A370F7" w14:textId="77777777" w:rsidR="00F51880" w:rsidRPr="00B92A49" w:rsidRDefault="002B3DD1">
      <w:pPr>
        <w:spacing w:line="480" w:lineRule="auto"/>
        <w:rPr>
          <w:rFonts w:ascii="Times New Roman" w:eastAsia="Times New Roman" w:hAnsi="Times New Roman" w:cs="Times New Roman"/>
          <w:sz w:val="24"/>
          <w:szCs w:val="24"/>
        </w:rPr>
      </w:pPr>
      <w:r w:rsidRPr="00B92A49">
        <w:rPr>
          <w:rFonts w:ascii="Times New Roman" w:eastAsia="Times New Roman" w:hAnsi="Times New Roman" w:cs="Times New Roman"/>
          <w:i/>
          <w:sz w:val="24"/>
          <w:szCs w:val="24"/>
        </w:rPr>
        <w:t>Rapid SOC sequestration exhibits system-level constraints</w:t>
      </w:r>
    </w:p>
    <w:p w14:paraId="36319A75" w14:textId="7DD15377" w:rsidR="00F51880" w:rsidRPr="00C14D16" w:rsidRDefault="00DB7A79">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Gains in soil function</w:t>
      </w:r>
      <w:r w:rsidR="002B3DD1" w:rsidRPr="00C14D16">
        <w:rPr>
          <w:rFonts w:ascii="Times New Roman" w:eastAsia="Times New Roman" w:hAnsi="Times New Roman" w:cs="Times New Roman"/>
          <w:sz w:val="24"/>
          <w:szCs w:val="24"/>
        </w:rPr>
        <w:t xml:space="preserve"> coincided with rapid SOC sequestration, reinforcing the potential for urban land use to mitigate climate change in a way that illuminates emergent system-level regulation of forest ecosystems. Consistent with experiments, met</w:t>
      </w:r>
      <w:r w:rsidR="00A04D58">
        <w:rPr>
          <w:rFonts w:ascii="Times New Roman" w:eastAsia="Times New Roman" w:hAnsi="Times New Roman" w:cs="Times New Roman"/>
          <w:sz w:val="24"/>
          <w:szCs w:val="24"/>
        </w:rPr>
        <w:t>a</w:t>
      </w:r>
      <w:r w:rsidR="002B3DD1" w:rsidRPr="00C14D16">
        <w:rPr>
          <w:rFonts w:ascii="Times New Roman" w:eastAsia="Times New Roman" w:hAnsi="Times New Roman" w:cs="Times New Roman"/>
          <w:sz w:val="24"/>
          <w:szCs w:val="24"/>
        </w:rPr>
        <w:t xml:space="preserve">analyses and mechanistic models for how afforestation influences SOC cycling, establishing UFF sequestered </w:t>
      </w:r>
      <w:r>
        <w:rPr>
          <w:rFonts w:ascii="Times New Roman" w:eastAsia="Times New Roman" w:hAnsi="Times New Roman" w:cs="Times New Roman"/>
          <w:sz w:val="24"/>
          <w:szCs w:val="24"/>
        </w:rPr>
        <w:t>C</w:t>
      </w:r>
      <w:r w:rsidR="002B3DD1" w:rsidRPr="00C14D16">
        <w:rPr>
          <w:rFonts w:ascii="Times New Roman" w:eastAsia="Times New Roman" w:hAnsi="Times New Roman" w:cs="Times New Roman"/>
          <w:sz w:val="24"/>
          <w:szCs w:val="24"/>
        </w:rPr>
        <w:t xml:space="preserve"> </w:t>
      </w:r>
      <w:r w:rsidR="00C33986">
        <w:rPr>
          <w:rFonts w:ascii="Times New Roman" w:eastAsia="Times New Roman" w:hAnsi="Times New Roman" w:cs="Times New Roman"/>
          <w:sz w:val="24"/>
          <w:szCs w:val="24"/>
        </w:rPr>
        <w:fldChar w:fldCharType="begin" w:fldLock="1"/>
      </w:r>
      <w:r w:rsidR="005A2E0E">
        <w:rPr>
          <w:rFonts w:ascii="Times New Roman" w:eastAsia="Times New Roman" w:hAnsi="Times New Roman" w:cs="Times New Roman"/>
          <w:sz w:val="24"/>
          <w:szCs w:val="24"/>
        </w:rPr>
        <w:instrText>ADDIN CSL_CITATION {"citationItems":[{"id":"ITEM-1","itemData":{"DOI":"10.1016/j.agee.2017.11.032","ISSN":"01678809","abstract":"Climate change mitigation and food security are two of the main challenges of human society. Agroforestry systems, defined as the presence of trees on external and internal boundaries, cropland, or on any other available niche of farmland, can provide both climate change mitigation and food. There are several types of agroforestry systems with different rates of above ground and soil carbon (C) sequestration. The amount of carbon sequestered can depend on the type of system, climate, time since land use change and previous land use. Data was collected from a total of 86 published and peer reviewed studies on soil and above ground carbon sequestration for different agroforestry systems, climates and regions in the world. The objective was to understand which agroforestry systems provide the greatest benefits, and what are the main factors influencing, soil and above ground carbon sequestration. The results show that, on average, more soil carbon sequestration occurs in agroforestry systems classified as silvopastoral (4.38 tC ha−1 yr−1), and more above ground carbon sequestration occurs in improved fallows (11.29 tC ha−1 yr−1). On average, carbon benefits are greater in agroforestry systems Tropical climates when compared to agroforestry systems located in other climates, both in terms of soil (2.23 tC ha−1 yr−1) and above ground (4.85 tC ha−1 yr−1). In terms of land use change, the greatest above ground carbon sequestration (12.8 tC ha−1 yr−1) occurs when degraded land is replaced by improved fallow and the greatest soil carbon sequestration (4.38 tC ha−1 yr−1) results from the transition of a grassland system to a silvopastoral system. Time since the change is implemented was the main factor influencing above ground carbon sequestration, while climate mainly influences soil carbon sequestration most. The results of the analysis may be used to inform practitioners and policy makers on the most effective agroforestry system for carbon sequestration. The lack of data on carbon stocks before the implementation land use change and the lack of reporting on soil sampling design and variances were the main limitations in the data. The need to report this data should be considered in future studies if agroforestry systems are expected to play an important role as a climate change mitigation strategy.","author":[{"dropping-particle":"","family":"Feliciano","given":"Diana","non-dropping-particle":"","parse-names":false,"suffix":""},{"dropping-particle":"","family":"Ledo","given":"Alicia","non-dropping-particle":"","parse-names":false,"suffix":""},{"dropping-particle":"","family":"Hillier","given":"Jon","non-dropping-particle":"","parse-names":false,"suffix":""},{"dropping-particle":"","family":"Nayak","given":"Dali Rani","non-dropping-particle":"","parse-names":false,"suffix":""}],"container-title":"Agriculture, Ecosystems and Environment","id":"ITEM-1","issue":"November 2017","issued":{"date-parts":[["2018"]]},"page":"117-129","publisher":"Elsevier","title":"Which agroforestry options give the greatest soil and above ground carbon benefits in different world regions?","type":"article-journal","volume":"254"},"uris":["http://www.mendeley.com/documents/?uuid=18766366-0124-484e-aa3a-37c236321497"]},{"id":"ITEM-2","itemData":{"DOI":"10.1016/S0167-8809(03)00138-5","ISSN":"01678809","abstract":"Removing atmospheric carbon (C) and storing it in the terrestrial biosphere is one of the options, which have been proposed to compensate greenhouse gas (GHG) emissions. Agricultural lands are believed to be a major potential sink and could absorb large quantities of C if trees are reintroduced to these systems and judiciously managed together with crops and/or animals. Thus, the importance of agroforestry as a land-use system is receiving wider recognition not only in terms of agricultural sustainability but also in issues related to climate change. The objective of this paper was to analyse C storage data in some tropical agroforestry systems and to discuss the role they can play in reducing the concentration of CO2 in the atmosphere. The C sequestration potential of agroforestry systems is estimated between 12 and 228 Mg ha-1 with a median value of 95 Mg ha-1. Therefore, based on the earth's area that is suitable for the practice (585-1215 x 10 6 ha), 1.1-2.2 Pg C could be stored in the terrestrial ecosystems over the next 50 years. Long rotation systems such as agroforests, homegardens and boundary plantings can sequester sizeable quantities of C in plant biomass and in long-lasting wood products. Soil C sequestration constitutes another realistic option achievable in many agroforestry systems. In conclusion, the potential of agroforestry for CO2 mitigation is well recognised. However, there are a number of shortcomings that need to be emphasised. These include the uncertainties related to future shifts in global climate, land-use and land cover, the poor performance of trees and crops on substandard soils and dry environments, pests and diseases such as nematodes. In addition, more efforts are needed to improve methods for estimating C stocks and trace gas balances such as nitrous oxide (N2O) and methane (CH4) to determine net benefits of agroforestry on the atmosphere. © 2003 Elsevier Science B.V. All rights reserved.","author":[{"dropping-particle":"","family":"Albrecht","given":"Alain","non-dropping-particle":"","parse-names":false,"suffix":""},{"dropping-particle":"","family":"Kandji","given":"Serigne T.","non-dropping-particle":"","parse-names":false,"suffix":""}],"container-title":"Agriculture, Ecosystems and Environment","id":"ITEM-2","issue":"1-3","issued":{"date-parts":[["2003"]]},"page":"15-27","title":"Carbon sequestration in tropical agroforestry systems","type":"article-journal","volume":"99"},"uris":["http://www.mendeley.com/documents/?uuid=5a3c104e-db4e-4db8-b020-048c0e8417f9"]}],"mendeley":{"formattedCitation":"(Albrecht and Kandji, 2003; Feliciano et al., 2018)","plainTextFormattedCitation":"(Albrecht and Kandji, 2003; Feliciano et al., 2018)","previouslyFormattedCitation":"(Albrecht and Kandji, 2003; Feliciano et al., 2018)"},"properties":{"noteIndex":0},"schema":"https://github.com/citation-style-language/schema/raw/master/csl-citation.json"}</w:instrText>
      </w:r>
      <w:r w:rsidR="00C33986">
        <w:rPr>
          <w:rFonts w:ascii="Times New Roman" w:eastAsia="Times New Roman" w:hAnsi="Times New Roman" w:cs="Times New Roman"/>
          <w:sz w:val="24"/>
          <w:szCs w:val="24"/>
        </w:rPr>
        <w:fldChar w:fldCharType="separate"/>
      </w:r>
      <w:r w:rsidR="00473EEB" w:rsidRPr="00473EEB">
        <w:rPr>
          <w:rFonts w:ascii="Times New Roman" w:eastAsia="Times New Roman" w:hAnsi="Times New Roman" w:cs="Times New Roman"/>
          <w:noProof/>
          <w:sz w:val="24"/>
          <w:szCs w:val="24"/>
        </w:rPr>
        <w:t>(Albrecht and Kandji, 2003; Feliciano et al., 2018)</w:t>
      </w:r>
      <w:r w:rsidR="00C33986">
        <w:rPr>
          <w:rFonts w:ascii="Times New Roman" w:eastAsia="Times New Roman" w:hAnsi="Times New Roman" w:cs="Times New Roman"/>
          <w:sz w:val="24"/>
          <w:szCs w:val="24"/>
        </w:rPr>
        <w:fldChar w:fldCharType="end"/>
      </w:r>
      <w:r w:rsidR="002B3DD1" w:rsidRPr="00C14D16">
        <w:rPr>
          <w:rFonts w:ascii="Times New Roman" w:eastAsia="Times New Roman" w:hAnsi="Times New Roman" w:cs="Times New Roman"/>
          <w:sz w:val="24"/>
          <w:szCs w:val="24"/>
        </w:rPr>
        <w:t xml:space="preserve">. The magnitude was high but within the range observed for certain agroforestry systems. An early modelling analysis estimated potential soil </w:t>
      </w:r>
      <w:r w:rsidR="00A04D58">
        <w:rPr>
          <w:rFonts w:ascii="Times New Roman" w:eastAsia="Times New Roman" w:hAnsi="Times New Roman" w:cs="Times New Roman"/>
          <w:sz w:val="24"/>
          <w:szCs w:val="24"/>
        </w:rPr>
        <w:t>C</w:t>
      </w:r>
      <w:r w:rsidR="00A04D58" w:rsidRPr="00C14D16">
        <w:rPr>
          <w:rFonts w:ascii="Times New Roman" w:eastAsia="Times New Roman" w:hAnsi="Times New Roman" w:cs="Times New Roman"/>
          <w:sz w:val="24"/>
          <w:szCs w:val="24"/>
        </w:rPr>
        <w:t xml:space="preserve"> </w:t>
      </w:r>
      <w:r w:rsidR="002B3DD1" w:rsidRPr="00C14D16">
        <w:rPr>
          <w:rFonts w:ascii="Times New Roman" w:eastAsia="Times New Roman" w:hAnsi="Times New Roman" w:cs="Times New Roman"/>
          <w:sz w:val="24"/>
          <w:szCs w:val="24"/>
        </w:rPr>
        <w:t>sequestration of up</w:t>
      </w:r>
      <w:r w:rsidR="00006296">
        <w:rPr>
          <w:rFonts w:ascii="Times New Roman" w:eastAsia="Times New Roman" w:hAnsi="Times New Roman" w:cs="Times New Roman"/>
          <w:sz w:val="24"/>
          <w:szCs w:val="24"/>
        </w:rPr>
        <w:t xml:space="preserve"> </w:t>
      </w:r>
      <w:r w:rsidR="002B3DD1" w:rsidRPr="00C14D16">
        <w:rPr>
          <w:rFonts w:ascii="Times New Roman" w:eastAsia="Times New Roman" w:hAnsi="Times New Roman" w:cs="Times New Roman"/>
          <w:sz w:val="24"/>
          <w:szCs w:val="24"/>
        </w:rPr>
        <w:t>to 23 kg m</w:t>
      </w:r>
      <w:r w:rsidR="002B3DD1" w:rsidRPr="00C14D16">
        <w:rPr>
          <w:rFonts w:ascii="Times New Roman" w:eastAsia="Times New Roman" w:hAnsi="Times New Roman" w:cs="Times New Roman"/>
          <w:sz w:val="24"/>
          <w:szCs w:val="24"/>
          <w:vertAlign w:val="superscript"/>
        </w:rPr>
        <w:t>-2</w:t>
      </w:r>
      <w:r w:rsidR="002B3DD1" w:rsidRPr="00C14D16">
        <w:rPr>
          <w:rFonts w:ascii="Times New Roman" w:eastAsia="Times New Roman" w:hAnsi="Times New Roman" w:cs="Times New Roman"/>
          <w:sz w:val="24"/>
          <w:szCs w:val="24"/>
        </w:rPr>
        <w:t xml:space="preserve"> by converting traditional agriculture to agroforestry</w:t>
      </w:r>
      <w:r w:rsidR="00C33986">
        <w:rPr>
          <w:rFonts w:ascii="Times New Roman" w:eastAsia="Times New Roman" w:hAnsi="Times New Roman" w:cs="Times New Roman"/>
          <w:sz w:val="24"/>
          <w:szCs w:val="24"/>
        </w:rPr>
        <w:t xml:space="preserve"> </w:t>
      </w:r>
      <w:r w:rsidR="00C33986">
        <w:rPr>
          <w:rFonts w:ascii="Times New Roman" w:eastAsia="Times New Roman" w:hAnsi="Times New Roman" w:cs="Times New Roman"/>
          <w:sz w:val="24"/>
          <w:szCs w:val="24"/>
        </w:rPr>
        <w:fldChar w:fldCharType="begin" w:fldLock="1"/>
      </w:r>
      <w:r w:rsidR="005A2E0E">
        <w:rPr>
          <w:rFonts w:ascii="Times New Roman" w:eastAsia="Times New Roman" w:hAnsi="Times New Roman" w:cs="Times New Roman"/>
          <w:sz w:val="24"/>
          <w:szCs w:val="24"/>
        </w:rPr>
        <w:instrText>ADDIN CSL_CITATION {"citationItems":[{"id":"ITEM-1","itemData":{"DOI":"10.1016/S0167-8809(03)00138-5","ISSN":"01678809","abstract":"Removing atmospheric carbon (C) and storing it in the terrestrial biosphere is one of the options, which have been proposed to compensate greenhouse gas (GHG) emissions. Agricultural lands are believed to be a major potential sink and could absorb large quantities of C if trees are reintroduced to these systems and judiciously managed together with crops and/or animals. Thus, the importance of agroforestry as a land-use system is receiving wider recognition not only in terms of agricultural sustainability but also in issues related to climate change. The objective of this paper was to analyse C storage data in some tropical agroforestry systems and to discuss the role they can play in reducing the concentration of CO2 in the atmosphere. The C sequestration potential of agroforestry systems is estimated between 12 and 228 Mg ha-1 with a median value of 95 Mg ha-1. Therefore, based on the earth's area that is suitable for the practice (585-1215 x 10 6 ha), 1.1-2.2 Pg C could be stored in the terrestrial ecosystems over the next 50 years. Long rotation systems such as agroforests, homegardens and boundary plantings can sequester sizeable quantities of C in plant biomass and in long-lasting wood products. Soil C sequestration constitutes another realistic option achievable in many agroforestry systems. In conclusion, the potential of agroforestry for CO2 mitigation is well recognised. However, there are a number of shortcomings that need to be emphasised. These include the uncertainties related to future shifts in global climate, land-use and land cover, the poor performance of trees and crops on substandard soils and dry environments, pests and diseases such as nematodes. In addition, more efforts are needed to improve methods for estimating C stocks and trace gas balances such as nitrous oxide (N2O) and methane (CH4) to determine net benefits of agroforestry on the atmosphere. © 2003 Elsevier Science B.V. All rights reserved.","author":[{"dropping-particle":"","family":"Albrecht","given":"Alain","non-dropping-particle":"","parse-names":false,"suffix":""},{"dropping-particle":"","family":"Kandji","given":"Serigne T.","non-dropping-particle":"","parse-names":false,"suffix":""}],"container-title":"Agriculture, Ecosystems and Environment","id":"ITEM-1","issue":"1-3","issued":{"date-parts":[["2003"]]},"page":"15-27","title":"Carbon sequestration in tropical agroforestry systems","type":"article-journal","volume":"99"},"uris":["http://www.mendeley.com/documents/?uuid=5a3c104e-db4e-4db8-b020-048c0e8417f9"]}],"mendeley":{"formattedCitation":"(Albrecht and Kandji, 2003)","plainTextFormattedCitation":"(Albrecht and Kandji, 2003)","previouslyFormattedCitation":"(Albrecht and Kandji, 2003)"},"properties":{"noteIndex":0},"schema":"https://github.com/citation-style-language/schema/raw/master/csl-citation.json"}</w:instrText>
      </w:r>
      <w:r w:rsidR="00C33986">
        <w:rPr>
          <w:rFonts w:ascii="Times New Roman" w:eastAsia="Times New Roman" w:hAnsi="Times New Roman" w:cs="Times New Roman"/>
          <w:sz w:val="24"/>
          <w:szCs w:val="24"/>
        </w:rPr>
        <w:fldChar w:fldCharType="separate"/>
      </w:r>
      <w:r w:rsidR="00473EEB" w:rsidRPr="00473EEB">
        <w:rPr>
          <w:rFonts w:ascii="Times New Roman" w:eastAsia="Times New Roman" w:hAnsi="Times New Roman" w:cs="Times New Roman"/>
          <w:noProof/>
          <w:sz w:val="24"/>
          <w:szCs w:val="24"/>
        </w:rPr>
        <w:t>(Albrecht and Kandji, 2003)</w:t>
      </w:r>
      <w:r w:rsidR="00C33986">
        <w:rPr>
          <w:rFonts w:ascii="Times New Roman" w:eastAsia="Times New Roman" w:hAnsi="Times New Roman" w:cs="Times New Roman"/>
          <w:sz w:val="24"/>
          <w:szCs w:val="24"/>
        </w:rPr>
        <w:fldChar w:fldCharType="end"/>
      </w:r>
      <w:r w:rsidR="002B3DD1" w:rsidRPr="00C14D16">
        <w:rPr>
          <w:rFonts w:ascii="Times New Roman" w:eastAsia="Times New Roman" w:hAnsi="Times New Roman" w:cs="Times New Roman"/>
          <w:sz w:val="24"/>
          <w:szCs w:val="24"/>
        </w:rPr>
        <w:t xml:space="preserve">, which is consistent with empirical measurements from Canada which found </w:t>
      </w:r>
      <w:r w:rsidR="00C33986">
        <w:rPr>
          <w:rFonts w:ascii="Times New Roman" w:eastAsia="Times New Roman" w:hAnsi="Times New Roman" w:cs="Times New Roman"/>
          <w:sz w:val="24"/>
          <w:szCs w:val="24"/>
        </w:rPr>
        <w:t>over 20.1</w:t>
      </w:r>
      <w:r w:rsidR="002B3DD1" w:rsidRPr="00C14D16">
        <w:rPr>
          <w:rFonts w:ascii="Times New Roman" w:eastAsia="Times New Roman" w:hAnsi="Times New Roman" w:cs="Times New Roman"/>
          <w:sz w:val="24"/>
          <w:szCs w:val="24"/>
        </w:rPr>
        <w:t xml:space="preserve"> kg C m</w:t>
      </w:r>
      <w:r w:rsidR="002B3DD1" w:rsidRPr="00C14D16">
        <w:rPr>
          <w:rFonts w:ascii="Times New Roman" w:eastAsia="Times New Roman" w:hAnsi="Times New Roman" w:cs="Times New Roman"/>
          <w:sz w:val="24"/>
          <w:szCs w:val="24"/>
          <w:vertAlign w:val="superscript"/>
        </w:rPr>
        <w:t>-2</w:t>
      </w:r>
      <w:r w:rsidR="002B3DD1" w:rsidRPr="00C14D16">
        <w:rPr>
          <w:rFonts w:ascii="Times New Roman" w:eastAsia="Times New Roman" w:hAnsi="Times New Roman" w:cs="Times New Roman"/>
          <w:sz w:val="24"/>
          <w:szCs w:val="24"/>
        </w:rPr>
        <w:t xml:space="preserve"> in </w:t>
      </w:r>
      <w:r w:rsidR="00A04D58">
        <w:rPr>
          <w:rFonts w:ascii="Times New Roman" w:eastAsia="Times New Roman" w:hAnsi="Times New Roman" w:cs="Times New Roman"/>
          <w:sz w:val="24"/>
          <w:szCs w:val="24"/>
        </w:rPr>
        <w:t xml:space="preserve">soils from </w:t>
      </w:r>
      <w:r w:rsidR="002B3DD1" w:rsidRPr="00C14D16">
        <w:rPr>
          <w:rFonts w:ascii="Times New Roman" w:eastAsia="Times New Roman" w:hAnsi="Times New Roman" w:cs="Times New Roman"/>
          <w:sz w:val="24"/>
          <w:szCs w:val="24"/>
        </w:rPr>
        <w:t>fo</w:t>
      </w:r>
      <w:r w:rsidR="00C33986">
        <w:rPr>
          <w:rFonts w:ascii="Times New Roman" w:eastAsia="Times New Roman" w:hAnsi="Times New Roman" w:cs="Times New Roman"/>
          <w:sz w:val="24"/>
          <w:szCs w:val="24"/>
        </w:rPr>
        <w:t>rested sites compared to just 1</w:t>
      </w:r>
      <w:r w:rsidR="002B3DD1" w:rsidRPr="00C14D16">
        <w:rPr>
          <w:rFonts w:ascii="Times New Roman" w:eastAsia="Times New Roman" w:hAnsi="Times New Roman" w:cs="Times New Roman"/>
          <w:sz w:val="24"/>
          <w:szCs w:val="24"/>
        </w:rPr>
        <w:t>5 kg C m</w:t>
      </w:r>
      <w:r w:rsidR="002B3DD1" w:rsidRPr="00C14D16">
        <w:rPr>
          <w:rFonts w:ascii="Times New Roman" w:eastAsia="Times New Roman" w:hAnsi="Times New Roman" w:cs="Times New Roman"/>
          <w:sz w:val="24"/>
          <w:szCs w:val="24"/>
          <w:vertAlign w:val="superscript"/>
        </w:rPr>
        <w:t>-2</w:t>
      </w:r>
      <w:r w:rsidR="002B3DD1" w:rsidRPr="00C14D16">
        <w:rPr>
          <w:rFonts w:ascii="Times New Roman" w:eastAsia="Times New Roman" w:hAnsi="Times New Roman" w:cs="Times New Roman"/>
          <w:sz w:val="24"/>
          <w:szCs w:val="24"/>
        </w:rPr>
        <w:t xml:space="preserve"> in herblands </w:t>
      </w:r>
      <w:r w:rsidR="00C33986">
        <w:rPr>
          <w:rFonts w:ascii="Times New Roman" w:eastAsia="Times New Roman" w:hAnsi="Times New Roman" w:cs="Times New Roman"/>
          <w:sz w:val="24"/>
          <w:szCs w:val="24"/>
        </w:rPr>
        <w:fldChar w:fldCharType="begin" w:fldLock="1"/>
      </w:r>
      <w:r w:rsidR="005A2E0E">
        <w:rPr>
          <w:rFonts w:ascii="Times New Roman" w:eastAsia="Times New Roman" w:hAnsi="Times New Roman" w:cs="Times New Roman"/>
          <w:sz w:val="24"/>
          <w:szCs w:val="24"/>
        </w:rPr>
        <w:instrText>ADDIN CSL_CITATION {"citationItems":[{"id":"ITEM-1","itemData":{"DOI":"10.1016/j.agee.2015.07.016","ISSN":"01678809","abstract":"Agroforestry systems are common land uses across Canada and could play a substantial role in sequestering carbon (C) as part of efforts to combat climate change. We studied the impact of component land cover types (forested vs. adjacent herbland) in three agroforestry systems (hedgerow, shelterbelt and silvopasture) on organic C and nitrogen (N) distribution in three density fractions of soils at the 0-10 and 10-30cm layers. The study evaluated 36 sites (12 hedgerows, 12 shelterbelts and 12 silvopastures) in central Alberta, Canada, distributed along a soil/climate gradient of increasing moisture availability. At the 0-10cm layer, soil organic C (SOC) stock in the bulk soil was significantly greater in the silvopasture system (101) than in either the hedgerow (77) or shelterbelt system (67Mg Cha&lt;sup&gt;-1&lt;/sup&gt;). Soil organic C stock in both soil layers (0-10 and 10-30cm) was also significantly greater in the forested land cover (89 and 119Mg Cha&lt;sup&gt;-1&lt;/sup&gt;, respectively) than in adjacent herblands (76 and 77Mg Cha&lt;sup&gt;-1&lt;/sup&gt;). Across all sites, 31.5, 29.1, and 35.5% of SOC was found in the light fraction (&lt;1.6gcm&lt;sup&gt;-3&lt;/sup&gt;), occluded fraction (ultrasonic dispersion at 360W for 5min, &lt;1.6gcm&lt;sup&gt;-3&lt;/sup&gt;), and heavy fraction (&gt;1.6gcm&lt;sup&gt;-3&lt;/sup&gt;) of soils, respectively. The largest pool of SOC in the more labile light fraction of the 0-10cm layer was in the silvopasture system (50Mg Cha&lt;sup&gt;-1&lt;/sup&gt;), whereas the smallest labile light fraction component of SOC was in the shelterbelt system (17Mg Cha&lt;sup&gt;-1&lt;/sup&gt;). The largest pool of SOC in the more stable heavy fraction of both the 0-10 and 10-30cm depth classes was in the shelterbelt (33 and 35Mg Cha&lt;sup&gt;-1&lt;/sup&gt;, respectively), while the least SOC was in the silvopasture system (26 and 20Mg Cha&lt;sup&gt;-1&lt;/sup&gt;, respectively). We conclude that the presence of Populus based silvopasture system can increase C storage in surface mineral soils, and that the establishment of Picea based shelterbelts in an otherwise annually cropped agricultural landscape enhances the size of the stable SOC pool.","author":[{"dropping-particle":"","family":"Baah-Acheamfour","given":"Mark","non-dropping-particle":"","parse-names":false,"suffix":""},{"dropping-particle":"","family":"Chang","given":"Scott X.","non-dropping-particle":"","parse-names":false,"suffix":""},{"dropping-particle":"","family":"Carlyle","given":"Cameron N.","non-dropping-particle":"","parse-names":false,"suffix":""},{"dropping-particle":"","family":"Bork","given":"Edward W.","non-dropping-particle":"","parse-names":false,"suffix":""}],"container-title":"Agriculture, Ecosystems and Environment","id":"ITEM-1","issued":{"date-parts":[["2015"]]},"page":"105-113","publisher":"Elsevier B.V.","title":"Carbon pool size and stability are affected by trees and grassland cover types within agroforestry systems of western Canada","type":"article-journal","volume":"213"},"uris":["http://www.mendeley.com/documents/?uuid=c223e0cb-4355-49c6-8910-c314d7d1dfa5"]}],"mendeley":{"formattedCitation":"(Baah-Acheamfour et al., 2015)","plainTextFormattedCitation":"(Baah-Acheamfour et al., 2015)","previouslyFormattedCitation":"(Baah-Acheamfour et al., 2015)"},"properties":{"noteIndex":0},"schema":"https://github.com/citation-style-language/schema/raw/master/csl-citation.json"}</w:instrText>
      </w:r>
      <w:r w:rsidR="00C33986">
        <w:rPr>
          <w:rFonts w:ascii="Times New Roman" w:eastAsia="Times New Roman" w:hAnsi="Times New Roman" w:cs="Times New Roman"/>
          <w:sz w:val="24"/>
          <w:szCs w:val="24"/>
        </w:rPr>
        <w:fldChar w:fldCharType="separate"/>
      </w:r>
      <w:r w:rsidR="00473EEB" w:rsidRPr="00473EEB">
        <w:rPr>
          <w:rFonts w:ascii="Times New Roman" w:eastAsia="Times New Roman" w:hAnsi="Times New Roman" w:cs="Times New Roman"/>
          <w:noProof/>
          <w:sz w:val="24"/>
          <w:szCs w:val="24"/>
        </w:rPr>
        <w:t>(Baah-Acheamfour et al., 2015)</w:t>
      </w:r>
      <w:r w:rsidR="00C33986">
        <w:rPr>
          <w:rFonts w:ascii="Times New Roman" w:eastAsia="Times New Roman" w:hAnsi="Times New Roman" w:cs="Times New Roman"/>
          <w:sz w:val="24"/>
          <w:szCs w:val="24"/>
        </w:rPr>
        <w:fldChar w:fldCharType="end"/>
      </w:r>
      <w:r w:rsidR="002B3DD1" w:rsidRPr="00C14D16">
        <w:rPr>
          <w:rFonts w:ascii="Times New Roman" w:eastAsia="Times New Roman" w:hAnsi="Times New Roman" w:cs="Times New Roman"/>
          <w:sz w:val="24"/>
          <w:szCs w:val="24"/>
        </w:rPr>
        <w:t>. The comparable land</w:t>
      </w:r>
      <w:r w:rsidR="00C52239">
        <w:rPr>
          <w:rFonts w:ascii="Times New Roman" w:eastAsia="Times New Roman" w:hAnsi="Times New Roman" w:cs="Times New Roman"/>
          <w:sz w:val="24"/>
          <w:szCs w:val="24"/>
        </w:rPr>
        <w:t xml:space="preserve"> </w:t>
      </w:r>
      <w:r w:rsidR="002B3DD1" w:rsidRPr="00C14D16">
        <w:rPr>
          <w:rFonts w:ascii="Times New Roman" w:eastAsia="Times New Roman" w:hAnsi="Times New Roman" w:cs="Times New Roman"/>
          <w:sz w:val="24"/>
          <w:szCs w:val="24"/>
        </w:rPr>
        <w:t>cover types in our study</w:t>
      </w:r>
      <w:r w:rsidR="00C33986">
        <w:rPr>
          <w:rFonts w:ascii="Times New Roman" w:eastAsia="Times New Roman" w:hAnsi="Times New Roman" w:cs="Times New Roman"/>
          <w:sz w:val="24"/>
          <w:szCs w:val="24"/>
        </w:rPr>
        <w:t xml:space="preserve"> showed a similar</w:t>
      </w:r>
      <w:r w:rsidR="002B3DD1" w:rsidRPr="00C14D16">
        <w:rPr>
          <w:rFonts w:ascii="Times New Roman" w:eastAsia="Times New Roman" w:hAnsi="Times New Roman" w:cs="Times New Roman"/>
          <w:sz w:val="24"/>
          <w:szCs w:val="24"/>
        </w:rPr>
        <w:t xml:space="preserve"> difference in surface SOC stocks. Our measurements were also similar to values reported from co</w:t>
      </w:r>
      <w:r w:rsidR="00006296">
        <w:rPr>
          <w:rFonts w:ascii="Times New Roman" w:eastAsia="Times New Roman" w:hAnsi="Times New Roman" w:cs="Times New Roman"/>
          <w:sz w:val="24"/>
          <w:szCs w:val="24"/>
        </w:rPr>
        <w:t>ffee polyculture in Costa Rica (</w:t>
      </w:r>
      <w:r w:rsidR="002B3DD1" w:rsidRPr="00C14D16">
        <w:rPr>
          <w:rFonts w:ascii="Times New Roman" w:eastAsia="Times New Roman" w:hAnsi="Times New Roman" w:cs="Times New Roman"/>
          <w:sz w:val="24"/>
          <w:szCs w:val="24"/>
        </w:rPr>
        <w:t>16.8 kg C m</w:t>
      </w:r>
      <w:r w:rsidR="00C52239">
        <w:rPr>
          <w:rFonts w:ascii="Times New Roman" w:eastAsia="Times New Roman" w:hAnsi="Times New Roman" w:cs="Times New Roman"/>
          <w:sz w:val="24"/>
          <w:szCs w:val="24"/>
          <w:vertAlign w:val="superscript"/>
        </w:rPr>
        <w:t>-2</w:t>
      </w:r>
      <w:r w:rsidR="00C52239" w:rsidRPr="00C52239">
        <w:rPr>
          <w:rFonts w:ascii="Times New Roman" w:eastAsia="Times New Roman" w:hAnsi="Times New Roman" w:cs="Times New Roman"/>
          <w:sz w:val="24"/>
          <w:szCs w:val="24"/>
        </w:rPr>
        <w:t>,</w:t>
      </w:r>
      <w:r w:rsidR="00C52239">
        <w:rPr>
          <w:rFonts w:ascii="Times New Roman" w:eastAsia="Times New Roman" w:hAnsi="Times New Roman" w:cs="Times New Roman"/>
          <w:sz w:val="24"/>
          <w:szCs w:val="24"/>
        </w:rPr>
        <w:t xml:space="preserve"> </w:t>
      </w:r>
      <w:r w:rsidR="00C33986">
        <w:rPr>
          <w:rFonts w:ascii="Times New Roman" w:eastAsia="Times New Roman" w:hAnsi="Times New Roman" w:cs="Times New Roman"/>
          <w:sz w:val="24"/>
          <w:szCs w:val="24"/>
        </w:rPr>
        <w:fldChar w:fldCharType="begin" w:fldLock="1"/>
      </w:r>
      <w:r w:rsidR="005A2E0E">
        <w:rPr>
          <w:rFonts w:ascii="Times New Roman" w:eastAsia="Times New Roman" w:hAnsi="Times New Roman" w:cs="Times New Roman"/>
          <w:sz w:val="24"/>
          <w:szCs w:val="24"/>
        </w:rPr>
        <w:instrText>ADDIN CSL_CITATION {"citationItems":[{"id":"ITEM-1","itemData":{"author":[{"dropping-particle":"","family":"Alpizar","given":"L.","non-dropping-particle":"","parse-names":false,"suffix":""},{"dropping-particle":"","family":"Fassbender","given":"H.W.","non-dropping-particle":"","parse-names":false,"suffix":""},{"dropping-particle":"","family":"Heuveldop","given":"J.","non-dropping-particle":"","parse-names":false,"suffix":""},{"dropping-particle":"","family":"Folster","given":"H.","non-dropping-particle":"","parse-names":false,"suffix":""},{"dropping-particle":"","family":"Enriquez","given":"G.","non-dropping-particle":"","parse-names":false,"suffix":""}],"container-title":"Agroforestry Systems","id":"ITEM-1","issued":{"date-parts":[["1986"]]},"page":"175-189","title":"Modelling agroforestry systems of cacao ( Theobroma cacao ) with laurel ( Cordia alliodora ) and poro ( Erythrina poeppigiana ) Materials and methods The Studies were carried out at the Central Experiment of the Department","type":"article-journal"},"uris":["http://www.mendeley.com/documents/?uuid=fa6ca37e-5fa1-4ba0-9577-b1d5f6274dfe"]}],"mendeley":{"formattedCitation":"(Alpizar et al., 1986)","plainTextFormattedCitation":"(Alpizar et al., 1986)","previouslyFormattedCitation":"(Alpizar et al., 1986)"},"properties":{"noteIndex":0},"schema":"https://github.com/citation-style-language/schema/raw/master/csl-citation.json"}</w:instrText>
      </w:r>
      <w:r w:rsidR="00C33986">
        <w:rPr>
          <w:rFonts w:ascii="Times New Roman" w:eastAsia="Times New Roman" w:hAnsi="Times New Roman" w:cs="Times New Roman"/>
          <w:sz w:val="24"/>
          <w:szCs w:val="24"/>
        </w:rPr>
        <w:fldChar w:fldCharType="separate"/>
      </w:r>
      <w:r w:rsidR="00473EEB" w:rsidRPr="00473EEB">
        <w:rPr>
          <w:rFonts w:ascii="Times New Roman" w:eastAsia="Times New Roman" w:hAnsi="Times New Roman" w:cs="Times New Roman"/>
          <w:noProof/>
          <w:sz w:val="24"/>
          <w:szCs w:val="24"/>
        </w:rPr>
        <w:t>Alpizar et al., 1986)</w:t>
      </w:r>
      <w:r w:rsidR="00C33986">
        <w:rPr>
          <w:rFonts w:ascii="Times New Roman" w:eastAsia="Times New Roman" w:hAnsi="Times New Roman" w:cs="Times New Roman"/>
          <w:sz w:val="24"/>
          <w:szCs w:val="24"/>
        </w:rPr>
        <w:fldChar w:fldCharType="end"/>
      </w:r>
      <w:r w:rsidR="002B3DD1" w:rsidRPr="00C14D16">
        <w:rPr>
          <w:rFonts w:ascii="Times New Roman" w:eastAsia="Times New Roman" w:hAnsi="Times New Roman" w:cs="Times New Roman"/>
          <w:sz w:val="24"/>
          <w:szCs w:val="24"/>
        </w:rPr>
        <w:t>, which is very similar to the maximum attainable SOC that we projected of approximately 16 kg C m</w:t>
      </w:r>
      <w:r w:rsidR="002B3DD1" w:rsidRPr="00C14D16">
        <w:rPr>
          <w:rFonts w:ascii="Times New Roman" w:eastAsia="Times New Roman" w:hAnsi="Times New Roman" w:cs="Times New Roman"/>
          <w:sz w:val="24"/>
          <w:szCs w:val="24"/>
          <w:vertAlign w:val="superscript"/>
        </w:rPr>
        <w:t>-2</w:t>
      </w:r>
      <w:r w:rsidR="002B3DD1" w:rsidRPr="00C14D16">
        <w:rPr>
          <w:rFonts w:ascii="Times New Roman" w:eastAsia="Times New Roman" w:hAnsi="Times New Roman" w:cs="Times New Roman"/>
          <w:sz w:val="24"/>
          <w:szCs w:val="24"/>
        </w:rPr>
        <w:t xml:space="preserve">. Our measurements diverge from most in the very fast initial rate of </w:t>
      </w:r>
      <w:r w:rsidR="00C52239">
        <w:rPr>
          <w:rFonts w:ascii="Times New Roman" w:eastAsia="Times New Roman" w:hAnsi="Times New Roman" w:cs="Times New Roman"/>
          <w:sz w:val="24"/>
          <w:szCs w:val="24"/>
        </w:rPr>
        <w:t>sequestration in berm soils (3.</w:t>
      </w:r>
      <w:r w:rsidR="00A04D58">
        <w:rPr>
          <w:rFonts w:ascii="Times New Roman" w:eastAsia="Times New Roman" w:hAnsi="Times New Roman" w:cs="Times New Roman"/>
          <w:sz w:val="24"/>
          <w:szCs w:val="24"/>
        </w:rPr>
        <w:t>35</w:t>
      </w:r>
      <w:r w:rsidR="002B3DD1" w:rsidRPr="00C14D16">
        <w:rPr>
          <w:rFonts w:ascii="Times New Roman" w:eastAsia="Times New Roman" w:hAnsi="Times New Roman" w:cs="Times New Roman"/>
          <w:sz w:val="24"/>
          <w:szCs w:val="24"/>
        </w:rPr>
        <w:t xml:space="preserve"> kg C m</w:t>
      </w:r>
      <w:r w:rsidR="002B3DD1" w:rsidRPr="00C14D16">
        <w:rPr>
          <w:rFonts w:ascii="Times New Roman" w:eastAsia="Times New Roman" w:hAnsi="Times New Roman" w:cs="Times New Roman"/>
          <w:sz w:val="24"/>
          <w:szCs w:val="24"/>
          <w:vertAlign w:val="superscript"/>
        </w:rPr>
        <w:t xml:space="preserve">-2 </w:t>
      </w:r>
      <w:r w:rsidR="002B3DD1" w:rsidRPr="00C14D16">
        <w:rPr>
          <w:rFonts w:ascii="Times New Roman" w:eastAsia="Times New Roman" w:hAnsi="Times New Roman" w:cs="Times New Roman"/>
          <w:sz w:val="24"/>
          <w:szCs w:val="24"/>
        </w:rPr>
        <w:t>yr</w:t>
      </w:r>
      <w:r w:rsidR="002B3DD1" w:rsidRPr="00C14D16">
        <w:rPr>
          <w:rFonts w:ascii="Times New Roman" w:eastAsia="Times New Roman" w:hAnsi="Times New Roman" w:cs="Times New Roman"/>
          <w:sz w:val="24"/>
          <w:szCs w:val="24"/>
          <w:vertAlign w:val="superscript"/>
        </w:rPr>
        <w:t>-1</w:t>
      </w:r>
      <w:r w:rsidR="00006296">
        <w:rPr>
          <w:rFonts w:ascii="Times New Roman" w:eastAsia="Times New Roman" w:hAnsi="Times New Roman" w:cs="Times New Roman"/>
          <w:sz w:val="24"/>
          <w:szCs w:val="24"/>
        </w:rPr>
        <w:t>), which was</w:t>
      </w:r>
      <w:r w:rsidR="002B3DD1" w:rsidRPr="00C14D16">
        <w:rPr>
          <w:rFonts w:ascii="Times New Roman" w:eastAsia="Times New Roman" w:hAnsi="Times New Roman" w:cs="Times New Roman"/>
          <w:sz w:val="24"/>
          <w:szCs w:val="24"/>
        </w:rPr>
        <w:t xml:space="preserve"> nearly five times faster than observed in most agroforestry systems </w:t>
      </w:r>
      <w:r w:rsidR="00951927">
        <w:rPr>
          <w:rFonts w:ascii="Times New Roman" w:eastAsia="Times New Roman" w:hAnsi="Times New Roman" w:cs="Times New Roman"/>
          <w:sz w:val="24"/>
          <w:szCs w:val="24"/>
        </w:rPr>
        <w:fldChar w:fldCharType="begin" w:fldLock="1"/>
      </w:r>
      <w:r w:rsidR="005A2E0E">
        <w:rPr>
          <w:rFonts w:ascii="Times New Roman" w:eastAsia="Times New Roman" w:hAnsi="Times New Roman" w:cs="Times New Roman"/>
          <w:sz w:val="24"/>
          <w:szCs w:val="24"/>
        </w:rPr>
        <w:instrText>ADDIN CSL_CITATION {"citationItems":[{"id":"ITEM-1","itemData":{"DOI":"10.1016/j.agee.2017.11.032","ISSN":"01678809","abstract":"Climate change mitigation and food security are two of the main challenges of human society. Agroforestry systems, defined as the presence of trees on external and internal boundaries, cropland, or on any other available niche of farmland, can provide both climate change mitigation and food. There are several types of agroforestry systems with different rates of above ground and soil carbon (C) sequestration. The amount of carbon sequestered can depend on the type of system, climate, time since land use change and previous land use. Data was collected from a total of 86 published and peer reviewed studies on soil and above ground carbon sequestration for different agroforestry systems, climates and regions in the world. The objective was to understand which agroforestry systems provide the greatest benefits, and what are the main factors influencing, soil and above ground carbon sequestration. The results show that, on average, more soil carbon sequestration occurs in agroforestry systems classified as silvopastoral (4.38 tC ha−1 yr−1), and more above ground carbon sequestration occurs in improved fallows (11.29 tC ha−1 yr−1). On average, carbon benefits are greater in agroforestry systems Tropical climates when compared to agroforestry systems located in other climates, both in terms of soil (2.23 tC ha−1 yr−1) and above ground (4.85 tC ha−1 yr−1). In terms of land use change, the greatest above ground carbon sequestration (12.8 tC ha−1 yr−1) occurs when degraded land is replaced by improved fallow and the greatest soil carbon sequestration (4.38 tC ha−1 yr−1) results from the transition of a grassland system to a silvopastoral system. Time since the change is implemented was the main factor influencing above ground carbon sequestration, while climate mainly influences soil carbon sequestration most. The results of the analysis may be used to inform practitioners and policy makers on the most effective agroforestry system for carbon sequestration. The lack of data on carbon stocks before the implementation land use change and the lack of reporting on soil sampling design and variances were the main limitations in the data. The need to report this data should be considered in future studies if agroforestry systems are expected to play an important role as a climate change mitigation strategy.","author":[{"dropping-particle":"","family":"Feliciano","given":"Diana","non-dropping-particle":"","parse-names":false,"suffix":""},{"dropping-particle":"","family":"Ledo","given":"Alicia","non-dropping-particle":"","parse-names":false,"suffix":""},{"dropping-particle":"","family":"Hillier","given":"Jon","non-dropping-particle":"","parse-names":false,"suffix":""},{"dropping-particle":"","family":"Nayak","given":"Dali Rani","non-dropping-particle":"","parse-names":false,"suffix":""}],"container-title":"Agriculture, Ecosystems and Environment","id":"ITEM-1","issue":"November 2017","issued":{"date-parts":[["2018"]]},"page":"117-129","publisher":"Elsevier","title":"Which agroforestry options give the greatest soil and above ground carbon benefits in different world regions?","type":"article-journal","volume":"254"},"uris":["http://www.mendeley.com/documents/?uuid=18766366-0124-484e-aa3a-37c236321497"]}],"mendeley":{"formattedCitation":"(Feliciano et al., 2018)","plainTextFormattedCitation":"(Feliciano et al., 2018)","previouslyFormattedCitation":"(Feliciano et al., 2018)"},"properties":{"noteIndex":0},"schema":"https://github.com/citation-style-language/schema/raw/master/csl-citation.json"}</w:instrText>
      </w:r>
      <w:r w:rsidR="00951927">
        <w:rPr>
          <w:rFonts w:ascii="Times New Roman" w:eastAsia="Times New Roman" w:hAnsi="Times New Roman" w:cs="Times New Roman"/>
          <w:sz w:val="24"/>
          <w:szCs w:val="24"/>
        </w:rPr>
        <w:fldChar w:fldCharType="separate"/>
      </w:r>
      <w:r w:rsidR="00473EEB" w:rsidRPr="00473EEB">
        <w:rPr>
          <w:rFonts w:ascii="Times New Roman" w:eastAsia="Times New Roman" w:hAnsi="Times New Roman" w:cs="Times New Roman"/>
          <w:noProof/>
          <w:sz w:val="24"/>
          <w:szCs w:val="24"/>
        </w:rPr>
        <w:t>(Feliciano et al., 2018)</w:t>
      </w:r>
      <w:r w:rsidR="00951927">
        <w:rPr>
          <w:rFonts w:ascii="Times New Roman" w:eastAsia="Times New Roman" w:hAnsi="Times New Roman" w:cs="Times New Roman"/>
          <w:sz w:val="24"/>
          <w:szCs w:val="24"/>
        </w:rPr>
        <w:fldChar w:fldCharType="end"/>
      </w:r>
      <w:r w:rsidR="002B3DD1" w:rsidRPr="00C14D16">
        <w:rPr>
          <w:rFonts w:ascii="Times New Roman" w:eastAsia="Times New Roman" w:hAnsi="Times New Roman" w:cs="Times New Roman"/>
          <w:sz w:val="24"/>
          <w:szCs w:val="24"/>
        </w:rPr>
        <w:t xml:space="preserve">. However, the rate of </w:t>
      </w:r>
      <w:r w:rsidR="00D85446">
        <w:rPr>
          <w:rFonts w:ascii="Times New Roman" w:eastAsia="Times New Roman" w:hAnsi="Times New Roman" w:cs="Times New Roman"/>
          <w:sz w:val="24"/>
          <w:szCs w:val="24"/>
        </w:rPr>
        <w:t>C</w:t>
      </w:r>
      <w:r w:rsidR="00D85446" w:rsidRPr="00C14D16">
        <w:rPr>
          <w:rFonts w:ascii="Times New Roman" w:eastAsia="Times New Roman" w:hAnsi="Times New Roman" w:cs="Times New Roman"/>
          <w:sz w:val="24"/>
          <w:szCs w:val="24"/>
        </w:rPr>
        <w:t xml:space="preserve"> </w:t>
      </w:r>
      <w:r w:rsidR="002B3DD1" w:rsidRPr="00C14D16">
        <w:rPr>
          <w:rFonts w:ascii="Times New Roman" w:eastAsia="Times New Roman" w:hAnsi="Times New Roman" w:cs="Times New Roman"/>
          <w:sz w:val="24"/>
          <w:szCs w:val="24"/>
        </w:rPr>
        <w:t xml:space="preserve">sequestration that we observed in the original upper stratum of soil </w:t>
      </w:r>
      <w:r>
        <w:rPr>
          <w:rFonts w:ascii="Times New Roman" w:eastAsia="Times New Roman" w:hAnsi="Times New Roman" w:cs="Times New Roman"/>
          <w:sz w:val="24"/>
          <w:szCs w:val="24"/>
        </w:rPr>
        <w:t>(</w:t>
      </w:r>
      <w:r w:rsidRPr="00C14D16">
        <w:rPr>
          <w:rFonts w:ascii="Times New Roman" w:eastAsia="Times New Roman" w:hAnsi="Times New Roman" w:cs="Times New Roman"/>
          <w:sz w:val="24"/>
          <w:szCs w:val="24"/>
        </w:rPr>
        <w:t>0.7</w:t>
      </w:r>
      <w:r w:rsidR="00D85446">
        <w:rPr>
          <w:rFonts w:ascii="Times New Roman" w:eastAsia="Times New Roman" w:hAnsi="Times New Roman" w:cs="Times New Roman"/>
          <w:sz w:val="24"/>
          <w:szCs w:val="24"/>
        </w:rPr>
        <w:t>7</w:t>
      </w:r>
      <w:r w:rsidRPr="00C14D16">
        <w:rPr>
          <w:rFonts w:ascii="Times New Roman" w:eastAsia="Times New Roman" w:hAnsi="Times New Roman" w:cs="Times New Roman"/>
          <w:sz w:val="24"/>
          <w:szCs w:val="24"/>
        </w:rPr>
        <w:t xml:space="preserve"> kg m</w:t>
      </w:r>
      <w:r w:rsidRPr="00C14D16">
        <w:rPr>
          <w:rFonts w:ascii="Times New Roman" w:eastAsia="Times New Roman" w:hAnsi="Times New Roman" w:cs="Times New Roman"/>
          <w:sz w:val="24"/>
          <w:szCs w:val="24"/>
          <w:vertAlign w:val="superscript"/>
        </w:rPr>
        <w:t>-2</w:t>
      </w:r>
      <w:r w:rsidRPr="00C14D16">
        <w:rPr>
          <w:rFonts w:ascii="Times New Roman" w:eastAsia="Times New Roman" w:hAnsi="Times New Roman" w:cs="Times New Roman"/>
          <w:sz w:val="24"/>
          <w:szCs w:val="24"/>
        </w:rPr>
        <w:t xml:space="preserve"> y</w:t>
      </w:r>
      <w:r w:rsidRPr="00C14D16">
        <w:rPr>
          <w:rFonts w:ascii="Times New Roman" w:eastAsia="Times New Roman" w:hAnsi="Times New Roman" w:cs="Times New Roman"/>
          <w:sz w:val="24"/>
          <w:szCs w:val="24"/>
          <w:vertAlign w:val="superscript"/>
        </w:rPr>
        <w:t>-1</w:t>
      </w:r>
      <w:r>
        <w:rPr>
          <w:rFonts w:ascii="Times New Roman" w:eastAsia="Times New Roman" w:hAnsi="Times New Roman" w:cs="Times New Roman"/>
          <w:sz w:val="24"/>
          <w:szCs w:val="24"/>
        </w:rPr>
        <w:t>) i</w:t>
      </w:r>
      <w:r w:rsidR="002B3DD1" w:rsidRPr="00C14D16">
        <w:rPr>
          <w:rFonts w:ascii="Times New Roman" w:eastAsia="Times New Roman" w:hAnsi="Times New Roman" w:cs="Times New Roman"/>
          <w:sz w:val="24"/>
          <w:szCs w:val="24"/>
        </w:rPr>
        <w:t>s much closer to values reported from other agroforestry systems.</w:t>
      </w:r>
    </w:p>
    <w:p w14:paraId="27FF5578" w14:textId="25E89ED9" w:rsidR="00F51880" w:rsidRPr="00C14D16" w:rsidRDefault="002B3DD1">
      <w:pPr>
        <w:spacing w:line="480" w:lineRule="auto"/>
        <w:ind w:firstLine="720"/>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 xml:space="preserve">Several factors could contribute to the high values for SOC stocks and sequestration that we observed in our study. First, we measured C stocks on berms where soil amendments and tree plantings were concentrated. Because SOC concentrations tend to increase closer to trees </w:t>
      </w:r>
      <w:r w:rsidR="00951927">
        <w:rPr>
          <w:rFonts w:ascii="Times New Roman" w:eastAsia="Times New Roman" w:hAnsi="Times New Roman" w:cs="Times New Roman"/>
          <w:sz w:val="24"/>
          <w:szCs w:val="24"/>
        </w:rPr>
        <w:fldChar w:fldCharType="begin" w:fldLock="1"/>
      </w:r>
      <w:r w:rsidR="005A2E0E">
        <w:rPr>
          <w:rFonts w:ascii="Times New Roman" w:eastAsia="Times New Roman" w:hAnsi="Times New Roman" w:cs="Times New Roman"/>
          <w:sz w:val="24"/>
          <w:szCs w:val="24"/>
        </w:rPr>
        <w:instrText>ADDIN CSL_CITATION {"citationItems":[{"id":"ITEM-1","itemData":{"DOI":"10.1007/s11104-019-04320-6","ISSN":"15735036","abstract":"Aims: A field experiment was conducted to evaluate the effects of alley cropping systems on microbial activity and soil organic matter (SOM) pools. We hypothesized that enzyme activity and labile pools of SOM are early and sensitive indicators of changes induced by tree introduction in the cropping systems. Methods: Poplar-alfalfa and alder-gramineous (cereal or ryegrass) associations and their respective control systems (alfalfa and gramineous) were compared in terms of soil carbon (C), nitrogen (N) and water contents, SOM labile pools, NIRS-MIRS spectra and microbial enzyme activity in the topsoil (0–15 cm) for 4 years after tree planting. Results: After 1 year, tree introduction induced a decrease in soil water content, microbial biomass N and some enzyme activities under alfalfa system. After 4 years, tree introduction resulted in higher soil water contents in both systems (alfalfa and gramineous); higher microbial biomass N and lower C:N in alfalfa-poplar plots compared to control plots. MIRS-NIRS analyses showed a greatest differentiation in SOM quality between alfalfa-based systems. Conclusions: The effects of temperate agroforestry systems on SOC in the topsoil are relatively weak in the first years after tree introduction. Observed effects were more pronounced in the alfalfa-poplar system, probably due to higher tree growth. Further studies will provide insights into the longer-term effects of these systems on soil functioning.","author":[{"dropping-particle":"","family":"Clivot","given":"Hugues","non-dropping-particle":"","parse-names":false,"suffix":""},{"dropping-particle":"","family":"Petitjean","given":"Caroline","non-dropping-particle":"","parse-names":false,"suffix":""},{"dropping-particle":"","family":"Marron","given":"Nicolas","non-dropping-particle":"","parse-names":false,"suffix":""},{"dropping-particle":"","family":"Dallé","given":"Erwin","non-dropping-particle":"","parse-names":false,"suffix":""},{"dropping-particle":"","family":"Genestier","given":"Julie","non-dropping-particle":"","parse-names":false,"suffix":""},{"dropping-particle":"","family":"Blaszczyk","given":"Nicolas","non-dropping-particle":"","parse-names":false,"suffix":""},{"dropping-particle":"","family":"Santenoise","given":"Philippe","non-dropping-particle":"","parse-names":false,"suffix":""},{"dropping-particle":"","family":"Laflotte","given":"Alexandre","non-dropping-particle":"","parse-names":false,"suffix":""},{"dropping-particle":"","family":"Piutti","given":"Séverine","non-dropping-particle":"","parse-names":false,"suffix":""}],"container-title":"Plant and Soil","id":"ITEM-1","issue":"1-2","issued":{"date-parts":[["2020"]]},"page":"189-207","title":"Early effects of temperate agroforestry practices on soil organic matter and microbial enzyme activity","type":"article-journal","volume":"453"},"uris":["http://www.mendeley.com/documents/?uuid=3364bf2d-4c1f-42cc-93fd-0e697fcdc2be"]},{"id":"ITEM-2","itemData":{"DOI":"10.1111/ejss.12908","ISSN":"13652389","abstract":"Agroforestry systems have been much studied for their potential to store soil organic carbon (SOC). However, few data are available on their specific impact on potential SOC mineralization, especially at depth in subsoils. Moreover, many soils of the world, especially in arid and semiarid environments, also contain large stocks of soil inorganic carbon (SIC) as carbonates. Consequently, the organic carbon dynamics have been poorly investigated in these soils due to the complexity of measurements and of the processes involved. To assess mineralization rates of SOC with depth, we incubated soil samples from an 18-year-old agroforestry system (both tree row and alley) and an adjacent agricultural plot established on a calcareous soil in France. Soil samples were taken at four different depths: 0–10, 10–30, 70–100 and 160–180 cm. Total CO2 emissions, the isotopic composition (δ13C, ‰) of the CO2 and microbial biomass were measured. The SIC concentrations ranged from 48 to 63 g C kg−1 soil and the SOC concentrations ranged from 4 to 17 g C kg−1 soil. The contribution of SIC-derived CO2 represented about 20% in the topsoil and 60% in the subsoil of the total soil CO2 emissions. The microbial biomass and the SOC-derived CO2 emissions were larger in the topsoil, but the decomposition rates (day−1) remained stable with depth, suggesting that only the size of the labile carbon pool was modified with depth. Subsoil organic carbon seems to be as prone to decomposition as surface organic carbon. No difference in CO2 emissions was found between the agroforestry and the control plot, except in the tree row at 0–10 cm. Our results suggest that the measurement of soil respiration in calcareous soils could be overestimated if the isotopic signature of the CO2 is not taken into account. It also advocates more in-depth studies on carbonate dissolution–precipitation processes and their impact on CO2 emissions. Highlights: We measured SOC mineralization and inorganic carbon contribution to CO2 emissions in agroforestry Subsoil organic carbon was as prone to decomposition as surface organic carbon Inorganic carbon contribution to CO2 emissions ranged from 20 to 60% depending on soil depth Measurement of soil respiration in calcareous soils could be overestimated.","author":[{"dropping-particle":"","family":"Cardinael","given":"Rémi","non-dropping-particle":"","parse-names":false,"suffix":""},{"dropping-particle":"","family":"Chevallier","given":"Tiphaine","non-dropping-particle":"","parse-names":false,"suffix":""},{"dropping-particle":"","family":"Guenet","given":"Bertrand","non-dropping-particle":"","parse-names":false,"suffix":""},{"dropping-particle":"","family":"Girardin","given":"Cyril","non-dropping-particle":"","parse-names":false,"suffix":""},{"dropping-particle":"","family":"Cozzi","given":"Thomas","non-dropping-particle":"","parse-names":false,"suffix":""},{"dropping-particle":"","family":"Pouteau","given":"Valérie","non-dropping-particle":"","parse-names":false,"suffix":""},{"dropping-particle":"","family":"Chenu","given":"Claire","non-dropping-particle":"","parse-names":false,"suffix":""}],"container-title":"European Journal of Soil Science","id":"ITEM-2","issue":"5","issued":{"date-parts":[["2020"]]},"page":"909-923","title":"Organic carbon decomposition rates with depth and contribution of inorganic carbon to CO2 emissions under a Mediterranean agroforestry system","type":"article-journal","volume":"71"},"uris":["http://www.mendeley.com/documents/?uuid=596fd09f-151c-4e9e-aba7-6eaa50a1aeaa"]}],"mendeley":{"formattedCitation":"(Cardinael et al., 2020; Clivot et al., 2020)","plainTextFormattedCitation":"(Cardinael et al., 2020; Clivot et al., 2020)","previouslyFormattedCitation":"(Cardinael et al., 2020; Clivot et al., 2020)"},"properties":{"noteIndex":0},"schema":"https://github.com/citation-style-language/schema/raw/master/csl-citation.json"}</w:instrText>
      </w:r>
      <w:r w:rsidR="00951927">
        <w:rPr>
          <w:rFonts w:ascii="Times New Roman" w:eastAsia="Times New Roman" w:hAnsi="Times New Roman" w:cs="Times New Roman"/>
          <w:sz w:val="24"/>
          <w:szCs w:val="24"/>
        </w:rPr>
        <w:fldChar w:fldCharType="separate"/>
      </w:r>
      <w:r w:rsidR="00473EEB" w:rsidRPr="00473EEB">
        <w:rPr>
          <w:rFonts w:ascii="Times New Roman" w:eastAsia="Times New Roman" w:hAnsi="Times New Roman" w:cs="Times New Roman"/>
          <w:noProof/>
          <w:sz w:val="24"/>
          <w:szCs w:val="24"/>
        </w:rPr>
        <w:t>(Cardinael et al., 2020; Clivot et al., 2020)</w:t>
      </w:r>
      <w:r w:rsidR="00951927">
        <w:rPr>
          <w:rFonts w:ascii="Times New Roman" w:eastAsia="Times New Roman" w:hAnsi="Times New Roman" w:cs="Times New Roman"/>
          <w:sz w:val="24"/>
          <w:szCs w:val="24"/>
        </w:rPr>
        <w:fldChar w:fldCharType="end"/>
      </w:r>
      <w:r w:rsidRPr="00C14D16">
        <w:rPr>
          <w:rFonts w:ascii="Times New Roman" w:eastAsia="Times New Roman" w:hAnsi="Times New Roman" w:cs="Times New Roman"/>
          <w:sz w:val="24"/>
          <w:szCs w:val="24"/>
        </w:rPr>
        <w:t xml:space="preserve">, our values represent a maximum SOC stock for a subset of the UFF soils. Additional sampling from intervening alleys would more accurately estimate the SOC stocks of the entire project area and would probably yield lower </w:t>
      </w:r>
      <w:r w:rsidR="00AF2D43">
        <w:rPr>
          <w:rFonts w:ascii="Times New Roman" w:eastAsia="Times New Roman" w:hAnsi="Times New Roman" w:cs="Times New Roman"/>
          <w:sz w:val="24"/>
          <w:szCs w:val="24"/>
        </w:rPr>
        <w:t xml:space="preserve">average </w:t>
      </w:r>
      <w:r w:rsidRPr="00C14D16">
        <w:rPr>
          <w:rFonts w:ascii="Times New Roman" w:eastAsia="Times New Roman" w:hAnsi="Times New Roman" w:cs="Times New Roman"/>
          <w:sz w:val="24"/>
          <w:szCs w:val="24"/>
        </w:rPr>
        <w:t>SOC concentrations that are closer to values that</w:t>
      </w:r>
      <w:r w:rsidR="00951927">
        <w:rPr>
          <w:rFonts w:ascii="Times New Roman" w:eastAsia="Times New Roman" w:hAnsi="Times New Roman" w:cs="Times New Roman"/>
          <w:sz w:val="24"/>
          <w:szCs w:val="24"/>
        </w:rPr>
        <w:t xml:space="preserve"> have been reported for </w:t>
      </w:r>
      <w:r w:rsidRPr="00C14D16">
        <w:rPr>
          <w:rFonts w:ascii="Times New Roman" w:eastAsia="Times New Roman" w:hAnsi="Times New Roman" w:cs="Times New Roman"/>
          <w:sz w:val="24"/>
          <w:szCs w:val="24"/>
        </w:rPr>
        <w:t>agroforestry</w:t>
      </w:r>
      <w:r w:rsidR="00D85446">
        <w:rPr>
          <w:rFonts w:ascii="Times New Roman" w:eastAsia="Times New Roman" w:hAnsi="Times New Roman" w:cs="Times New Roman"/>
          <w:sz w:val="24"/>
          <w:szCs w:val="24"/>
        </w:rPr>
        <w:t xml:space="preserve"> experiments</w:t>
      </w:r>
      <w:r w:rsidRPr="00C14D16">
        <w:rPr>
          <w:rFonts w:ascii="Times New Roman" w:eastAsia="Times New Roman" w:hAnsi="Times New Roman" w:cs="Times New Roman"/>
          <w:sz w:val="24"/>
          <w:szCs w:val="24"/>
        </w:rPr>
        <w:t xml:space="preserve">. Geographic and biological factors could also contribute to the high maximum values for SOC concentrations that we observed. </w:t>
      </w:r>
      <w:r w:rsidR="00951927">
        <w:rPr>
          <w:rFonts w:ascii="Times New Roman" w:eastAsia="Times New Roman" w:hAnsi="Times New Roman" w:cs="Times New Roman"/>
          <w:sz w:val="24"/>
          <w:szCs w:val="24"/>
        </w:rPr>
        <w:t xml:space="preserve">Agroforestry projects in warmer locations tend to exhibit higher soil </w:t>
      </w:r>
      <w:r w:rsidR="0053505F">
        <w:rPr>
          <w:rFonts w:ascii="Times New Roman" w:eastAsia="Times New Roman" w:hAnsi="Times New Roman" w:cs="Times New Roman"/>
          <w:sz w:val="24"/>
          <w:szCs w:val="24"/>
        </w:rPr>
        <w:t>C</w:t>
      </w:r>
      <w:r w:rsidR="00951927">
        <w:rPr>
          <w:rFonts w:ascii="Times New Roman" w:eastAsia="Times New Roman" w:hAnsi="Times New Roman" w:cs="Times New Roman"/>
          <w:sz w:val="24"/>
          <w:szCs w:val="24"/>
        </w:rPr>
        <w:t xml:space="preserve"> concentrations </w:t>
      </w:r>
      <w:r w:rsidR="00951927">
        <w:rPr>
          <w:rFonts w:ascii="Times New Roman" w:eastAsia="Times New Roman" w:hAnsi="Times New Roman" w:cs="Times New Roman"/>
          <w:sz w:val="24"/>
          <w:szCs w:val="24"/>
        </w:rPr>
        <w:fldChar w:fldCharType="begin" w:fldLock="1"/>
      </w:r>
      <w:r w:rsidR="005A2E0E">
        <w:rPr>
          <w:rFonts w:ascii="Times New Roman" w:eastAsia="Times New Roman" w:hAnsi="Times New Roman" w:cs="Times New Roman"/>
          <w:sz w:val="24"/>
          <w:szCs w:val="24"/>
        </w:rPr>
        <w:instrText>ADDIN CSL_CITATION {"citationItems":[{"id":"ITEM-1","itemData":{"DOI":"10.1016/j.agee.2017.11.032","ISSN":"01678809","abstract":"Climate change mitigation and food security are two of the main challenges of human society. Agroforestry systems, defined as the presence of trees on external and internal boundaries, cropland, or on any other available niche of farmland, can provide both climate change mitigation and food. There are several types of agroforestry systems with different rates of above ground and soil carbon (C) sequestration. The amount of carbon sequestered can depend on the type of system, climate, time since land use change and previous land use. Data was collected from a total of 86 published and peer reviewed studies on soil and above ground carbon sequestration for different agroforestry systems, climates and regions in the world. The objective was to understand which agroforestry systems provide the greatest benefits, and what are the main factors influencing, soil and above ground carbon sequestration. The results show that, on average, more soil carbon sequestration occurs in agroforestry systems classified as silvopastoral (4.38 tC ha−1 yr−1), and more above ground carbon sequestration occurs in improved fallows (11.29 tC ha−1 yr−1). On average, carbon benefits are greater in agroforestry systems Tropical climates when compared to agroforestry systems located in other climates, both in terms of soil (2.23 tC ha−1 yr−1) and above ground (4.85 tC ha−1 yr−1). In terms of land use change, the greatest above ground carbon sequestration (12.8 tC ha−1 yr−1) occurs when degraded land is replaced by improved fallow and the greatest soil carbon sequestration (4.38 tC ha−1 yr−1) results from the transition of a grassland system to a silvopastoral system. Time since the change is implemented was the main factor influencing above ground carbon sequestration, while climate mainly influences soil carbon sequestration most. The results of the analysis may be used to inform practitioners and policy makers on the most effective agroforestry system for carbon sequestration. The lack of data on carbon stocks before the implementation land use change and the lack of reporting on soil sampling design and variances were the main limitations in the data. The need to report this data should be considered in future studies if agroforestry systems are expected to play an important role as a climate change mitigation strategy.","author":[{"dropping-particle":"","family":"Feliciano","given":"Diana","non-dropping-particle":"","parse-names":false,"suffix":""},{"dropping-particle":"","family":"Ledo","given":"Alicia","non-dropping-particle":"","parse-names":false,"suffix":""},{"dropping-particle":"","family":"Hillier","given":"Jon","non-dropping-particle":"","parse-names":false,"suffix":""},{"dropping-particle":"","family":"Nayak","given":"Dali Rani","non-dropping-particle":"","parse-names":false,"suffix":""}],"container-title":"Agriculture, Ecosystems and Environment","id":"ITEM-1","issue":"November 2017","issued":{"date-parts":[["2018"]]},"page":"117-129","publisher":"Elsevier","title":"Which agroforestry options give the greatest soil and above ground carbon benefits in different world regions?","type":"article-journal","volume":"254"},"uris":["http://www.mendeley.com/documents/?uuid=18766366-0124-484e-aa3a-37c236321497"]}],"mendeley":{"formattedCitation":"(Feliciano et al., 2018)","plainTextFormattedCitation":"(Feliciano et al., 2018)","previouslyFormattedCitation":"(Feliciano et al., 2018)"},"properties":{"noteIndex":0},"schema":"https://github.com/citation-style-language/schema/raw/master/csl-citation.json"}</w:instrText>
      </w:r>
      <w:r w:rsidR="00951927">
        <w:rPr>
          <w:rFonts w:ascii="Times New Roman" w:eastAsia="Times New Roman" w:hAnsi="Times New Roman" w:cs="Times New Roman"/>
          <w:sz w:val="24"/>
          <w:szCs w:val="24"/>
        </w:rPr>
        <w:fldChar w:fldCharType="separate"/>
      </w:r>
      <w:r w:rsidR="00473EEB" w:rsidRPr="00473EEB">
        <w:rPr>
          <w:rFonts w:ascii="Times New Roman" w:eastAsia="Times New Roman" w:hAnsi="Times New Roman" w:cs="Times New Roman"/>
          <w:noProof/>
          <w:sz w:val="24"/>
          <w:szCs w:val="24"/>
        </w:rPr>
        <w:t>(Feliciano et al., 2018)</w:t>
      </w:r>
      <w:r w:rsidR="00951927">
        <w:rPr>
          <w:rFonts w:ascii="Times New Roman" w:eastAsia="Times New Roman" w:hAnsi="Times New Roman" w:cs="Times New Roman"/>
          <w:sz w:val="24"/>
          <w:szCs w:val="24"/>
        </w:rPr>
        <w:fldChar w:fldCharType="end"/>
      </w:r>
      <w:r w:rsidR="00951927">
        <w:rPr>
          <w:rFonts w:ascii="Times New Roman" w:eastAsia="Times New Roman" w:hAnsi="Times New Roman" w:cs="Times New Roman"/>
          <w:sz w:val="24"/>
          <w:szCs w:val="24"/>
        </w:rPr>
        <w:t>.</w:t>
      </w:r>
      <w:r w:rsidRPr="00C14D16">
        <w:rPr>
          <w:rFonts w:ascii="Times New Roman" w:eastAsia="Times New Roman" w:hAnsi="Times New Roman" w:cs="Times New Roman"/>
          <w:sz w:val="24"/>
          <w:szCs w:val="24"/>
        </w:rPr>
        <w:t xml:space="preserve"> Also, ecological theory and experiments indicate that increasing woody plant diversity and associated functional trait variation tends to increase SOC sequestration</w:t>
      </w:r>
      <w:r w:rsidR="00951927">
        <w:rPr>
          <w:rFonts w:ascii="Times New Roman" w:eastAsia="Times New Roman" w:hAnsi="Times New Roman" w:cs="Times New Roman"/>
          <w:sz w:val="24"/>
          <w:szCs w:val="24"/>
        </w:rPr>
        <w:t xml:space="preserve"> </w:t>
      </w:r>
      <w:r w:rsidR="00951927">
        <w:rPr>
          <w:rFonts w:ascii="Times New Roman" w:eastAsia="Times New Roman" w:hAnsi="Times New Roman" w:cs="Times New Roman"/>
          <w:sz w:val="24"/>
          <w:szCs w:val="24"/>
        </w:rPr>
        <w:fldChar w:fldCharType="begin" w:fldLock="1"/>
      </w:r>
      <w:r w:rsidR="005A2E0E">
        <w:rPr>
          <w:rFonts w:ascii="Times New Roman" w:eastAsia="Times New Roman" w:hAnsi="Times New Roman" w:cs="Times New Roman"/>
          <w:sz w:val="24"/>
          <w:szCs w:val="24"/>
        </w:rPr>
        <w:instrText>ADDIN CSL_CITATION {"citationItems":[{"id":"ITEM-1","itemData":{"DOI":"10.1038/nclimate1862","ISSN":"1758678X","abstract":"Increasingly governments and the private sector are using planted forests to offset carbon emissions. Few studies, however, examine how tree diversity-defined here as species richness and/or stand composition-affects carbon storage in these plantings. Using aboveground tree biomass as a proxy for carbon storage, we used meta-analysis to compare carbon storage in tree mixtures with monoculture plantings. Tree mixes stored at least as much carbon as monocultures consisting of the mixture's most productive species and at times outperformed monoculture plantings. In mixed-species stands, individual species, and in particular nitrogen-fixing trees, increased stand biomass. Further motivations for incorporating tree richness into planted forests include the contribution of diversity to total forest carbon-pool development, carbon-pool stability and the provision of extra ecosystem services. Our findings suggest a two-pronged strategy for designing carbon plantings including: (1) increased tree species richness; and (2) the addition of species that contribute to carbon storage and other target functions. © 2013 Macmillan Publishers Limited. All rights reserved .","author":[{"dropping-particle":"","family":"Hulvey","given":"Kristin B.","non-dropping-particle":"","parse-names":false,"suffix":""},{"dropping-particle":"","family":"Hobbs","given":"Richard J.","non-dropping-particle":"","parse-names":false,"suffix":""},{"dropping-particle":"","family":"Standish","given":"Rachel J.","non-dropping-particle":"","parse-names":false,"suffix":""},{"dropping-particle":"","family":"Lindenmayer","given":"David B.","non-dropping-particle":"","parse-names":false,"suffix":""},{"dropping-particle":"","family":"Lach","given":"Lori","non-dropping-particle":"","parse-names":false,"suffix":""},{"dropping-particle":"","family":"Perring","given":"Michael P.","non-dropping-particle":"","parse-names":false,"suffix":""}],"container-title":"Nature Climate Change","id":"ITEM-1","issue":"10","issued":{"date-parts":[["2013"]]},"page":"869-874","publisher":"Nature Publishing Group","title":"Benefits of tree mixes in carbon plantings","type":"article-journal","volume":"3"},"uris":["http://www.mendeley.com/documents/?uuid=d6c82b4d-9c80-4f22-a66d-d3779e9acd35"]}],"mendeley":{"formattedCitation":"(Hulvey et al., 2013)","plainTextFormattedCitation":"(Hulvey et al., 2013)","previouslyFormattedCitation":"(Hulvey et al., 2013)"},"properties":{"noteIndex":0},"schema":"https://github.com/citation-style-language/schema/raw/master/csl-citation.json"}</w:instrText>
      </w:r>
      <w:r w:rsidR="00951927">
        <w:rPr>
          <w:rFonts w:ascii="Times New Roman" w:eastAsia="Times New Roman" w:hAnsi="Times New Roman" w:cs="Times New Roman"/>
          <w:sz w:val="24"/>
          <w:szCs w:val="24"/>
        </w:rPr>
        <w:fldChar w:fldCharType="separate"/>
      </w:r>
      <w:r w:rsidR="00473EEB" w:rsidRPr="00473EEB">
        <w:rPr>
          <w:rFonts w:ascii="Times New Roman" w:eastAsia="Times New Roman" w:hAnsi="Times New Roman" w:cs="Times New Roman"/>
          <w:noProof/>
          <w:sz w:val="24"/>
          <w:szCs w:val="24"/>
        </w:rPr>
        <w:t>(Hulvey et al., 2013)</w:t>
      </w:r>
      <w:r w:rsidR="00951927">
        <w:rPr>
          <w:rFonts w:ascii="Times New Roman" w:eastAsia="Times New Roman" w:hAnsi="Times New Roman" w:cs="Times New Roman"/>
          <w:sz w:val="24"/>
          <w:szCs w:val="24"/>
        </w:rPr>
        <w:fldChar w:fldCharType="end"/>
      </w:r>
      <w:r w:rsidRPr="00C14D16">
        <w:rPr>
          <w:rFonts w:ascii="Times New Roman" w:eastAsia="Times New Roman" w:hAnsi="Times New Roman" w:cs="Times New Roman"/>
          <w:sz w:val="24"/>
          <w:szCs w:val="24"/>
        </w:rPr>
        <w:t xml:space="preserve">. Our experiment included 33 species of trees and many more perennial pseudowoody herbs, vines and grasses with contrasting biogeographic origins. The extreme functional diversity of species involved could have increased the maximum SOC concentration. Additional experiments that vary species composition across climatic gradients are necessary to estimate how and why the SOC capacity of UFF may vary from </w:t>
      </w:r>
      <w:r w:rsidR="00DB7A79">
        <w:rPr>
          <w:rFonts w:ascii="Times New Roman" w:eastAsia="Times New Roman" w:hAnsi="Times New Roman" w:cs="Times New Roman"/>
          <w:sz w:val="24"/>
          <w:szCs w:val="24"/>
        </w:rPr>
        <w:t>other land use types</w:t>
      </w:r>
      <w:r w:rsidRPr="00C14D16">
        <w:rPr>
          <w:rFonts w:ascii="Times New Roman" w:eastAsia="Times New Roman" w:hAnsi="Times New Roman" w:cs="Times New Roman"/>
          <w:sz w:val="24"/>
          <w:szCs w:val="24"/>
        </w:rPr>
        <w:t>.</w:t>
      </w:r>
    </w:p>
    <w:p w14:paraId="097EA3B4" w14:textId="111DCDCD" w:rsidR="00F51880" w:rsidRPr="00C14D16" w:rsidRDefault="002B3DD1">
      <w:pPr>
        <w:spacing w:line="480" w:lineRule="auto"/>
        <w:ind w:firstLine="720"/>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While maximum SOC stocks and sequestration rates th</w:t>
      </w:r>
      <w:r w:rsidR="0053505F">
        <w:rPr>
          <w:rFonts w:ascii="Times New Roman" w:eastAsia="Times New Roman" w:hAnsi="Times New Roman" w:cs="Times New Roman"/>
          <w:sz w:val="24"/>
          <w:szCs w:val="24"/>
        </w:rPr>
        <w:t>at we estimated were high, fine-</w:t>
      </w:r>
      <w:r w:rsidRPr="00C14D16">
        <w:rPr>
          <w:rFonts w:ascii="Times New Roman" w:eastAsia="Times New Roman" w:hAnsi="Times New Roman" w:cs="Times New Roman"/>
          <w:sz w:val="24"/>
          <w:szCs w:val="24"/>
        </w:rPr>
        <w:t xml:space="preserve">scale variability </w:t>
      </w:r>
      <w:r w:rsidR="00D85446">
        <w:rPr>
          <w:rFonts w:ascii="Times New Roman" w:eastAsia="Times New Roman" w:hAnsi="Times New Roman" w:cs="Times New Roman"/>
          <w:sz w:val="24"/>
          <w:szCs w:val="24"/>
        </w:rPr>
        <w:t>implied</w:t>
      </w:r>
      <w:r w:rsidR="00D85446" w:rsidRPr="00C14D16">
        <w:rPr>
          <w:rFonts w:ascii="Times New Roman" w:eastAsia="Times New Roman" w:hAnsi="Times New Roman" w:cs="Times New Roman"/>
          <w:sz w:val="24"/>
          <w:szCs w:val="24"/>
        </w:rPr>
        <w:t xml:space="preserve"> </w:t>
      </w:r>
      <w:r w:rsidRPr="00C14D16">
        <w:rPr>
          <w:rFonts w:ascii="Times New Roman" w:eastAsia="Times New Roman" w:hAnsi="Times New Roman" w:cs="Times New Roman"/>
          <w:sz w:val="24"/>
          <w:szCs w:val="24"/>
        </w:rPr>
        <w:t xml:space="preserve">a rapidly approaching limit to SOC sequestration. Contrary to our prediction that contrasting tree functional traits would exaggerate initial differences in SOC concentrations, with some species storing more C belowground than others, fine-scale variability in SOC concentrations </w:t>
      </w:r>
      <w:r w:rsidR="0053505F">
        <w:rPr>
          <w:rFonts w:ascii="Times New Roman" w:eastAsia="Times New Roman" w:hAnsi="Times New Roman" w:cs="Times New Roman"/>
          <w:sz w:val="24"/>
          <w:szCs w:val="24"/>
        </w:rPr>
        <w:t xml:space="preserve">actually </w:t>
      </w:r>
      <w:r w:rsidRPr="00C14D16">
        <w:rPr>
          <w:rFonts w:ascii="Times New Roman" w:eastAsia="Times New Roman" w:hAnsi="Times New Roman" w:cs="Times New Roman"/>
          <w:sz w:val="24"/>
          <w:szCs w:val="24"/>
        </w:rPr>
        <w:t>decreased through time. The negative correlation between initial SOC concentration and subsequent SOC sequestration was consistent with a mass balance model</w:t>
      </w:r>
      <w:r w:rsidR="00D85446">
        <w:rPr>
          <w:rFonts w:ascii="Times New Roman" w:eastAsia="Times New Roman" w:hAnsi="Times New Roman" w:cs="Times New Roman"/>
          <w:sz w:val="24"/>
          <w:szCs w:val="24"/>
        </w:rPr>
        <w:t xml:space="preserve"> (Eq. 1)</w:t>
      </w:r>
      <w:r w:rsidRPr="00C14D16">
        <w:rPr>
          <w:rFonts w:ascii="Times New Roman" w:eastAsia="Times New Roman" w:hAnsi="Times New Roman" w:cs="Times New Roman"/>
          <w:sz w:val="24"/>
          <w:szCs w:val="24"/>
        </w:rPr>
        <w:t>. The model, which has been used to estimate SOC capacity for global land cover types</w:t>
      </w:r>
      <w:r w:rsidR="00951927">
        <w:rPr>
          <w:rFonts w:ascii="Times New Roman" w:eastAsia="Times New Roman" w:hAnsi="Times New Roman" w:cs="Times New Roman"/>
          <w:sz w:val="24"/>
          <w:szCs w:val="24"/>
        </w:rPr>
        <w:t xml:space="preserve"> </w:t>
      </w:r>
      <w:r w:rsidR="00951927">
        <w:rPr>
          <w:rFonts w:ascii="Times New Roman" w:eastAsia="Times New Roman" w:hAnsi="Times New Roman" w:cs="Times New Roman"/>
          <w:sz w:val="24"/>
          <w:szCs w:val="24"/>
        </w:rPr>
        <w:fldChar w:fldCharType="begin" w:fldLock="1"/>
      </w:r>
      <w:r w:rsidR="005A2E0E">
        <w:rPr>
          <w:rFonts w:ascii="Times New Roman" w:eastAsia="Times New Roman" w:hAnsi="Times New Roman" w:cs="Times New Roman"/>
          <w:sz w:val="24"/>
          <w:szCs w:val="24"/>
        </w:rPr>
        <w:instrText>ADDIN CSL_CITATION {"citationItems":[{"id":"ITEM-1","itemData":{"DOI":"10.1371/journal.pone.0222604","ISSN":"19326203","PMID":"31536571","abstract":"Assessments of the global carbon (C) cycle typically rely on simplified models which consider large areas as homogeneous in terms of the response of soils to land use or consider very broad land classes. For example, “cropland” is typically modelled as an aggregation of distinct practices and individual crops over large regions. Here, we use the process-based Rothamsted soil Carbon Model (RothC model), which has a history of being successfully applied at a global scale, to calculate attainable SOC stocks and C mineralization rates for each of c. 17,000 regions (combination of soil type and texture, climate type, initial land use and country) in the World, under near-past climate conditions. We considered 28 individual crops and, for each, multiple production practices, plus 16 forest types and 1 grassland class (total of 80 classes). We find that conversion to cropland can result in SOC increases, particularly when the soil remains covered with crop residues (an average gain of 12 t C/ha) or using irrigation (4 t C/ha), which are mutually reinforcing effects. Attainable SOC stocks vary significantly depending on the land use class, particularly for cropland. Common aggregations in global modelling of a single agricultural class would be inaccurate representations of these results. Attainable SOC stocks obtained here were compared to long-term experiment data and are well aligned with the literature. Our results provide a regional and detailed understanding of C sequestration that will also enable better greenhouse gas reporting at national level as alternatives to IPCC tier 2 defaults.","author":[{"dropping-particle":"","family":"Morais","given":"Tiago G.","non-dropping-particle":"","parse-names":false,"suffix":""},{"dropping-particle":"","family":"Teixeira","given":"Ricardo F.M.","non-dropping-particle":"","parse-names":false,"suffix":""},{"dropping-particle":"","family":"Domingos","given":"Tiago","non-dropping-particle":"","parse-names":false,"suffix":""}],"container-title":"PLoS ONE","id":"ITEM-1","issue":"9","issued":{"date-parts":[["2019"]]},"title":"Detailed global modelling of soil organic carbon in cropland, grassland and forest soils","type":"article","volume":"14"},"uris":["http://www.mendeley.com/documents/?uuid=31a4be27-7059-4f65-bd4f-691e6c4635eb"]}],"mendeley":{"formattedCitation":"(Morais et al., 2019)","plainTextFormattedCitation":"(Morais et al., 2019)","previouslyFormattedCitation":"(Morais et al., 2019)"},"properties":{"noteIndex":0},"schema":"https://github.com/citation-style-language/schema/raw/master/csl-citation.json"}</w:instrText>
      </w:r>
      <w:r w:rsidR="00951927">
        <w:rPr>
          <w:rFonts w:ascii="Times New Roman" w:eastAsia="Times New Roman" w:hAnsi="Times New Roman" w:cs="Times New Roman"/>
          <w:sz w:val="24"/>
          <w:szCs w:val="24"/>
        </w:rPr>
        <w:fldChar w:fldCharType="separate"/>
      </w:r>
      <w:r w:rsidR="00473EEB" w:rsidRPr="00473EEB">
        <w:rPr>
          <w:rFonts w:ascii="Times New Roman" w:eastAsia="Times New Roman" w:hAnsi="Times New Roman" w:cs="Times New Roman"/>
          <w:noProof/>
          <w:sz w:val="24"/>
          <w:szCs w:val="24"/>
        </w:rPr>
        <w:t>(Morais et al., 2019)</w:t>
      </w:r>
      <w:r w:rsidR="00951927">
        <w:rPr>
          <w:rFonts w:ascii="Times New Roman" w:eastAsia="Times New Roman" w:hAnsi="Times New Roman" w:cs="Times New Roman"/>
          <w:sz w:val="24"/>
          <w:szCs w:val="24"/>
        </w:rPr>
        <w:fldChar w:fldCharType="end"/>
      </w:r>
      <w:r w:rsidRPr="00C14D16">
        <w:rPr>
          <w:rFonts w:ascii="Times New Roman" w:eastAsia="Times New Roman" w:hAnsi="Times New Roman" w:cs="Times New Roman"/>
          <w:sz w:val="24"/>
          <w:szCs w:val="24"/>
        </w:rPr>
        <w:t xml:space="preserve">, is considerably simpler than widely used mechanistic </w:t>
      </w:r>
      <w:r w:rsidR="00787BC5">
        <w:rPr>
          <w:rFonts w:ascii="Times New Roman" w:eastAsia="Times New Roman" w:hAnsi="Times New Roman" w:cs="Times New Roman"/>
          <w:sz w:val="24"/>
          <w:szCs w:val="24"/>
        </w:rPr>
        <w:t xml:space="preserve">models for soil </w:t>
      </w:r>
      <w:r w:rsidR="00D85446">
        <w:rPr>
          <w:rFonts w:ascii="Times New Roman" w:eastAsia="Times New Roman" w:hAnsi="Times New Roman" w:cs="Times New Roman"/>
          <w:sz w:val="24"/>
          <w:szCs w:val="24"/>
        </w:rPr>
        <w:t xml:space="preserve">C </w:t>
      </w:r>
      <w:r w:rsidR="00787BC5">
        <w:rPr>
          <w:rFonts w:ascii="Times New Roman" w:eastAsia="Times New Roman" w:hAnsi="Times New Roman" w:cs="Times New Roman"/>
          <w:sz w:val="24"/>
          <w:szCs w:val="24"/>
        </w:rPr>
        <w:t xml:space="preserve">cycling </w:t>
      </w:r>
      <w:r w:rsidR="00787BC5">
        <w:rPr>
          <w:rFonts w:ascii="Times New Roman" w:eastAsia="Times New Roman" w:hAnsi="Times New Roman" w:cs="Times New Roman"/>
          <w:sz w:val="24"/>
          <w:szCs w:val="24"/>
        </w:rPr>
        <w:fldChar w:fldCharType="begin" w:fldLock="1"/>
      </w:r>
      <w:r w:rsidR="005A2E0E">
        <w:rPr>
          <w:rFonts w:ascii="Times New Roman" w:eastAsia="Times New Roman" w:hAnsi="Times New Roman" w:cs="Times New Roman"/>
          <w:sz w:val="24"/>
          <w:szCs w:val="24"/>
        </w:rPr>
        <w:instrText>ADDIN CSL_CITATION {"citationItems":[{"id":"ITEM-1","itemData":{"DOI":"10.1016/S0016-7061(97)00079-7","ISSN":"00167061","abstract":"As part of a model evaluation exercise, RothC-26.3, a model for the turnover of organic carbon in non-waterlogged soils, was fitted to measurements of organic carbon from 18 different experimental treatments on 6 long-term experimental sites in Germany, England, the USA, the Czech Republic and Australia. In the fitting process, the model was first run with an annual return of plant C that had been selected iteratively to give the carbon content of the soil at the start of each experiment. This was done for the soil and climate of each site. If the radiocarbon content of the soil organic matter was known, the inert organic carbon (IOM) content of the soil was also calculated for the start of the experiment. Using these carbon and radiocarbon contents as a starting point, the model was then run for each of the experimental treatments to be fitted, using iteratively selected values for the annual return of plant materials to the soil. The value used for each treatment was selected to optimise the fit between modelled and measured data over the whole experimental period: fitting was done by eye. Thus fitted, RothC-26.3 gave an acceptable approximation to the measurements for 14 of the treatments, bearing in mind the experimental errors in measuring soil organic carbon on a per hectare basis. With four of the treatments (Highfield Bare Fallow, Park Grass plot 13d, Ruzyne farmyard manure plot and Tamworth rotation 5), the fit was less satisfactory.","author":[{"dropping-particle":"","family":"Coleman","given":"K.","non-dropping-particle":"","parse-names":false,"suffix":""},{"dropping-particle":"","family":"Jenkinson","given":"D. S.","non-dropping-particle":"","parse-names":false,"suffix":""},{"dropping-particle":"","family":"Crocker","given":"G. J.","non-dropping-particle":"","parse-names":false,"suffix":""},{"dropping-particle":"","family":"Grace","given":"P. R.","non-dropping-particle":"","parse-names":false,"suffix":""},{"dropping-particle":"","family":"Klír","given":"J.","non-dropping-particle":"","parse-names":false,"suffix":""},{"dropping-particle":"","family":"Körschens","given":"M.","non-dropping-particle":"","parse-names":false,"suffix":""},{"dropping-particle":"","family":"Poulton","given":"P. R.","non-dropping-particle":"","parse-names":false,"suffix":""},{"dropping-particle":"","family":"Richter","given":"D. D.","non-dropping-particle":"","parse-names":false,"suffix":""}],"container-title":"Geoderma","id":"ITEM-1","issue":"1-2","issued":{"date-parts":[["1997"]]},"title":"Simulating trends in soil organic carbon in long-term experiments using RothC-26.3","type":"article-journal","volume":"81"},"uris":["http://www.mendeley.com/documents/?uuid=868a48d2-3bcd-3a33-ae36-f669071da6bc"]},{"id":"ITEM-2","itemData":{"abstract":"We have developed a model to simulate the dynamics of C, N, P, and S in cultivated and uncultivated grassland soils. The model uses a monthly time step and can simulate the dynamics of soil organic matter over long time periods (100 to 10,000 years). It was used to simulate the impact of cultivation (100 years) on soil organic matter dynamics, nutrient mineralization, and plant production and to simulate soil formation during a 10,000 year run. The model was validated by comparing the simulated impact of cultivation on soil organic matter C, N, P, and S dynamics with observed data from sites in the northern Great Plains. The model correctly predicted that N and P are the primary limiting nutrients for plant production and simulated the response of the system to inorganic N, P, and S fertilizer. Simulation results indicate that controlling the C:P and C:S ratios of soil organic matter fractions as functions of the labile P and S levels respectively, allows the model to correctly simulate the observed changes in C:P and C:S ratios in the soil and to simulate the impact of varying the labile P and S levels on soil P and S net mineralization rates.","author":[{"dropping-particle":"","family":"Parton","given":"W. J.","non-dropping-particle":"","parse-names":false,"suffix":""},{"dropping-particle":"","family":"Stewart","given":"J. W B","non-dropping-particle":"","parse-names":false,"suffix":""},{"dropping-particle":"V.","family":"Cole","given":"C.","non-dropping-particle":"","parse-names":false,"suffix":""}],"container-title":"Biogeochemistry","id":"ITEM-2","issue":"1","issued":{"date-parts":[["1988"]]},"page":"109-131","publisher":"Martinus Nijhoff/Dr. W. Junk Publishers","title":"Dynamics of C, N, P and S in grassland soils: a model","type":"article-journal","volume":"5"},"uris":["http://www.mendeley.com/documents/?uuid=b2d9356f-b643-4b4f-b441-b92a61fdee00"]}],"mendeley":{"formattedCitation":"(Coleman et al., 1997; Parton et al., 1988)","manualFormatting":"(e.g. CENTURY Parton et al. 1988, RothC Coleman et al. 1997)","plainTextFormattedCitation":"(Coleman et al., 1997; Parton et al., 1988)","previouslyFormattedCitation":"(Coleman et al., 1997; Parton et al., 1988)"},"properties":{"noteIndex":0},"schema":"https://github.com/citation-style-language/schema/raw/master/csl-citation.json"}</w:instrText>
      </w:r>
      <w:r w:rsidR="00787BC5">
        <w:rPr>
          <w:rFonts w:ascii="Times New Roman" w:eastAsia="Times New Roman" w:hAnsi="Times New Roman" w:cs="Times New Roman"/>
          <w:sz w:val="24"/>
          <w:szCs w:val="24"/>
        </w:rPr>
        <w:fldChar w:fldCharType="separate"/>
      </w:r>
      <w:r w:rsidR="00787BC5" w:rsidRPr="00787BC5">
        <w:rPr>
          <w:rFonts w:ascii="Times New Roman" w:eastAsia="Times New Roman" w:hAnsi="Times New Roman" w:cs="Times New Roman"/>
          <w:noProof/>
          <w:sz w:val="24"/>
          <w:szCs w:val="24"/>
        </w:rPr>
        <w:t>(</w:t>
      </w:r>
      <w:r w:rsidR="00787BC5">
        <w:rPr>
          <w:rFonts w:ascii="Times New Roman" w:eastAsia="Times New Roman" w:hAnsi="Times New Roman" w:cs="Times New Roman"/>
          <w:noProof/>
          <w:sz w:val="24"/>
          <w:szCs w:val="24"/>
        </w:rPr>
        <w:t>e.g. CENTURY</w:t>
      </w:r>
      <w:r w:rsidR="00DB7A79">
        <w:rPr>
          <w:rFonts w:ascii="Times New Roman" w:eastAsia="Times New Roman" w:hAnsi="Times New Roman" w:cs="Times New Roman"/>
          <w:noProof/>
          <w:sz w:val="24"/>
          <w:szCs w:val="24"/>
        </w:rPr>
        <w:t>,</w:t>
      </w:r>
      <w:r w:rsidR="00787BC5">
        <w:rPr>
          <w:rFonts w:ascii="Times New Roman" w:eastAsia="Times New Roman" w:hAnsi="Times New Roman" w:cs="Times New Roman"/>
          <w:noProof/>
          <w:sz w:val="24"/>
          <w:szCs w:val="24"/>
        </w:rPr>
        <w:t xml:space="preserve"> </w:t>
      </w:r>
      <w:r w:rsidR="0053505F">
        <w:rPr>
          <w:rFonts w:ascii="Times New Roman" w:eastAsia="Times New Roman" w:hAnsi="Times New Roman" w:cs="Times New Roman"/>
          <w:noProof/>
          <w:sz w:val="24"/>
          <w:szCs w:val="24"/>
        </w:rPr>
        <w:t>Parton et al. 1988;</w:t>
      </w:r>
      <w:r w:rsidR="00787BC5" w:rsidRPr="00787BC5">
        <w:rPr>
          <w:rFonts w:ascii="Times New Roman" w:eastAsia="Times New Roman" w:hAnsi="Times New Roman" w:cs="Times New Roman"/>
          <w:noProof/>
          <w:sz w:val="24"/>
          <w:szCs w:val="24"/>
        </w:rPr>
        <w:t xml:space="preserve"> </w:t>
      </w:r>
      <w:r w:rsidR="00787BC5">
        <w:rPr>
          <w:rFonts w:ascii="Times New Roman" w:eastAsia="Times New Roman" w:hAnsi="Times New Roman" w:cs="Times New Roman"/>
          <w:noProof/>
          <w:sz w:val="24"/>
          <w:szCs w:val="24"/>
        </w:rPr>
        <w:t>RothC</w:t>
      </w:r>
      <w:r w:rsidR="00DB7A79">
        <w:rPr>
          <w:rFonts w:ascii="Times New Roman" w:eastAsia="Times New Roman" w:hAnsi="Times New Roman" w:cs="Times New Roman"/>
          <w:noProof/>
          <w:sz w:val="24"/>
          <w:szCs w:val="24"/>
        </w:rPr>
        <w:t>,</w:t>
      </w:r>
      <w:r w:rsidR="00787BC5">
        <w:rPr>
          <w:rFonts w:ascii="Times New Roman" w:eastAsia="Times New Roman" w:hAnsi="Times New Roman" w:cs="Times New Roman"/>
          <w:noProof/>
          <w:sz w:val="24"/>
          <w:szCs w:val="24"/>
        </w:rPr>
        <w:t xml:space="preserve"> </w:t>
      </w:r>
      <w:r w:rsidR="00787BC5" w:rsidRPr="00787BC5">
        <w:rPr>
          <w:rFonts w:ascii="Times New Roman" w:eastAsia="Times New Roman" w:hAnsi="Times New Roman" w:cs="Times New Roman"/>
          <w:noProof/>
          <w:sz w:val="24"/>
          <w:szCs w:val="24"/>
        </w:rPr>
        <w:t>Coleman et al. 1997)</w:t>
      </w:r>
      <w:r w:rsidR="00787BC5">
        <w:rPr>
          <w:rFonts w:ascii="Times New Roman" w:eastAsia="Times New Roman" w:hAnsi="Times New Roman" w:cs="Times New Roman"/>
          <w:sz w:val="24"/>
          <w:szCs w:val="24"/>
        </w:rPr>
        <w:fldChar w:fldCharType="end"/>
      </w:r>
      <w:r w:rsidRPr="00C14D16">
        <w:rPr>
          <w:rFonts w:ascii="Times New Roman" w:eastAsia="Times New Roman" w:hAnsi="Times New Roman" w:cs="Times New Roman"/>
          <w:sz w:val="24"/>
          <w:szCs w:val="24"/>
        </w:rPr>
        <w:t xml:space="preserve">, and assumes uniform conditions with constant SOC supply and </w:t>
      </w:r>
      <w:r w:rsidR="006C1F26">
        <w:rPr>
          <w:rFonts w:ascii="Times New Roman" w:eastAsia="Times New Roman" w:hAnsi="Times New Roman" w:cs="Times New Roman"/>
          <w:sz w:val="24"/>
          <w:szCs w:val="24"/>
        </w:rPr>
        <w:t>proportionally</w:t>
      </w:r>
      <w:r w:rsidRPr="00C14D16">
        <w:rPr>
          <w:rFonts w:ascii="Times New Roman" w:eastAsia="Times New Roman" w:hAnsi="Times New Roman" w:cs="Times New Roman"/>
          <w:sz w:val="24"/>
          <w:szCs w:val="24"/>
        </w:rPr>
        <w:t xml:space="preserve"> </w:t>
      </w:r>
      <w:r w:rsidR="00787BC5">
        <w:rPr>
          <w:rFonts w:ascii="Times New Roman" w:eastAsia="Times New Roman" w:hAnsi="Times New Roman" w:cs="Times New Roman"/>
          <w:sz w:val="24"/>
          <w:szCs w:val="24"/>
        </w:rPr>
        <w:t>constant mineralization</w:t>
      </w:r>
      <w:r w:rsidRPr="00C14D16">
        <w:rPr>
          <w:rFonts w:ascii="Times New Roman" w:eastAsia="Times New Roman" w:hAnsi="Times New Roman" w:cs="Times New Roman"/>
          <w:sz w:val="24"/>
          <w:szCs w:val="24"/>
        </w:rPr>
        <w:t>. Our finding that these assumptions approximately hold in a two-year old land use experiment has two major implications.</w:t>
      </w:r>
    </w:p>
    <w:p w14:paraId="5A5AF254" w14:textId="6973DE07" w:rsidR="00F51880" w:rsidRPr="00C14D16" w:rsidRDefault="002B3DD1">
      <w:pPr>
        <w:spacing w:line="480" w:lineRule="auto"/>
        <w:ind w:firstLine="720"/>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The first implication is that the system has fixed C sequestration capacity under current management and biological conditions. Indeed, 90% of attainable SOC had been reached just two years after establishment. For this reason, UFF soils may quickly meet discrete C sequestration goals, for instance as carbon credits, but not for mitigating ongoing emissions. It is possible that succession above and belowground could alter the parameters of the mass balance model to change th</w:t>
      </w:r>
      <w:r w:rsidR="00FC1386">
        <w:rPr>
          <w:rFonts w:ascii="Times New Roman" w:eastAsia="Times New Roman" w:hAnsi="Times New Roman" w:cs="Times New Roman"/>
          <w:sz w:val="24"/>
          <w:szCs w:val="24"/>
        </w:rPr>
        <w:t>e equilibrium SOC concentration</w:t>
      </w:r>
      <w:r w:rsidRPr="00C14D16">
        <w:rPr>
          <w:rFonts w:ascii="Times New Roman" w:eastAsia="Times New Roman" w:hAnsi="Times New Roman" w:cs="Times New Roman"/>
          <w:sz w:val="24"/>
          <w:szCs w:val="24"/>
        </w:rPr>
        <w:t xml:space="preserve"> or break the assumptions of the model altogether such that ongoing SOC sequestration is more likely. A recent metanalysis indicated that agroforestry soil </w:t>
      </w:r>
      <w:r w:rsidR="006C1F26">
        <w:rPr>
          <w:rFonts w:ascii="Times New Roman" w:eastAsia="Times New Roman" w:hAnsi="Times New Roman" w:cs="Times New Roman"/>
          <w:sz w:val="24"/>
          <w:szCs w:val="24"/>
        </w:rPr>
        <w:t>C</w:t>
      </w:r>
      <w:r w:rsidRPr="00C14D16">
        <w:rPr>
          <w:rFonts w:ascii="Times New Roman" w:eastAsia="Times New Roman" w:hAnsi="Times New Roman" w:cs="Times New Roman"/>
          <w:sz w:val="24"/>
          <w:szCs w:val="24"/>
        </w:rPr>
        <w:t xml:space="preserve"> sequestration rates may </w:t>
      </w:r>
      <w:r w:rsidR="006C1F26">
        <w:rPr>
          <w:rFonts w:ascii="Times New Roman" w:eastAsia="Times New Roman" w:hAnsi="Times New Roman" w:cs="Times New Roman"/>
          <w:sz w:val="24"/>
          <w:szCs w:val="24"/>
        </w:rPr>
        <w:t>be multiphasic, with an initial</w:t>
      </w:r>
      <w:r w:rsidRPr="00C14D16">
        <w:rPr>
          <w:rFonts w:ascii="Times New Roman" w:eastAsia="Times New Roman" w:hAnsi="Times New Roman" w:cs="Times New Roman"/>
          <w:sz w:val="24"/>
          <w:szCs w:val="24"/>
        </w:rPr>
        <w:t xml:space="preserve"> dece</w:t>
      </w:r>
      <w:r w:rsidR="006C1F26">
        <w:rPr>
          <w:rFonts w:ascii="Times New Roman" w:eastAsia="Times New Roman" w:hAnsi="Times New Roman" w:cs="Times New Roman"/>
          <w:sz w:val="24"/>
          <w:szCs w:val="24"/>
        </w:rPr>
        <w:t>lerating trend</w:t>
      </w:r>
      <w:r w:rsidRPr="00C14D16">
        <w:rPr>
          <w:rFonts w:ascii="Times New Roman" w:eastAsia="Times New Roman" w:hAnsi="Times New Roman" w:cs="Times New Roman"/>
          <w:sz w:val="24"/>
          <w:szCs w:val="24"/>
        </w:rPr>
        <w:t xml:space="preserve"> yielding to a transitory increase before a long term steady state </w:t>
      </w:r>
      <w:r w:rsidR="00787BC5">
        <w:rPr>
          <w:rFonts w:ascii="Times New Roman" w:eastAsia="Times New Roman" w:hAnsi="Times New Roman" w:cs="Times New Roman"/>
          <w:sz w:val="24"/>
          <w:szCs w:val="24"/>
        </w:rPr>
        <w:fldChar w:fldCharType="begin" w:fldLock="1"/>
      </w:r>
      <w:r w:rsidR="005A2E0E">
        <w:rPr>
          <w:rFonts w:ascii="Times New Roman" w:eastAsia="Times New Roman" w:hAnsi="Times New Roman" w:cs="Times New Roman"/>
          <w:sz w:val="24"/>
          <w:szCs w:val="24"/>
        </w:rPr>
        <w:instrText>ADDIN CSL_CITATION {"citationItems":[{"id":"ITEM-1","itemData":{"DOI":"10.1016/j.agee.2017.11.032","ISSN":"01678809","abstract":"Climate change mitigation and food security are two of the main challenges of human society. Agroforestry systems, defined as the presence of trees on external and internal boundaries, cropland, or on any other available niche of farmland, can provide both climate change mitigation and food. There are several types of agroforestry systems with different rates of above ground and soil carbon (C) sequestration. The amount of carbon sequestered can depend on the type of system, climate, time since land use change and previous land use. Data was collected from a total of 86 published and peer reviewed studies on soil and above ground carbon sequestration for different agroforestry systems, climates and regions in the world. The objective was to understand which agroforestry systems provide the greatest benefits, and what are the main factors influencing, soil and above ground carbon sequestration. The results show that, on average, more soil carbon sequestration occurs in agroforestry systems classified as silvopastoral (4.38 tC ha−1 yr−1), and more above ground carbon sequestration occurs in improved fallows (11.29 tC ha−1 yr−1). On average, carbon benefits are greater in agroforestry systems Tropical climates when compared to agroforestry systems located in other climates, both in terms of soil (2.23 tC ha−1 yr−1) and above ground (4.85 tC ha−1 yr−1). In terms of land use change, the greatest above ground carbon sequestration (12.8 tC ha−1 yr−1) occurs when degraded land is replaced by improved fallow and the greatest soil carbon sequestration (4.38 tC ha−1 yr−1) results from the transition of a grassland system to a silvopastoral system. Time since the change is implemented was the main factor influencing above ground carbon sequestration, while climate mainly influences soil carbon sequestration most. The results of the analysis may be used to inform practitioners and policy makers on the most effective agroforestry system for carbon sequestration. The lack of data on carbon stocks before the implementation land use change and the lack of reporting on soil sampling design and variances were the main limitations in the data. The need to report this data should be considered in future studies if agroforestry systems are expected to play an important role as a climate change mitigation strategy.","author":[{"dropping-particle":"","family":"Feliciano","given":"Diana","non-dropping-particle":"","parse-names":false,"suffix":""},{"dropping-particle":"","family":"Ledo","given":"Alicia","non-dropping-particle":"","parse-names":false,"suffix":""},{"dropping-particle":"","family":"Hillier","given":"Jon","non-dropping-particle":"","parse-names":false,"suffix":""},{"dropping-particle":"","family":"Nayak","given":"Dali Rani","non-dropping-particle":"","parse-names":false,"suffix":""}],"container-title":"Agriculture, Ecosystems and Environment","id":"ITEM-1","issue":"November 2017","issued":{"date-parts":[["2018"]]},"page":"117-129","publisher":"Elsevier","title":"Which agroforestry options give the greatest soil and above ground carbon benefits in different world regions?","type":"article-journal","volume":"254"},"uris":["http://www.mendeley.com/documents/?uuid=18766366-0124-484e-aa3a-37c236321497"]}],"mendeley":{"formattedCitation":"(Feliciano et al., 2018)","plainTextFormattedCitation":"(Feliciano et al., 2018)","previouslyFormattedCitation":"(Feliciano et al., 2018)"},"properties":{"noteIndex":0},"schema":"https://github.com/citation-style-language/schema/raw/master/csl-citation.json"}</w:instrText>
      </w:r>
      <w:r w:rsidR="00787BC5">
        <w:rPr>
          <w:rFonts w:ascii="Times New Roman" w:eastAsia="Times New Roman" w:hAnsi="Times New Roman" w:cs="Times New Roman"/>
          <w:sz w:val="24"/>
          <w:szCs w:val="24"/>
        </w:rPr>
        <w:fldChar w:fldCharType="separate"/>
      </w:r>
      <w:r w:rsidR="00473EEB" w:rsidRPr="00473EEB">
        <w:rPr>
          <w:rFonts w:ascii="Times New Roman" w:eastAsia="Times New Roman" w:hAnsi="Times New Roman" w:cs="Times New Roman"/>
          <w:noProof/>
          <w:sz w:val="24"/>
          <w:szCs w:val="24"/>
        </w:rPr>
        <w:t>(Feliciano et al., 2018)</w:t>
      </w:r>
      <w:r w:rsidR="00787BC5">
        <w:rPr>
          <w:rFonts w:ascii="Times New Roman" w:eastAsia="Times New Roman" w:hAnsi="Times New Roman" w:cs="Times New Roman"/>
          <w:sz w:val="24"/>
          <w:szCs w:val="24"/>
        </w:rPr>
        <w:fldChar w:fldCharType="end"/>
      </w:r>
      <w:r w:rsidR="00787BC5">
        <w:rPr>
          <w:rFonts w:ascii="Times New Roman" w:eastAsia="Times New Roman" w:hAnsi="Times New Roman" w:cs="Times New Roman"/>
          <w:sz w:val="24"/>
          <w:szCs w:val="24"/>
        </w:rPr>
        <w:t xml:space="preserve">. For a </w:t>
      </w:r>
      <w:r w:rsidRPr="00C14D16">
        <w:rPr>
          <w:rFonts w:ascii="Times New Roman" w:eastAsia="Times New Roman" w:hAnsi="Times New Roman" w:cs="Times New Roman"/>
          <w:sz w:val="24"/>
          <w:szCs w:val="24"/>
        </w:rPr>
        <w:t xml:space="preserve">holistic picture of how UFF can factor into mitigation schemes, further measurements and modelling will be necessary to estimate the capacity and rate of C sequestration aboveground, which are reported to be considerable </w:t>
      </w:r>
      <w:r w:rsidR="00787BC5">
        <w:rPr>
          <w:rFonts w:ascii="Times New Roman" w:eastAsia="Times New Roman" w:hAnsi="Times New Roman" w:cs="Times New Roman"/>
          <w:sz w:val="24"/>
          <w:szCs w:val="24"/>
        </w:rPr>
        <w:fldChar w:fldCharType="begin" w:fldLock="1"/>
      </w:r>
      <w:r w:rsidR="005A2E0E">
        <w:rPr>
          <w:rFonts w:ascii="Times New Roman" w:eastAsia="Times New Roman" w:hAnsi="Times New Roman" w:cs="Times New Roman"/>
          <w:sz w:val="24"/>
          <w:szCs w:val="24"/>
        </w:rPr>
        <w:instrText>ADDIN CSL_CITATION {"citationItems":[{"id":"ITEM-1","itemData":{"DOI":"10.1016/j.ufug.2019.126466","ISSN":"16108167","abstract":"Food forests offer a number of potential benefits and one of those is the ability to sequester carbon and increase terrestrial carbon stocks on urban, peri-urban and rural land. There is little research on the carbon storage capabilities within agroforestry systems let alone food forests and it is considered an underexploited option for carbon storage. This case study quantified the carbon stored within the above and below ground components of all tree layer woody biomass above 2 m in height and greater than 2 cm diameter at breast height (DBH) in the Agroforestry Research Trust's peri-urban food forest in Devon, UK. The study formed a population census, which measured all 528 trees across 68 species within the 0.64 ha food forest. Twenty-three allometric equations were used to estimate above ground biomass (AGB) while the below ground biomass (BGB) was calculated using a root to shoot ratio of 0.18:1. The stored carbon content was calculated as 50% of the total biomass. The temperate food forest case study site was estimated to store 39.53 ± 4.05 Mg C ha−1 in above and below ground living biomass. This result highlights the potential for a food forest stand to store a considerable amount of carbon that is at least within a similar range to other literature sourced urban and peri urban land uses. Thus, a purposely selected food forest assemblage whose primary focus is food production can also be a valuable carbon sink The results offer a promising initial study into the carbon storage potential within a food forest, which is only made more valuable given the other prospective benefits of food forests.","author":[{"dropping-particle":"","family":"Schafer","given":"Luke J.","non-dropping-particle":"","parse-names":false,"suffix":""},{"dropping-particle":"","family":"Lysák","given":"Marin","non-dropping-particle":"","parse-names":false,"suffix":""},{"dropping-particle":"","family":"Henriksen","given":"Christian B.","non-dropping-particle":"","parse-names":false,"suffix":""}],"container-title":"Urban Forestry and Urban Greening","id":"ITEM-1","issue":"July","issued":{"date-parts":[["2019"]]},"page":"126466","publisher":"Elsevier","title":"Tree layer carbon stock quantification in a temperate food forest: A peri-urban polyculture case study","type":"article-journal","volume":"45"},"uris":["http://www.mendeley.com/documents/?uuid=0dfbd956-d1cb-4d6e-9754-320f37b81bf3"]}],"mendeley":{"formattedCitation":"(Schafer et al., 2019)","plainTextFormattedCitation":"(Schafer et al., 2019)","previouslyFormattedCitation":"(Schafer et al., 2019)"},"properties":{"noteIndex":0},"schema":"https://github.com/citation-style-language/schema/raw/master/csl-citation.json"}</w:instrText>
      </w:r>
      <w:r w:rsidR="00787BC5">
        <w:rPr>
          <w:rFonts w:ascii="Times New Roman" w:eastAsia="Times New Roman" w:hAnsi="Times New Roman" w:cs="Times New Roman"/>
          <w:sz w:val="24"/>
          <w:szCs w:val="24"/>
        </w:rPr>
        <w:fldChar w:fldCharType="separate"/>
      </w:r>
      <w:r w:rsidR="00473EEB" w:rsidRPr="00473EEB">
        <w:rPr>
          <w:rFonts w:ascii="Times New Roman" w:eastAsia="Times New Roman" w:hAnsi="Times New Roman" w:cs="Times New Roman"/>
          <w:noProof/>
          <w:sz w:val="24"/>
          <w:szCs w:val="24"/>
        </w:rPr>
        <w:t>(Schafer et al., 2019)</w:t>
      </w:r>
      <w:r w:rsidR="00787BC5">
        <w:rPr>
          <w:rFonts w:ascii="Times New Roman" w:eastAsia="Times New Roman" w:hAnsi="Times New Roman" w:cs="Times New Roman"/>
          <w:sz w:val="24"/>
          <w:szCs w:val="24"/>
        </w:rPr>
        <w:fldChar w:fldCharType="end"/>
      </w:r>
      <w:r w:rsidRPr="00C14D16">
        <w:rPr>
          <w:rFonts w:ascii="Times New Roman" w:eastAsia="Times New Roman" w:hAnsi="Times New Roman" w:cs="Times New Roman"/>
          <w:sz w:val="24"/>
          <w:szCs w:val="24"/>
        </w:rPr>
        <w:t>, as well as the extent to which local food production offsets GHG emissions as has been demonstrated for other forms of urban agriculture</w:t>
      </w:r>
      <w:r w:rsidR="00AF2D43">
        <w:rPr>
          <w:rFonts w:ascii="Times New Roman" w:eastAsia="Times New Roman" w:hAnsi="Times New Roman" w:cs="Times New Roman"/>
          <w:sz w:val="24"/>
          <w:szCs w:val="24"/>
        </w:rPr>
        <w:t xml:space="preserve"> </w:t>
      </w:r>
      <w:r w:rsidR="00B92A49">
        <w:rPr>
          <w:rFonts w:ascii="Times New Roman" w:eastAsia="Times New Roman" w:hAnsi="Times New Roman" w:cs="Times New Roman"/>
          <w:sz w:val="24"/>
          <w:szCs w:val="24"/>
        </w:rPr>
        <w:fldChar w:fldCharType="begin" w:fldLock="1"/>
      </w:r>
      <w:r w:rsidR="009C03F2">
        <w:rPr>
          <w:rFonts w:ascii="Times New Roman" w:eastAsia="Times New Roman" w:hAnsi="Times New Roman" w:cs="Times New Roman"/>
          <w:sz w:val="24"/>
          <w:szCs w:val="24"/>
        </w:rPr>
        <w:instrText>ADDIN CSL_CITATION {"citationItems":[{"id":"ITEM-1","itemData":{"DOI":"10.1016/j.landurbplan.2016.07.008","ISSN":"01692046","abstract":"We carried out a life cycle assessment to model the potential for alternative household vegetable gardens (AHHVGs) to mitigate global climate change by reducing greenhouse gas emissions (GHGE) for Santa Barbara County, California, USA. Our model included changes in GHGE due to the effect of creating an AHHVG for five components: reduction of lawn area due to replacement by the AHHVG; reduction of vegetables purchased from the conventional agrifood system due to replacement by vegetables produced in the AHHVG; reduction in amount of greywater exported to treatment facilities due to diversion to irrigate the AHHVG; reduction in amount of household organic waste exported to treatment facilities due to diversion to composting at the household level for application to the AHHVG; and composting organic household waste for use in the AHHVG. We found that AHHVGs could reduce emissions by over 2 kg CO2e kg−1 vegetable, but that results were sensitive to the range of values for the key variables of yield and alternative methods for processing household organic waste. In our baseline scenario (50% of single-family households with an 18.7 m2 AHHVG, providing 50% of their vegetable consumption), AHHVGs contributed 3.3% of the GHGE reduction goals of unincorporated Santa Barbara County for 2020, 0.5% of the goals for the City of Santa Barbara for 2050, and by extrapolation, 7.8% of the goals for California for 2020. Our results could provide an incentive for governments to include support of AHHVG as part of climate mitigation strategies, and for households to grow vegetables in AHHVGs to address climate change.","author":[{"dropping-particle":"","family":"Cleveland","given":"David A.","non-dropping-particle":"","parse-names":false,"suffix":""},{"dropping-particle":"","family":"Phares","given":"Noelle","non-dropping-particle":"","parse-names":false,"suffix":""},{"dropping-particle":"","family":"Nightingale","given":"Krista D.","non-dropping-particle":"","parse-names":false,"suffix":""},{"dropping-particle":"","family":"Weatherby","given":"Robyn L.","non-dropping-particle":"","parse-names":false,"suffix":""},{"dropping-particle":"","family":"Radis","given":"William","non-dropping-particle":"","parse-names":false,"suffix":""},{"dropping-particle":"","family":"Ballard","given":"Jane","non-dropping-particle":"","parse-names":false,"suffix":""},{"dropping-particle":"","family":"Campagna","given":"Madia","non-dropping-particle":"","parse-names":false,"suffix":""},{"dropping-particle":"","family":"Kurtz","given":"Devin","non-dropping-particle":"","parse-names":false,"suffix":""},{"dropping-particle":"","family":"Livingston","given":"Krystyna","non-dropping-particle":"","parse-names":false,"suffix":""},{"dropping-particle":"","family":"Riechers","given":"Gloria","non-dropping-particle":"","parse-names":false,"suffix":""},{"dropping-particle":"","family":"Wilkins","given":"Kate","non-dropping-particle":"","parse-names":false,"suffix":""}],"container-title":"Landscape and Urban Planning","id":"ITEM-1","issued":{"date-parts":[["2017"]]},"page":"365-374","publisher":"Elsevier B.V.","title":"The potential for urban household vegetable gardens to reduce greenhouse gas emissions","type":"article-journal","volume":"157"},"uris":["http://www.mendeley.com/documents/?uuid=76372bc9-90c0-4c80-aa0c-dd53eefcf6d1"]}],"mendeley":{"formattedCitation":"(Cleveland et al., 2017)","plainTextFormattedCitation":"(Cleveland et al., 2017)","previouslyFormattedCitation":"(Cleveland et al., 2017)"},"properties":{"noteIndex":0},"schema":"https://github.com/citation-style-language/schema/raw/master/csl-citation.json"}</w:instrText>
      </w:r>
      <w:r w:rsidR="00B92A49">
        <w:rPr>
          <w:rFonts w:ascii="Times New Roman" w:eastAsia="Times New Roman" w:hAnsi="Times New Roman" w:cs="Times New Roman"/>
          <w:sz w:val="24"/>
          <w:szCs w:val="24"/>
        </w:rPr>
        <w:fldChar w:fldCharType="separate"/>
      </w:r>
      <w:r w:rsidR="00B92A49" w:rsidRPr="00B92A49">
        <w:rPr>
          <w:rFonts w:ascii="Times New Roman" w:eastAsia="Times New Roman" w:hAnsi="Times New Roman" w:cs="Times New Roman"/>
          <w:noProof/>
          <w:sz w:val="24"/>
          <w:szCs w:val="24"/>
        </w:rPr>
        <w:t>(Cleveland et al., 2017)</w:t>
      </w:r>
      <w:r w:rsidR="00B92A49">
        <w:rPr>
          <w:rFonts w:ascii="Times New Roman" w:eastAsia="Times New Roman" w:hAnsi="Times New Roman" w:cs="Times New Roman"/>
          <w:sz w:val="24"/>
          <w:szCs w:val="24"/>
        </w:rPr>
        <w:fldChar w:fldCharType="end"/>
      </w:r>
      <w:r w:rsidR="00B92A49">
        <w:rPr>
          <w:rFonts w:ascii="Times New Roman" w:eastAsia="Times New Roman" w:hAnsi="Times New Roman" w:cs="Times New Roman"/>
          <w:sz w:val="24"/>
          <w:szCs w:val="24"/>
        </w:rPr>
        <w:t>.</w:t>
      </w:r>
    </w:p>
    <w:p w14:paraId="6E0F545C" w14:textId="1D199CF2" w:rsidR="00F51880" w:rsidRPr="00C14D16" w:rsidRDefault="002B3DD1">
      <w:pPr>
        <w:spacing w:line="480" w:lineRule="auto"/>
        <w:ind w:firstLine="720"/>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 xml:space="preserve">The second major implication is that converting lawn to UFF precipitated the emergence of system-level regulation in just two years. Exogenous and endogenous factors could contribute. Adding compost and mulch </w:t>
      </w:r>
      <w:r w:rsidR="00D85446">
        <w:rPr>
          <w:rFonts w:ascii="Times New Roman" w:eastAsia="Times New Roman" w:hAnsi="Times New Roman" w:cs="Times New Roman"/>
          <w:sz w:val="24"/>
          <w:szCs w:val="24"/>
        </w:rPr>
        <w:t>supplies</w:t>
      </w:r>
      <w:r w:rsidRPr="00C14D16">
        <w:rPr>
          <w:rFonts w:ascii="Times New Roman" w:eastAsia="Times New Roman" w:hAnsi="Times New Roman" w:cs="Times New Roman"/>
          <w:sz w:val="24"/>
          <w:szCs w:val="24"/>
        </w:rPr>
        <w:t xml:space="preserve"> SOC and </w:t>
      </w:r>
      <w:r w:rsidR="00D85446">
        <w:rPr>
          <w:rFonts w:ascii="Times New Roman" w:eastAsia="Times New Roman" w:hAnsi="Times New Roman" w:cs="Times New Roman"/>
          <w:sz w:val="24"/>
          <w:szCs w:val="24"/>
        </w:rPr>
        <w:t xml:space="preserve">could </w:t>
      </w:r>
      <w:r w:rsidRPr="00C14D16">
        <w:rPr>
          <w:rFonts w:ascii="Times New Roman" w:eastAsia="Times New Roman" w:hAnsi="Times New Roman" w:cs="Times New Roman"/>
          <w:sz w:val="24"/>
          <w:szCs w:val="24"/>
        </w:rPr>
        <w:t xml:space="preserve">homogenize microbial communities in a way that promotes constant proportional mineralization. </w:t>
      </w:r>
      <w:r w:rsidR="00AF2D43">
        <w:rPr>
          <w:rFonts w:ascii="Times New Roman" w:eastAsia="Times New Roman" w:hAnsi="Times New Roman" w:cs="Times New Roman"/>
          <w:sz w:val="24"/>
          <w:szCs w:val="24"/>
        </w:rPr>
        <w:t>The mass balance model constrains the quantity of exogenous inputs necessary to explain the increase in SOC concentrations. Assuming that mu</w:t>
      </w:r>
      <w:r w:rsidR="00DB7A79">
        <w:rPr>
          <w:rFonts w:ascii="Times New Roman" w:eastAsia="Times New Roman" w:hAnsi="Times New Roman" w:cs="Times New Roman"/>
          <w:sz w:val="24"/>
          <w:szCs w:val="24"/>
        </w:rPr>
        <w:t>l</w:t>
      </w:r>
      <w:r w:rsidR="00AF2D43">
        <w:rPr>
          <w:rFonts w:ascii="Times New Roman" w:eastAsia="Times New Roman" w:hAnsi="Times New Roman" w:cs="Times New Roman"/>
          <w:sz w:val="24"/>
          <w:szCs w:val="24"/>
        </w:rPr>
        <w:t>ch was the main exogenous source of SOC during establishment, several tons added per year would be necessary to account for all of the additional C</w:t>
      </w:r>
      <w:r w:rsidR="00D85446">
        <w:rPr>
          <w:rFonts w:ascii="Times New Roman" w:eastAsia="Times New Roman" w:hAnsi="Times New Roman" w:cs="Times New Roman"/>
          <w:sz w:val="24"/>
          <w:szCs w:val="24"/>
        </w:rPr>
        <w:t>, which is inconsistent with the management history of the site</w:t>
      </w:r>
      <w:r w:rsidR="00AF2D43">
        <w:rPr>
          <w:rFonts w:ascii="Times New Roman" w:eastAsia="Times New Roman" w:hAnsi="Times New Roman" w:cs="Times New Roman"/>
          <w:sz w:val="24"/>
          <w:szCs w:val="24"/>
        </w:rPr>
        <w:t xml:space="preserve">. </w:t>
      </w:r>
      <w:r w:rsidRPr="00C14D16">
        <w:rPr>
          <w:rFonts w:ascii="Times New Roman" w:eastAsia="Times New Roman" w:hAnsi="Times New Roman" w:cs="Times New Roman"/>
          <w:sz w:val="24"/>
          <w:szCs w:val="24"/>
        </w:rPr>
        <w:t xml:space="preserve">Alternatively, the community of woody plants and associated organisms, including people, may reinforce negative feedback regulation over belowground </w:t>
      </w:r>
      <w:r w:rsidR="00DB7A79">
        <w:rPr>
          <w:rFonts w:ascii="Times New Roman" w:eastAsia="Times New Roman" w:hAnsi="Times New Roman" w:cs="Times New Roman"/>
          <w:sz w:val="24"/>
          <w:szCs w:val="24"/>
        </w:rPr>
        <w:t>C cycling at the system-</w:t>
      </w:r>
      <w:r w:rsidRPr="00C14D16">
        <w:rPr>
          <w:rFonts w:ascii="Times New Roman" w:eastAsia="Times New Roman" w:hAnsi="Times New Roman" w:cs="Times New Roman"/>
          <w:sz w:val="24"/>
          <w:szCs w:val="24"/>
        </w:rPr>
        <w:t>level. For example, shared mycorrhizal networks can redistribute photosynthetic resources to reduce variation in resource stress among trees in forests</w:t>
      </w:r>
      <w:r w:rsidR="000C03E6">
        <w:rPr>
          <w:rFonts w:ascii="Times New Roman" w:eastAsia="Times New Roman" w:hAnsi="Times New Roman" w:cs="Times New Roman"/>
          <w:sz w:val="24"/>
          <w:szCs w:val="24"/>
        </w:rPr>
        <w:t xml:space="preserve"> </w:t>
      </w:r>
      <w:r w:rsidR="000C03E6">
        <w:rPr>
          <w:rFonts w:ascii="Times New Roman" w:eastAsia="Times New Roman" w:hAnsi="Times New Roman" w:cs="Times New Roman"/>
          <w:sz w:val="24"/>
          <w:szCs w:val="24"/>
        </w:rPr>
        <w:fldChar w:fldCharType="begin" w:fldLock="1"/>
      </w:r>
      <w:r w:rsidR="005A2E0E">
        <w:rPr>
          <w:rFonts w:ascii="Times New Roman" w:eastAsia="Times New Roman" w:hAnsi="Times New Roman" w:cs="Times New Roman"/>
          <w:sz w:val="24"/>
          <w:szCs w:val="24"/>
        </w:rPr>
        <w:instrText>ADDIN CSL_CITATION {"citationItems":[{"id":"ITEM-1","itemData":{"DOI":"10.1126/science.aad6188","ISSN":"10959203","abstract":"Forest trees compete for light and soil resources, but photoassimilates, once produced in the foliage, are not considered to be exchanged between individuals. Applying stable carbon isotope labeling at the canopy scale, we show that carbon assimilated by 40-meter-tall spruce is traded over to neighboring beech, larch, and pine via overlapping root spheres. Isotope mixing signals indicate that the interspecific, bidirectional transfer, assisted by common ectomycorrhiza networks, accounted for 40% of the fine root carbon (about 280 kilograms per hectare per year tree-to-tree transfer). Although competition for resources is commonly considered as the dominant tree-to-tree interaction in forests, trees may interact in more complex ways, including substantial carbon exchange.","author":[{"dropping-particle":"","family":"Klein","given":"Tamir","non-dropping-particle":"","parse-names":false,"suffix":""},{"dropping-particle":"","family":"Siegwolf","given":"Rolf T.W.","non-dropping-particle":"","parse-names":false,"suffix":""},{"dropping-particle":"","family":"Körner","given":"Christian","non-dropping-particle":"","parse-names":false,"suffix":""}],"container-title":"Science","id":"ITEM-1","issue":"6283","issued":{"date-parts":[["2016"]]},"title":"Belowground carbon trade among tall trees in a temperate forest","type":"article-journal","volume":"352"},"uris":["http://www.mendeley.com/documents/?uuid=a3ba87dd-9fad-3e83-bbdb-6a6975a7cbeb"]}],"mendeley":{"formattedCitation":"(Klein et al., 2016)","plainTextFormattedCitation":"(Klein et al., 2016)","previouslyFormattedCitation":"(Klein et al., 2016)"},"properties":{"noteIndex":0},"schema":"https://github.com/citation-style-language/schema/raw/master/csl-citation.json"}</w:instrText>
      </w:r>
      <w:r w:rsidR="000C03E6">
        <w:rPr>
          <w:rFonts w:ascii="Times New Roman" w:eastAsia="Times New Roman" w:hAnsi="Times New Roman" w:cs="Times New Roman"/>
          <w:sz w:val="24"/>
          <w:szCs w:val="24"/>
        </w:rPr>
        <w:fldChar w:fldCharType="separate"/>
      </w:r>
      <w:r w:rsidR="00473EEB" w:rsidRPr="00473EEB">
        <w:rPr>
          <w:rFonts w:ascii="Times New Roman" w:eastAsia="Times New Roman" w:hAnsi="Times New Roman" w:cs="Times New Roman"/>
          <w:noProof/>
          <w:sz w:val="24"/>
          <w:szCs w:val="24"/>
        </w:rPr>
        <w:t>(Klein et al., 2016)</w:t>
      </w:r>
      <w:r w:rsidR="000C03E6">
        <w:rPr>
          <w:rFonts w:ascii="Times New Roman" w:eastAsia="Times New Roman" w:hAnsi="Times New Roman" w:cs="Times New Roman"/>
          <w:sz w:val="24"/>
          <w:szCs w:val="24"/>
        </w:rPr>
        <w:fldChar w:fldCharType="end"/>
      </w:r>
      <w:r w:rsidRPr="00C14D16">
        <w:rPr>
          <w:rFonts w:ascii="Times New Roman" w:eastAsia="Times New Roman" w:hAnsi="Times New Roman" w:cs="Times New Roman"/>
          <w:sz w:val="24"/>
          <w:szCs w:val="24"/>
        </w:rPr>
        <w:t>. Analogous exchanges involving SOC supply and mineralization may operate within the UFF. In other words, from the perspective of soil C cycling, the collection of plants under current management began to behave like a forest. As such, soil C mass balance could serve as an objective criterion for delineating forest ecosystems independent of arbitrary definitions that depend on tree stem density and size distributions. Identifying which mechanisms generate this pattern, as well as their characteristic temporal and spatial scales, could be a productive avenue for basic and applied research on C cycling and sequestration in forest ecosystems.</w:t>
      </w:r>
    </w:p>
    <w:p w14:paraId="5D243113" w14:textId="3BBA2E1B" w:rsidR="00F51880" w:rsidRPr="00C14D16" w:rsidRDefault="00B92A49">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Acknowledgements</w:t>
      </w:r>
    </w:p>
    <w:p w14:paraId="507B9638" w14:textId="7AA6A0B0" w:rsidR="009C03F2" w:rsidRDefault="00AF2D43">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w:t>
      </w:r>
      <w:r w:rsidR="00C52239">
        <w:rPr>
          <w:rFonts w:ascii="Times New Roman" w:eastAsia="Times New Roman" w:hAnsi="Times New Roman" w:cs="Times New Roman"/>
          <w:sz w:val="24"/>
          <w:szCs w:val="24"/>
        </w:rPr>
        <w:t>eghan Midg</w:t>
      </w:r>
      <w:r w:rsidR="00B92A49">
        <w:rPr>
          <w:rFonts w:ascii="Times New Roman" w:eastAsia="Times New Roman" w:hAnsi="Times New Roman" w:cs="Times New Roman"/>
          <w:sz w:val="24"/>
          <w:szCs w:val="24"/>
        </w:rPr>
        <w:t>ley</w:t>
      </w:r>
      <w:r w:rsidR="00D85446">
        <w:rPr>
          <w:rFonts w:ascii="Times New Roman" w:eastAsia="Times New Roman" w:hAnsi="Times New Roman" w:cs="Times New Roman"/>
          <w:sz w:val="24"/>
          <w:szCs w:val="24"/>
        </w:rPr>
        <w:t xml:space="preserve">, </w:t>
      </w:r>
      <w:r w:rsidR="00B92A49">
        <w:rPr>
          <w:rFonts w:ascii="Times New Roman" w:eastAsia="Times New Roman" w:hAnsi="Times New Roman" w:cs="Times New Roman"/>
          <w:sz w:val="24"/>
          <w:szCs w:val="24"/>
        </w:rPr>
        <w:t>Joshua Breit</w:t>
      </w:r>
      <w:r>
        <w:rPr>
          <w:rFonts w:ascii="Times New Roman" w:eastAsia="Times New Roman" w:hAnsi="Times New Roman" w:cs="Times New Roman"/>
          <w:sz w:val="24"/>
          <w:szCs w:val="24"/>
        </w:rPr>
        <w:t xml:space="preserve">haupt </w:t>
      </w:r>
      <w:r w:rsidR="00D85446">
        <w:rPr>
          <w:rFonts w:ascii="Times New Roman" w:eastAsia="Times New Roman" w:hAnsi="Times New Roman" w:cs="Times New Roman"/>
          <w:sz w:val="24"/>
          <w:szCs w:val="24"/>
        </w:rPr>
        <w:t xml:space="preserve">and </w:t>
      </w:r>
      <w:r w:rsidR="00D85446" w:rsidRPr="00D85446">
        <w:rPr>
          <w:rFonts w:ascii="Times New Roman" w:eastAsia="Times New Roman" w:hAnsi="Times New Roman" w:cs="Times New Roman"/>
          <w:sz w:val="24"/>
          <w:szCs w:val="24"/>
        </w:rPr>
        <w:t>Richard Hauer</w:t>
      </w:r>
      <w:r w:rsidR="00D8544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provided insightful comments on an early draft of this manuscript. New College of Florida Students funded the la</w:t>
      </w:r>
      <w:r w:rsidR="00B92A49">
        <w:rPr>
          <w:rFonts w:ascii="Times New Roman" w:eastAsia="Times New Roman" w:hAnsi="Times New Roman" w:cs="Times New Roman"/>
          <w:sz w:val="24"/>
          <w:szCs w:val="24"/>
        </w:rPr>
        <w:t xml:space="preserve">nd use experiment through the New College of Florida </w:t>
      </w:r>
      <w:r>
        <w:rPr>
          <w:rFonts w:ascii="Times New Roman" w:eastAsia="Times New Roman" w:hAnsi="Times New Roman" w:cs="Times New Roman"/>
          <w:sz w:val="24"/>
          <w:szCs w:val="24"/>
        </w:rPr>
        <w:t xml:space="preserve">Green Fee. Additional funds for soil </w:t>
      </w:r>
      <w:r w:rsidR="00C52239">
        <w:rPr>
          <w:rFonts w:ascii="Times New Roman" w:eastAsia="Times New Roman" w:hAnsi="Times New Roman" w:cs="Times New Roman"/>
          <w:sz w:val="24"/>
          <w:szCs w:val="24"/>
        </w:rPr>
        <w:t>analyses</w:t>
      </w:r>
      <w:r>
        <w:rPr>
          <w:rFonts w:ascii="Times New Roman" w:eastAsia="Times New Roman" w:hAnsi="Times New Roman" w:cs="Times New Roman"/>
          <w:sz w:val="24"/>
          <w:szCs w:val="24"/>
        </w:rPr>
        <w:t xml:space="preserve"> were provided by the New College of Florida Foundation. The authors declare no conflicts of interest.</w:t>
      </w:r>
    </w:p>
    <w:p w14:paraId="0EDA9975" w14:textId="77777777" w:rsidR="009C03F2" w:rsidRDefault="009C03F2">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19AE9E57" w14:textId="110F8877" w:rsidR="009C03F2" w:rsidRPr="009C03F2" w:rsidRDefault="009C03F2" w:rsidP="009C03F2">
      <w:pPr>
        <w:widowControl w:val="0"/>
        <w:autoSpaceDE w:val="0"/>
        <w:autoSpaceDN w:val="0"/>
        <w:adjustRightInd w:val="0"/>
        <w:spacing w:line="480" w:lineRule="auto"/>
        <w:ind w:left="480" w:hanging="480"/>
        <w:rPr>
          <w:rFonts w:ascii="Times New Roman" w:eastAsia="Times New Roman" w:hAnsi="Times New Roman" w:cs="Times New Roman"/>
          <w:b/>
          <w:sz w:val="24"/>
          <w:szCs w:val="24"/>
        </w:rPr>
      </w:pPr>
      <w:r>
        <w:rPr>
          <w:rFonts w:ascii="Times New Roman" w:eastAsia="Times New Roman" w:hAnsi="Times New Roman" w:cs="Times New Roman"/>
          <w:b/>
          <w:sz w:val="24"/>
          <w:szCs w:val="24"/>
        </w:rPr>
        <w:t>References</w:t>
      </w:r>
    </w:p>
    <w:p w14:paraId="303B6DC2" w14:textId="67680622" w:rsidR="009C03F2" w:rsidRPr="009C03F2" w:rsidRDefault="009C03F2" w:rsidP="009C03F2">
      <w:pPr>
        <w:widowControl w:val="0"/>
        <w:autoSpaceDE w:val="0"/>
        <w:autoSpaceDN w:val="0"/>
        <w:adjustRightInd w:val="0"/>
        <w:spacing w:line="480" w:lineRule="auto"/>
        <w:ind w:left="480" w:hanging="480"/>
        <w:rPr>
          <w:rFonts w:ascii="Times New Roman" w:hAnsi="Times New Roman" w:cs="Times New Roman"/>
          <w:noProof/>
          <w:sz w:val="24"/>
          <w:szCs w:val="24"/>
        </w:rPr>
      </w:pPr>
      <w:r>
        <w:rPr>
          <w:rFonts w:ascii="Times New Roman" w:eastAsia="Times New Roman" w:hAnsi="Times New Roman" w:cs="Times New Roman"/>
          <w:sz w:val="24"/>
          <w:szCs w:val="24"/>
        </w:rPr>
        <w:fldChar w:fldCharType="begin" w:fldLock="1"/>
      </w:r>
      <w:r>
        <w:rPr>
          <w:rFonts w:ascii="Times New Roman" w:eastAsia="Times New Roman" w:hAnsi="Times New Roman" w:cs="Times New Roman"/>
          <w:sz w:val="24"/>
          <w:szCs w:val="24"/>
        </w:rPr>
        <w:instrText xml:space="preserve">ADDIN Mendeley Bibliography CSL_BIBLIOGRAPHY </w:instrText>
      </w:r>
      <w:r>
        <w:rPr>
          <w:rFonts w:ascii="Times New Roman" w:eastAsia="Times New Roman" w:hAnsi="Times New Roman" w:cs="Times New Roman"/>
          <w:sz w:val="24"/>
          <w:szCs w:val="24"/>
        </w:rPr>
        <w:fldChar w:fldCharType="separate"/>
      </w:r>
      <w:r w:rsidRPr="009C03F2">
        <w:rPr>
          <w:rFonts w:ascii="Times New Roman" w:hAnsi="Times New Roman" w:cs="Times New Roman"/>
          <w:noProof/>
          <w:sz w:val="24"/>
          <w:szCs w:val="24"/>
        </w:rPr>
        <w:t>Albrecht, A., Kandji, S.T., 2003. Carbon sequestration in tropical agroforestry systems. Agric. Ecosyst. Environ. 99, 15–27. https://doi.org/10.1016/S0167-8809(03)00138-5</w:t>
      </w:r>
    </w:p>
    <w:p w14:paraId="72EE8610" w14:textId="77777777" w:rsidR="009C03F2" w:rsidRPr="009C03F2" w:rsidRDefault="009C03F2" w:rsidP="009C03F2">
      <w:pPr>
        <w:widowControl w:val="0"/>
        <w:autoSpaceDE w:val="0"/>
        <w:autoSpaceDN w:val="0"/>
        <w:adjustRightInd w:val="0"/>
        <w:spacing w:line="480" w:lineRule="auto"/>
        <w:ind w:left="480" w:hanging="480"/>
        <w:rPr>
          <w:rFonts w:ascii="Times New Roman" w:hAnsi="Times New Roman" w:cs="Times New Roman"/>
          <w:noProof/>
          <w:sz w:val="24"/>
          <w:szCs w:val="24"/>
        </w:rPr>
      </w:pPr>
      <w:r w:rsidRPr="009C03F2">
        <w:rPr>
          <w:rFonts w:ascii="Times New Roman" w:hAnsi="Times New Roman" w:cs="Times New Roman"/>
          <w:noProof/>
          <w:sz w:val="24"/>
          <w:szCs w:val="24"/>
        </w:rPr>
        <w:t>Alpizar, L., Fassbender, H.W., Heuveldop, J., Folster, H., Enriquez, G., 1986. Modelling agroforestry systems of cacao ( Theobroma cacao ) with laurel ( Cordia alliodora ) and poro ( Erythrina poeppigiana ) Materials and methods The Studies were carried out at the Central Experiment of the Department. Agrofor. Syst. 175–189.</w:t>
      </w:r>
    </w:p>
    <w:p w14:paraId="439A04CE" w14:textId="77777777" w:rsidR="009C03F2" w:rsidRPr="009C03F2" w:rsidRDefault="009C03F2" w:rsidP="009C03F2">
      <w:pPr>
        <w:widowControl w:val="0"/>
        <w:autoSpaceDE w:val="0"/>
        <w:autoSpaceDN w:val="0"/>
        <w:adjustRightInd w:val="0"/>
        <w:spacing w:line="480" w:lineRule="auto"/>
        <w:ind w:left="480" w:hanging="480"/>
        <w:rPr>
          <w:rFonts w:ascii="Times New Roman" w:hAnsi="Times New Roman" w:cs="Times New Roman"/>
          <w:noProof/>
          <w:sz w:val="24"/>
          <w:szCs w:val="24"/>
        </w:rPr>
      </w:pPr>
      <w:r w:rsidRPr="009C03F2">
        <w:rPr>
          <w:rFonts w:ascii="Times New Roman" w:hAnsi="Times New Roman" w:cs="Times New Roman"/>
          <w:noProof/>
          <w:sz w:val="24"/>
          <w:szCs w:val="24"/>
        </w:rPr>
        <w:t>Baah-Acheamfour, M., Chang, S.X., Carlyle, C.N., Bork, E.W., 2015. Carbon pool size and stability are affected by trees and grassland cover types within agroforestry systems of western Canada. Agric. Ecosyst. Environ. 213, 105–113. https://doi.org/10.1016/j.agee.2015.07.016</w:t>
      </w:r>
    </w:p>
    <w:p w14:paraId="06B72962" w14:textId="77777777" w:rsidR="009C03F2" w:rsidRPr="009C03F2" w:rsidRDefault="009C03F2" w:rsidP="009C03F2">
      <w:pPr>
        <w:widowControl w:val="0"/>
        <w:autoSpaceDE w:val="0"/>
        <w:autoSpaceDN w:val="0"/>
        <w:adjustRightInd w:val="0"/>
        <w:spacing w:line="480" w:lineRule="auto"/>
        <w:ind w:left="480" w:hanging="480"/>
        <w:rPr>
          <w:rFonts w:ascii="Times New Roman" w:hAnsi="Times New Roman" w:cs="Times New Roman"/>
          <w:noProof/>
          <w:sz w:val="24"/>
          <w:szCs w:val="24"/>
        </w:rPr>
      </w:pPr>
      <w:r w:rsidRPr="009C03F2">
        <w:rPr>
          <w:rFonts w:ascii="Times New Roman" w:hAnsi="Times New Roman" w:cs="Times New Roman"/>
          <w:noProof/>
          <w:sz w:val="24"/>
          <w:szCs w:val="24"/>
        </w:rPr>
        <w:t>Baruch, Z., Liddicoat, C., Cando-Dumancela, C., Laws, M., Morelli, H., Weinstein, P., Young, J.M., Breed, M.F., 2021. Increased plant species richness associates with greater soil bacterial diversity in urban green spaces. Environ. Res. 196, 110425. https://doi.org/10.1016/j.envres.2020.110425</w:t>
      </w:r>
    </w:p>
    <w:p w14:paraId="3BBB4036" w14:textId="77777777" w:rsidR="009C03F2" w:rsidRPr="009C03F2" w:rsidRDefault="009C03F2" w:rsidP="009C03F2">
      <w:pPr>
        <w:widowControl w:val="0"/>
        <w:autoSpaceDE w:val="0"/>
        <w:autoSpaceDN w:val="0"/>
        <w:adjustRightInd w:val="0"/>
        <w:spacing w:line="480" w:lineRule="auto"/>
        <w:ind w:left="480" w:hanging="480"/>
        <w:rPr>
          <w:rFonts w:ascii="Times New Roman" w:hAnsi="Times New Roman" w:cs="Times New Roman"/>
          <w:noProof/>
          <w:sz w:val="24"/>
          <w:szCs w:val="24"/>
        </w:rPr>
      </w:pPr>
      <w:r w:rsidRPr="009C03F2">
        <w:rPr>
          <w:rFonts w:ascii="Times New Roman" w:hAnsi="Times New Roman" w:cs="Times New Roman"/>
          <w:noProof/>
          <w:sz w:val="24"/>
          <w:szCs w:val="24"/>
        </w:rPr>
        <w:t>Baruch, Z., Liddicoat, C., Laws, M., Kiri Marker, L., Morelli, H., Yan, D.F., Young, J.M., Breed, M.F., 2020. Characterising the soil fungal microbiome in metropolitan green spaces across a vegetation biodiversity gradient. Fungal Ecol. 47, 100939. https://doi.org/10.1016/j.funeco.2020.100939</w:t>
      </w:r>
    </w:p>
    <w:p w14:paraId="199B2685" w14:textId="77777777" w:rsidR="009C03F2" w:rsidRPr="009C03F2" w:rsidRDefault="009C03F2" w:rsidP="009C03F2">
      <w:pPr>
        <w:widowControl w:val="0"/>
        <w:autoSpaceDE w:val="0"/>
        <w:autoSpaceDN w:val="0"/>
        <w:adjustRightInd w:val="0"/>
        <w:spacing w:line="480" w:lineRule="auto"/>
        <w:ind w:left="480" w:hanging="480"/>
        <w:rPr>
          <w:rFonts w:ascii="Times New Roman" w:hAnsi="Times New Roman" w:cs="Times New Roman"/>
          <w:noProof/>
          <w:sz w:val="24"/>
          <w:szCs w:val="24"/>
        </w:rPr>
      </w:pPr>
      <w:r w:rsidRPr="009C03F2">
        <w:rPr>
          <w:rFonts w:ascii="Times New Roman" w:hAnsi="Times New Roman" w:cs="Times New Roman"/>
          <w:noProof/>
          <w:sz w:val="24"/>
          <w:szCs w:val="24"/>
        </w:rPr>
        <w:t>Beniston, J.W., Lal, R., Mercer, K.L., 2016. Assessing and Managing Soil Quality for Urban Agriculture in a Degraded Vacant Lot Soil. L. Degrad. Dev. 27, 996–1006. https://doi.org/10.1002/ldr.2342</w:t>
      </w:r>
    </w:p>
    <w:p w14:paraId="70217A0E" w14:textId="77777777" w:rsidR="009C03F2" w:rsidRPr="009C03F2" w:rsidRDefault="009C03F2" w:rsidP="009C03F2">
      <w:pPr>
        <w:widowControl w:val="0"/>
        <w:autoSpaceDE w:val="0"/>
        <w:autoSpaceDN w:val="0"/>
        <w:adjustRightInd w:val="0"/>
        <w:spacing w:line="480" w:lineRule="auto"/>
        <w:ind w:left="480" w:hanging="480"/>
        <w:rPr>
          <w:rFonts w:ascii="Times New Roman" w:hAnsi="Times New Roman" w:cs="Times New Roman"/>
          <w:noProof/>
          <w:sz w:val="24"/>
          <w:szCs w:val="24"/>
        </w:rPr>
      </w:pPr>
      <w:r w:rsidRPr="009C03F2">
        <w:rPr>
          <w:rFonts w:ascii="Times New Roman" w:hAnsi="Times New Roman" w:cs="Times New Roman"/>
          <w:noProof/>
          <w:sz w:val="24"/>
          <w:szCs w:val="24"/>
        </w:rPr>
        <w:t>Cardinael, R., Chevallier, T., Guenet, B., Girardin, C., Cozzi, T., Pouteau, V., Chenu, C., 2020. Organic carbon decomposition rates with depth and contribution of inorganic carbon to CO2 emissions under a Mediterranean agroforestry system. Eur. J. Soil Sci. 71, 909–923. https://doi.org/10.1111/ejss.12908</w:t>
      </w:r>
    </w:p>
    <w:p w14:paraId="4F545EB3" w14:textId="77777777" w:rsidR="009C03F2" w:rsidRPr="009C03F2" w:rsidRDefault="009C03F2" w:rsidP="009C03F2">
      <w:pPr>
        <w:widowControl w:val="0"/>
        <w:autoSpaceDE w:val="0"/>
        <w:autoSpaceDN w:val="0"/>
        <w:adjustRightInd w:val="0"/>
        <w:spacing w:line="480" w:lineRule="auto"/>
        <w:ind w:left="480" w:hanging="480"/>
        <w:rPr>
          <w:rFonts w:ascii="Times New Roman" w:hAnsi="Times New Roman" w:cs="Times New Roman"/>
          <w:noProof/>
          <w:sz w:val="24"/>
          <w:szCs w:val="24"/>
        </w:rPr>
      </w:pPr>
      <w:r w:rsidRPr="009C03F2">
        <w:rPr>
          <w:rFonts w:ascii="Times New Roman" w:hAnsi="Times New Roman" w:cs="Times New Roman"/>
          <w:noProof/>
          <w:sz w:val="24"/>
          <w:szCs w:val="24"/>
        </w:rPr>
        <w:t>Cardoso, E.J.B.N., Vasconcellos, R.L.F., Bini, D., Miyauchi, M.Y.H., dos Santos, C.A., Alves, P.R.L., de Paula, A.M., Nakatani, A.S., Pereira, J. de M., Nogueira, M.A., 2013. Soil health: Looking for suitable indicators. What should be considered to assess the effects of use and management on soil health? Sci. Agric. 70, 274–289. https://doi.org/10.1590/S0103-90162013000400009</w:t>
      </w:r>
    </w:p>
    <w:p w14:paraId="72C1DD5B" w14:textId="77777777" w:rsidR="009C03F2" w:rsidRPr="009C03F2" w:rsidRDefault="009C03F2" w:rsidP="009C03F2">
      <w:pPr>
        <w:widowControl w:val="0"/>
        <w:autoSpaceDE w:val="0"/>
        <w:autoSpaceDN w:val="0"/>
        <w:adjustRightInd w:val="0"/>
        <w:spacing w:line="480" w:lineRule="auto"/>
        <w:ind w:left="480" w:hanging="480"/>
        <w:rPr>
          <w:rFonts w:ascii="Times New Roman" w:hAnsi="Times New Roman" w:cs="Times New Roman"/>
          <w:noProof/>
          <w:sz w:val="24"/>
          <w:szCs w:val="24"/>
        </w:rPr>
      </w:pPr>
      <w:r w:rsidRPr="009C03F2">
        <w:rPr>
          <w:rFonts w:ascii="Times New Roman" w:hAnsi="Times New Roman" w:cs="Times New Roman"/>
          <w:noProof/>
          <w:sz w:val="24"/>
          <w:szCs w:val="24"/>
        </w:rPr>
        <w:t>Clark, K.H., Nicholas, K.A., 2013. Introducing urban food forestry: A multifunctional approach to increase food security and provide ecosystem services. Landsc. Ecol. 28, 1649–1669. https://doi.org/10.1007/s10980-013-9903-z</w:t>
      </w:r>
    </w:p>
    <w:p w14:paraId="1255CE38" w14:textId="77777777" w:rsidR="009C03F2" w:rsidRPr="009C03F2" w:rsidRDefault="009C03F2" w:rsidP="009C03F2">
      <w:pPr>
        <w:widowControl w:val="0"/>
        <w:autoSpaceDE w:val="0"/>
        <w:autoSpaceDN w:val="0"/>
        <w:adjustRightInd w:val="0"/>
        <w:spacing w:line="480" w:lineRule="auto"/>
        <w:ind w:left="480" w:hanging="480"/>
        <w:rPr>
          <w:rFonts w:ascii="Times New Roman" w:hAnsi="Times New Roman" w:cs="Times New Roman"/>
          <w:noProof/>
          <w:sz w:val="24"/>
          <w:szCs w:val="24"/>
        </w:rPr>
      </w:pPr>
      <w:r w:rsidRPr="009C03F2">
        <w:rPr>
          <w:rFonts w:ascii="Times New Roman" w:hAnsi="Times New Roman" w:cs="Times New Roman"/>
          <w:noProof/>
          <w:sz w:val="24"/>
          <w:szCs w:val="24"/>
        </w:rPr>
        <w:t>Cleveland, D.A., Phares, N., Nightingale, K.D., Weatherby, R.L., Radis, W., Ballard, J., Campagna, M., Kurtz, D., Livingston, K., Riechers, G., Wilkins, K., 2017. The potential for urban household vegetable gardens to reduce greenhouse gas emissions. Landsc. Urban Plan. 157, 365–374. https://doi.org/10.1016/j.landurbplan.2016.07.008</w:t>
      </w:r>
    </w:p>
    <w:p w14:paraId="00D4EC07" w14:textId="77777777" w:rsidR="009C03F2" w:rsidRPr="009C03F2" w:rsidRDefault="009C03F2" w:rsidP="009C03F2">
      <w:pPr>
        <w:widowControl w:val="0"/>
        <w:autoSpaceDE w:val="0"/>
        <w:autoSpaceDN w:val="0"/>
        <w:adjustRightInd w:val="0"/>
        <w:spacing w:line="480" w:lineRule="auto"/>
        <w:ind w:left="480" w:hanging="480"/>
        <w:rPr>
          <w:rFonts w:ascii="Times New Roman" w:hAnsi="Times New Roman" w:cs="Times New Roman"/>
          <w:noProof/>
          <w:sz w:val="24"/>
          <w:szCs w:val="24"/>
        </w:rPr>
      </w:pPr>
      <w:r w:rsidRPr="009C03F2">
        <w:rPr>
          <w:rFonts w:ascii="Times New Roman" w:hAnsi="Times New Roman" w:cs="Times New Roman"/>
          <w:noProof/>
          <w:sz w:val="24"/>
          <w:szCs w:val="24"/>
        </w:rPr>
        <w:t>Clivot, H., Petitjean, C., Marron, N., Dallé, E., Genestier, J., Blaszczyk, N., Santenoise, P., Laflotte, A., Piutti, S., 2020. Early effects of temperate agroforestry practices on soil organic matter and microbial enzyme activity. Plant Soil 453, 189–207. https://doi.org/10.1007/s11104-019-04320-6</w:t>
      </w:r>
    </w:p>
    <w:p w14:paraId="036F6612" w14:textId="37C250EF" w:rsidR="009C03F2" w:rsidRDefault="009C03F2" w:rsidP="009C03F2">
      <w:pPr>
        <w:widowControl w:val="0"/>
        <w:autoSpaceDE w:val="0"/>
        <w:autoSpaceDN w:val="0"/>
        <w:adjustRightInd w:val="0"/>
        <w:spacing w:line="480" w:lineRule="auto"/>
        <w:ind w:left="480" w:hanging="480"/>
        <w:rPr>
          <w:rFonts w:ascii="Times New Roman" w:hAnsi="Times New Roman" w:cs="Times New Roman"/>
          <w:noProof/>
          <w:sz w:val="24"/>
          <w:szCs w:val="24"/>
        </w:rPr>
      </w:pPr>
      <w:r w:rsidRPr="009C03F2">
        <w:rPr>
          <w:rFonts w:ascii="Times New Roman" w:hAnsi="Times New Roman" w:cs="Times New Roman"/>
          <w:noProof/>
          <w:sz w:val="24"/>
          <w:szCs w:val="24"/>
        </w:rPr>
        <w:t>Coleman, K., Jenkinson, D.S., Crocker, G.J., Grace, P.R., Klír, J., Körschens, M., Poulton, P.R., Richter, D.D., 1997. Simulating trends in soil organic carbon in long-term experiments using RothC-26.3. Geoderma 81. https://doi.org/10.1016/S0016-7061(97)00079-7</w:t>
      </w:r>
    </w:p>
    <w:p w14:paraId="34A7A948" w14:textId="4D3DD4CC" w:rsidR="008E73F4" w:rsidRPr="009C03F2" w:rsidRDefault="008E73F4" w:rsidP="009C03F2">
      <w:pPr>
        <w:widowControl w:val="0"/>
        <w:autoSpaceDE w:val="0"/>
        <w:autoSpaceDN w:val="0"/>
        <w:adjustRightInd w:val="0"/>
        <w:spacing w:line="480" w:lineRule="auto"/>
        <w:ind w:left="480" w:hanging="480"/>
        <w:rPr>
          <w:rFonts w:ascii="Times New Roman" w:hAnsi="Times New Roman" w:cs="Times New Roman"/>
          <w:noProof/>
          <w:sz w:val="24"/>
          <w:szCs w:val="24"/>
        </w:rPr>
      </w:pPr>
      <w:r>
        <w:rPr>
          <w:rFonts w:ascii="Times New Roman" w:hAnsi="Times New Roman" w:cs="Times New Roman"/>
          <w:noProof/>
          <w:sz w:val="24"/>
          <w:szCs w:val="24"/>
        </w:rPr>
        <w:t>Conner, M.M., Saunders, W.C., Bouwes, N., Jordan, C. 2016</w:t>
      </w:r>
      <w:r w:rsidRPr="008E73F4">
        <w:rPr>
          <w:rFonts w:ascii="Times New Roman" w:hAnsi="Times New Roman" w:cs="Times New Roman"/>
          <w:noProof/>
          <w:sz w:val="24"/>
          <w:szCs w:val="24"/>
        </w:rPr>
        <w:t>. Evaluating impacts using a BACI design, ratios, and a Bayesian approach with a focus on restoration. Environ. Monit. Assess</w:t>
      </w:r>
      <w:r>
        <w:rPr>
          <w:rFonts w:ascii="Times New Roman" w:hAnsi="Times New Roman" w:cs="Times New Roman"/>
          <w:noProof/>
          <w:sz w:val="24"/>
          <w:szCs w:val="24"/>
        </w:rPr>
        <w:t>, 188</w:t>
      </w:r>
      <w:r w:rsidRPr="008E73F4">
        <w:rPr>
          <w:rFonts w:ascii="Times New Roman" w:hAnsi="Times New Roman" w:cs="Times New Roman"/>
          <w:noProof/>
          <w:sz w:val="24"/>
          <w:szCs w:val="24"/>
        </w:rPr>
        <w:t>, 1-14.</w:t>
      </w:r>
    </w:p>
    <w:p w14:paraId="63AB6361" w14:textId="77777777" w:rsidR="009C03F2" w:rsidRPr="009C03F2" w:rsidRDefault="009C03F2" w:rsidP="009C03F2">
      <w:pPr>
        <w:widowControl w:val="0"/>
        <w:autoSpaceDE w:val="0"/>
        <w:autoSpaceDN w:val="0"/>
        <w:adjustRightInd w:val="0"/>
        <w:spacing w:line="480" w:lineRule="auto"/>
        <w:ind w:left="480" w:hanging="480"/>
        <w:rPr>
          <w:rFonts w:ascii="Times New Roman" w:hAnsi="Times New Roman" w:cs="Times New Roman"/>
          <w:noProof/>
          <w:sz w:val="24"/>
          <w:szCs w:val="24"/>
        </w:rPr>
      </w:pPr>
      <w:r w:rsidRPr="009C03F2">
        <w:rPr>
          <w:rFonts w:ascii="Times New Roman" w:hAnsi="Times New Roman" w:cs="Times New Roman"/>
          <w:noProof/>
          <w:sz w:val="24"/>
          <w:szCs w:val="24"/>
        </w:rPr>
        <w:t>De Cáceres, M., Legendre, P., 2020. Package “indicspecies.” CRAN Repos.</w:t>
      </w:r>
    </w:p>
    <w:p w14:paraId="41107755" w14:textId="77777777" w:rsidR="009C03F2" w:rsidRPr="009C03F2" w:rsidRDefault="009C03F2" w:rsidP="009C03F2">
      <w:pPr>
        <w:widowControl w:val="0"/>
        <w:autoSpaceDE w:val="0"/>
        <w:autoSpaceDN w:val="0"/>
        <w:adjustRightInd w:val="0"/>
        <w:spacing w:line="480" w:lineRule="auto"/>
        <w:ind w:left="480" w:hanging="480"/>
        <w:rPr>
          <w:rFonts w:ascii="Times New Roman" w:hAnsi="Times New Roman" w:cs="Times New Roman"/>
          <w:noProof/>
          <w:sz w:val="24"/>
          <w:szCs w:val="24"/>
        </w:rPr>
      </w:pPr>
      <w:r w:rsidRPr="009C03F2">
        <w:rPr>
          <w:rFonts w:ascii="Times New Roman" w:hAnsi="Times New Roman" w:cs="Times New Roman"/>
          <w:noProof/>
          <w:sz w:val="24"/>
          <w:szCs w:val="24"/>
        </w:rPr>
        <w:t>De Stefano, A., Jacobson, M.G., 2018. Soil carbon sequestration in agroforestry systems: a meta-analysis. Agrofor. Syst. 92, 285–299. https://doi.org/10.1007/s10457-017-0147-9</w:t>
      </w:r>
    </w:p>
    <w:p w14:paraId="2FBED278" w14:textId="77777777" w:rsidR="009C03F2" w:rsidRPr="009C03F2" w:rsidRDefault="009C03F2" w:rsidP="009C03F2">
      <w:pPr>
        <w:widowControl w:val="0"/>
        <w:autoSpaceDE w:val="0"/>
        <w:autoSpaceDN w:val="0"/>
        <w:adjustRightInd w:val="0"/>
        <w:spacing w:line="480" w:lineRule="auto"/>
        <w:ind w:left="480" w:hanging="480"/>
        <w:rPr>
          <w:rFonts w:ascii="Times New Roman" w:hAnsi="Times New Roman" w:cs="Times New Roman"/>
          <w:noProof/>
          <w:sz w:val="24"/>
          <w:szCs w:val="24"/>
        </w:rPr>
      </w:pPr>
      <w:r w:rsidRPr="009C03F2">
        <w:rPr>
          <w:rFonts w:ascii="Times New Roman" w:hAnsi="Times New Roman" w:cs="Times New Roman"/>
          <w:noProof/>
          <w:sz w:val="24"/>
          <w:szCs w:val="24"/>
        </w:rPr>
        <w:t>de Tombeur, F., Sohy, V., Chenu, C., Colinet, G., Cornelis, J.T., 2018. Effects of permaculture practices on soil physicochemical properties and organic matter distribution in aggregates: A case study of the bec-hellouin farm (France). Front. Environ. Sci. 6, 1–12. https://doi.org/10.3389/fenvs.2018.00116</w:t>
      </w:r>
    </w:p>
    <w:p w14:paraId="469D1039" w14:textId="0CFA1B33" w:rsidR="009C03F2" w:rsidRDefault="009C03F2" w:rsidP="009C03F2">
      <w:pPr>
        <w:widowControl w:val="0"/>
        <w:autoSpaceDE w:val="0"/>
        <w:autoSpaceDN w:val="0"/>
        <w:adjustRightInd w:val="0"/>
        <w:spacing w:line="480" w:lineRule="auto"/>
        <w:ind w:left="480" w:hanging="480"/>
        <w:rPr>
          <w:rFonts w:ascii="Times New Roman" w:hAnsi="Times New Roman" w:cs="Times New Roman"/>
          <w:noProof/>
          <w:sz w:val="24"/>
          <w:szCs w:val="24"/>
        </w:rPr>
      </w:pPr>
      <w:r w:rsidRPr="009C03F2">
        <w:rPr>
          <w:rFonts w:ascii="Times New Roman" w:hAnsi="Times New Roman" w:cs="Times New Roman"/>
          <w:noProof/>
          <w:sz w:val="24"/>
          <w:szCs w:val="24"/>
        </w:rPr>
        <w:t>Díaz-Vallejo, E.J., Seeley, M., Smith, A.P., Marín-Spiotta, E., 2021. A meta-analysis of tropical land-use change effects on the soil microbiome: Emerging patterns and knowledge gaps. Biotropica. https://doi.org/10.1111/btp.12931</w:t>
      </w:r>
    </w:p>
    <w:p w14:paraId="71F23862" w14:textId="79C15EA0" w:rsidR="00303BED" w:rsidRPr="009C03F2" w:rsidRDefault="00303BED" w:rsidP="009C03F2">
      <w:pPr>
        <w:widowControl w:val="0"/>
        <w:autoSpaceDE w:val="0"/>
        <w:autoSpaceDN w:val="0"/>
        <w:adjustRightInd w:val="0"/>
        <w:spacing w:line="480" w:lineRule="auto"/>
        <w:ind w:left="480" w:hanging="480"/>
        <w:rPr>
          <w:rFonts w:ascii="Times New Roman" w:hAnsi="Times New Roman" w:cs="Times New Roman"/>
          <w:noProof/>
          <w:sz w:val="24"/>
          <w:szCs w:val="24"/>
        </w:rPr>
      </w:pPr>
      <w:r w:rsidRPr="00303BED">
        <w:rPr>
          <w:rFonts w:ascii="Times New Roman" w:hAnsi="Times New Roman" w:cs="Times New Roman"/>
          <w:noProof/>
          <w:sz w:val="24"/>
          <w:szCs w:val="24"/>
        </w:rPr>
        <w:t>Dowd, S. E., Sun, Y., Wolcott, R. D., Doming</w:t>
      </w:r>
      <w:r>
        <w:rPr>
          <w:rFonts w:ascii="Times New Roman" w:hAnsi="Times New Roman" w:cs="Times New Roman"/>
          <w:noProof/>
          <w:sz w:val="24"/>
          <w:szCs w:val="24"/>
        </w:rPr>
        <w:t>o, A., Carroll, J. A., 2008,</w:t>
      </w:r>
      <w:r w:rsidRPr="00303BED">
        <w:rPr>
          <w:rFonts w:ascii="Times New Roman" w:hAnsi="Times New Roman" w:cs="Times New Roman"/>
          <w:noProof/>
          <w:sz w:val="24"/>
          <w:szCs w:val="24"/>
        </w:rPr>
        <w:t xml:space="preserve"> Bacterial tag–encoded FLX amplicon pyrosequencing (bTEFAP) for microbiome studies: bacterial diversity in the ileum of newly weaned Salmonella-infected pigs. Foodb</w:t>
      </w:r>
      <w:r>
        <w:rPr>
          <w:rFonts w:ascii="Times New Roman" w:hAnsi="Times New Roman" w:cs="Times New Roman"/>
          <w:noProof/>
          <w:sz w:val="24"/>
          <w:szCs w:val="24"/>
        </w:rPr>
        <w:t>orne pathogens and disease, 5</w:t>
      </w:r>
      <w:r w:rsidRPr="00303BED">
        <w:rPr>
          <w:rFonts w:ascii="Times New Roman" w:hAnsi="Times New Roman" w:cs="Times New Roman"/>
          <w:noProof/>
          <w:sz w:val="24"/>
          <w:szCs w:val="24"/>
        </w:rPr>
        <w:t>, 459-472.</w:t>
      </w:r>
    </w:p>
    <w:p w14:paraId="12843141" w14:textId="77777777" w:rsidR="009C03F2" w:rsidRPr="009C03F2" w:rsidRDefault="009C03F2" w:rsidP="009C03F2">
      <w:pPr>
        <w:widowControl w:val="0"/>
        <w:autoSpaceDE w:val="0"/>
        <w:autoSpaceDN w:val="0"/>
        <w:adjustRightInd w:val="0"/>
        <w:spacing w:line="480" w:lineRule="auto"/>
        <w:ind w:left="480" w:hanging="480"/>
        <w:rPr>
          <w:rFonts w:ascii="Times New Roman" w:hAnsi="Times New Roman" w:cs="Times New Roman"/>
          <w:noProof/>
          <w:sz w:val="24"/>
          <w:szCs w:val="24"/>
        </w:rPr>
      </w:pPr>
      <w:r w:rsidRPr="009C03F2">
        <w:rPr>
          <w:rFonts w:ascii="Times New Roman" w:hAnsi="Times New Roman" w:cs="Times New Roman"/>
          <w:noProof/>
          <w:sz w:val="24"/>
          <w:szCs w:val="24"/>
        </w:rPr>
        <w:t>Feliciano, D., Ledo, A., Hillier, J., Nayak, D.R., 2018. Which agroforestry options give the greatest soil and above ground carbon benefits in different world regions? Agric. Ecosyst. Environ. 254, 117–129. https://doi.org/10.1016/j.agee.2017.11.032</w:t>
      </w:r>
    </w:p>
    <w:p w14:paraId="74623638" w14:textId="77777777" w:rsidR="009C03F2" w:rsidRPr="009C03F2" w:rsidRDefault="009C03F2" w:rsidP="009C03F2">
      <w:pPr>
        <w:widowControl w:val="0"/>
        <w:autoSpaceDE w:val="0"/>
        <w:autoSpaceDN w:val="0"/>
        <w:adjustRightInd w:val="0"/>
        <w:spacing w:line="480" w:lineRule="auto"/>
        <w:ind w:left="480" w:hanging="480"/>
        <w:rPr>
          <w:rFonts w:ascii="Times New Roman" w:hAnsi="Times New Roman" w:cs="Times New Roman"/>
          <w:noProof/>
          <w:sz w:val="24"/>
          <w:szCs w:val="24"/>
        </w:rPr>
      </w:pPr>
      <w:r w:rsidRPr="009C03F2">
        <w:rPr>
          <w:rFonts w:ascii="Times New Roman" w:hAnsi="Times New Roman" w:cs="Times New Roman"/>
          <w:noProof/>
          <w:sz w:val="24"/>
          <w:szCs w:val="24"/>
        </w:rPr>
        <w:t>Forest Products Laboratory, 2010. Wood Handbook: Wood as an Engineering Material. Agriculture 72, 466. https://doi.org/General Technical Report FPL-GTR-190</w:t>
      </w:r>
    </w:p>
    <w:p w14:paraId="76C6F79A" w14:textId="33960ED4" w:rsidR="009C03F2" w:rsidRPr="00B5680C" w:rsidRDefault="009C03F2" w:rsidP="009C03F2">
      <w:pPr>
        <w:widowControl w:val="0"/>
        <w:autoSpaceDE w:val="0"/>
        <w:autoSpaceDN w:val="0"/>
        <w:adjustRightInd w:val="0"/>
        <w:spacing w:line="480" w:lineRule="auto"/>
        <w:ind w:left="480" w:hanging="480"/>
        <w:rPr>
          <w:rFonts w:ascii="Times New Roman" w:hAnsi="Times New Roman" w:cs="Times New Roman"/>
          <w:noProof/>
          <w:sz w:val="24"/>
          <w:szCs w:val="24"/>
        </w:rPr>
      </w:pPr>
      <w:r w:rsidRPr="009C03F2">
        <w:rPr>
          <w:rFonts w:ascii="Times New Roman" w:hAnsi="Times New Roman" w:cs="Times New Roman"/>
          <w:noProof/>
          <w:sz w:val="24"/>
          <w:szCs w:val="24"/>
        </w:rPr>
        <w:t>Guilland, C., Maron, P.A., Damas, O., Ranjard, L., 2018. Biodiversity of urban soils for sustainable cities. Environ. Chem. Lett. 16, 1267–1282. https://doi.org/10.1007/s10311-</w:t>
      </w:r>
      <w:r w:rsidRPr="00B5680C">
        <w:rPr>
          <w:rFonts w:ascii="Times New Roman" w:hAnsi="Times New Roman" w:cs="Times New Roman"/>
          <w:noProof/>
          <w:sz w:val="24"/>
          <w:szCs w:val="24"/>
        </w:rPr>
        <w:t>018-0751-6</w:t>
      </w:r>
    </w:p>
    <w:p w14:paraId="1EC39D2E" w14:textId="3ADADEEC" w:rsidR="00B5680C" w:rsidRPr="00B5680C" w:rsidRDefault="00B5680C" w:rsidP="009C03F2">
      <w:pPr>
        <w:widowControl w:val="0"/>
        <w:autoSpaceDE w:val="0"/>
        <w:autoSpaceDN w:val="0"/>
        <w:adjustRightInd w:val="0"/>
        <w:spacing w:line="480" w:lineRule="auto"/>
        <w:ind w:left="480" w:hanging="480"/>
        <w:rPr>
          <w:rFonts w:ascii="Times New Roman" w:hAnsi="Times New Roman" w:cs="Times New Roman"/>
          <w:b/>
          <w:noProof/>
          <w:sz w:val="24"/>
          <w:szCs w:val="24"/>
        </w:rPr>
      </w:pPr>
      <w:r w:rsidRPr="00B5680C">
        <w:rPr>
          <w:rFonts w:ascii="Times New Roman" w:eastAsia="Times New Roman" w:hAnsi="Times New Roman" w:cs="Times New Roman"/>
          <w:color w:val="222222"/>
          <w:sz w:val="24"/>
          <w:szCs w:val="24"/>
          <w:shd w:val="clear" w:color="auto" w:fill="FFFFFF"/>
        </w:rPr>
        <w:t>Hackl, E., Zechmeister-Boltenstern, S.,</w:t>
      </w:r>
      <w:r>
        <w:rPr>
          <w:rFonts w:ascii="Times New Roman" w:eastAsia="Times New Roman" w:hAnsi="Times New Roman" w:cs="Times New Roman"/>
          <w:color w:val="222222"/>
          <w:sz w:val="24"/>
          <w:szCs w:val="24"/>
          <w:shd w:val="clear" w:color="auto" w:fill="FFFFFF"/>
        </w:rPr>
        <w:t xml:space="preserve"> Bodrossy, L., &amp; Sessitsch, A., 2004</w:t>
      </w:r>
      <w:r w:rsidRPr="00B5680C">
        <w:rPr>
          <w:rFonts w:ascii="Times New Roman" w:eastAsia="Times New Roman" w:hAnsi="Times New Roman" w:cs="Times New Roman"/>
          <w:color w:val="222222"/>
          <w:sz w:val="24"/>
          <w:szCs w:val="24"/>
          <w:shd w:val="clear" w:color="auto" w:fill="FFFFFF"/>
        </w:rPr>
        <w:t>. Comparison of diversities and compositions of bacterial populations inhabiting natural forest soils. </w:t>
      </w:r>
      <w:r>
        <w:rPr>
          <w:rFonts w:ascii="Times New Roman" w:eastAsia="Times New Roman" w:hAnsi="Times New Roman" w:cs="Times New Roman"/>
          <w:i/>
          <w:iCs/>
          <w:color w:val="222222"/>
          <w:sz w:val="24"/>
          <w:szCs w:val="24"/>
        </w:rPr>
        <w:t>Appl</w:t>
      </w:r>
      <w:r w:rsidRPr="00B5680C">
        <w:rPr>
          <w:rFonts w:ascii="Times New Roman" w:eastAsia="Times New Roman" w:hAnsi="Times New Roman" w:cs="Times New Roman"/>
          <w:i/>
          <w:iCs/>
          <w:color w:val="222222"/>
          <w:sz w:val="24"/>
          <w:szCs w:val="24"/>
        </w:rPr>
        <w:t xml:space="preserve"> </w:t>
      </w:r>
      <w:r>
        <w:rPr>
          <w:rFonts w:ascii="Times New Roman" w:eastAsia="Times New Roman" w:hAnsi="Times New Roman" w:cs="Times New Roman"/>
          <w:i/>
          <w:iCs/>
          <w:color w:val="222222"/>
          <w:sz w:val="24"/>
          <w:szCs w:val="24"/>
        </w:rPr>
        <w:t>Environ. Microbiol.</w:t>
      </w:r>
      <w:r w:rsidRPr="00B5680C">
        <w:rPr>
          <w:rFonts w:ascii="Times New Roman" w:eastAsia="Times New Roman" w:hAnsi="Times New Roman" w:cs="Times New Roman"/>
          <w:color w:val="222222"/>
          <w:sz w:val="24"/>
          <w:szCs w:val="24"/>
          <w:shd w:val="clear" w:color="auto" w:fill="FFFFFF"/>
        </w:rPr>
        <w:t>, </w:t>
      </w:r>
      <w:r w:rsidRPr="00B5680C">
        <w:rPr>
          <w:rFonts w:ascii="Times New Roman" w:eastAsia="Times New Roman" w:hAnsi="Times New Roman" w:cs="Times New Roman"/>
          <w:iCs/>
          <w:color w:val="222222"/>
          <w:sz w:val="24"/>
          <w:szCs w:val="24"/>
        </w:rPr>
        <w:t>70</w:t>
      </w:r>
      <w:r w:rsidRPr="00B5680C">
        <w:rPr>
          <w:rFonts w:ascii="Times New Roman" w:eastAsia="Times New Roman" w:hAnsi="Times New Roman" w:cs="Times New Roman"/>
          <w:color w:val="222222"/>
          <w:sz w:val="24"/>
          <w:szCs w:val="24"/>
          <w:shd w:val="clear" w:color="auto" w:fill="FFFFFF"/>
        </w:rPr>
        <w:t>, 5057-5065.</w:t>
      </w:r>
    </w:p>
    <w:p w14:paraId="4A15D97D" w14:textId="254E659E" w:rsidR="009C03F2" w:rsidRDefault="009C03F2" w:rsidP="009C03F2">
      <w:pPr>
        <w:widowControl w:val="0"/>
        <w:autoSpaceDE w:val="0"/>
        <w:autoSpaceDN w:val="0"/>
        <w:adjustRightInd w:val="0"/>
        <w:spacing w:line="480" w:lineRule="auto"/>
        <w:ind w:left="480" w:hanging="480"/>
        <w:rPr>
          <w:rFonts w:ascii="Times New Roman" w:hAnsi="Times New Roman" w:cs="Times New Roman"/>
          <w:noProof/>
          <w:sz w:val="24"/>
          <w:szCs w:val="24"/>
        </w:rPr>
      </w:pPr>
      <w:r w:rsidRPr="009C03F2">
        <w:rPr>
          <w:rFonts w:ascii="Times New Roman" w:hAnsi="Times New Roman" w:cs="Times New Roman"/>
          <w:noProof/>
          <w:sz w:val="24"/>
          <w:szCs w:val="24"/>
        </w:rPr>
        <w:t>Hoosbeek, M.R., Remme, R.P., Rusch, G.M., 2018. Trees enhance soil carbon sequestration and nutrient cycling in a silvopastoral system in south-western Nicaragua. Agrofor. Syst. 92, 263–273. https://doi.org/10.1007/s10457-016-0049-2</w:t>
      </w:r>
    </w:p>
    <w:p w14:paraId="4B9D33AB" w14:textId="458F8AD3" w:rsidR="00B5680C" w:rsidRPr="00B5680C" w:rsidRDefault="00B5680C" w:rsidP="009C03F2">
      <w:pPr>
        <w:widowControl w:val="0"/>
        <w:autoSpaceDE w:val="0"/>
        <w:autoSpaceDN w:val="0"/>
        <w:adjustRightInd w:val="0"/>
        <w:spacing w:line="480" w:lineRule="auto"/>
        <w:ind w:left="480" w:hanging="480"/>
        <w:rPr>
          <w:rFonts w:ascii="Times New Roman" w:hAnsi="Times New Roman" w:cs="Times New Roman"/>
          <w:noProof/>
          <w:sz w:val="24"/>
          <w:szCs w:val="24"/>
        </w:rPr>
      </w:pPr>
      <w:r w:rsidRPr="00B5680C">
        <w:rPr>
          <w:rFonts w:ascii="Times New Roman" w:eastAsia="Times New Roman" w:hAnsi="Times New Roman" w:cs="Times New Roman"/>
          <w:color w:val="222222"/>
          <w:sz w:val="24"/>
          <w:szCs w:val="24"/>
          <w:shd w:val="clear" w:color="auto" w:fill="FFFFFF"/>
        </w:rPr>
        <w:t>Huang, J. W., Hu, S. L., Cheng, X. K., Chen, D</w:t>
      </w:r>
      <w:r>
        <w:rPr>
          <w:rFonts w:ascii="Times New Roman" w:eastAsia="Times New Roman" w:hAnsi="Times New Roman" w:cs="Times New Roman"/>
          <w:color w:val="222222"/>
          <w:sz w:val="24"/>
          <w:szCs w:val="24"/>
          <w:shd w:val="clear" w:color="auto" w:fill="FFFFFF"/>
        </w:rPr>
        <w:t>., Kong, X. K., &amp; Jiang, J. D. 2019</w:t>
      </w:r>
      <w:r w:rsidRPr="00B5680C">
        <w:rPr>
          <w:rFonts w:ascii="Times New Roman" w:eastAsia="Times New Roman" w:hAnsi="Times New Roman" w:cs="Times New Roman"/>
          <w:color w:val="222222"/>
          <w:sz w:val="24"/>
          <w:szCs w:val="24"/>
          <w:shd w:val="clear" w:color="auto" w:fill="FFFFFF"/>
        </w:rPr>
        <w:t>. Steroidobacter soli sp. nov., isolated from farmland soil. </w:t>
      </w:r>
      <w:r w:rsidRPr="00B5680C">
        <w:rPr>
          <w:rFonts w:ascii="Times New Roman" w:eastAsia="Times New Roman" w:hAnsi="Times New Roman" w:cs="Times New Roman"/>
          <w:iCs/>
          <w:color w:val="222222"/>
          <w:sz w:val="24"/>
          <w:szCs w:val="24"/>
        </w:rPr>
        <w:t>Int. J. Syst Evol.</w:t>
      </w:r>
      <w:r w:rsidRPr="00B5680C">
        <w:rPr>
          <w:rFonts w:ascii="Times New Roman" w:eastAsia="Times New Roman" w:hAnsi="Times New Roman" w:cs="Times New Roman"/>
          <w:color w:val="222222"/>
          <w:sz w:val="24"/>
          <w:szCs w:val="24"/>
          <w:shd w:val="clear" w:color="auto" w:fill="FFFFFF"/>
        </w:rPr>
        <w:t>, </w:t>
      </w:r>
      <w:r w:rsidRPr="00B5680C">
        <w:rPr>
          <w:rFonts w:ascii="Times New Roman" w:eastAsia="Times New Roman" w:hAnsi="Times New Roman" w:cs="Times New Roman"/>
          <w:iCs/>
          <w:color w:val="222222"/>
          <w:sz w:val="24"/>
          <w:szCs w:val="24"/>
        </w:rPr>
        <w:t>69</w:t>
      </w:r>
      <w:r w:rsidRPr="00B5680C">
        <w:rPr>
          <w:rFonts w:ascii="Times New Roman" w:eastAsia="Times New Roman" w:hAnsi="Times New Roman" w:cs="Times New Roman"/>
          <w:color w:val="222222"/>
          <w:sz w:val="24"/>
          <w:szCs w:val="24"/>
          <w:shd w:val="clear" w:color="auto" w:fill="FFFFFF"/>
        </w:rPr>
        <w:t>, 3443-3447.</w:t>
      </w:r>
    </w:p>
    <w:p w14:paraId="434564B4" w14:textId="77777777" w:rsidR="009C03F2" w:rsidRPr="009C03F2" w:rsidRDefault="009C03F2" w:rsidP="009C03F2">
      <w:pPr>
        <w:widowControl w:val="0"/>
        <w:autoSpaceDE w:val="0"/>
        <w:autoSpaceDN w:val="0"/>
        <w:adjustRightInd w:val="0"/>
        <w:spacing w:line="480" w:lineRule="auto"/>
        <w:ind w:left="480" w:hanging="480"/>
        <w:rPr>
          <w:rFonts w:ascii="Times New Roman" w:hAnsi="Times New Roman" w:cs="Times New Roman"/>
          <w:noProof/>
          <w:sz w:val="24"/>
          <w:szCs w:val="24"/>
        </w:rPr>
      </w:pPr>
      <w:r w:rsidRPr="009C03F2">
        <w:rPr>
          <w:rFonts w:ascii="Times New Roman" w:hAnsi="Times New Roman" w:cs="Times New Roman"/>
          <w:noProof/>
          <w:sz w:val="24"/>
          <w:szCs w:val="24"/>
        </w:rPr>
        <w:t>Hulvey, K.B., Hobbs, R.J., Standish, R.J., Lindenmayer, D.B., Lach, L., Perring, M.P., 2013. Benefits of tree mixes in carbon plantings. Nat. Clim. Chang. 3, 869–874. https://doi.org/10.1038/nclimate1862</w:t>
      </w:r>
    </w:p>
    <w:p w14:paraId="5835347E" w14:textId="77777777" w:rsidR="009C03F2" w:rsidRPr="009C03F2" w:rsidRDefault="009C03F2" w:rsidP="009C03F2">
      <w:pPr>
        <w:widowControl w:val="0"/>
        <w:autoSpaceDE w:val="0"/>
        <w:autoSpaceDN w:val="0"/>
        <w:adjustRightInd w:val="0"/>
        <w:spacing w:line="480" w:lineRule="auto"/>
        <w:ind w:left="480" w:hanging="480"/>
        <w:rPr>
          <w:rFonts w:ascii="Times New Roman" w:hAnsi="Times New Roman" w:cs="Times New Roman"/>
          <w:noProof/>
          <w:sz w:val="24"/>
          <w:szCs w:val="24"/>
        </w:rPr>
      </w:pPr>
      <w:r w:rsidRPr="009C03F2">
        <w:rPr>
          <w:rFonts w:ascii="Times New Roman" w:hAnsi="Times New Roman" w:cs="Times New Roman"/>
          <w:noProof/>
          <w:sz w:val="24"/>
          <w:szCs w:val="24"/>
        </w:rPr>
        <w:t>Klein, T., Siegwolf, R.T.W., Körner, C., 2016. Belowground carbon trade among tall trees in a temperate forest. Science (80-. ). 352. https://doi.org/10.1126/science.aad6188</w:t>
      </w:r>
    </w:p>
    <w:p w14:paraId="0C2B9D38" w14:textId="77777777" w:rsidR="009C03F2" w:rsidRPr="009C03F2" w:rsidRDefault="009C03F2" w:rsidP="009C03F2">
      <w:pPr>
        <w:widowControl w:val="0"/>
        <w:autoSpaceDE w:val="0"/>
        <w:autoSpaceDN w:val="0"/>
        <w:adjustRightInd w:val="0"/>
        <w:spacing w:line="480" w:lineRule="auto"/>
        <w:ind w:left="480" w:hanging="480"/>
        <w:rPr>
          <w:rFonts w:ascii="Times New Roman" w:hAnsi="Times New Roman" w:cs="Times New Roman"/>
          <w:noProof/>
          <w:sz w:val="24"/>
          <w:szCs w:val="24"/>
        </w:rPr>
      </w:pPr>
      <w:r w:rsidRPr="009C03F2">
        <w:rPr>
          <w:rFonts w:ascii="Times New Roman" w:hAnsi="Times New Roman" w:cs="Times New Roman"/>
          <w:noProof/>
          <w:sz w:val="24"/>
          <w:szCs w:val="24"/>
        </w:rPr>
        <w:t>Lee, K.H., Jose, S., 2003. Soil respiration and microbial biomass in a pecan - Cotton alley cropping system in southern USA. Agrofor. Syst. 58, 45–54. https://doi.org/10.1023/A:1025404019211</w:t>
      </w:r>
    </w:p>
    <w:p w14:paraId="003B1FDA" w14:textId="77777777" w:rsidR="009C03F2" w:rsidRPr="009C03F2" w:rsidRDefault="009C03F2" w:rsidP="009C03F2">
      <w:pPr>
        <w:widowControl w:val="0"/>
        <w:autoSpaceDE w:val="0"/>
        <w:autoSpaceDN w:val="0"/>
        <w:adjustRightInd w:val="0"/>
        <w:spacing w:line="480" w:lineRule="auto"/>
        <w:ind w:left="480" w:hanging="480"/>
        <w:rPr>
          <w:rFonts w:ascii="Times New Roman" w:hAnsi="Times New Roman" w:cs="Times New Roman"/>
          <w:noProof/>
          <w:sz w:val="24"/>
          <w:szCs w:val="24"/>
        </w:rPr>
      </w:pPr>
      <w:r w:rsidRPr="009C03F2">
        <w:rPr>
          <w:rFonts w:ascii="Times New Roman" w:hAnsi="Times New Roman" w:cs="Times New Roman"/>
          <w:noProof/>
          <w:sz w:val="24"/>
          <w:szCs w:val="24"/>
        </w:rPr>
        <w:t>Loreau, M., 2010. Linking biodiversity and ecosystems: towards a unifying ecological theory. Philos. Trans. R. Soc. Lond. B. Biol. Sci. 365, 49–60. https://doi.org/10.1098/rstb.2009.0155</w:t>
      </w:r>
    </w:p>
    <w:p w14:paraId="77418BA4" w14:textId="77777777" w:rsidR="009C03F2" w:rsidRPr="009C03F2" w:rsidRDefault="009C03F2" w:rsidP="009C03F2">
      <w:pPr>
        <w:widowControl w:val="0"/>
        <w:autoSpaceDE w:val="0"/>
        <w:autoSpaceDN w:val="0"/>
        <w:adjustRightInd w:val="0"/>
        <w:spacing w:line="480" w:lineRule="auto"/>
        <w:ind w:left="480" w:hanging="480"/>
        <w:rPr>
          <w:rFonts w:ascii="Times New Roman" w:hAnsi="Times New Roman" w:cs="Times New Roman"/>
          <w:noProof/>
          <w:sz w:val="24"/>
          <w:szCs w:val="24"/>
        </w:rPr>
      </w:pPr>
      <w:r w:rsidRPr="009C03F2">
        <w:rPr>
          <w:rFonts w:ascii="Times New Roman" w:hAnsi="Times New Roman" w:cs="Times New Roman"/>
          <w:noProof/>
          <w:sz w:val="24"/>
          <w:szCs w:val="24"/>
        </w:rPr>
        <w:t>McDougall, R., Kristiansen, P., Rader, R., 2019. Small-scale urban agriculture results in high yields but requires judicious management of inputs to achieve sustainability. Proc. Natl. Acad. Sci. U. S. A. 116, 129–134. https://doi.org/10.1073/pnas.1809707115</w:t>
      </w:r>
    </w:p>
    <w:p w14:paraId="2896FB2E" w14:textId="77777777" w:rsidR="009C03F2" w:rsidRPr="009C03F2" w:rsidRDefault="009C03F2" w:rsidP="009C03F2">
      <w:pPr>
        <w:widowControl w:val="0"/>
        <w:autoSpaceDE w:val="0"/>
        <w:autoSpaceDN w:val="0"/>
        <w:adjustRightInd w:val="0"/>
        <w:spacing w:line="480" w:lineRule="auto"/>
        <w:ind w:left="480" w:hanging="480"/>
        <w:rPr>
          <w:rFonts w:ascii="Times New Roman" w:hAnsi="Times New Roman" w:cs="Times New Roman"/>
          <w:noProof/>
          <w:sz w:val="24"/>
          <w:szCs w:val="24"/>
        </w:rPr>
      </w:pPr>
      <w:r w:rsidRPr="009C03F2">
        <w:rPr>
          <w:rFonts w:ascii="Times New Roman" w:hAnsi="Times New Roman" w:cs="Times New Roman"/>
          <w:noProof/>
          <w:sz w:val="24"/>
          <w:szCs w:val="24"/>
        </w:rPr>
        <w:t>McElwee, P., Calvin, K., Campbell, D., Cherubini, F., Grassi, G., Korotkov, V., Le Hoang, A., Lwasa, S., Nkem, J., Nkonya, E., Saigusa, N., Soussana, J.F., Taboada, M.A., Manning, F., Nampanzira, D., Smith, P., 2020. The impact of interventions in the global land and agri-food sectors on Nature’s Contributions to People and the UN Sustainable Development Goals. Glob. Chang. Biol. 26, 4691–4721. https://doi.org/10.1111/gcb.15219</w:t>
      </w:r>
    </w:p>
    <w:p w14:paraId="432EEB74" w14:textId="77777777" w:rsidR="009C03F2" w:rsidRPr="009C03F2" w:rsidRDefault="009C03F2" w:rsidP="009C03F2">
      <w:pPr>
        <w:widowControl w:val="0"/>
        <w:autoSpaceDE w:val="0"/>
        <w:autoSpaceDN w:val="0"/>
        <w:adjustRightInd w:val="0"/>
        <w:spacing w:line="480" w:lineRule="auto"/>
        <w:ind w:left="480" w:hanging="480"/>
        <w:rPr>
          <w:rFonts w:ascii="Times New Roman" w:hAnsi="Times New Roman" w:cs="Times New Roman"/>
          <w:noProof/>
          <w:sz w:val="24"/>
          <w:szCs w:val="24"/>
        </w:rPr>
      </w:pPr>
      <w:r w:rsidRPr="009C03F2">
        <w:rPr>
          <w:rFonts w:ascii="Times New Roman" w:hAnsi="Times New Roman" w:cs="Times New Roman"/>
          <w:noProof/>
          <w:sz w:val="24"/>
          <w:szCs w:val="24"/>
        </w:rPr>
        <w:t>McMurdie, P.J., Holmes, S., 2013. Phyloseq: An R Package for Reproducible Interactive Analysis and Graphics of Microbiome Census Data. PLoS One 8. https://doi.org/10.1371/journal.pone.0061217</w:t>
      </w:r>
    </w:p>
    <w:p w14:paraId="7A0B8F83" w14:textId="77777777" w:rsidR="009C03F2" w:rsidRPr="009C03F2" w:rsidRDefault="009C03F2" w:rsidP="009C03F2">
      <w:pPr>
        <w:widowControl w:val="0"/>
        <w:autoSpaceDE w:val="0"/>
        <w:autoSpaceDN w:val="0"/>
        <w:adjustRightInd w:val="0"/>
        <w:spacing w:line="480" w:lineRule="auto"/>
        <w:ind w:left="480" w:hanging="480"/>
        <w:rPr>
          <w:rFonts w:ascii="Times New Roman" w:hAnsi="Times New Roman" w:cs="Times New Roman"/>
          <w:noProof/>
          <w:sz w:val="24"/>
          <w:szCs w:val="24"/>
        </w:rPr>
      </w:pPr>
      <w:r w:rsidRPr="009C03F2">
        <w:rPr>
          <w:rFonts w:ascii="Times New Roman" w:hAnsi="Times New Roman" w:cs="Times New Roman"/>
          <w:noProof/>
          <w:sz w:val="24"/>
          <w:szCs w:val="24"/>
        </w:rPr>
        <w:t>Morais, T.G., Teixeira, R.F.M., Domingos, T., 2019. Detailed global modelling of soil organic carbon in cropland, grassland and forest soils. PLoS One. https://doi.org/10.1371/journal.pone.0222604</w:t>
      </w:r>
    </w:p>
    <w:p w14:paraId="288D94A5" w14:textId="77777777" w:rsidR="009C03F2" w:rsidRPr="009C03F2" w:rsidRDefault="009C03F2" w:rsidP="009C03F2">
      <w:pPr>
        <w:widowControl w:val="0"/>
        <w:autoSpaceDE w:val="0"/>
        <w:autoSpaceDN w:val="0"/>
        <w:adjustRightInd w:val="0"/>
        <w:spacing w:line="480" w:lineRule="auto"/>
        <w:ind w:left="480" w:hanging="480"/>
        <w:rPr>
          <w:rFonts w:ascii="Times New Roman" w:hAnsi="Times New Roman" w:cs="Times New Roman"/>
          <w:noProof/>
          <w:sz w:val="24"/>
          <w:szCs w:val="24"/>
        </w:rPr>
      </w:pPr>
      <w:r w:rsidRPr="009C03F2">
        <w:rPr>
          <w:rFonts w:ascii="Times New Roman" w:hAnsi="Times New Roman" w:cs="Times New Roman"/>
          <w:noProof/>
          <w:sz w:val="24"/>
          <w:szCs w:val="24"/>
        </w:rPr>
        <w:t>Nawaz, M.F., Bourrié, G., Trolard, F., 2013. Soil compaction impact and modelling. A review. Agron. Sustain. Dev. 33, 291–309. https://doi.org/10.1007/s13593-011-0071-8</w:t>
      </w:r>
    </w:p>
    <w:p w14:paraId="5A8C41C0" w14:textId="77777777" w:rsidR="009C03F2" w:rsidRPr="009C03F2" w:rsidRDefault="009C03F2" w:rsidP="009C03F2">
      <w:pPr>
        <w:widowControl w:val="0"/>
        <w:autoSpaceDE w:val="0"/>
        <w:autoSpaceDN w:val="0"/>
        <w:adjustRightInd w:val="0"/>
        <w:spacing w:line="480" w:lineRule="auto"/>
        <w:ind w:left="480" w:hanging="480"/>
        <w:rPr>
          <w:rFonts w:ascii="Times New Roman" w:hAnsi="Times New Roman" w:cs="Times New Roman"/>
          <w:noProof/>
          <w:sz w:val="24"/>
          <w:szCs w:val="24"/>
        </w:rPr>
      </w:pPr>
      <w:r w:rsidRPr="009C03F2">
        <w:rPr>
          <w:rFonts w:ascii="Times New Roman" w:hAnsi="Times New Roman" w:cs="Times New Roman"/>
          <w:noProof/>
          <w:sz w:val="24"/>
          <w:szCs w:val="24"/>
        </w:rPr>
        <w:t>Nguyen, N.H., Song, Z., Bates, S.T., Branco, S., Tedersoo, L., Menke, J., Schilling, J.S., Kennedy, P.G., 2016. FUNGuild: An open annotation tool for parsing fungal community datasets by ecological guild. Fungal Ecol. 20. https://doi.org/10.1016/j.funeco.2015.06.006</w:t>
      </w:r>
    </w:p>
    <w:p w14:paraId="51C34B59" w14:textId="77777777" w:rsidR="009C03F2" w:rsidRPr="009C03F2" w:rsidRDefault="009C03F2" w:rsidP="009C03F2">
      <w:pPr>
        <w:widowControl w:val="0"/>
        <w:autoSpaceDE w:val="0"/>
        <w:autoSpaceDN w:val="0"/>
        <w:adjustRightInd w:val="0"/>
        <w:spacing w:line="480" w:lineRule="auto"/>
        <w:ind w:left="480" w:hanging="480"/>
        <w:rPr>
          <w:rFonts w:ascii="Times New Roman" w:hAnsi="Times New Roman" w:cs="Times New Roman"/>
          <w:noProof/>
          <w:sz w:val="24"/>
          <w:szCs w:val="24"/>
        </w:rPr>
      </w:pPr>
      <w:r w:rsidRPr="009C03F2">
        <w:rPr>
          <w:rFonts w:ascii="Times New Roman" w:hAnsi="Times New Roman" w:cs="Times New Roman"/>
          <w:noProof/>
          <w:sz w:val="24"/>
          <w:szCs w:val="24"/>
        </w:rPr>
        <w:t>Nytofte, J.L.S., Henriksen, C.B., 2019. Sustainable food production in a temperate climate – a case study analysis of the nutritional yield in a peri-urban food forest. Urban For. Urban Green. 45. https://doi.org/10.1016/j.ufug.2019.04.009</w:t>
      </w:r>
    </w:p>
    <w:p w14:paraId="4C2E850D" w14:textId="7ACDC8C3" w:rsidR="009C03F2" w:rsidRDefault="009C03F2" w:rsidP="009C03F2">
      <w:pPr>
        <w:widowControl w:val="0"/>
        <w:autoSpaceDE w:val="0"/>
        <w:autoSpaceDN w:val="0"/>
        <w:adjustRightInd w:val="0"/>
        <w:spacing w:line="480" w:lineRule="auto"/>
        <w:ind w:left="480" w:hanging="480"/>
        <w:rPr>
          <w:rFonts w:ascii="Times New Roman" w:hAnsi="Times New Roman" w:cs="Times New Roman"/>
          <w:noProof/>
          <w:sz w:val="24"/>
          <w:szCs w:val="24"/>
        </w:rPr>
      </w:pPr>
      <w:r w:rsidRPr="009C03F2">
        <w:rPr>
          <w:rFonts w:ascii="Times New Roman" w:hAnsi="Times New Roman" w:cs="Times New Roman"/>
          <w:noProof/>
          <w:sz w:val="24"/>
          <w:szCs w:val="24"/>
        </w:rPr>
        <w:t>Ogle, K., Barber, J.J., 2012. Bayesian Statistics, in: Hastings, A., Gross, L. (Eds.), Sourcebook in Theoretical Ecology. University of California Press, Berkeley.</w:t>
      </w:r>
    </w:p>
    <w:p w14:paraId="439BDB7F" w14:textId="2CCB2E20" w:rsidR="00303BED" w:rsidRPr="009C03F2" w:rsidRDefault="00303BED" w:rsidP="00303BED">
      <w:pPr>
        <w:widowControl w:val="0"/>
        <w:autoSpaceDE w:val="0"/>
        <w:autoSpaceDN w:val="0"/>
        <w:adjustRightInd w:val="0"/>
        <w:spacing w:line="480" w:lineRule="auto"/>
        <w:ind w:left="480" w:hanging="480"/>
        <w:rPr>
          <w:rFonts w:ascii="Times New Roman" w:hAnsi="Times New Roman" w:cs="Times New Roman"/>
          <w:noProof/>
          <w:sz w:val="24"/>
          <w:szCs w:val="24"/>
        </w:rPr>
      </w:pPr>
      <w:r w:rsidRPr="00303BED">
        <w:rPr>
          <w:rFonts w:ascii="Times New Roman" w:hAnsi="Times New Roman" w:cs="Times New Roman"/>
          <w:noProof/>
          <w:sz w:val="24"/>
          <w:szCs w:val="24"/>
        </w:rPr>
        <w:t>Parada, A. E.; Needham, D</w:t>
      </w:r>
      <w:r>
        <w:rPr>
          <w:rFonts w:ascii="Times New Roman" w:hAnsi="Times New Roman" w:cs="Times New Roman"/>
          <w:noProof/>
          <w:sz w:val="24"/>
          <w:szCs w:val="24"/>
        </w:rPr>
        <w:t>. M.; Fuhrman, J. A., 2016, Every base</w:t>
      </w:r>
      <w:r w:rsidRPr="00303BED">
        <w:rPr>
          <w:rFonts w:ascii="Times New Roman" w:hAnsi="Times New Roman" w:cs="Times New Roman"/>
          <w:noProof/>
          <w:sz w:val="24"/>
          <w:szCs w:val="24"/>
        </w:rPr>
        <w:t>matters: assessing small subunit</w:t>
      </w:r>
      <w:r>
        <w:rPr>
          <w:rFonts w:ascii="Times New Roman" w:hAnsi="Times New Roman" w:cs="Times New Roman"/>
          <w:noProof/>
          <w:sz w:val="24"/>
          <w:szCs w:val="24"/>
        </w:rPr>
        <w:t xml:space="preserve"> rRNA primers for marine micro-</w:t>
      </w:r>
      <w:r w:rsidRPr="00303BED">
        <w:rPr>
          <w:rFonts w:ascii="Times New Roman" w:hAnsi="Times New Roman" w:cs="Times New Roman"/>
          <w:noProof/>
          <w:sz w:val="24"/>
          <w:szCs w:val="24"/>
        </w:rPr>
        <w:t>biomes with mock communities, time series and global field sa</w:t>
      </w:r>
      <w:r>
        <w:rPr>
          <w:rFonts w:ascii="Times New Roman" w:hAnsi="Times New Roman" w:cs="Times New Roman"/>
          <w:noProof/>
          <w:sz w:val="24"/>
          <w:szCs w:val="24"/>
        </w:rPr>
        <w:t>mples. Environ. Microbiol. 18</w:t>
      </w:r>
      <w:r w:rsidRPr="00303BED">
        <w:rPr>
          <w:rFonts w:ascii="Times New Roman" w:hAnsi="Times New Roman" w:cs="Times New Roman"/>
          <w:noProof/>
          <w:sz w:val="24"/>
          <w:szCs w:val="24"/>
        </w:rPr>
        <w:t>, 1403−1414.</w:t>
      </w:r>
    </w:p>
    <w:p w14:paraId="2FB316E5" w14:textId="77777777" w:rsidR="009C03F2" w:rsidRPr="009C03F2" w:rsidRDefault="009C03F2" w:rsidP="009C03F2">
      <w:pPr>
        <w:widowControl w:val="0"/>
        <w:autoSpaceDE w:val="0"/>
        <w:autoSpaceDN w:val="0"/>
        <w:adjustRightInd w:val="0"/>
        <w:spacing w:line="480" w:lineRule="auto"/>
        <w:ind w:left="480" w:hanging="480"/>
        <w:rPr>
          <w:rFonts w:ascii="Times New Roman" w:hAnsi="Times New Roman" w:cs="Times New Roman"/>
          <w:noProof/>
          <w:sz w:val="24"/>
          <w:szCs w:val="24"/>
        </w:rPr>
      </w:pPr>
      <w:r w:rsidRPr="009C03F2">
        <w:rPr>
          <w:rFonts w:ascii="Times New Roman" w:hAnsi="Times New Roman" w:cs="Times New Roman"/>
          <w:noProof/>
          <w:sz w:val="24"/>
          <w:szCs w:val="24"/>
        </w:rPr>
        <w:t>Parton, W.J., Stewart, J.W.B., Cole, C. V., 1988. Dynamics of C, N, P and S in grassland soils: a model. Biogeochemistry 5, 109–131.</w:t>
      </w:r>
    </w:p>
    <w:p w14:paraId="04821A80" w14:textId="77777777" w:rsidR="009C03F2" w:rsidRPr="009C03F2" w:rsidRDefault="009C03F2" w:rsidP="009C03F2">
      <w:pPr>
        <w:widowControl w:val="0"/>
        <w:autoSpaceDE w:val="0"/>
        <w:autoSpaceDN w:val="0"/>
        <w:adjustRightInd w:val="0"/>
        <w:spacing w:line="480" w:lineRule="auto"/>
        <w:ind w:left="480" w:hanging="480"/>
        <w:rPr>
          <w:rFonts w:ascii="Times New Roman" w:hAnsi="Times New Roman" w:cs="Times New Roman"/>
          <w:noProof/>
          <w:sz w:val="24"/>
          <w:szCs w:val="24"/>
        </w:rPr>
      </w:pPr>
      <w:r w:rsidRPr="009C03F2">
        <w:rPr>
          <w:rFonts w:ascii="Times New Roman" w:hAnsi="Times New Roman" w:cs="Times New Roman"/>
          <w:noProof/>
          <w:sz w:val="24"/>
          <w:szCs w:val="24"/>
        </w:rPr>
        <w:t>R Core Team, 2020. R software: Version 4.0.2. R Found. Stat. Comput.</w:t>
      </w:r>
    </w:p>
    <w:p w14:paraId="0E3F42AC" w14:textId="77777777" w:rsidR="009C03F2" w:rsidRPr="009C03F2" w:rsidRDefault="009C03F2" w:rsidP="009C03F2">
      <w:pPr>
        <w:widowControl w:val="0"/>
        <w:autoSpaceDE w:val="0"/>
        <w:autoSpaceDN w:val="0"/>
        <w:adjustRightInd w:val="0"/>
        <w:spacing w:line="480" w:lineRule="auto"/>
        <w:ind w:left="480" w:hanging="480"/>
        <w:rPr>
          <w:rFonts w:ascii="Times New Roman" w:hAnsi="Times New Roman" w:cs="Times New Roman"/>
          <w:noProof/>
          <w:sz w:val="24"/>
          <w:szCs w:val="24"/>
        </w:rPr>
      </w:pPr>
      <w:r w:rsidRPr="009C03F2">
        <w:rPr>
          <w:rFonts w:ascii="Times New Roman" w:hAnsi="Times New Roman" w:cs="Times New Roman"/>
          <w:noProof/>
          <w:sz w:val="24"/>
          <w:szCs w:val="24"/>
        </w:rPr>
        <w:t>Ren, C., Wang, T., Xu, Y., Deng, J., Zhao, F., Yang, G., Han, X., Feng, Y., Ren, G., 2018. Differential soil microbial community responses to the linkage of soil organic carbon fractions with respiration across land-use changes. For. Ecol. Manage. 409, 170–178. https://doi.org/10.1016/j.foreco.2017.11.011</w:t>
      </w:r>
    </w:p>
    <w:p w14:paraId="2BED6D5E" w14:textId="77777777" w:rsidR="009C03F2" w:rsidRPr="009C03F2" w:rsidRDefault="009C03F2" w:rsidP="009C03F2">
      <w:pPr>
        <w:widowControl w:val="0"/>
        <w:autoSpaceDE w:val="0"/>
        <w:autoSpaceDN w:val="0"/>
        <w:adjustRightInd w:val="0"/>
        <w:spacing w:line="480" w:lineRule="auto"/>
        <w:ind w:left="480" w:hanging="480"/>
        <w:rPr>
          <w:rFonts w:ascii="Times New Roman" w:hAnsi="Times New Roman" w:cs="Times New Roman"/>
          <w:noProof/>
          <w:sz w:val="24"/>
          <w:szCs w:val="24"/>
        </w:rPr>
      </w:pPr>
      <w:r w:rsidRPr="009C03F2">
        <w:rPr>
          <w:rFonts w:ascii="Times New Roman" w:hAnsi="Times New Roman" w:cs="Times New Roman"/>
          <w:noProof/>
          <w:sz w:val="24"/>
          <w:szCs w:val="24"/>
        </w:rPr>
        <w:t>Salbitano, F., Fini, A., Borelli, S., Konijnendijk, C.C., 2019. Editorial - Urban Food Forestry: Current state and future perspectives. Urban For. Urban Green. 45. https://doi.org/10.1016/j.ufug.2019.126482</w:t>
      </w:r>
    </w:p>
    <w:p w14:paraId="4E89816B" w14:textId="77777777" w:rsidR="009C03F2" w:rsidRPr="009C03F2" w:rsidRDefault="009C03F2" w:rsidP="009C03F2">
      <w:pPr>
        <w:widowControl w:val="0"/>
        <w:autoSpaceDE w:val="0"/>
        <w:autoSpaceDN w:val="0"/>
        <w:adjustRightInd w:val="0"/>
        <w:spacing w:line="480" w:lineRule="auto"/>
        <w:ind w:left="480" w:hanging="480"/>
        <w:rPr>
          <w:rFonts w:ascii="Times New Roman" w:hAnsi="Times New Roman" w:cs="Times New Roman"/>
          <w:noProof/>
          <w:sz w:val="24"/>
          <w:szCs w:val="24"/>
        </w:rPr>
      </w:pPr>
      <w:r w:rsidRPr="009C03F2">
        <w:rPr>
          <w:rFonts w:ascii="Times New Roman" w:hAnsi="Times New Roman" w:cs="Times New Roman"/>
          <w:noProof/>
          <w:sz w:val="24"/>
          <w:szCs w:val="24"/>
        </w:rPr>
        <w:t>Schafer, L.J., Lysák, M., Henriksen, C.B., 2019. Tree layer carbon stock quantification in a temperate food forest: A peri-urban polyculture case study. Urban For. Urban Green. 45, 126466. https://doi.org/10.1016/j.ufug.2019.126466</w:t>
      </w:r>
    </w:p>
    <w:p w14:paraId="0C36D0A6" w14:textId="77777777" w:rsidR="009C03F2" w:rsidRPr="009C03F2" w:rsidRDefault="009C03F2" w:rsidP="009C03F2">
      <w:pPr>
        <w:widowControl w:val="0"/>
        <w:autoSpaceDE w:val="0"/>
        <w:autoSpaceDN w:val="0"/>
        <w:adjustRightInd w:val="0"/>
        <w:spacing w:line="480" w:lineRule="auto"/>
        <w:ind w:left="480" w:hanging="480"/>
        <w:rPr>
          <w:rFonts w:ascii="Times New Roman" w:hAnsi="Times New Roman" w:cs="Times New Roman"/>
          <w:noProof/>
          <w:sz w:val="24"/>
          <w:szCs w:val="24"/>
        </w:rPr>
      </w:pPr>
      <w:r w:rsidRPr="009C03F2">
        <w:rPr>
          <w:rFonts w:ascii="Times New Roman" w:hAnsi="Times New Roman" w:cs="Times New Roman"/>
          <w:noProof/>
          <w:sz w:val="24"/>
          <w:szCs w:val="24"/>
        </w:rPr>
        <w:t>Smith, P., House, J.I., Bustamante, M., Sobocká, J., Harper, R., Pan, G., West, P.C., Clark, J.M., Adhya, T., Rumpel, C., Paustian, K., Kuikman, P., Cotrufo, M.F., Elliott, J.A., Mcdowell, R., Griffiths, R.I., Asakawa, S., Bondeau, A., Jain, A.K., Meersmans, J., Pugh, T.A.M., 2016. Global change pressures on soils from land use and management. Glob. Chang. Biol. 22, 1008–1028. https://doi.org/10.1111/gcb.13068</w:t>
      </w:r>
    </w:p>
    <w:p w14:paraId="2DEF1D90" w14:textId="158E1949" w:rsidR="009C03F2" w:rsidRDefault="009C03F2" w:rsidP="009C03F2">
      <w:pPr>
        <w:widowControl w:val="0"/>
        <w:autoSpaceDE w:val="0"/>
        <w:autoSpaceDN w:val="0"/>
        <w:adjustRightInd w:val="0"/>
        <w:spacing w:line="480" w:lineRule="auto"/>
        <w:ind w:left="480" w:hanging="480"/>
        <w:rPr>
          <w:rFonts w:ascii="Times New Roman" w:hAnsi="Times New Roman" w:cs="Times New Roman"/>
          <w:noProof/>
          <w:sz w:val="24"/>
          <w:szCs w:val="24"/>
        </w:rPr>
      </w:pPr>
      <w:r w:rsidRPr="009C03F2">
        <w:rPr>
          <w:rFonts w:ascii="Times New Roman" w:hAnsi="Times New Roman" w:cs="Times New Roman"/>
          <w:noProof/>
          <w:sz w:val="24"/>
          <w:szCs w:val="24"/>
        </w:rPr>
        <w:t xml:space="preserve">Soil </w:t>
      </w:r>
      <w:r w:rsidR="00534A1D">
        <w:rPr>
          <w:rFonts w:ascii="Times New Roman" w:hAnsi="Times New Roman" w:cs="Times New Roman"/>
          <w:noProof/>
          <w:sz w:val="24"/>
          <w:szCs w:val="24"/>
        </w:rPr>
        <w:t>Science Division Staff</w:t>
      </w:r>
      <w:r w:rsidRPr="009C03F2">
        <w:rPr>
          <w:rFonts w:ascii="Times New Roman" w:hAnsi="Times New Roman" w:cs="Times New Roman"/>
          <w:noProof/>
          <w:sz w:val="24"/>
          <w:szCs w:val="24"/>
        </w:rPr>
        <w:t xml:space="preserve">, </w:t>
      </w:r>
      <w:r w:rsidR="00534A1D">
        <w:rPr>
          <w:rFonts w:ascii="Times New Roman" w:hAnsi="Times New Roman" w:cs="Times New Roman"/>
          <w:noProof/>
          <w:sz w:val="24"/>
          <w:szCs w:val="24"/>
        </w:rPr>
        <w:t>2017. Soil Survey Manual (SSM).</w:t>
      </w:r>
      <w:r w:rsidRPr="009C03F2">
        <w:rPr>
          <w:rFonts w:ascii="Times New Roman" w:hAnsi="Times New Roman" w:cs="Times New Roman"/>
          <w:noProof/>
          <w:sz w:val="24"/>
          <w:szCs w:val="24"/>
        </w:rPr>
        <w:t xml:space="preserve"> </w:t>
      </w:r>
      <w:r w:rsidR="00534A1D" w:rsidRPr="00534A1D">
        <w:rPr>
          <w:rFonts w:ascii="Times New Roman" w:hAnsi="Times New Roman" w:cs="Times New Roman"/>
          <w:noProof/>
          <w:sz w:val="24"/>
          <w:szCs w:val="24"/>
        </w:rPr>
        <w:t>Ditzler</w:t>
      </w:r>
      <w:r w:rsidR="00534A1D">
        <w:rPr>
          <w:rFonts w:ascii="Times New Roman" w:hAnsi="Times New Roman" w:cs="Times New Roman"/>
          <w:noProof/>
          <w:sz w:val="24"/>
          <w:szCs w:val="24"/>
        </w:rPr>
        <w:t xml:space="preserve"> C., </w:t>
      </w:r>
      <w:r w:rsidR="00534A1D" w:rsidRPr="00534A1D">
        <w:rPr>
          <w:rFonts w:ascii="Times New Roman" w:hAnsi="Times New Roman" w:cs="Times New Roman"/>
          <w:noProof/>
          <w:sz w:val="24"/>
          <w:szCs w:val="24"/>
        </w:rPr>
        <w:t>Scheffe</w:t>
      </w:r>
      <w:r w:rsidR="00534A1D">
        <w:rPr>
          <w:rFonts w:ascii="Times New Roman" w:hAnsi="Times New Roman" w:cs="Times New Roman"/>
          <w:noProof/>
          <w:sz w:val="24"/>
          <w:szCs w:val="24"/>
        </w:rPr>
        <w:t xml:space="preserve"> K.</w:t>
      </w:r>
      <w:r w:rsidR="00534A1D" w:rsidRPr="00534A1D">
        <w:rPr>
          <w:rFonts w:ascii="Times New Roman" w:hAnsi="Times New Roman" w:cs="Times New Roman"/>
          <w:noProof/>
          <w:sz w:val="24"/>
          <w:szCs w:val="24"/>
        </w:rPr>
        <w:t xml:space="preserve">, Monger </w:t>
      </w:r>
      <w:r w:rsidR="00534A1D">
        <w:rPr>
          <w:rFonts w:ascii="Times New Roman" w:hAnsi="Times New Roman" w:cs="Times New Roman"/>
          <w:noProof/>
          <w:sz w:val="24"/>
          <w:szCs w:val="24"/>
        </w:rPr>
        <w:t>H.C. (E</w:t>
      </w:r>
      <w:r w:rsidR="00534A1D" w:rsidRPr="00534A1D">
        <w:rPr>
          <w:rFonts w:ascii="Times New Roman" w:hAnsi="Times New Roman" w:cs="Times New Roman"/>
          <w:noProof/>
          <w:sz w:val="24"/>
          <w:szCs w:val="24"/>
        </w:rPr>
        <w:t>ds.). USDA Handbook 18. Government Printing Office, Washington, D.C.</w:t>
      </w:r>
      <w:r w:rsidRPr="009C03F2">
        <w:rPr>
          <w:rFonts w:ascii="Times New Roman" w:hAnsi="Times New Roman" w:cs="Times New Roman"/>
          <w:noProof/>
          <w:sz w:val="24"/>
          <w:szCs w:val="24"/>
        </w:rPr>
        <w:t>.</w:t>
      </w:r>
    </w:p>
    <w:p w14:paraId="5C1A01D5" w14:textId="6DCEF24F" w:rsidR="00B5680C" w:rsidRPr="00B5680C" w:rsidRDefault="00B5680C" w:rsidP="009C03F2">
      <w:pPr>
        <w:widowControl w:val="0"/>
        <w:autoSpaceDE w:val="0"/>
        <w:autoSpaceDN w:val="0"/>
        <w:adjustRightInd w:val="0"/>
        <w:spacing w:line="480" w:lineRule="auto"/>
        <w:ind w:left="480" w:hanging="480"/>
        <w:rPr>
          <w:rFonts w:ascii="Times New Roman" w:hAnsi="Times New Roman" w:cs="Times New Roman"/>
          <w:noProof/>
          <w:sz w:val="24"/>
          <w:szCs w:val="24"/>
        </w:rPr>
      </w:pPr>
      <w:r w:rsidRPr="00B5680C">
        <w:rPr>
          <w:rFonts w:ascii="Times New Roman" w:hAnsi="Times New Roman" w:cs="Times New Roman"/>
          <w:color w:val="222222"/>
          <w:sz w:val="24"/>
          <w:szCs w:val="24"/>
          <w:shd w:val="clear" w:color="auto" w:fill="FFFFFF"/>
        </w:rPr>
        <w:t xml:space="preserve">Tang, Y. L., Lin, H. P., Xie, Q. Y., Li, L., </w:t>
      </w:r>
      <w:r w:rsidR="00534A1D">
        <w:rPr>
          <w:rFonts w:ascii="Times New Roman" w:hAnsi="Times New Roman" w:cs="Times New Roman"/>
          <w:color w:val="222222"/>
          <w:sz w:val="24"/>
          <w:szCs w:val="24"/>
          <w:shd w:val="clear" w:color="auto" w:fill="FFFFFF"/>
        </w:rPr>
        <w:t>Peng, F., Deng, Z., Hong, K., 2013</w:t>
      </w:r>
      <w:r w:rsidRPr="00B5680C">
        <w:rPr>
          <w:rFonts w:ascii="Times New Roman" w:hAnsi="Times New Roman" w:cs="Times New Roman"/>
          <w:color w:val="222222"/>
          <w:sz w:val="24"/>
          <w:szCs w:val="24"/>
          <w:shd w:val="clear" w:color="auto" w:fill="FFFFFF"/>
        </w:rPr>
        <w:t>. Actinoallomurus acanthiterrae sp. nov., an actinomycete isolated from rhizosphere soil of the mangrove plant Acanthus ilicifolius.</w:t>
      </w:r>
      <w:r w:rsidRPr="00B5680C">
        <w:rPr>
          <w:rStyle w:val="apple-converted-space"/>
          <w:rFonts w:ascii="Times New Roman" w:hAnsi="Times New Roman" w:cs="Times New Roman"/>
          <w:color w:val="222222"/>
          <w:sz w:val="24"/>
          <w:szCs w:val="24"/>
          <w:shd w:val="clear" w:color="auto" w:fill="FFFFFF"/>
        </w:rPr>
        <w:t> </w:t>
      </w:r>
      <w:r w:rsidR="00534A1D" w:rsidRPr="00B5680C">
        <w:rPr>
          <w:rFonts w:ascii="Times New Roman" w:eastAsia="Times New Roman" w:hAnsi="Times New Roman" w:cs="Times New Roman"/>
          <w:iCs/>
          <w:color w:val="222222"/>
          <w:sz w:val="24"/>
          <w:szCs w:val="24"/>
        </w:rPr>
        <w:t>Int. J. Syst Evol.</w:t>
      </w:r>
      <w:r w:rsidRPr="00B5680C">
        <w:rPr>
          <w:rFonts w:ascii="Times New Roman" w:hAnsi="Times New Roman" w:cs="Times New Roman"/>
          <w:color w:val="222222"/>
          <w:sz w:val="24"/>
          <w:szCs w:val="24"/>
          <w:shd w:val="clear" w:color="auto" w:fill="FFFFFF"/>
        </w:rPr>
        <w:t>,</w:t>
      </w:r>
      <w:r w:rsidRPr="00B5680C">
        <w:rPr>
          <w:rStyle w:val="apple-converted-space"/>
          <w:rFonts w:ascii="Times New Roman" w:hAnsi="Times New Roman" w:cs="Times New Roman"/>
          <w:color w:val="222222"/>
          <w:sz w:val="24"/>
          <w:szCs w:val="24"/>
          <w:shd w:val="clear" w:color="auto" w:fill="FFFFFF"/>
        </w:rPr>
        <w:t> </w:t>
      </w:r>
      <w:r w:rsidRPr="00534A1D">
        <w:rPr>
          <w:rFonts w:ascii="Times New Roman" w:hAnsi="Times New Roman" w:cs="Times New Roman"/>
          <w:iCs/>
          <w:color w:val="222222"/>
          <w:sz w:val="24"/>
          <w:szCs w:val="24"/>
        </w:rPr>
        <w:t>63</w:t>
      </w:r>
      <w:r w:rsidRPr="00B5680C">
        <w:rPr>
          <w:rFonts w:ascii="Times New Roman" w:hAnsi="Times New Roman" w:cs="Times New Roman"/>
          <w:color w:val="222222"/>
          <w:sz w:val="24"/>
          <w:szCs w:val="24"/>
          <w:shd w:val="clear" w:color="auto" w:fill="FFFFFF"/>
        </w:rPr>
        <w:t>, 1874-1879.</w:t>
      </w:r>
    </w:p>
    <w:p w14:paraId="494DEC10" w14:textId="77777777" w:rsidR="009C03F2" w:rsidRPr="009C03F2" w:rsidRDefault="009C03F2" w:rsidP="009C03F2">
      <w:pPr>
        <w:widowControl w:val="0"/>
        <w:autoSpaceDE w:val="0"/>
        <w:autoSpaceDN w:val="0"/>
        <w:adjustRightInd w:val="0"/>
        <w:spacing w:line="480" w:lineRule="auto"/>
        <w:ind w:left="480" w:hanging="480"/>
        <w:rPr>
          <w:rFonts w:ascii="Times New Roman" w:hAnsi="Times New Roman" w:cs="Times New Roman"/>
          <w:noProof/>
          <w:sz w:val="24"/>
          <w:szCs w:val="24"/>
        </w:rPr>
      </w:pPr>
      <w:r w:rsidRPr="009C03F2">
        <w:rPr>
          <w:rFonts w:ascii="Times New Roman" w:hAnsi="Times New Roman" w:cs="Times New Roman"/>
          <w:noProof/>
          <w:sz w:val="24"/>
          <w:szCs w:val="24"/>
        </w:rPr>
        <w:t>Trumbore, S., 2000. Age of soil organic matter and soil respiration: Radiocarbon constraints on belowground C dynamics. Ecol. Appl. 10. https://doi.org/10.1890/1051-0761(2000)010[0399:AOSOMA]2.0.CO;2</w:t>
      </w:r>
    </w:p>
    <w:p w14:paraId="4D65F7FB" w14:textId="77777777" w:rsidR="009C03F2" w:rsidRPr="009C03F2" w:rsidRDefault="009C03F2" w:rsidP="009C03F2">
      <w:pPr>
        <w:widowControl w:val="0"/>
        <w:autoSpaceDE w:val="0"/>
        <w:autoSpaceDN w:val="0"/>
        <w:adjustRightInd w:val="0"/>
        <w:spacing w:line="480" w:lineRule="auto"/>
        <w:ind w:left="480" w:hanging="480"/>
        <w:rPr>
          <w:rFonts w:ascii="Times New Roman" w:hAnsi="Times New Roman" w:cs="Times New Roman"/>
          <w:noProof/>
          <w:sz w:val="24"/>
          <w:szCs w:val="24"/>
        </w:rPr>
      </w:pPr>
      <w:r w:rsidRPr="009C03F2">
        <w:rPr>
          <w:rFonts w:ascii="Times New Roman" w:hAnsi="Times New Roman" w:cs="Times New Roman"/>
          <w:noProof/>
          <w:sz w:val="24"/>
          <w:szCs w:val="24"/>
        </w:rPr>
        <w:t>USDA, 2011. U.S. Agriculture and Forestry Greenhouse Gas Inventory: 1990-2008.</w:t>
      </w:r>
    </w:p>
    <w:p w14:paraId="5BE72DAD" w14:textId="77777777" w:rsidR="009C03F2" w:rsidRPr="009C03F2" w:rsidRDefault="009C03F2" w:rsidP="009C03F2">
      <w:pPr>
        <w:widowControl w:val="0"/>
        <w:autoSpaceDE w:val="0"/>
        <w:autoSpaceDN w:val="0"/>
        <w:adjustRightInd w:val="0"/>
        <w:spacing w:line="480" w:lineRule="auto"/>
        <w:ind w:left="480" w:hanging="480"/>
        <w:rPr>
          <w:rFonts w:ascii="Times New Roman" w:hAnsi="Times New Roman" w:cs="Times New Roman"/>
          <w:noProof/>
          <w:sz w:val="24"/>
          <w:szCs w:val="24"/>
        </w:rPr>
      </w:pPr>
      <w:r w:rsidRPr="009C03F2">
        <w:rPr>
          <w:rFonts w:ascii="Times New Roman" w:hAnsi="Times New Roman" w:cs="Times New Roman"/>
          <w:noProof/>
          <w:sz w:val="24"/>
          <w:szCs w:val="24"/>
        </w:rPr>
        <w:t>Van Der Heijden, M.G.A., Bardgett, R.D., Van Straalen, N.M., 2008. The unseen majority: Soil microbes as drivers of plant diversity and productivity in terrestrial ecosystems. Ecol. Lett. 11, 296–310. https://doi.org/10.1111/j.1461-0248.2007.01139.x</w:t>
      </w:r>
    </w:p>
    <w:p w14:paraId="4ED0295A" w14:textId="77777777" w:rsidR="009C03F2" w:rsidRPr="009C03F2" w:rsidRDefault="009C03F2" w:rsidP="009C03F2">
      <w:pPr>
        <w:widowControl w:val="0"/>
        <w:autoSpaceDE w:val="0"/>
        <w:autoSpaceDN w:val="0"/>
        <w:adjustRightInd w:val="0"/>
        <w:spacing w:line="480" w:lineRule="auto"/>
        <w:ind w:left="480" w:hanging="480"/>
        <w:rPr>
          <w:rFonts w:ascii="Times New Roman" w:hAnsi="Times New Roman" w:cs="Times New Roman"/>
          <w:noProof/>
          <w:sz w:val="24"/>
          <w:szCs w:val="24"/>
        </w:rPr>
      </w:pPr>
      <w:r w:rsidRPr="009C03F2">
        <w:rPr>
          <w:rFonts w:ascii="Times New Roman" w:hAnsi="Times New Roman" w:cs="Times New Roman"/>
          <w:noProof/>
          <w:sz w:val="24"/>
          <w:szCs w:val="24"/>
        </w:rPr>
        <w:t>Walkley, A., Black, I.A., 1934. An examination of the degtjareff method for determining soil organic matter, and a proposed modification of the chromic acid titration method. Soil Sci. 37. https://doi.org/10.1097/00010694-193401000-00003</w:t>
      </w:r>
    </w:p>
    <w:p w14:paraId="22CF43EE" w14:textId="79E1E72A" w:rsidR="009C03F2" w:rsidRDefault="009C03F2" w:rsidP="009C03F2">
      <w:pPr>
        <w:widowControl w:val="0"/>
        <w:autoSpaceDE w:val="0"/>
        <w:autoSpaceDN w:val="0"/>
        <w:adjustRightInd w:val="0"/>
        <w:spacing w:line="480" w:lineRule="auto"/>
        <w:ind w:left="480" w:hanging="480"/>
        <w:rPr>
          <w:rFonts w:ascii="Times New Roman" w:hAnsi="Times New Roman" w:cs="Times New Roman"/>
          <w:noProof/>
          <w:sz w:val="24"/>
          <w:szCs w:val="24"/>
        </w:rPr>
      </w:pPr>
      <w:r w:rsidRPr="009C03F2">
        <w:rPr>
          <w:rFonts w:ascii="Times New Roman" w:hAnsi="Times New Roman" w:cs="Times New Roman"/>
          <w:noProof/>
          <w:sz w:val="24"/>
          <w:szCs w:val="24"/>
        </w:rPr>
        <w:t>Ward, E.B., Doroski, D.A., Felson, A.J., Hallett, R.A., Oldfield, E.E., Kuebbing, S.E., Bradford, M.A., 2021. Positive long-term impacts of restoration on soils in an experimental urban forest. Ecol. Appl. 31, 1–15. https://doi.org/10.1002/eap.2336</w:t>
      </w:r>
    </w:p>
    <w:p w14:paraId="6A6E38EE" w14:textId="3D7F966B" w:rsidR="00303BED" w:rsidRPr="009C03F2" w:rsidRDefault="00303BED" w:rsidP="009C03F2">
      <w:pPr>
        <w:widowControl w:val="0"/>
        <w:autoSpaceDE w:val="0"/>
        <w:autoSpaceDN w:val="0"/>
        <w:adjustRightInd w:val="0"/>
        <w:spacing w:line="480" w:lineRule="auto"/>
        <w:ind w:left="480" w:hanging="480"/>
        <w:rPr>
          <w:rFonts w:ascii="Times New Roman" w:hAnsi="Times New Roman" w:cs="Times New Roman"/>
          <w:noProof/>
          <w:sz w:val="24"/>
        </w:rPr>
      </w:pPr>
      <w:r w:rsidRPr="00303BED">
        <w:rPr>
          <w:rFonts w:ascii="Times New Roman" w:hAnsi="Times New Roman" w:cs="Times New Roman"/>
          <w:noProof/>
          <w:sz w:val="24"/>
        </w:rPr>
        <w:t>White T</w:t>
      </w:r>
      <w:r>
        <w:rPr>
          <w:rFonts w:ascii="Times New Roman" w:hAnsi="Times New Roman" w:cs="Times New Roman"/>
          <w:noProof/>
          <w:sz w:val="24"/>
        </w:rPr>
        <w:t>.</w:t>
      </w:r>
      <w:r w:rsidRPr="00303BED">
        <w:rPr>
          <w:rFonts w:ascii="Times New Roman" w:hAnsi="Times New Roman" w:cs="Times New Roman"/>
          <w:noProof/>
          <w:sz w:val="24"/>
        </w:rPr>
        <w:t>J</w:t>
      </w:r>
      <w:r>
        <w:rPr>
          <w:rFonts w:ascii="Times New Roman" w:hAnsi="Times New Roman" w:cs="Times New Roman"/>
          <w:noProof/>
          <w:sz w:val="24"/>
        </w:rPr>
        <w:t>.</w:t>
      </w:r>
      <w:r w:rsidRPr="00303BED">
        <w:rPr>
          <w:rFonts w:ascii="Times New Roman" w:hAnsi="Times New Roman" w:cs="Times New Roman"/>
          <w:noProof/>
          <w:sz w:val="24"/>
        </w:rPr>
        <w:t>, Bruns T</w:t>
      </w:r>
      <w:r>
        <w:rPr>
          <w:rFonts w:ascii="Times New Roman" w:hAnsi="Times New Roman" w:cs="Times New Roman"/>
          <w:noProof/>
          <w:sz w:val="24"/>
        </w:rPr>
        <w:t>.</w:t>
      </w:r>
      <w:r w:rsidRPr="00303BED">
        <w:rPr>
          <w:rFonts w:ascii="Times New Roman" w:hAnsi="Times New Roman" w:cs="Times New Roman"/>
          <w:noProof/>
          <w:sz w:val="24"/>
        </w:rPr>
        <w:t>, Lee S</w:t>
      </w:r>
      <w:r>
        <w:rPr>
          <w:rFonts w:ascii="Times New Roman" w:hAnsi="Times New Roman" w:cs="Times New Roman"/>
          <w:noProof/>
          <w:sz w:val="24"/>
        </w:rPr>
        <w:t>.</w:t>
      </w:r>
      <w:r w:rsidRPr="00303BED">
        <w:rPr>
          <w:rFonts w:ascii="Times New Roman" w:hAnsi="Times New Roman" w:cs="Times New Roman"/>
          <w:noProof/>
          <w:sz w:val="24"/>
        </w:rPr>
        <w:t>, Taylor J</w:t>
      </w:r>
      <w:r>
        <w:rPr>
          <w:rFonts w:ascii="Times New Roman" w:hAnsi="Times New Roman" w:cs="Times New Roman"/>
          <w:noProof/>
          <w:sz w:val="24"/>
        </w:rPr>
        <w:t>.</w:t>
      </w:r>
      <w:r w:rsidRPr="00303BED">
        <w:rPr>
          <w:rFonts w:ascii="Times New Roman" w:hAnsi="Times New Roman" w:cs="Times New Roman"/>
          <w:noProof/>
          <w:sz w:val="24"/>
        </w:rPr>
        <w:t>W.</w:t>
      </w:r>
      <w:r>
        <w:rPr>
          <w:rFonts w:ascii="Times New Roman" w:hAnsi="Times New Roman" w:cs="Times New Roman"/>
          <w:noProof/>
          <w:sz w:val="24"/>
        </w:rPr>
        <w:t>, 1990,</w:t>
      </w:r>
      <w:r w:rsidRPr="00303BED">
        <w:rPr>
          <w:rFonts w:ascii="Times New Roman" w:hAnsi="Times New Roman" w:cs="Times New Roman"/>
          <w:noProof/>
          <w:sz w:val="24"/>
        </w:rPr>
        <w:t xml:space="preserve"> Amplification and direct sequencing of fungal ribosomal RNA genes for phylogenetics. In: Innis MA, Gelfand DH, Sninsky JJ, White TJ, editor. PCR Protocols: A Guide to Methods and Applications. New</w:t>
      </w:r>
      <w:r>
        <w:rPr>
          <w:rFonts w:ascii="Times New Roman" w:hAnsi="Times New Roman" w:cs="Times New Roman"/>
          <w:noProof/>
          <w:sz w:val="24"/>
        </w:rPr>
        <w:t xml:space="preserve"> York: Academic Press Inc;</w:t>
      </w:r>
      <w:r w:rsidRPr="00303BED">
        <w:rPr>
          <w:rFonts w:ascii="Times New Roman" w:hAnsi="Times New Roman" w:cs="Times New Roman"/>
          <w:noProof/>
          <w:sz w:val="24"/>
        </w:rPr>
        <w:t xml:space="preserve"> pp. 315–322.</w:t>
      </w:r>
    </w:p>
    <w:p w14:paraId="29DFE1BB" w14:textId="0F0B661B" w:rsidR="002179FD" w:rsidRDefault="009C03F2">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end"/>
      </w:r>
    </w:p>
    <w:p w14:paraId="4358DBF8" w14:textId="77777777" w:rsidR="002179FD" w:rsidRDefault="002179FD">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32CC93B1" w14:textId="648EBB85" w:rsidR="002179FD" w:rsidRPr="00C14D16" w:rsidRDefault="002179FD" w:rsidP="002179FD">
      <w:pPr>
        <w:spacing w:line="480" w:lineRule="auto"/>
        <w:ind w:firstLine="720"/>
        <w:rPr>
          <w:rFonts w:ascii="Times New Roman" w:eastAsia="Times New Roman" w:hAnsi="Times New Roman" w:cs="Times New Roman"/>
          <w:sz w:val="24"/>
          <w:szCs w:val="24"/>
        </w:rPr>
      </w:pPr>
    </w:p>
    <w:p w14:paraId="3A21EAD5" w14:textId="08AA49AA" w:rsidR="002179FD" w:rsidRPr="002179FD" w:rsidRDefault="002179FD" w:rsidP="002179FD">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Legends</w:t>
      </w:r>
    </w:p>
    <w:p w14:paraId="6D4AB29B" w14:textId="3B5793DA" w:rsidR="002179FD" w:rsidRDefault="002179FD" w:rsidP="002179FD">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Figure 1</w:t>
      </w:r>
      <w:r w:rsidRPr="00C14D1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Urban food forest</w:t>
      </w:r>
      <w:r w:rsidRPr="00C14D16">
        <w:rPr>
          <w:rFonts w:ascii="Times New Roman" w:eastAsia="Times New Roman" w:hAnsi="Times New Roman" w:cs="Times New Roman"/>
          <w:sz w:val="24"/>
          <w:szCs w:val="24"/>
        </w:rPr>
        <w:t xml:space="preserve"> soils were more active and less compacted than lawn soils. Dashed lines </w:t>
      </w:r>
      <w:r>
        <w:rPr>
          <w:rFonts w:ascii="Times New Roman" w:eastAsia="Times New Roman" w:hAnsi="Times New Roman" w:cs="Times New Roman"/>
          <w:sz w:val="24"/>
          <w:szCs w:val="24"/>
        </w:rPr>
        <w:t xml:space="preserve">correspond to agronomically relevant soil function </w:t>
      </w:r>
      <w:r w:rsidRPr="00C14D16">
        <w:rPr>
          <w:rFonts w:ascii="Times New Roman" w:eastAsia="Times New Roman" w:hAnsi="Times New Roman" w:cs="Times New Roman"/>
          <w:sz w:val="24"/>
          <w:szCs w:val="24"/>
        </w:rPr>
        <w:t xml:space="preserve">thresholds </w:t>
      </w:r>
      <w:r>
        <w:rPr>
          <w:rFonts w:ascii="Times New Roman" w:eastAsia="Times New Roman" w:hAnsi="Times New Roman" w:cs="Times New Roman"/>
          <w:sz w:val="24"/>
          <w:szCs w:val="24"/>
        </w:rPr>
        <w:t xml:space="preserve">(see Materials and Methods) </w:t>
      </w:r>
      <w:r w:rsidRPr="00C14D16">
        <w:rPr>
          <w:rFonts w:ascii="Times New Roman" w:eastAsia="Times New Roman" w:hAnsi="Times New Roman" w:cs="Times New Roman"/>
          <w:sz w:val="24"/>
          <w:szCs w:val="24"/>
        </w:rPr>
        <w:t xml:space="preserve">with long dashes corresponding to the least </w:t>
      </w:r>
      <w:r>
        <w:rPr>
          <w:rFonts w:ascii="Times New Roman" w:eastAsia="Times New Roman" w:hAnsi="Times New Roman" w:cs="Times New Roman"/>
          <w:sz w:val="24"/>
          <w:szCs w:val="24"/>
        </w:rPr>
        <w:t>functional</w:t>
      </w:r>
      <w:r w:rsidRPr="00C14D16">
        <w:rPr>
          <w:rFonts w:ascii="Times New Roman" w:eastAsia="Times New Roman" w:hAnsi="Times New Roman" w:cs="Times New Roman"/>
          <w:sz w:val="24"/>
          <w:szCs w:val="24"/>
        </w:rPr>
        <w:t xml:space="preserve"> range, and short dashes corresponding to intermediate </w:t>
      </w:r>
      <w:r>
        <w:rPr>
          <w:rFonts w:ascii="Times New Roman" w:eastAsia="Times New Roman" w:hAnsi="Times New Roman" w:cs="Times New Roman"/>
          <w:sz w:val="24"/>
          <w:szCs w:val="24"/>
        </w:rPr>
        <w:t>function</w:t>
      </w:r>
      <w:r w:rsidRPr="00C14D16">
        <w:rPr>
          <w:rFonts w:ascii="Times New Roman" w:eastAsia="Times New Roman" w:hAnsi="Times New Roman" w:cs="Times New Roman"/>
          <w:sz w:val="24"/>
          <w:szCs w:val="24"/>
        </w:rPr>
        <w:t>.</w:t>
      </w:r>
    </w:p>
    <w:p w14:paraId="4CA9ED4E" w14:textId="2E015530" w:rsidR="002179FD" w:rsidRPr="00C14D16" w:rsidRDefault="002179FD" w:rsidP="002179FD">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Figure 2.</w:t>
      </w:r>
      <w:r w:rsidRPr="00C14D1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Urban food forest</w:t>
      </w:r>
      <w:r w:rsidRPr="00C14D16">
        <w:rPr>
          <w:rFonts w:ascii="Times New Roman" w:eastAsia="Times New Roman" w:hAnsi="Times New Roman" w:cs="Times New Roman"/>
          <w:sz w:val="24"/>
          <w:szCs w:val="24"/>
        </w:rPr>
        <w:t xml:space="preserve"> soils have higher</w:t>
      </w:r>
      <w:r>
        <w:rPr>
          <w:rFonts w:ascii="Times New Roman" w:eastAsia="Times New Roman" w:hAnsi="Times New Roman" w:cs="Times New Roman"/>
          <w:sz w:val="24"/>
          <w:szCs w:val="24"/>
        </w:rPr>
        <w:t xml:space="preserve"> nutrient concentrations (</w:t>
      </w:r>
      <w:r w:rsidRPr="00C14D16">
        <w:rPr>
          <w:rFonts w:ascii="Times New Roman" w:eastAsia="Times New Roman" w:hAnsi="Times New Roman" w:cs="Times New Roman"/>
          <w:sz w:val="24"/>
          <w:szCs w:val="24"/>
        </w:rPr>
        <w:t>A) and distin</w:t>
      </w:r>
      <w:r>
        <w:rPr>
          <w:rFonts w:ascii="Times New Roman" w:eastAsia="Times New Roman" w:hAnsi="Times New Roman" w:cs="Times New Roman"/>
          <w:sz w:val="24"/>
          <w:szCs w:val="24"/>
        </w:rPr>
        <w:t>ctive fungal communities (</w:t>
      </w:r>
      <w:r w:rsidRPr="00C14D16">
        <w:rPr>
          <w:rFonts w:ascii="Times New Roman" w:eastAsia="Times New Roman" w:hAnsi="Times New Roman" w:cs="Times New Roman"/>
          <w:sz w:val="24"/>
          <w:szCs w:val="24"/>
        </w:rPr>
        <w:t>B) compared to lawn soils. Large symbols in panel A correspond to physically aggregated samples from each area. Small symbols</w:t>
      </w:r>
      <w:r w:rsidR="00F523F6">
        <w:rPr>
          <w:rFonts w:ascii="Times New Roman" w:eastAsia="Times New Roman" w:hAnsi="Times New Roman" w:cs="Times New Roman"/>
          <w:sz w:val="24"/>
          <w:szCs w:val="24"/>
        </w:rPr>
        <w:t xml:space="preserve"> in both panels correspond to 6 additional stratified samples.</w:t>
      </w:r>
    </w:p>
    <w:p w14:paraId="0BA4132E" w14:textId="37D72E5C" w:rsidR="002179FD" w:rsidRDefault="002179FD" w:rsidP="002179FD">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Figure</w:t>
      </w:r>
      <w:r w:rsidRPr="00C14D16">
        <w:rPr>
          <w:rFonts w:ascii="Times New Roman" w:eastAsia="Times New Roman" w:hAnsi="Times New Roman" w:cs="Times New Roman"/>
          <w:sz w:val="24"/>
          <w:szCs w:val="24"/>
        </w:rPr>
        <w:t xml:space="preserve"> 3</w:t>
      </w:r>
      <w:r>
        <w:rPr>
          <w:rFonts w:ascii="Times New Roman" w:eastAsia="Times New Roman" w:hAnsi="Times New Roman" w:cs="Times New Roman"/>
          <w:sz w:val="24"/>
          <w:szCs w:val="24"/>
        </w:rPr>
        <w:t>. Soil carbon density approximately doubled in the urban food forest compared to</w:t>
      </w:r>
      <w:r w:rsidR="00F523F6">
        <w:rPr>
          <w:rFonts w:ascii="Times New Roman" w:eastAsia="Times New Roman" w:hAnsi="Times New Roman" w:cs="Times New Roman"/>
          <w:sz w:val="24"/>
          <w:szCs w:val="24"/>
        </w:rPr>
        <w:t xml:space="preserve"> a negligible increase in the lawn</w:t>
      </w:r>
      <w:r>
        <w:rPr>
          <w:rFonts w:ascii="Times New Roman" w:eastAsia="Times New Roman" w:hAnsi="Times New Roman" w:cs="Times New Roman"/>
          <w:sz w:val="24"/>
          <w:szCs w:val="24"/>
        </w:rPr>
        <w:t>. Error bars represent posterior 95% credible intervals for each stratum and area.</w:t>
      </w:r>
    </w:p>
    <w:p w14:paraId="2557254D" w14:textId="656F89A7" w:rsidR="002179FD" w:rsidRPr="00241C51" w:rsidRDefault="002179FD" w:rsidP="002179FD">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Figure 4</w:t>
      </w:r>
      <w:r w:rsidRPr="00C14D16">
        <w:rPr>
          <w:rFonts w:ascii="Times New Roman" w:eastAsia="Times New Roman" w:hAnsi="Times New Roman" w:cs="Times New Roman"/>
          <w:sz w:val="24"/>
          <w:szCs w:val="24"/>
        </w:rPr>
        <w:t>. Fine scale changes in soil carbon concentration over two years implies that the urban food forest exhib</w:t>
      </w:r>
      <w:r>
        <w:rPr>
          <w:rFonts w:ascii="Times New Roman" w:eastAsia="Times New Roman" w:hAnsi="Times New Roman" w:cs="Times New Roman"/>
          <w:sz w:val="24"/>
          <w:szCs w:val="24"/>
        </w:rPr>
        <w:t>its system-level mass balance (A</w:t>
      </w:r>
      <w:r w:rsidRPr="00C14D16">
        <w:rPr>
          <w:rFonts w:ascii="Times New Roman" w:eastAsia="Times New Roman" w:hAnsi="Times New Roman" w:cs="Times New Roman"/>
          <w:sz w:val="24"/>
          <w:szCs w:val="24"/>
        </w:rPr>
        <w:t>) and a rapidly approaching li</w:t>
      </w:r>
      <w:r>
        <w:rPr>
          <w:rFonts w:ascii="Times New Roman" w:eastAsia="Times New Roman" w:hAnsi="Times New Roman" w:cs="Times New Roman"/>
          <w:sz w:val="24"/>
          <w:szCs w:val="24"/>
        </w:rPr>
        <w:t>mit to sequestration capacity (B</w:t>
      </w:r>
      <w:r w:rsidRPr="00C14D1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Transparent line overlay represents 1200 draws from the posterior distribution for the estimated SOC supply rate (</w:t>
      </w:r>
      <w:r>
        <w:rPr>
          <w:rFonts w:ascii="Times New Roman" w:eastAsia="Times New Roman" w:hAnsi="Times New Roman" w:cs="Times New Roman"/>
          <w:i/>
          <w:sz w:val="24"/>
          <w:szCs w:val="24"/>
        </w:rPr>
        <w:t>K</w:t>
      </w:r>
      <w:r>
        <w:rPr>
          <w:rFonts w:ascii="Times New Roman" w:eastAsia="Times New Roman" w:hAnsi="Times New Roman" w:cs="Times New Roman"/>
          <w:sz w:val="24"/>
          <w:szCs w:val="24"/>
        </w:rPr>
        <w:t>) and mineralization rate (</w:t>
      </w:r>
      <w:r w:rsidRPr="00241C51">
        <w:rPr>
          <w:rFonts w:ascii="Times New Roman" w:eastAsia="Times New Roman" w:hAnsi="Times New Roman" w:cs="Times New Roman"/>
          <w:i/>
          <w:sz w:val="24"/>
          <w:szCs w:val="24"/>
        </w:rPr>
        <w:t>α</w:t>
      </w:r>
      <w:r>
        <w:rPr>
          <w:rFonts w:ascii="Times New Roman" w:eastAsia="Times New Roman" w:hAnsi="Times New Roman" w:cs="Times New Roman"/>
          <w:sz w:val="24"/>
          <w:szCs w:val="24"/>
        </w:rPr>
        <w:t xml:space="preserve">) parameters (Eq. </w:t>
      </w:r>
      <w:r w:rsidR="00D85446">
        <w:rPr>
          <w:rFonts w:ascii="Times New Roman" w:eastAsia="Times New Roman" w:hAnsi="Times New Roman" w:cs="Times New Roman"/>
          <w:sz w:val="24"/>
          <w:szCs w:val="24"/>
        </w:rPr>
        <w:t>1</w:t>
      </w:r>
      <w:r>
        <w:rPr>
          <w:rFonts w:ascii="Times New Roman" w:eastAsia="Times New Roman" w:hAnsi="Times New Roman" w:cs="Times New Roman"/>
          <w:sz w:val="24"/>
          <w:szCs w:val="24"/>
        </w:rPr>
        <w:t>).</w:t>
      </w:r>
    </w:p>
    <w:p w14:paraId="19358556" w14:textId="77777777" w:rsidR="002179FD" w:rsidRPr="00C14D16" w:rsidRDefault="002179FD" w:rsidP="002179FD">
      <w:pPr>
        <w:spacing w:line="480" w:lineRule="auto"/>
        <w:rPr>
          <w:rFonts w:ascii="Times New Roman" w:eastAsia="Times New Roman" w:hAnsi="Times New Roman" w:cs="Times New Roman"/>
          <w:sz w:val="24"/>
          <w:szCs w:val="24"/>
        </w:rPr>
      </w:pPr>
    </w:p>
    <w:p w14:paraId="63E39BC0" w14:textId="77777777" w:rsidR="002179FD" w:rsidRDefault="002179FD" w:rsidP="002179FD">
      <w:pPr>
        <w:spacing w:line="480" w:lineRule="auto"/>
        <w:rPr>
          <w:rFonts w:ascii="Times New Roman" w:eastAsia="Times New Roman" w:hAnsi="Times New Roman" w:cs="Times New Roman"/>
          <w:sz w:val="24"/>
          <w:szCs w:val="24"/>
        </w:rPr>
      </w:pPr>
    </w:p>
    <w:p w14:paraId="5EE978F6" w14:textId="643ACBB0" w:rsidR="002179FD" w:rsidRDefault="002179FD">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3EA4F9C0" w14:textId="16B58ABD" w:rsidR="002179FD" w:rsidRPr="006C1F26" w:rsidRDefault="002179FD" w:rsidP="002179FD">
      <w:pPr>
        <w:spacing w:line="480" w:lineRule="auto"/>
        <w:rPr>
          <w:rFonts w:ascii="Times New Roman" w:eastAsia="Times New Roman" w:hAnsi="Times New Roman" w:cs="Times New Roman"/>
          <w:b/>
          <w:sz w:val="24"/>
          <w:szCs w:val="24"/>
        </w:rPr>
      </w:pPr>
      <w:r w:rsidRPr="006C1F26">
        <w:rPr>
          <w:rFonts w:ascii="Times New Roman" w:eastAsia="Times New Roman" w:hAnsi="Times New Roman" w:cs="Times New Roman"/>
          <w:b/>
          <w:sz w:val="24"/>
          <w:szCs w:val="24"/>
        </w:rPr>
        <w:t>Figure 1</w:t>
      </w:r>
    </w:p>
    <w:p w14:paraId="47C05FB1" w14:textId="1C421166" w:rsidR="002179FD" w:rsidRDefault="002179FD" w:rsidP="002179FD">
      <w:pPr>
        <w:spacing w:line="480" w:lineRule="auto"/>
        <w:rPr>
          <w:rFonts w:ascii="Times New Roman" w:eastAsia="Times New Roman" w:hAnsi="Times New Roman" w:cs="Times New Roman"/>
          <w:sz w:val="24"/>
          <w:szCs w:val="24"/>
        </w:rPr>
      </w:pPr>
      <w:r w:rsidRPr="00CB488B">
        <w:rPr>
          <w:rFonts w:ascii="Times New Roman" w:eastAsia="Times New Roman" w:hAnsi="Times New Roman" w:cs="Times New Roman"/>
          <w:noProof/>
          <w:sz w:val="24"/>
          <w:szCs w:val="24"/>
          <w:lang w:val="en-US"/>
        </w:rPr>
        <w:drawing>
          <wp:inline distT="0" distB="0" distL="0" distR="0" wp14:anchorId="4978718B" wp14:editId="2CA8C8D3">
            <wp:extent cx="3671888" cy="3651205"/>
            <wp:effectExtent l="0" t="0" r="508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78039" cy="3657321"/>
                    </a:xfrm>
                    <a:prstGeom prst="rect">
                      <a:avLst/>
                    </a:prstGeom>
                    <a:noFill/>
                    <a:ln>
                      <a:noFill/>
                    </a:ln>
                  </pic:spPr>
                </pic:pic>
              </a:graphicData>
            </a:graphic>
          </wp:inline>
        </w:drawing>
      </w:r>
    </w:p>
    <w:p w14:paraId="2DA22556" w14:textId="42F1C10E" w:rsidR="002179FD" w:rsidRPr="006C1F26" w:rsidRDefault="002179FD" w:rsidP="002179FD">
      <w:pPr>
        <w:spacing w:line="480" w:lineRule="auto"/>
        <w:rPr>
          <w:rFonts w:ascii="Times New Roman" w:eastAsia="Times New Roman" w:hAnsi="Times New Roman" w:cs="Times New Roman"/>
          <w:b/>
          <w:sz w:val="24"/>
          <w:szCs w:val="24"/>
        </w:rPr>
      </w:pPr>
      <w:r w:rsidRPr="006C1F26">
        <w:rPr>
          <w:rFonts w:ascii="Times New Roman" w:eastAsia="Times New Roman" w:hAnsi="Times New Roman" w:cs="Times New Roman"/>
          <w:b/>
          <w:sz w:val="24"/>
          <w:szCs w:val="24"/>
        </w:rPr>
        <w:t>Figure 2</w:t>
      </w:r>
    </w:p>
    <w:p w14:paraId="7AFD0CF9" w14:textId="7BEC814A" w:rsidR="002179FD" w:rsidRDefault="002179FD">
      <w:pPr>
        <w:rPr>
          <w:rFonts w:ascii="Times New Roman" w:eastAsia="Times New Roman" w:hAnsi="Times New Roman" w:cs="Times New Roman"/>
          <w:sz w:val="24"/>
          <w:szCs w:val="24"/>
        </w:rPr>
      </w:pPr>
    </w:p>
    <w:p w14:paraId="24C1F557" w14:textId="77777777" w:rsidR="002179FD" w:rsidRPr="00C14D16" w:rsidRDefault="002179FD" w:rsidP="002179FD">
      <w:pPr>
        <w:spacing w:line="480" w:lineRule="auto"/>
        <w:ind w:firstLine="90"/>
        <w:rPr>
          <w:rFonts w:ascii="Times New Roman" w:eastAsia="Times New Roman" w:hAnsi="Times New Roman" w:cs="Times New Roman"/>
          <w:sz w:val="24"/>
          <w:szCs w:val="24"/>
        </w:rPr>
      </w:pPr>
      <w:r w:rsidRPr="006E0412">
        <w:rPr>
          <w:rFonts w:ascii="Times New Roman" w:eastAsia="Times New Roman" w:hAnsi="Times New Roman" w:cs="Times New Roman"/>
          <w:noProof/>
          <w:sz w:val="24"/>
          <w:szCs w:val="24"/>
          <w:lang w:val="en-US"/>
        </w:rPr>
        <w:drawing>
          <wp:inline distT="0" distB="0" distL="0" distR="0" wp14:anchorId="201D6C3B" wp14:editId="23CDE5EF">
            <wp:extent cx="4377055" cy="2105025"/>
            <wp:effectExtent l="0" t="0" r="444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77055" cy="2105025"/>
                    </a:xfrm>
                    <a:prstGeom prst="rect">
                      <a:avLst/>
                    </a:prstGeom>
                    <a:noFill/>
                    <a:ln>
                      <a:noFill/>
                    </a:ln>
                  </pic:spPr>
                </pic:pic>
              </a:graphicData>
            </a:graphic>
          </wp:inline>
        </w:drawing>
      </w:r>
    </w:p>
    <w:p w14:paraId="3B28E58D" w14:textId="2B1CB6E6" w:rsidR="002179FD" w:rsidRDefault="002179FD">
      <w:pPr>
        <w:rPr>
          <w:rFonts w:ascii="Times New Roman" w:eastAsia="Times New Roman" w:hAnsi="Times New Roman" w:cs="Times New Roman"/>
          <w:sz w:val="24"/>
          <w:szCs w:val="24"/>
        </w:rPr>
      </w:pPr>
    </w:p>
    <w:p w14:paraId="07A14FEE" w14:textId="5C6666ED" w:rsidR="002179FD" w:rsidRDefault="002179FD">
      <w:pPr>
        <w:rPr>
          <w:rFonts w:ascii="Times New Roman" w:eastAsia="Times New Roman" w:hAnsi="Times New Roman" w:cs="Times New Roman"/>
          <w:sz w:val="24"/>
          <w:szCs w:val="24"/>
        </w:rPr>
      </w:pPr>
    </w:p>
    <w:p w14:paraId="5F876F4F" w14:textId="5C1EE871" w:rsidR="002179FD" w:rsidRDefault="002179FD">
      <w:pPr>
        <w:rPr>
          <w:rFonts w:ascii="Times New Roman" w:eastAsia="Times New Roman" w:hAnsi="Times New Roman" w:cs="Times New Roman"/>
          <w:sz w:val="24"/>
          <w:szCs w:val="24"/>
        </w:rPr>
      </w:pPr>
    </w:p>
    <w:p w14:paraId="28C826D8" w14:textId="70E6CC98" w:rsidR="002179FD" w:rsidRDefault="002179FD">
      <w:pPr>
        <w:rPr>
          <w:rFonts w:ascii="Times New Roman" w:eastAsia="Times New Roman" w:hAnsi="Times New Roman" w:cs="Times New Roman"/>
          <w:sz w:val="24"/>
          <w:szCs w:val="24"/>
        </w:rPr>
      </w:pPr>
    </w:p>
    <w:p w14:paraId="6143D748" w14:textId="62F883F6" w:rsidR="002179FD" w:rsidRDefault="002179FD">
      <w:pPr>
        <w:rPr>
          <w:rFonts w:ascii="Times New Roman" w:eastAsia="Times New Roman" w:hAnsi="Times New Roman" w:cs="Times New Roman"/>
          <w:sz w:val="24"/>
          <w:szCs w:val="24"/>
        </w:rPr>
      </w:pPr>
    </w:p>
    <w:p w14:paraId="72EB6701" w14:textId="6334353F" w:rsidR="002179FD" w:rsidRDefault="002179FD">
      <w:pPr>
        <w:rPr>
          <w:rFonts w:ascii="Times New Roman" w:eastAsia="Times New Roman" w:hAnsi="Times New Roman" w:cs="Times New Roman"/>
          <w:sz w:val="24"/>
          <w:szCs w:val="24"/>
        </w:rPr>
      </w:pPr>
    </w:p>
    <w:p w14:paraId="64EBAAE5" w14:textId="3F10D912" w:rsidR="002179FD" w:rsidRPr="006C1F26" w:rsidRDefault="002179FD">
      <w:pPr>
        <w:rPr>
          <w:rFonts w:ascii="Times New Roman" w:eastAsia="Times New Roman" w:hAnsi="Times New Roman" w:cs="Times New Roman"/>
          <w:b/>
          <w:sz w:val="24"/>
          <w:szCs w:val="24"/>
        </w:rPr>
      </w:pPr>
      <w:r w:rsidRPr="006C1F26">
        <w:rPr>
          <w:rFonts w:ascii="Times New Roman" w:eastAsia="Times New Roman" w:hAnsi="Times New Roman" w:cs="Times New Roman"/>
          <w:b/>
          <w:sz w:val="24"/>
          <w:szCs w:val="24"/>
        </w:rPr>
        <w:t>Figure 3</w:t>
      </w:r>
    </w:p>
    <w:p w14:paraId="33168E7C" w14:textId="0300C67B" w:rsidR="002179FD" w:rsidRPr="00C14D16" w:rsidRDefault="00D85446" w:rsidP="00E775ED">
      <w:pPr>
        <w:spacing w:line="480" w:lineRule="auto"/>
        <w:ind w:left="1440"/>
        <w:rPr>
          <w:rFonts w:ascii="Times New Roman" w:eastAsia="Times New Roman" w:hAnsi="Times New Roman" w:cs="Times New Roman"/>
          <w:sz w:val="24"/>
          <w:szCs w:val="24"/>
        </w:rPr>
      </w:pPr>
      <w:r w:rsidRPr="00D85446">
        <w:rPr>
          <w:noProof/>
          <w:lang w:val="en-US"/>
        </w:rPr>
        <w:t xml:space="preserve"> </w:t>
      </w:r>
      <w:r>
        <w:rPr>
          <w:noProof/>
          <w:lang w:val="en-US"/>
        </w:rPr>
        <w:drawing>
          <wp:inline distT="0" distB="0" distL="0" distR="0" wp14:anchorId="3D59578E" wp14:editId="2780BAC7">
            <wp:extent cx="4819650" cy="47910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819650" cy="4791075"/>
                    </a:xfrm>
                    <a:prstGeom prst="rect">
                      <a:avLst/>
                    </a:prstGeom>
                  </pic:spPr>
                </pic:pic>
              </a:graphicData>
            </a:graphic>
          </wp:inline>
        </w:drawing>
      </w:r>
    </w:p>
    <w:p w14:paraId="268D1FD8" w14:textId="12F40E29" w:rsidR="00F51880" w:rsidRDefault="00F51880">
      <w:pPr>
        <w:spacing w:line="480" w:lineRule="auto"/>
        <w:rPr>
          <w:rFonts w:ascii="Times New Roman" w:eastAsia="Times New Roman" w:hAnsi="Times New Roman" w:cs="Times New Roman"/>
          <w:sz w:val="24"/>
          <w:szCs w:val="24"/>
        </w:rPr>
      </w:pPr>
    </w:p>
    <w:p w14:paraId="37CFFA5C" w14:textId="79E2ED20" w:rsidR="006C1F26" w:rsidRDefault="006C1F26">
      <w:pPr>
        <w:spacing w:line="480" w:lineRule="auto"/>
        <w:rPr>
          <w:rFonts w:ascii="Times New Roman" w:eastAsia="Times New Roman" w:hAnsi="Times New Roman" w:cs="Times New Roman"/>
          <w:sz w:val="24"/>
          <w:szCs w:val="24"/>
        </w:rPr>
      </w:pPr>
    </w:p>
    <w:p w14:paraId="11AFDDCA" w14:textId="1F090436" w:rsidR="006C1F26" w:rsidRDefault="006C1F26">
      <w:pPr>
        <w:spacing w:line="480" w:lineRule="auto"/>
        <w:rPr>
          <w:rFonts w:ascii="Times New Roman" w:eastAsia="Times New Roman" w:hAnsi="Times New Roman" w:cs="Times New Roman"/>
          <w:sz w:val="24"/>
          <w:szCs w:val="24"/>
        </w:rPr>
      </w:pPr>
    </w:p>
    <w:p w14:paraId="37F33FD8" w14:textId="33FE1FE4" w:rsidR="006C1F26" w:rsidRDefault="006C1F26">
      <w:pPr>
        <w:spacing w:line="480" w:lineRule="auto"/>
        <w:rPr>
          <w:rFonts w:ascii="Times New Roman" w:eastAsia="Times New Roman" w:hAnsi="Times New Roman" w:cs="Times New Roman"/>
          <w:sz w:val="24"/>
          <w:szCs w:val="24"/>
        </w:rPr>
      </w:pPr>
    </w:p>
    <w:p w14:paraId="371A4186" w14:textId="331FB95F" w:rsidR="006C1F26" w:rsidRDefault="006C1F26">
      <w:pPr>
        <w:spacing w:line="480" w:lineRule="auto"/>
        <w:rPr>
          <w:rFonts w:ascii="Times New Roman" w:eastAsia="Times New Roman" w:hAnsi="Times New Roman" w:cs="Times New Roman"/>
          <w:sz w:val="24"/>
          <w:szCs w:val="24"/>
        </w:rPr>
      </w:pPr>
    </w:p>
    <w:p w14:paraId="631741AF" w14:textId="1DD78672" w:rsidR="006C1F26" w:rsidRDefault="006C1F26">
      <w:pPr>
        <w:spacing w:line="480" w:lineRule="auto"/>
        <w:rPr>
          <w:rFonts w:ascii="Times New Roman" w:eastAsia="Times New Roman" w:hAnsi="Times New Roman" w:cs="Times New Roman"/>
          <w:sz w:val="24"/>
          <w:szCs w:val="24"/>
        </w:rPr>
      </w:pPr>
    </w:p>
    <w:p w14:paraId="704D86B2" w14:textId="6D2EDA1B" w:rsidR="006C1F26" w:rsidRDefault="006C1F26">
      <w:pPr>
        <w:spacing w:line="480" w:lineRule="auto"/>
        <w:rPr>
          <w:rFonts w:ascii="Times New Roman" w:eastAsia="Times New Roman" w:hAnsi="Times New Roman" w:cs="Times New Roman"/>
          <w:sz w:val="24"/>
          <w:szCs w:val="24"/>
        </w:rPr>
      </w:pPr>
    </w:p>
    <w:p w14:paraId="39722489" w14:textId="4A3866DB" w:rsidR="006C1F26" w:rsidRDefault="006C1F26">
      <w:pPr>
        <w:spacing w:line="480" w:lineRule="auto"/>
        <w:rPr>
          <w:rFonts w:ascii="Times New Roman" w:eastAsia="Times New Roman" w:hAnsi="Times New Roman" w:cs="Times New Roman"/>
          <w:sz w:val="24"/>
          <w:szCs w:val="24"/>
        </w:rPr>
      </w:pPr>
    </w:p>
    <w:p w14:paraId="70CEC994" w14:textId="12994C05" w:rsidR="006C1F26" w:rsidRDefault="006C1F26">
      <w:pPr>
        <w:spacing w:line="480" w:lineRule="auto"/>
        <w:rPr>
          <w:rFonts w:ascii="Times New Roman" w:eastAsia="Times New Roman" w:hAnsi="Times New Roman" w:cs="Times New Roman"/>
          <w:sz w:val="24"/>
          <w:szCs w:val="24"/>
        </w:rPr>
      </w:pPr>
    </w:p>
    <w:p w14:paraId="1E060C99" w14:textId="38B8932F" w:rsidR="006C1F26" w:rsidRDefault="006C1F26">
      <w:pPr>
        <w:spacing w:line="480" w:lineRule="auto"/>
        <w:rPr>
          <w:rFonts w:ascii="Times New Roman" w:eastAsia="Times New Roman" w:hAnsi="Times New Roman" w:cs="Times New Roman"/>
          <w:sz w:val="24"/>
          <w:szCs w:val="24"/>
        </w:rPr>
      </w:pPr>
    </w:p>
    <w:p w14:paraId="1BF33D61" w14:textId="1A03AA59" w:rsidR="006C1F26" w:rsidRPr="006C1F26" w:rsidRDefault="006C1F26">
      <w:pPr>
        <w:spacing w:line="480" w:lineRule="auto"/>
        <w:rPr>
          <w:rFonts w:ascii="Times New Roman" w:eastAsia="Times New Roman" w:hAnsi="Times New Roman" w:cs="Times New Roman"/>
          <w:b/>
          <w:sz w:val="24"/>
          <w:szCs w:val="24"/>
        </w:rPr>
      </w:pPr>
      <w:r w:rsidRPr="006C1F26">
        <w:rPr>
          <w:rFonts w:ascii="Times New Roman" w:eastAsia="Times New Roman" w:hAnsi="Times New Roman" w:cs="Times New Roman"/>
          <w:b/>
          <w:sz w:val="24"/>
          <w:szCs w:val="24"/>
        </w:rPr>
        <w:t>Figure 4</w:t>
      </w:r>
    </w:p>
    <w:p w14:paraId="2ABA595C" w14:textId="77777777" w:rsidR="002179FD" w:rsidRPr="00C14D16" w:rsidRDefault="002179FD" w:rsidP="002179FD">
      <w:pPr>
        <w:spacing w:line="480" w:lineRule="auto"/>
        <w:rPr>
          <w:rFonts w:ascii="Times New Roman" w:eastAsia="Times New Roman" w:hAnsi="Times New Roman" w:cs="Times New Roman"/>
          <w:sz w:val="24"/>
          <w:szCs w:val="24"/>
        </w:rPr>
      </w:pPr>
      <w:r w:rsidRPr="00241C51">
        <w:rPr>
          <w:rFonts w:ascii="Times New Roman" w:eastAsia="Times New Roman" w:hAnsi="Times New Roman" w:cs="Times New Roman"/>
          <w:noProof/>
          <w:sz w:val="24"/>
          <w:szCs w:val="24"/>
          <w:lang w:val="en-US"/>
        </w:rPr>
        <w:drawing>
          <wp:inline distT="0" distB="0" distL="0" distR="0" wp14:anchorId="6ED2B5D2" wp14:editId="24962603">
            <wp:extent cx="5843588" cy="3426867"/>
            <wp:effectExtent l="0" t="0" r="508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55553" cy="3433884"/>
                    </a:xfrm>
                    <a:prstGeom prst="rect">
                      <a:avLst/>
                    </a:prstGeom>
                    <a:noFill/>
                    <a:ln>
                      <a:noFill/>
                    </a:ln>
                  </pic:spPr>
                </pic:pic>
              </a:graphicData>
            </a:graphic>
          </wp:inline>
        </w:drawing>
      </w:r>
    </w:p>
    <w:p w14:paraId="1258867D" w14:textId="40E5BE50" w:rsidR="00032304" w:rsidRDefault="00032304">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5F1DE4A8" w14:textId="77777777" w:rsidR="00032304" w:rsidRDefault="00032304" w:rsidP="00032304">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Supplementary Information</w:t>
      </w:r>
    </w:p>
    <w:p w14:paraId="18D9FC71" w14:textId="77777777" w:rsidR="00032304" w:rsidRPr="00C14D16" w:rsidRDefault="00032304" w:rsidP="00032304">
      <w:pPr>
        <w:spacing w:line="480" w:lineRule="auto"/>
        <w:rPr>
          <w:rFonts w:ascii="Times New Roman" w:eastAsia="Times New Roman" w:hAnsi="Times New Roman" w:cs="Times New Roman"/>
          <w:b/>
          <w:sz w:val="24"/>
          <w:szCs w:val="24"/>
        </w:rPr>
      </w:pPr>
      <w:r w:rsidRPr="00C14D16">
        <w:rPr>
          <w:rFonts w:ascii="Times New Roman" w:eastAsia="Times New Roman" w:hAnsi="Times New Roman" w:cs="Times New Roman"/>
          <w:b/>
          <w:sz w:val="24"/>
          <w:szCs w:val="24"/>
        </w:rPr>
        <w:t xml:space="preserve">Table S1: </w:t>
      </w:r>
      <w:r w:rsidRPr="00AE02AC">
        <w:rPr>
          <w:rFonts w:ascii="Times New Roman" w:eastAsia="Times New Roman" w:hAnsi="Times New Roman" w:cs="Times New Roman"/>
          <w:sz w:val="24"/>
          <w:szCs w:val="24"/>
        </w:rPr>
        <w:t>Inventory of Woody Species Plantings</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032304" w:rsidRPr="00C14D16" w14:paraId="5E1B7CF0" w14:textId="77777777" w:rsidTr="00221CD1">
        <w:tc>
          <w:tcPr>
            <w:tcW w:w="3120" w:type="dxa"/>
            <w:shd w:val="clear" w:color="auto" w:fill="auto"/>
            <w:tcMar>
              <w:top w:w="100" w:type="dxa"/>
              <w:left w:w="100" w:type="dxa"/>
              <w:bottom w:w="100" w:type="dxa"/>
              <w:right w:w="100" w:type="dxa"/>
            </w:tcMar>
          </w:tcPr>
          <w:p w14:paraId="7DB634BE" w14:textId="77777777" w:rsidR="00032304" w:rsidRPr="00C14D16" w:rsidRDefault="00032304" w:rsidP="00221CD1">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sidRPr="00C14D16">
              <w:rPr>
                <w:rFonts w:ascii="Times New Roman" w:eastAsia="Times New Roman" w:hAnsi="Times New Roman" w:cs="Times New Roman"/>
                <w:b/>
                <w:sz w:val="24"/>
                <w:szCs w:val="24"/>
              </w:rPr>
              <w:t>Common Name</w:t>
            </w:r>
          </w:p>
        </w:tc>
        <w:tc>
          <w:tcPr>
            <w:tcW w:w="3120" w:type="dxa"/>
            <w:shd w:val="clear" w:color="auto" w:fill="auto"/>
            <w:tcMar>
              <w:top w:w="100" w:type="dxa"/>
              <w:left w:w="100" w:type="dxa"/>
              <w:bottom w:w="100" w:type="dxa"/>
              <w:right w:w="100" w:type="dxa"/>
            </w:tcMar>
          </w:tcPr>
          <w:p w14:paraId="521257FB" w14:textId="77777777" w:rsidR="00032304" w:rsidRPr="00C14D16" w:rsidRDefault="00032304" w:rsidP="00221CD1">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sidRPr="00C14D16">
              <w:rPr>
                <w:rFonts w:ascii="Times New Roman" w:eastAsia="Times New Roman" w:hAnsi="Times New Roman" w:cs="Times New Roman"/>
                <w:b/>
                <w:sz w:val="24"/>
                <w:szCs w:val="24"/>
              </w:rPr>
              <w:t>Genus, Species</w:t>
            </w:r>
          </w:p>
        </w:tc>
        <w:tc>
          <w:tcPr>
            <w:tcW w:w="3120" w:type="dxa"/>
            <w:shd w:val="clear" w:color="auto" w:fill="auto"/>
            <w:tcMar>
              <w:top w:w="100" w:type="dxa"/>
              <w:left w:w="100" w:type="dxa"/>
              <w:bottom w:w="100" w:type="dxa"/>
              <w:right w:w="100" w:type="dxa"/>
            </w:tcMar>
          </w:tcPr>
          <w:p w14:paraId="24C614DF" w14:textId="77777777" w:rsidR="00032304" w:rsidRPr="00C14D16" w:rsidRDefault="00032304" w:rsidP="00221CD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C14D16">
              <w:rPr>
                <w:rFonts w:ascii="Times New Roman" w:eastAsia="Times New Roman" w:hAnsi="Times New Roman" w:cs="Times New Roman"/>
                <w:b/>
                <w:sz w:val="24"/>
                <w:szCs w:val="24"/>
              </w:rPr>
              <w:t>Family</w:t>
            </w:r>
          </w:p>
        </w:tc>
      </w:tr>
      <w:tr w:rsidR="00032304" w:rsidRPr="00C14D16" w14:paraId="6338FB14" w14:textId="77777777" w:rsidTr="00221CD1">
        <w:tc>
          <w:tcPr>
            <w:tcW w:w="3120" w:type="dxa"/>
            <w:shd w:val="clear" w:color="auto" w:fill="auto"/>
            <w:tcMar>
              <w:top w:w="100" w:type="dxa"/>
              <w:left w:w="100" w:type="dxa"/>
              <w:bottom w:w="100" w:type="dxa"/>
              <w:right w:w="100" w:type="dxa"/>
            </w:tcMar>
          </w:tcPr>
          <w:p w14:paraId="5F94D96E" w14:textId="77777777" w:rsidR="00032304" w:rsidRPr="00C14D16" w:rsidRDefault="00032304" w:rsidP="00221CD1">
            <w:pPr>
              <w:widowControl w:val="0"/>
              <w:spacing w:line="240" w:lineRule="auto"/>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Maprang</w:t>
            </w:r>
          </w:p>
        </w:tc>
        <w:tc>
          <w:tcPr>
            <w:tcW w:w="3120" w:type="dxa"/>
            <w:shd w:val="clear" w:color="auto" w:fill="auto"/>
            <w:tcMar>
              <w:top w:w="100" w:type="dxa"/>
              <w:left w:w="100" w:type="dxa"/>
              <w:bottom w:w="100" w:type="dxa"/>
              <w:right w:w="100" w:type="dxa"/>
            </w:tcMar>
          </w:tcPr>
          <w:p w14:paraId="6C662D6C" w14:textId="77777777" w:rsidR="00032304" w:rsidRPr="00C14D16" w:rsidRDefault="00032304" w:rsidP="00221CD1">
            <w:pPr>
              <w:widowControl w:val="0"/>
              <w:spacing w:line="240" w:lineRule="auto"/>
              <w:rPr>
                <w:rFonts w:ascii="Times New Roman" w:eastAsia="Times New Roman" w:hAnsi="Times New Roman" w:cs="Times New Roman"/>
                <w:i/>
                <w:sz w:val="24"/>
                <w:szCs w:val="24"/>
              </w:rPr>
            </w:pPr>
            <w:r w:rsidRPr="00C14D16">
              <w:rPr>
                <w:rFonts w:ascii="Times New Roman" w:eastAsia="Times New Roman" w:hAnsi="Times New Roman" w:cs="Times New Roman"/>
                <w:i/>
                <w:sz w:val="24"/>
                <w:szCs w:val="24"/>
              </w:rPr>
              <w:t>Gandaria macrophylla</w:t>
            </w:r>
          </w:p>
        </w:tc>
        <w:tc>
          <w:tcPr>
            <w:tcW w:w="3120" w:type="dxa"/>
            <w:shd w:val="clear" w:color="auto" w:fill="auto"/>
            <w:tcMar>
              <w:top w:w="100" w:type="dxa"/>
              <w:left w:w="100" w:type="dxa"/>
              <w:bottom w:w="100" w:type="dxa"/>
              <w:right w:w="100" w:type="dxa"/>
            </w:tcMar>
          </w:tcPr>
          <w:p w14:paraId="26E9679F" w14:textId="77777777" w:rsidR="00032304" w:rsidRPr="00C14D16" w:rsidRDefault="00032304" w:rsidP="00221CD1">
            <w:pPr>
              <w:widowControl w:val="0"/>
              <w:spacing w:line="240" w:lineRule="auto"/>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Anacardiaceae</w:t>
            </w:r>
          </w:p>
        </w:tc>
      </w:tr>
      <w:tr w:rsidR="00032304" w:rsidRPr="00C14D16" w14:paraId="378BE30A" w14:textId="77777777" w:rsidTr="00221CD1">
        <w:tc>
          <w:tcPr>
            <w:tcW w:w="3120" w:type="dxa"/>
            <w:shd w:val="clear" w:color="auto" w:fill="auto"/>
            <w:tcMar>
              <w:top w:w="100" w:type="dxa"/>
              <w:left w:w="100" w:type="dxa"/>
              <w:bottom w:w="100" w:type="dxa"/>
              <w:right w:w="100" w:type="dxa"/>
            </w:tcMar>
          </w:tcPr>
          <w:p w14:paraId="1C051093" w14:textId="77777777" w:rsidR="00032304" w:rsidRPr="00C14D16" w:rsidRDefault="00032304" w:rsidP="00221CD1">
            <w:pPr>
              <w:widowControl w:val="0"/>
              <w:spacing w:line="240" w:lineRule="auto"/>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Mango</w:t>
            </w:r>
          </w:p>
        </w:tc>
        <w:tc>
          <w:tcPr>
            <w:tcW w:w="3120" w:type="dxa"/>
            <w:shd w:val="clear" w:color="auto" w:fill="auto"/>
            <w:tcMar>
              <w:top w:w="100" w:type="dxa"/>
              <w:left w:w="100" w:type="dxa"/>
              <w:bottom w:w="100" w:type="dxa"/>
              <w:right w:w="100" w:type="dxa"/>
            </w:tcMar>
          </w:tcPr>
          <w:p w14:paraId="095996DF" w14:textId="77777777" w:rsidR="00032304" w:rsidRPr="00C14D16" w:rsidRDefault="00032304" w:rsidP="00221CD1">
            <w:pPr>
              <w:widowControl w:val="0"/>
              <w:spacing w:line="240" w:lineRule="auto"/>
              <w:rPr>
                <w:rFonts w:ascii="Times New Roman" w:eastAsia="Times New Roman" w:hAnsi="Times New Roman" w:cs="Times New Roman"/>
                <w:sz w:val="24"/>
                <w:szCs w:val="24"/>
              </w:rPr>
            </w:pPr>
            <w:r w:rsidRPr="00C14D16">
              <w:rPr>
                <w:rFonts w:ascii="Times New Roman" w:eastAsia="Times New Roman" w:hAnsi="Times New Roman" w:cs="Times New Roman"/>
                <w:i/>
                <w:sz w:val="24"/>
                <w:szCs w:val="24"/>
              </w:rPr>
              <w:t>Mangifera indica</w:t>
            </w:r>
          </w:p>
        </w:tc>
        <w:tc>
          <w:tcPr>
            <w:tcW w:w="3120" w:type="dxa"/>
            <w:shd w:val="clear" w:color="auto" w:fill="auto"/>
            <w:tcMar>
              <w:top w:w="100" w:type="dxa"/>
              <w:left w:w="100" w:type="dxa"/>
              <w:bottom w:w="100" w:type="dxa"/>
              <w:right w:w="100" w:type="dxa"/>
            </w:tcMar>
          </w:tcPr>
          <w:p w14:paraId="4CFD96B8" w14:textId="77777777" w:rsidR="00032304" w:rsidRPr="00C14D16" w:rsidRDefault="00032304" w:rsidP="00221CD1">
            <w:pPr>
              <w:widowControl w:val="0"/>
              <w:spacing w:line="240" w:lineRule="auto"/>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 xml:space="preserve">Anacardiaceae </w:t>
            </w:r>
          </w:p>
        </w:tc>
      </w:tr>
      <w:tr w:rsidR="00032304" w:rsidRPr="00C14D16" w14:paraId="364580EF" w14:textId="77777777" w:rsidTr="00221CD1">
        <w:tc>
          <w:tcPr>
            <w:tcW w:w="3120" w:type="dxa"/>
            <w:shd w:val="clear" w:color="auto" w:fill="auto"/>
            <w:tcMar>
              <w:top w:w="100" w:type="dxa"/>
              <w:left w:w="100" w:type="dxa"/>
              <w:bottom w:w="100" w:type="dxa"/>
              <w:right w:w="100" w:type="dxa"/>
            </w:tcMar>
          </w:tcPr>
          <w:p w14:paraId="0C91DA71" w14:textId="77777777" w:rsidR="00032304" w:rsidRPr="00C14D16" w:rsidRDefault="00032304" w:rsidP="00221CD1">
            <w:pPr>
              <w:widowControl w:val="0"/>
              <w:spacing w:line="240" w:lineRule="auto"/>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Sugar Apple</w:t>
            </w:r>
          </w:p>
        </w:tc>
        <w:tc>
          <w:tcPr>
            <w:tcW w:w="3120" w:type="dxa"/>
            <w:shd w:val="clear" w:color="auto" w:fill="auto"/>
            <w:tcMar>
              <w:top w:w="100" w:type="dxa"/>
              <w:left w:w="100" w:type="dxa"/>
              <w:bottom w:w="100" w:type="dxa"/>
              <w:right w:w="100" w:type="dxa"/>
            </w:tcMar>
          </w:tcPr>
          <w:p w14:paraId="5275D26D" w14:textId="77777777" w:rsidR="00032304" w:rsidRPr="00C14D16" w:rsidRDefault="00032304" w:rsidP="00221CD1">
            <w:pPr>
              <w:widowControl w:val="0"/>
              <w:spacing w:line="240" w:lineRule="auto"/>
              <w:rPr>
                <w:rFonts w:ascii="Times New Roman" w:eastAsia="Times New Roman" w:hAnsi="Times New Roman" w:cs="Times New Roman"/>
                <w:i/>
                <w:sz w:val="24"/>
                <w:szCs w:val="24"/>
              </w:rPr>
            </w:pPr>
            <w:r w:rsidRPr="00C14D16">
              <w:rPr>
                <w:rFonts w:ascii="Times New Roman" w:eastAsia="Times New Roman" w:hAnsi="Times New Roman" w:cs="Times New Roman"/>
                <w:i/>
                <w:sz w:val="24"/>
                <w:szCs w:val="24"/>
              </w:rPr>
              <w:t>Annona squamosa</w:t>
            </w:r>
          </w:p>
        </w:tc>
        <w:tc>
          <w:tcPr>
            <w:tcW w:w="3120" w:type="dxa"/>
            <w:shd w:val="clear" w:color="auto" w:fill="auto"/>
            <w:tcMar>
              <w:top w:w="100" w:type="dxa"/>
              <w:left w:w="100" w:type="dxa"/>
              <w:bottom w:w="100" w:type="dxa"/>
              <w:right w:w="100" w:type="dxa"/>
            </w:tcMar>
          </w:tcPr>
          <w:p w14:paraId="0D169457" w14:textId="77777777" w:rsidR="00032304" w:rsidRPr="00C14D16" w:rsidRDefault="00032304" w:rsidP="00221CD1">
            <w:pPr>
              <w:widowControl w:val="0"/>
              <w:spacing w:line="240" w:lineRule="auto"/>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Annonaceae</w:t>
            </w:r>
          </w:p>
        </w:tc>
      </w:tr>
      <w:tr w:rsidR="00032304" w:rsidRPr="00C14D16" w14:paraId="7DE0751A" w14:textId="77777777" w:rsidTr="00221CD1">
        <w:tc>
          <w:tcPr>
            <w:tcW w:w="3120" w:type="dxa"/>
            <w:shd w:val="clear" w:color="auto" w:fill="auto"/>
            <w:tcMar>
              <w:top w:w="100" w:type="dxa"/>
              <w:left w:w="100" w:type="dxa"/>
              <w:bottom w:w="100" w:type="dxa"/>
              <w:right w:w="100" w:type="dxa"/>
            </w:tcMar>
          </w:tcPr>
          <w:p w14:paraId="23701490" w14:textId="77777777" w:rsidR="00032304" w:rsidRPr="00C14D16" w:rsidRDefault="00032304" w:rsidP="00221CD1">
            <w:pPr>
              <w:widowControl w:val="0"/>
              <w:spacing w:line="240" w:lineRule="auto"/>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Rollinia</w:t>
            </w:r>
          </w:p>
        </w:tc>
        <w:tc>
          <w:tcPr>
            <w:tcW w:w="3120" w:type="dxa"/>
            <w:shd w:val="clear" w:color="auto" w:fill="auto"/>
            <w:tcMar>
              <w:top w:w="100" w:type="dxa"/>
              <w:left w:w="100" w:type="dxa"/>
              <w:bottom w:w="100" w:type="dxa"/>
              <w:right w:w="100" w:type="dxa"/>
            </w:tcMar>
          </w:tcPr>
          <w:p w14:paraId="1DD19395" w14:textId="77777777" w:rsidR="00032304" w:rsidRPr="00C14D16" w:rsidRDefault="00032304" w:rsidP="00221CD1">
            <w:pPr>
              <w:widowControl w:val="0"/>
              <w:spacing w:line="240" w:lineRule="auto"/>
              <w:rPr>
                <w:rFonts w:ascii="Times New Roman" w:eastAsia="Times New Roman" w:hAnsi="Times New Roman" w:cs="Times New Roman"/>
                <w:i/>
                <w:sz w:val="24"/>
                <w:szCs w:val="24"/>
              </w:rPr>
            </w:pPr>
            <w:r w:rsidRPr="00C14D16">
              <w:rPr>
                <w:rFonts w:ascii="Times New Roman" w:eastAsia="Times New Roman" w:hAnsi="Times New Roman" w:cs="Times New Roman"/>
                <w:i/>
                <w:sz w:val="24"/>
                <w:szCs w:val="24"/>
              </w:rPr>
              <w:t>Rollinia emarginata</w:t>
            </w:r>
          </w:p>
        </w:tc>
        <w:tc>
          <w:tcPr>
            <w:tcW w:w="3120" w:type="dxa"/>
            <w:shd w:val="clear" w:color="auto" w:fill="auto"/>
            <w:tcMar>
              <w:top w:w="100" w:type="dxa"/>
              <w:left w:w="100" w:type="dxa"/>
              <w:bottom w:w="100" w:type="dxa"/>
              <w:right w:w="100" w:type="dxa"/>
            </w:tcMar>
          </w:tcPr>
          <w:p w14:paraId="0C17889C" w14:textId="77777777" w:rsidR="00032304" w:rsidRPr="00C14D16" w:rsidRDefault="00032304" w:rsidP="00221CD1">
            <w:pPr>
              <w:widowControl w:val="0"/>
              <w:spacing w:line="240" w:lineRule="auto"/>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Annonaceae</w:t>
            </w:r>
          </w:p>
        </w:tc>
      </w:tr>
      <w:tr w:rsidR="00032304" w:rsidRPr="00C14D16" w14:paraId="6F3DDF08" w14:textId="77777777" w:rsidTr="00221CD1">
        <w:tc>
          <w:tcPr>
            <w:tcW w:w="3120" w:type="dxa"/>
            <w:shd w:val="clear" w:color="auto" w:fill="auto"/>
            <w:tcMar>
              <w:top w:w="100" w:type="dxa"/>
              <w:left w:w="100" w:type="dxa"/>
              <w:bottom w:w="100" w:type="dxa"/>
              <w:right w:w="100" w:type="dxa"/>
            </w:tcMar>
          </w:tcPr>
          <w:p w14:paraId="26F95BA3" w14:textId="77777777" w:rsidR="00032304" w:rsidRPr="00C14D16" w:rsidRDefault="00032304" w:rsidP="00221CD1">
            <w:pPr>
              <w:widowControl w:val="0"/>
              <w:spacing w:line="240" w:lineRule="auto"/>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Natal Plum</w:t>
            </w:r>
          </w:p>
        </w:tc>
        <w:tc>
          <w:tcPr>
            <w:tcW w:w="3120" w:type="dxa"/>
            <w:shd w:val="clear" w:color="auto" w:fill="auto"/>
            <w:tcMar>
              <w:top w:w="100" w:type="dxa"/>
              <w:left w:w="100" w:type="dxa"/>
              <w:bottom w:w="100" w:type="dxa"/>
              <w:right w:w="100" w:type="dxa"/>
            </w:tcMar>
          </w:tcPr>
          <w:p w14:paraId="473D32FD" w14:textId="77777777" w:rsidR="00032304" w:rsidRPr="00C14D16" w:rsidRDefault="00032304" w:rsidP="00221CD1">
            <w:pPr>
              <w:widowControl w:val="0"/>
              <w:spacing w:line="240" w:lineRule="auto"/>
              <w:rPr>
                <w:rFonts w:ascii="Times New Roman" w:eastAsia="Times New Roman" w:hAnsi="Times New Roman" w:cs="Times New Roman"/>
                <w:i/>
                <w:sz w:val="24"/>
                <w:szCs w:val="24"/>
              </w:rPr>
            </w:pPr>
            <w:r w:rsidRPr="00C14D16">
              <w:rPr>
                <w:rFonts w:ascii="Times New Roman" w:eastAsia="Times New Roman" w:hAnsi="Times New Roman" w:cs="Times New Roman"/>
                <w:i/>
                <w:sz w:val="24"/>
                <w:szCs w:val="24"/>
              </w:rPr>
              <w:t>Carissa macrocarpa</w:t>
            </w:r>
          </w:p>
        </w:tc>
        <w:tc>
          <w:tcPr>
            <w:tcW w:w="3120" w:type="dxa"/>
            <w:shd w:val="clear" w:color="auto" w:fill="auto"/>
            <w:tcMar>
              <w:top w:w="100" w:type="dxa"/>
              <w:left w:w="100" w:type="dxa"/>
              <w:bottom w:w="100" w:type="dxa"/>
              <w:right w:w="100" w:type="dxa"/>
            </w:tcMar>
          </w:tcPr>
          <w:p w14:paraId="11D9E549" w14:textId="77777777" w:rsidR="00032304" w:rsidRPr="00C14D16" w:rsidRDefault="00032304" w:rsidP="00221CD1">
            <w:pPr>
              <w:widowControl w:val="0"/>
              <w:spacing w:line="240" w:lineRule="auto"/>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Apocynaceae</w:t>
            </w:r>
          </w:p>
        </w:tc>
      </w:tr>
      <w:tr w:rsidR="00032304" w:rsidRPr="00C14D16" w14:paraId="5212877A" w14:textId="77777777" w:rsidTr="00221CD1">
        <w:tc>
          <w:tcPr>
            <w:tcW w:w="3120" w:type="dxa"/>
            <w:shd w:val="clear" w:color="auto" w:fill="auto"/>
            <w:tcMar>
              <w:top w:w="100" w:type="dxa"/>
              <w:left w:w="100" w:type="dxa"/>
              <w:bottom w:w="100" w:type="dxa"/>
              <w:right w:w="100" w:type="dxa"/>
            </w:tcMar>
          </w:tcPr>
          <w:p w14:paraId="33A23AFB" w14:textId="77777777" w:rsidR="00032304" w:rsidRPr="00C14D16" w:rsidRDefault="00032304" w:rsidP="00221CD1">
            <w:pPr>
              <w:widowControl w:val="0"/>
              <w:spacing w:line="240" w:lineRule="auto"/>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Coconut</w:t>
            </w:r>
          </w:p>
        </w:tc>
        <w:tc>
          <w:tcPr>
            <w:tcW w:w="3120" w:type="dxa"/>
            <w:shd w:val="clear" w:color="auto" w:fill="auto"/>
            <w:tcMar>
              <w:top w:w="100" w:type="dxa"/>
              <w:left w:w="100" w:type="dxa"/>
              <w:bottom w:w="100" w:type="dxa"/>
              <w:right w:w="100" w:type="dxa"/>
            </w:tcMar>
          </w:tcPr>
          <w:p w14:paraId="71BD796F" w14:textId="77777777" w:rsidR="00032304" w:rsidRPr="00C14D16" w:rsidRDefault="00032304" w:rsidP="00221CD1">
            <w:pPr>
              <w:widowControl w:val="0"/>
              <w:spacing w:line="240" w:lineRule="auto"/>
              <w:rPr>
                <w:rFonts w:ascii="Times New Roman" w:eastAsia="Times New Roman" w:hAnsi="Times New Roman" w:cs="Times New Roman"/>
                <w:i/>
                <w:sz w:val="24"/>
                <w:szCs w:val="24"/>
              </w:rPr>
            </w:pPr>
            <w:r w:rsidRPr="00C14D16">
              <w:rPr>
                <w:rFonts w:ascii="Times New Roman" w:eastAsia="Times New Roman" w:hAnsi="Times New Roman" w:cs="Times New Roman"/>
                <w:i/>
                <w:sz w:val="24"/>
                <w:szCs w:val="24"/>
              </w:rPr>
              <w:t>Cocos nucifera</w:t>
            </w:r>
          </w:p>
        </w:tc>
        <w:tc>
          <w:tcPr>
            <w:tcW w:w="3120" w:type="dxa"/>
            <w:shd w:val="clear" w:color="auto" w:fill="auto"/>
            <w:tcMar>
              <w:top w:w="100" w:type="dxa"/>
              <w:left w:w="100" w:type="dxa"/>
              <w:bottom w:w="100" w:type="dxa"/>
              <w:right w:w="100" w:type="dxa"/>
            </w:tcMar>
          </w:tcPr>
          <w:p w14:paraId="0CE897C1" w14:textId="77777777" w:rsidR="00032304" w:rsidRPr="00C14D16" w:rsidRDefault="00032304" w:rsidP="00221CD1">
            <w:pPr>
              <w:widowControl w:val="0"/>
              <w:spacing w:line="240" w:lineRule="auto"/>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Arecaceae</w:t>
            </w:r>
          </w:p>
        </w:tc>
      </w:tr>
      <w:tr w:rsidR="00032304" w:rsidRPr="00C14D16" w14:paraId="4B2DD871" w14:textId="77777777" w:rsidTr="00221CD1">
        <w:tc>
          <w:tcPr>
            <w:tcW w:w="3120" w:type="dxa"/>
            <w:shd w:val="clear" w:color="auto" w:fill="auto"/>
            <w:tcMar>
              <w:top w:w="100" w:type="dxa"/>
              <w:left w:w="100" w:type="dxa"/>
              <w:bottom w:w="100" w:type="dxa"/>
              <w:right w:w="100" w:type="dxa"/>
            </w:tcMar>
          </w:tcPr>
          <w:p w14:paraId="2BE42E49" w14:textId="77777777" w:rsidR="00032304" w:rsidRPr="00C14D16" w:rsidRDefault="00032304" w:rsidP="00221CD1">
            <w:pPr>
              <w:widowControl w:val="0"/>
              <w:spacing w:line="240" w:lineRule="auto"/>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Persimmon</w:t>
            </w:r>
          </w:p>
        </w:tc>
        <w:tc>
          <w:tcPr>
            <w:tcW w:w="3120" w:type="dxa"/>
            <w:shd w:val="clear" w:color="auto" w:fill="auto"/>
            <w:tcMar>
              <w:top w:w="100" w:type="dxa"/>
              <w:left w:w="100" w:type="dxa"/>
              <w:bottom w:w="100" w:type="dxa"/>
              <w:right w:w="100" w:type="dxa"/>
            </w:tcMar>
          </w:tcPr>
          <w:p w14:paraId="6BD06DA0" w14:textId="77777777" w:rsidR="00032304" w:rsidRPr="00C14D16" w:rsidRDefault="00032304" w:rsidP="00221CD1">
            <w:pPr>
              <w:widowControl w:val="0"/>
              <w:spacing w:line="240" w:lineRule="auto"/>
              <w:rPr>
                <w:rFonts w:ascii="Times New Roman" w:eastAsia="Times New Roman" w:hAnsi="Times New Roman" w:cs="Times New Roman"/>
                <w:i/>
                <w:sz w:val="24"/>
                <w:szCs w:val="24"/>
              </w:rPr>
            </w:pPr>
            <w:r w:rsidRPr="00C14D16">
              <w:rPr>
                <w:rFonts w:ascii="Times New Roman" w:eastAsia="Times New Roman" w:hAnsi="Times New Roman" w:cs="Times New Roman"/>
                <w:i/>
                <w:sz w:val="24"/>
                <w:szCs w:val="24"/>
              </w:rPr>
              <w:t xml:space="preserve">Diospyros kaki </w:t>
            </w:r>
          </w:p>
        </w:tc>
        <w:tc>
          <w:tcPr>
            <w:tcW w:w="3120" w:type="dxa"/>
            <w:shd w:val="clear" w:color="auto" w:fill="auto"/>
            <w:tcMar>
              <w:top w:w="100" w:type="dxa"/>
              <w:left w:w="100" w:type="dxa"/>
              <w:bottom w:w="100" w:type="dxa"/>
              <w:right w:w="100" w:type="dxa"/>
            </w:tcMar>
          </w:tcPr>
          <w:p w14:paraId="360A7B6D" w14:textId="77777777" w:rsidR="00032304" w:rsidRPr="00C14D16" w:rsidRDefault="00032304" w:rsidP="00221CD1">
            <w:pPr>
              <w:widowControl w:val="0"/>
              <w:spacing w:line="240" w:lineRule="auto"/>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Ebenaceae</w:t>
            </w:r>
          </w:p>
        </w:tc>
      </w:tr>
      <w:tr w:rsidR="00032304" w:rsidRPr="00C14D16" w14:paraId="6902AA9D" w14:textId="77777777" w:rsidTr="00221CD1">
        <w:tc>
          <w:tcPr>
            <w:tcW w:w="3120" w:type="dxa"/>
            <w:shd w:val="clear" w:color="auto" w:fill="auto"/>
            <w:tcMar>
              <w:top w:w="100" w:type="dxa"/>
              <w:left w:w="100" w:type="dxa"/>
              <w:bottom w:w="100" w:type="dxa"/>
              <w:right w:w="100" w:type="dxa"/>
            </w:tcMar>
          </w:tcPr>
          <w:p w14:paraId="38D54AB5" w14:textId="77777777" w:rsidR="00032304" w:rsidRPr="00C14D16" w:rsidRDefault="00032304" w:rsidP="00221CD1">
            <w:pPr>
              <w:widowControl w:val="0"/>
              <w:spacing w:line="240" w:lineRule="auto"/>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Black Sapote</w:t>
            </w:r>
          </w:p>
        </w:tc>
        <w:tc>
          <w:tcPr>
            <w:tcW w:w="3120" w:type="dxa"/>
            <w:shd w:val="clear" w:color="auto" w:fill="auto"/>
            <w:tcMar>
              <w:top w:w="100" w:type="dxa"/>
              <w:left w:w="100" w:type="dxa"/>
              <w:bottom w:w="100" w:type="dxa"/>
              <w:right w:w="100" w:type="dxa"/>
            </w:tcMar>
          </w:tcPr>
          <w:p w14:paraId="699FCB8E" w14:textId="77777777" w:rsidR="00032304" w:rsidRPr="00C14D16" w:rsidRDefault="00032304" w:rsidP="00221CD1">
            <w:pPr>
              <w:widowControl w:val="0"/>
              <w:spacing w:line="240" w:lineRule="auto"/>
              <w:rPr>
                <w:rFonts w:ascii="Times New Roman" w:eastAsia="Times New Roman" w:hAnsi="Times New Roman" w:cs="Times New Roman"/>
                <w:i/>
                <w:sz w:val="24"/>
                <w:szCs w:val="24"/>
              </w:rPr>
            </w:pPr>
            <w:r w:rsidRPr="00C14D16">
              <w:rPr>
                <w:rFonts w:ascii="Times New Roman" w:eastAsia="Times New Roman" w:hAnsi="Times New Roman" w:cs="Times New Roman"/>
                <w:i/>
                <w:sz w:val="24"/>
                <w:szCs w:val="24"/>
              </w:rPr>
              <w:t>Diospyros nigra</w:t>
            </w:r>
          </w:p>
        </w:tc>
        <w:tc>
          <w:tcPr>
            <w:tcW w:w="3120" w:type="dxa"/>
            <w:shd w:val="clear" w:color="auto" w:fill="auto"/>
            <w:tcMar>
              <w:top w:w="100" w:type="dxa"/>
              <w:left w:w="100" w:type="dxa"/>
              <w:bottom w:w="100" w:type="dxa"/>
              <w:right w:w="100" w:type="dxa"/>
            </w:tcMar>
          </w:tcPr>
          <w:p w14:paraId="32510391" w14:textId="77777777" w:rsidR="00032304" w:rsidRPr="00C14D16" w:rsidRDefault="00032304" w:rsidP="00221CD1">
            <w:pPr>
              <w:widowControl w:val="0"/>
              <w:spacing w:line="240" w:lineRule="auto"/>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Ebenaceae</w:t>
            </w:r>
          </w:p>
        </w:tc>
      </w:tr>
      <w:tr w:rsidR="00032304" w:rsidRPr="00C14D16" w14:paraId="317A5909" w14:textId="77777777" w:rsidTr="00221CD1">
        <w:tc>
          <w:tcPr>
            <w:tcW w:w="3120" w:type="dxa"/>
            <w:shd w:val="clear" w:color="auto" w:fill="auto"/>
            <w:tcMar>
              <w:top w:w="100" w:type="dxa"/>
              <w:left w:w="100" w:type="dxa"/>
              <w:bottom w:w="100" w:type="dxa"/>
              <w:right w:w="100" w:type="dxa"/>
            </w:tcMar>
          </w:tcPr>
          <w:p w14:paraId="26583A2E" w14:textId="77777777" w:rsidR="00032304" w:rsidRPr="00C14D16" w:rsidRDefault="00032304" w:rsidP="00221CD1">
            <w:pPr>
              <w:widowControl w:val="0"/>
              <w:spacing w:line="240" w:lineRule="auto"/>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Inga</w:t>
            </w:r>
          </w:p>
        </w:tc>
        <w:tc>
          <w:tcPr>
            <w:tcW w:w="3120" w:type="dxa"/>
            <w:shd w:val="clear" w:color="auto" w:fill="auto"/>
            <w:tcMar>
              <w:top w:w="100" w:type="dxa"/>
              <w:left w:w="100" w:type="dxa"/>
              <w:bottom w:w="100" w:type="dxa"/>
              <w:right w:w="100" w:type="dxa"/>
            </w:tcMar>
          </w:tcPr>
          <w:p w14:paraId="21BCB4D4" w14:textId="77777777" w:rsidR="00032304" w:rsidRPr="00C14D16" w:rsidRDefault="00032304" w:rsidP="00221CD1">
            <w:pPr>
              <w:widowControl w:val="0"/>
              <w:spacing w:line="240" w:lineRule="auto"/>
              <w:rPr>
                <w:rFonts w:ascii="Times New Roman" w:eastAsia="Times New Roman" w:hAnsi="Times New Roman" w:cs="Times New Roman"/>
                <w:i/>
                <w:sz w:val="24"/>
                <w:szCs w:val="24"/>
              </w:rPr>
            </w:pPr>
            <w:r w:rsidRPr="00C14D16">
              <w:rPr>
                <w:rFonts w:ascii="Times New Roman" w:eastAsia="Times New Roman" w:hAnsi="Times New Roman" w:cs="Times New Roman"/>
                <w:i/>
                <w:sz w:val="24"/>
                <w:szCs w:val="24"/>
              </w:rPr>
              <w:t>Inga edulis</w:t>
            </w:r>
          </w:p>
        </w:tc>
        <w:tc>
          <w:tcPr>
            <w:tcW w:w="3120" w:type="dxa"/>
            <w:shd w:val="clear" w:color="auto" w:fill="auto"/>
            <w:tcMar>
              <w:top w:w="100" w:type="dxa"/>
              <w:left w:w="100" w:type="dxa"/>
              <w:bottom w:w="100" w:type="dxa"/>
              <w:right w:w="100" w:type="dxa"/>
            </w:tcMar>
          </w:tcPr>
          <w:p w14:paraId="5F71F2BE" w14:textId="77777777" w:rsidR="00032304" w:rsidRPr="00C14D16" w:rsidRDefault="00032304" w:rsidP="00221CD1">
            <w:pPr>
              <w:widowControl w:val="0"/>
              <w:spacing w:line="240" w:lineRule="auto"/>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Fabaceae</w:t>
            </w:r>
          </w:p>
        </w:tc>
      </w:tr>
      <w:tr w:rsidR="00032304" w:rsidRPr="00C14D16" w14:paraId="31F93CDE" w14:textId="77777777" w:rsidTr="00221CD1">
        <w:tc>
          <w:tcPr>
            <w:tcW w:w="3120" w:type="dxa"/>
            <w:shd w:val="clear" w:color="auto" w:fill="auto"/>
            <w:tcMar>
              <w:top w:w="100" w:type="dxa"/>
              <w:left w:w="100" w:type="dxa"/>
              <w:bottom w:w="100" w:type="dxa"/>
              <w:right w:w="100" w:type="dxa"/>
            </w:tcMar>
          </w:tcPr>
          <w:p w14:paraId="3DB68B55" w14:textId="77777777" w:rsidR="00032304" w:rsidRPr="00C14D16" w:rsidRDefault="00032304" w:rsidP="00221CD1">
            <w:pPr>
              <w:widowControl w:val="0"/>
              <w:spacing w:line="240" w:lineRule="auto"/>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Cha Om</w:t>
            </w:r>
          </w:p>
        </w:tc>
        <w:tc>
          <w:tcPr>
            <w:tcW w:w="3120" w:type="dxa"/>
            <w:shd w:val="clear" w:color="auto" w:fill="auto"/>
            <w:tcMar>
              <w:top w:w="100" w:type="dxa"/>
              <w:left w:w="100" w:type="dxa"/>
              <w:bottom w:w="100" w:type="dxa"/>
              <w:right w:w="100" w:type="dxa"/>
            </w:tcMar>
          </w:tcPr>
          <w:p w14:paraId="1F0C0649" w14:textId="77777777" w:rsidR="00032304" w:rsidRPr="00C14D16" w:rsidRDefault="00032304" w:rsidP="00221CD1">
            <w:pPr>
              <w:widowControl w:val="0"/>
              <w:spacing w:line="240" w:lineRule="auto"/>
              <w:rPr>
                <w:rFonts w:ascii="Times New Roman" w:eastAsia="Times New Roman" w:hAnsi="Times New Roman" w:cs="Times New Roman"/>
                <w:i/>
                <w:sz w:val="24"/>
                <w:szCs w:val="24"/>
              </w:rPr>
            </w:pPr>
            <w:r w:rsidRPr="00C14D16">
              <w:rPr>
                <w:rFonts w:ascii="Times New Roman" w:eastAsia="Times New Roman" w:hAnsi="Times New Roman" w:cs="Times New Roman"/>
                <w:i/>
                <w:sz w:val="24"/>
                <w:szCs w:val="24"/>
              </w:rPr>
              <w:t>Senegalia pennata</w:t>
            </w:r>
          </w:p>
        </w:tc>
        <w:tc>
          <w:tcPr>
            <w:tcW w:w="3120" w:type="dxa"/>
            <w:shd w:val="clear" w:color="auto" w:fill="auto"/>
            <w:tcMar>
              <w:top w:w="100" w:type="dxa"/>
              <w:left w:w="100" w:type="dxa"/>
              <w:bottom w:w="100" w:type="dxa"/>
              <w:right w:w="100" w:type="dxa"/>
            </w:tcMar>
          </w:tcPr>
          <w:p w14:paraId="2B59E029" w14:textId="77777777" w:rsidR="00032304" w:rsidRPr="00C14D16" w:rsidRDefault="00032304" w:rsidP="00221CD1">
            <w:pPr>
              <w:widowControl w:val="0"/>
              <w:spacing w:line="240" w:lineRule="auto"/>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Fabaceae</w:t>
            </w:r>
          </w:p>
        </w:tc>
      </w:tr>
      <w:tr w:rsidR="00032304" w:rsidRPr="00C14D16" w14:paraId="638C0765" w14:textId="77777777" w:rsidTr="00221CD1">
        <w:tc>
          <w:tcPr>
            <w:tcW w:w="3120" w:type="dxa"/>
            <w:shd w:val="clear" w:color="auto" w:fill="auto"/>
            <w:tcMar>
              <w:top w:w="100" w:type="dxa"/>
              <w:left w:w="100" w:type="dxa"/>
              <w:bottom w:w="100" w:type="dxa"/>
              <w:right w:w="100" w:type="dxa"/>
            </w:tcMar>
          </w:tcPr>
          <w:p w14:paraId="41A0DE6D" w14:textId="77777777" w:rsidR="00032304" w:rsidRPr="00C14D16" w:rsidRDefault="00032304" w:rsidP="00221CD1">
            <w:pPr>
              <w:widowControl w:val="0"/>
              <w:spacing w:line="240" w:lineRule="auto"/>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Avocado</w:t>
            </w:r>
          </w:p>
        </w:tc>
        <w:tc>
          <w:tcPr>
            <w:tcW w:w="3120" w:type="dxa"/>
            <w:shd w:val="clear" w:color="auto" w:fill="auto"/>
            <w:tcMar>
              <w:top w:w="100" w:type="dxa"/>
              <w:left w:w="100" w:type="dxa"/>
              <w:bottom w:w="100" w:type="dxa"/>
              <w:right w:w="100" w:type="dxa"/>
            </w:tcMar>
          </w:tcPr>
          <w:p w14:paraId="5381C3E7" w14:textId="77777777" w:rsidR="00032304" w:rsidRPr="00C14D16" w:rsidRDefault="00032304" w:rsidP="00221CD1">
            <w:pPr>
              <w:widowControl w:val="0"/>
              <w:spacing w:line="240" w:lineRule="auto"/>
              <w:rPr>
                <w:rFonts w:ascii="Times New Roman" w:eastAsia="Times New Roman" w:hAnsi="Times New Roman" w:cs="Times New Roman"/>
                <w:i/>
                <w:sz w:val="24"/>
                <w:szCs w:val="24"/>
              </w:rPr>
            </w:pPr>
            <w:r w:rsidRPr="00C14D16">
              <w:rPr>
                <w:rFonts w:ascii="Times New Roman" w:eastAsia="Times New Roman" w:hAnsi="Times New Roman" w:cs="Times New Roman"/>
                <w:i/>
                <w:sz w:val="24"/>
                <w:szCs w:val="24"/>
              </w:rPr>
              <w:t>Persea americana</w:t>
            </w:r>
          </w:p>
        </w:tc>
        <w:tc>
          <w:tcPr>
            <w:tcW w:w="3120" w:type="dxa"/>
            <w:shd w:val="clear" w:color="auto" w:fill="auto"/>
            <w:tcMar>
              <w:top w:w="100" w:type="dxa"/>
              <w:left w:w="100" w:type="dxa"/>
              <w:bottom w:w="100" w:type="dxa"/>
              <w:right w:w="100" w:type="dxa"/>
            </w:tcMar>
          </w:tcPr>
          <w:p w14:paraId="3445599F" w14:textId="77777777" w:rsidR="00032304" w:rsidRPr="00C14D16" w:rsidRDefault="00032304" w:rsidP="00221CD1">
            <w:pPr>
              <w:widowControl w:val="0"/>
              <w:spacing w:line="240" w:lineRule="auto"/>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Lauraceae</w:t>
            </w:r>
          </w:p>
        </w:tc>
      </w:tr>
      <w:tr w:rsidR="00032304" w:rsidRPr="00C14D16" w14:paraId="73243C0A" w14:textId="77777777" w:rsidTr="00221CD1">
        <w:tc>
          <w:tcPr>
            <w:tcW w:w="3120" w:type="dxa"/>
            <w:shd w:val="clear" w:color="auto" w:fill="auto"/>
            <w:tcMar>
              <w:top w:w="100" w:type="dxa"/>
              <w:left w:w="100" w:type="dxa"/>
              <w:bottom w:w="100" w:type="dxa"/>
              <w:right w:w="100" w:type="dxa"/>
            </w:tcMar>
          </w:tcPr>
          <w:p w14:paraId="0E049758" w14:textId="77777777" w:rsidR="00032304" w:rsidRPr="00C14D16" w:rsidRDefault="00032304" w:rsidP="00221CD1">
            <w:pPr>
              <w:widowControl w:val="0"/>
              <w:spacing w:line="240" w:lineRule="auto"/>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Peanut Butter Fruit</w:t>
            </w:r>
          </w:p>
        </w:tc>
        <w:tc>
          <w:tcPr>
            <w:tcW w:w="3120" w:type="dxa"/>
            <w:shd w:val="clear" w:color="auto" w:fill="auto"/>
            <w:tcMar>
              <w:top w:w="100" w:type="dxa"/>
              <w:left w:w="100" w:type="dxa"/>
              <w:bottom w:w="100" w:type="dxa"/>
              <w:right w:w="100" w:type="dxa"/>
            </w:tcMar>
          </w:tcPr>
          <w:p w14:paraId="612EC2CA" w14:textId="77777777" w:rsidR="00032304" w:rsidRPr="00C14D16" w:rsidRDefault="00032304" w:rsidP="00221CD1">
            <w:pPr>
              <w:widowControl w:val="0"/>
              <w:spacing w:line="240" w:lineRule="auto"/>
              <w:rPr>
                <w:rFonts w:ascii="Times New Roman" w:eastAsia="Times New Roman" w:hAnsi="Times New Roman" w:cs="Times New Roman"/>
                <w:i/>
                <w:sz w:val="24"/>
                <w:szCs w:val="24"/>
              </w:rPr>
            </w:pPr>
            <w:r w:rsidRPr="00C14D16">
              <w:rPr>
                <w:rFonts w:ascii="Times New Roman" w:eastAsia="Times New Roman" w:hAnsi="Times New Roman" w:cs="Times New Roman"/>
                <w:i/>
                <w:sz w:val="24"/>
                <w:szCs w:val="24"/>
              </w:rPr>
              <w:t>Bunchosia argentea</w:t>
            </w:r>
          </w:p>
        </w:tc>
        <w:tc>
          <w:tcPr>
            <w:tcW w:w="3120" w:type="dxa"/>
            <w:shd w:val="clear" w:color="auto" w:fill="auto"/>
            <w:tcMar>
              <w:top w:w="100" w:type="dxa"/>
              <w:left w:w="100" w:type="dxa"/>
              <w:bottom w:w="100" w:type="dxa"/>
              <w:right w:w="100" w:type="dxa"/>
            </w:tcMar>
          </w:tcPr>
          <w:p w14:paraId="59F3A595" w14:textId="77777777" w:rsidR="00032304" w:rsidRPr="00C14D16" w:rsidRDefault="00032304" w:rsidP="00221CD1">
            <w:pPr>
              <w:widowControl w:val="0"/>
              <w:spacing w:line="240" w:lineRule="auto"/>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Malpighiaceae</w:t>
            </w:r>
          </w:p>
        </w:tc>
      </w:tr>
      <w:tr w:rsidR="00032304" w:rsidRPr="00C14D16" w14:paraId="2C9A9E45" w14:textId="77777777" w:rsidTr="00221CD1">
        <w:tc>
          <w:tcPr>
            <w:tcW w:w="3120" w:type="dxa"/>
            <w:shd w:val="clear" w:color="auto" w:fill="auto"/>
            <w:tcMar>
              <w:top w:w="100" w:type="dxa"/>
              <w:left w:w="100" w:type="dxa"/>
              <w:bottom w:w="100" w:type="dxa"/>
              <w:right w:w="100" w:type="dxa"/>
            </w:tcMar>
          </w:tcPr>
          <w:p w14:paraId="50202F96" w14:textId="77777777" w:rsidR="00032304" w:rsidRPr="00C14D16" w:rsidRDefault="00032304" w:rsidP="00221CD1">
            <w:pPr>
              <w:widowControl w:val="0"/>
              <w:spacing w:line="240" w:lineRule="auto"/>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Barbados Cherry</w:t>
            </w:r>
          </w:p>
        </w:tc>
        <w:tc>
          <w:tcPr>
            <w:tcW w:w="3120" w:type="dxa"/>
            <w:shd w:val="clear" w:color="auto" w:fill="auto"/>
            <w:tcMar>
              <w:top w:w="100" w:type="dxa"/>
              <w:left w:w="100" w:type="dxa"/>
              <w:bottom w:w="100" w:type="dxa"/>
              <w:right w:w="100" w:type="dxa"/>
            </w:tcMar>
          </w:tcPr>
          <w:p w14:paraId="7DCE7351" w14:textId="77777777" w:rsidR="00032304" w:rsidRPr="00C14D16" w:rsidRDefault="00032304" w:rsidP="00221CD1">
            <w:pPr>
              <w:widowControl w:val="0"/>
              <w:spacing w:line="240" w:lineRule="auto"/>
              <w:rPr>
                <w:rFonts w:ascii="Times New Roman" w:eastAsia="Times New Roman" w:hAnsi="Times New Roman" w:cs="Times New Roman"/>
                <w:i/>
                <w:sz w:val="24"/>
                <w:szCs w:val="24"/>
              </w:rPr>
            </w:pPr>
            <w:r w:rsidRPr="00C14D16">
              <w:rPr>
                <w:rFonts w:ascii="Times New Roman" w:eastAsia="Times New Roman" w:hAnsi="Times New Roman" w:cs="Times New Roman"/>
                <w:i/>
                <w:sz w:val="24"/>
                <w:szCs w:val="24"/>
              </w:rPr>
              <w:t>Malpighia emarginata</w:t>
            </w:r>
          </w:p>
        </w:tc>
        <w:tc>
          <w:tcPr>
            <w:tcW w:w="3120" w:type="dxa"/>
            <w:shd w:val="clear" w:color="auto" w:fill="auto"/>
            <w:tcMar>
              <w:top w:w="100" w:type="dxa"/>
              <w:left w:w="100" w:type="dxa"/>
              <w:bottom w:w="100" w:type="dxa"/>
              <w:right w:w="100" w:type="dxa"/>
            </w:tcMar>
          </w:tcPr>
          <w:p w14:paraId="742AE4DB" w14:textId="77777777" w:rsidR="00032304" w:rsidRPr="00C14D16" w:rsidRDefault="00032304" w:rsidP="00221CD1">
            <w:pPr>
              <w:widowControl w:val="0"/>
              <w:spacing w:line="240" w:lineRule="auto"/>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Malpighiaceae</w:t>
            </w:r>
          </w:p>
        </w:tc>
      </w:tr>
      <w:tr w:rsidR="00032304" w:rsidRPr="00C14D16" w14:paraId="119F4747" w14:textId="77777777" w:rsidTr="00221CD1">
        <w:tc>
          <w:tcPr>
            <w:tcW w:w="3120" w:type="dxa"/>
            <w:shd w:val="clear" w:color="auto" w:fill="auto"/>
            <w:tcMar>
              <w:top w:w="100" w:type="dxa"/>
              <w:left w:w="100" w:type="dxa"/>
              <w:bottom w:w="100" w:type="dxa"/>
              <w:right w:w="100" w:type="dxa"/>
            </w:tcMar>
          </w:tcPr>
          <w:p w14:paraId="42B68885" w14:textId="77777777" w:rsidR="00032304" w:rsidRPr="00C14D16" w:rsidRDefault="00032304" w:rsidP="00221CD1">
            <w:pPr>
              <w:widowControl w:val="0"/>
              <w:spacing w:line="240" w:lineRule="auto"/>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Neem</w:t>
            </w:r>
          </w:p>
        </w:tc>
        <w:tc>
          <w:tcPr>
            <w:tcW w:w="3120" w:type="dxa"/>
            <w:shd w:val="clear" w:color="auto" w:fill="auto"/>
            <w:tcMar>
              <w:top w:w="100" w:type="dxa"/>
              <w:left w:w="100" w:type="dxa"/>
              <w:bottom w:w="100" w:type="dxa"/>
              <w:right w:w="100" w:type="dxa"/>
            </w:tcMar>
          </w:tcPr>
          <w:p w14:paraId="6FA02CC8" w14:textId="77777777" w:rsidR="00032304" w:rsidRPr="00C14D16" w:rsidRDefault="00032304" w:rsidP="00221CD1">
            <w:pPr>
              <w:widowControl w:val="0"/>
              <w:spacing w:line="240" w:lineRule="auto"/>
              <w:rPr>
                <w:rFonts w:ascii="Times New Roman" w:eastAsia="Times New Roman" w:hAnsi="Times New Roman" w:cs="Times New Roman"/>
                <w:i/>
                <w:sz w:val="24"/>
                <w:szCs w:val="24"/>
              </w:rPr>
            </w:pPr>
            <w:r w:rsidRPr="00C14D16">
              <w:rPr>
                <w:rFonts w:ascii="Times New Roman" w:eastAsia="Times New Roman" w:hAnsi="Times New Roman" w:cs="Times New Roman"/>
                <w:i/>
                <w:sz w:val="24"/>
                <w:szCs w:val="24"/>
              </w:rPr>
              <w:t>Azadirachta indica</w:t>
            </w:r>
          </w:p>
        </w:tc>
        <w:tc>
          <w:tcPr>
            <w:tcW w:w="3120" w:type="dxa"/>
            <w:shd w:val="clear" w:color="auto" w:fill="auto"/>
            <w:tcMar>
              <w:top w:w="100" w:type="dxa"/>
              <w:left w:w="100" w:type="dxa"/>
              <w:bottom w:w="100" w:type="dxa"/>
              <w:right w:w="100" w:type="dxa"/>
            </w:tcMar>
          </w:tcPr>
          <w:p w14:paraId="6EE2E605" w14:textId="77777777" w:rsidR="00032304" w:rsidRPr="00C14D16" w:rsidRDefault="00032304" w:rsidP="00221CD1">
            <w:pPr>
              <w:widowControl w:val="0"/>
              <w:spacing w:line="240" w:lineRule="auto"/>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Meliaceae</w:t>
            </w:r>
          </w:p>
        </w:tc>
      </w:tr>
      <w:tr w:rsidR="00032304" w:rsidRPr="00C14D16" w14:paraId="05A79CC7" w14:textId="77777777" w:rsidTr="00221CD1">
        <w:tc>
          <w:tcPr>
            <w:tcW w:w="3120" w:type="dxa"/>
            <w:shd w:val="clear" w:color="auto" w:fill="auto"/>
            <w:tcMar>
              <w:top w:w="100" w:type="dxa"/>
              <w:left w:w="100" w:type="dxa"/>
              <w:bottom w:w="100" w:type="dxa"/>
              <w:right w:w="100" w:type="dxa"/>
            </w:tcMar>
          </w:tcPr>
          <w:p w14:paraId="267E3334" w14:textId="77777777" w:rsidR="00032304" w:rsidRPr="00C14D16" w:rsidRDefault="00032304" w:rsidP="00221CD1">
            <w:pPr>
              <w:widowControl w:val="0"/>
              <w:spacing w:line="240" w:lineRule="auto"/>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Jackfruit</w:t>
            </w:r>
          </w:p>
        </w:tc>
        <w:tc>
          <w:tcPr>
            <w:tcW w:w="3120" w:type="dxa"/>
            <w:shd w:val="clear" w:color="auto" w:fill="auto"/>
            <w:tcMar>
              <w:top w:w="100" w:type="dxa"/>
              <w:left w:w="100" w:type="dxa"/>
              <w:bottom w:w="100" w:type="dxa"/>
              <w:right w:w="100" w:type="dxa"/>
            </w:tcMar>
          </w:tcPr>
          <w:p w14:paraId="527F2583" w14:textId="77777777" w:rsidR="00032304" w:rsidRPr="00C14D16" w:rsidRDefault="00032304" w:rsidP="00221CD1">
            <w:pPr>
              <w:widowControl w:val="0"/>
              <w:spacing w:line="240" w:lineRule="auto"/>
              <w:rPr>
                <w:rFonts w:ascii="Times New Roman" w:eastAsia="Times New Roman" w:hAnsi="Times New Roman" w:cs="Times New Roman"/>
                <w:i/>
                <w:sz w:val="24"/>
                <w:szCs w:val="24"/>
              </w:rPr>
            </w:pPr>
            <w:r w:rsidRPr="00C14D16">
              <w:rPr>
                <w:rFonts w:ascii="Times New Roman" w:eastAsia="Times New Roman" w:hAnsi="Times New Roman" w:cs="Times New Roman"/>
                <w:i/>
                <w:sz w:val="24"/>
                <w:szCs w:val="24"/>
              </w:rPr>
              <w:t>Artocarpus heterophyllus</w:t>
            </w:r>
          </w:p>
        </w:tc>
        <w:tc>
          <w:tcPr>
            <w:tcW w:w="3120" w:type="dxa"/>
            <w:shd w:val="clear" w:color="auto" w:fill="auto"/>
            <w:tcMar>
              <w:top w:w="100" w:type="dxa"/>
              <w:left w:w="100" w:type="dxa"/>
              <w:bottom w:w="100" w:type="dxa"/>
              <w:right w:w="100" w:type="dxa"/>
            </w:tcMar>
          </w:tcPr>
          <w:p w14:paraId="72CEE156" w14:textId="77777777" w:rsidR="00032304" w:rsidRPr="00C14D16" w:rsidRDefault="00032304" w:rsidP="00221CD1">
            <w:pPr>
              <w:widowControl w:val="0"/>
              <w:spacing w:line="240" w:lineRule="auto"/>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Moraceae</w:t>
            </w:r>
          </w:p>
        </w:tc>
      </w:tr>
      <w:tr w:rsidR="00032304" w:rsidRPr="00C14D16" w14:paraId="68CB9117" w14:textId="77777777" w:rsidTr="00221CD1">
        <w:tc>
          <w:tcPr>
            <w:tcW w:w="3120" w:type="dxa"/>
            <w:shd w:val="clear" w:color="auto" w:fill="auto"/>
            <w:tcMar>
              <w:top w:w="100" w:type="dxa"/>
              <w:left w:w="100" w:type="dxa"/>
              <w:bottom w:w="100" w:type="dxa"/>
              <w:right w:w="100" w:type="dxa"/>
            </w:tcMar>
          </w:tcPr>
          <w:p w14:paraId="0A362D94" w14:textId="77777777" w:rsidR="00032304" w:rsidRPr="00C14D16" w:rsidRDefault="00032304" w:rsidP="00221CD1">
            <w:pPr>
              <w:widowControl w:val="0"/>
              <w:spacing w:line="240" w:lineRule="auto"/>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Fig</w:t>
            </w:r>
          </w:p>
        </w:tc>
        <w:tc>
          <w:tcPr>
            <w:tcW w:w="3120" w:type="dxa"/>
            <w:shd w:val="clear" w:color="auto" w:fill="auto"/>
            <w:tcMar>
              <w:top w:w="100" w:type="dxa"/>
              <w:left w:w="100" w:type="dxa"/>
              <w:bottom w:w="100" w:type="dxa"/>
              <w:right w:w="100" w:type="dxa"/>
            </w:tcMar>
          </w:tcPr>
          <w:p w14:paraId="5B7F2B7B" w14:textId="77777777" w:rsidR="00032304" w:rsidRPr="00C14D16" w:rsidRDefault="00032304" w:rsidP="00221CD1">
            <w:pPr>
              <w:widowControl w:val="0"/>
              <w:spacing w:line="240" w:lineRule="auto"/>
              <w:rPr>
                <w:rFonts w:ascii="Times New Roman" w:eastAsia="Times New Roman" w:hAnsi="Times New Roman" w:cs="Times New Roman"/>
                <w:i/>
                <w:sz w:val="24"/>
                <w:szCs w:val="24"/>
              </w:rPr>
            </w:pPr>
            <w:r w:rsidRPr="00C14D16">
              <w:rPr>
                <w:rFonts w:ascii="Times New Roman" w:eastAsia="Times New Roman" w:hAnsi="Times New Roman" w:cs="Times New Roman"/>
                <w:i/>
                <w:sz w:val="24"/>
                <w:szCs w:val="24"/>
              </w:rPr>
              <w:t>Ficus carica</w:t>
            </w:r>
          </w:p>
        </w:tc>
        <w:tc>
          <w:tcPr>
            <w:tcW w:w="3120" w:type="dxa"/>
            <w:shd w:val="clear" w:color="auto" w:fill="auto"/>
            <w:tcMar>
              <w:top w:w="100" w:type="dxa"/>
              <w:left w:w="100" w:type="dxa"/>
              <w:bottom w:w="100" w:type="dxa"/>
              <w:right w:w="100" w:type="dxa"/>
            </w:tcMar>
          </w:tcPr>
          <w:p w14:paraId="38B3E7AC" w14:textId="77777777" w:rsidR="00032304" w:rsidRPr="00C14D16" w:rsidRDefault="00032304" w:rsidP="00221CD1">
            <w:pPr>
              <w:widowControl w:val="0"/>
              <w:spacing w:line="240" w:lineRule="auto"/>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Moraceae</w:t>
            </w:r>
          </w:p>
        </w:tc>
      </w:tr>
      <w:tr w:rsidR="00032304" w:rsidRPr="00C14D16" w14:paraId="6DD039DF" w14:textId="77777777" w:rsidTr="00221CD1">
        <w:tc>
          <w:tcPr>
            <w:tcW w:w="3120" w:type="dxa"/>
            <w:shd w:val="clear" w:color="auto" w:fill="auto"/>
            <w:tcMar>
              <w:top w:w="100" w:type="dxa"/>
              <w:left w:w="100" w:type="dxa"/>
              <w:bottom w:w="100" w:type="dxa"/>
              <w:right w:w="100" w:type="dxa"/>
            </w:tcMar>
          </w:tcPr>
          <w:p w14:paraId="648A16DD" w14:textId="77777777" w:rsidR="00032304" w:rsidRPr="00C14D16" w:rsidRDefault="00032304" w:rsidP="00221CD1">
            <w:pPr>
              <w:widowControl w:val="0"/>
              <w:spacing w:line="240" w:lineRule="auto"/>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Mulberry</w:t>
            </w:r>
          </w:p>
        </w:tc>
        <w:tc>
          <w:tcPr>
            <w:tcW w:w="3120" w:type="dxa"/>
            <w:shd w:val="clear" w:color="auto" w:fill="auto"/>
            <w:tcMar>
              <w:top w:w="100" w:type="dxa"/>
              <w:left w:w="100" w:type="dxa"/>
              <w:bottom w:w="100" w:type="dxa"/>
              <w:right w:w="100" w:type="dxa"/>
            </w:tcMar>
          </w:tcPr>
          <w:p w14:paraId="209C11A0" w14:textId="77777777" w:rsidR="00032304" w:rsidRPr="00C14D16" w:rsidRDefault="00032304" w:rsidP="00221CD1">
            <w:pPr>
              <w:widowControl w:val="0"/>
              <w:spacing w:line="240" w:lineRule="auto"/>
              <w:rPr>
                <w:rFonts w:ascii="Times New Roman" w:eastAsia="Times New Roman" w:hAnsi="Times New Roman" w:cs="Times New Roman"/>
                <w:i/>
                <w:sz w:val="24"/>
                <w:szCs w:val="24"/>
              </w:rPr>
            </w:pPr>
            <w:r w:rsidRPr="00C14D16">
              <w:rPr>
                <w:rFonts w:ascii="Times New Roman" w:eastAsia="Times New Roman" w:hAnsi="Times New Roman" w:cs="Times New Roman"/>
                <w:i/>
                <w:sz w:val="24"/>
                <w:szCs w:val="24"/>
              </w:rPr>
              <w:t>Morus rubra</w:t>
            </w:r>
          </w:p>
        </w:tc>
        <w:tc>
          <w:tcPr>
            <w:tcW w:w="3120" w:type="dxa"/>
            <w:shd w:val="clear" w:color="auto" w:fill="auto"/>
            <w:tcMar>
              <w:top w:w="100" w:type="dxa"/>
              <w:left w:w="100" w:type="dxa"/>
              <w:bottom w:w="100" w:type="dxa"/>
              <w:right w:w="100" w:type="dxa"/>
            </w:tcMar>
          </w:tcPr>
          <w:p w14:paraId="1E5CEBD6" w14:textId="77777777" w:rsidR="00032304" w:rsidRPr="00C14D16" w:rsidRDefault="00032304" w:rsidP="00221CD1">
            <w:pPr>
              <w:widowControl w:val="0"/>
              <w:spacing w:line="240" w:lineRule="auto"/>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Moraceae</w:t>
            </w:r>
          </w:p>
        </w:tc>
      </w:tr>
      <w:tr w:rsidR="00032304" w:rsidRPr="00C14D16" w14:paraId="52ADF3F2" w14:textId="77777777" w:rsidTr="00221CD1">
        <w:tc>
          <w:tcPr>
            <w:tcW w:w="3120" w:type="dxa"/>
            <w:shd w:val="clear" w:color="auto" w:fill="auto"/>
            <w:tcMar>
              <w:top w:w="100" w:type="dxa"/>
              <w:left w:w="100" w:type="dxa"/>
              <w:bottom w:w="100" w:type="dxa"/>
              <w:right w:w="100" w:type="dxa"/>
            </w:tcMar>
          </w:tcPr>
          <w:p w14:paraId="684904A3" w14:textId="77777777" w:rsidR="00032304" w:rsidRPr="00C14D16" w:rsidRDefault="00032304" w:rsidP="00221CD1">
            <w:pPr>
              <w:widowControl w:val="0"/>
              <w:spacing w:line="240" w:lineRule="auto"/>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Moringa</w:t>
            </w:r>
          </w:p>
        </w:tc>
        <w:tc>
          <w:tcPr>
            <w:tcW w:w="3120" w:type="dxa"/>
            <w:shd w:val="clear" w:color="auto" w:fill="auto"/>
            <w:tcMar>
              <w:top w:w="100" w:type="dxa"/>
              <w:left w:w="100" w:type="dxa"/>
              <w:bottom w:w="100" w:type="dxa"/>
              <w:right w:w="100" w:type="dxa"/>
            </w:tcMar>
          </w:tcPr>
          <w:p w14:paraId="5443DF51" w14:textId="77777777" w:rsidR="00032304" w:rsidRPr="00C14D16" w:rsidRDefault="00032304" w:rsidP="00221CD1">
            <w:pPr>
              <w:widowControl w:val="0"/>
              <w:spacing w:line="240" w:lineRule="auto"/>
              <w:rPr>
                <w:rFonts w:ascii="Times New Roman" w:eastAsia="Times New Roman" w:hAnsi="Times New Roman" w:cs="Times New Roman"/>
                <w:i/>
                <w:sz w:val="24"/>
                <w:szCs w:val="24"/>
              </w:rPr>
            </w:pPr>
            <w:r w:rsidRPr="00C14D16">
              <w:rPr>
                <w:rFonts w:ascii="Times New Roman" w:eastAsia="Times New Roman" w:hAnsi="Times New Roman" w:cs="Times New Roman"/>
                <w:i/>
                <w:sz w:val="24"/>
                <w:szCs w:val="24"/>
              </w:rPr>
              <w:t xml:space="preserve">Moringa oleifera </w:t>
            </w:r>
          </w:p>
        </w:tc>
        <w:tc>
          <w:tcPr>
            <w:tcW w:w="3120" w:type="dxa"/>
            <w:shd w:val="clear" w:color="auto" w:fill="auto"/>
            <w:tcMar>
              <w:top w:w="100" w:type="dxa"/>
              <w:left w:w="100" w:type="dxa"/>
              <w:bottom w:w="100" w:type="dxa"/>
              <w:right w:w="100" w:type="dxa"/>
            </w:tcMar>
          </w:tcPr>
          <w:p w14:paraId="4ADB1B2A" w14:textId="77777777" w:rsidR="00032304" w:rsidRPr="00C14D16" w:rsidRDefault="00032304" w:rsidP="00221CD1">
            <w:pPr>
              <w:widowControl w:val="0"/>
              <w:spacing w:line="240" w:lineRule="auto"/>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 xml:space="preserve">Moringaceae </w:t>
            </w:r>
          </w:p>
        </w:tc>
      </w:tr>
      <w:tr w:rsidR="00032304" w:rsidRPr="00C14D16" w14:paraId="77EFD750" w14:textId="77777777" w:rsidTr="00221CD1">
        <w:tc>
          <w:tcPr>
            <w:tcW w:w="3120" w:type="dxa"/>
            <w:shd w:val="clear" w:color="auto" w:fill="auto"/>
            <w:tcMar>
              <w:top w:w="100" w:type="dxa"/>
              <w:left w:w="100" w:type="dxa"/>
              <w:bottom w:w="100" w:type="dxa"/>
              <w:right w:w="100" w:type="dxa"/>
            </w:tcMar>
          </w:tcPr>
          <w:p w14:paraId="76747502" w14:textId="77777777" w:rsidR="00032304" w:rsidRPr="00C14D16" w:rsidRDefault="00032304" w:rsidP="00221CD1">
            <w:pPr>
              <w:widowControl w:val="0"/>
              <w:spacing w:line="240" w:lineRule="auto"/>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Muntingia</w:t>
            </w:r>
          </w:p>
        </w:tc>
        <w:tc>
          <w:tcPr>
            <w:tcW w:w="3120" w:type="dxa"/>
            <w:shd w:val="clear" w:color="auto" w:fill="auto"/>
            <w:tcMar>
              <w:top w:w="100" w:type="dxa"/>
              <w:left w:w="100" w:type="dxa"/>
              <w:bottom w:w="100" w:type="dxa"/>
              <w:right w:w="100" w:type="dxa"/>
            </w:tcMar>
          </w:tcPr>
          <w:p w14:paraId="6CB9D5B8" w14:textId="77777777" w:rsidR="00032304" w:rsidRPr="00C14D16" w:rsidRDefault="00032304" w:rsidP="00221CD1">
            <w:pPr>
              <w:widowControl w:val="0"/>
              <w:spacing w:line="240" w:lineRule="auto"/>
              <w:rPr>
                <w:rFonts w:ascii="Times New Roman" w:eastAsia="Times New Roman" w:hAnsi="Times New Roman" w:cs="Times New Roman"/>
                <w:i/>
                <w:sz w:val="24"/>
                <w:szCs w:val="24"/>
              </w:rPr>
            </w:pPr>
            <w:r w:rsidRPr="00C14D16">
              <w:rPr>
                <w:rFonts w:ascii="Times New Roman" w:eastAsia="Times New Roman" w:hAnsi="Times New Roman" w:cs="Times New Roman"/>
                <w:i/>
                <w:sz w:val="24"/>
                <w:szCs w:val="24"/>
              </w:rPr>
              <w:t>Muntingia calabura</w:t>
            </w:r>
          </w:p>
        </w:tc>
        <w:tc>
          <w:tcPr>
            <w:tcW w:w="3120" w:type="dxa"/>
            <w:shd w:val="clear" w:color="auto" w:fill="auto"/>
            <w:tcMar>
              <w:top w:w="100" w:type="dxa"/>
              <w:left w:w="100" w:type="dxa"/>
              <w:bottom w:w="100" w:type="dxa"/>
              <w:right w:w="100" w:type="dxa"/>
            </w:tcMar>
          </w:tcPr>
          <w:p w14:paraId="3048E7C2" w14:textId="77777777" w:rsidR="00032304" w:rsidRPr="00C14D16" w:rsidRDefault="00032304" w:rsidP="00221CD1">
            <w:pPr>
              <w:widowControl w:val="0"/>
              <w:spacing w:line="240" w:lineRule="auto"/>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Muntingiaceae</w:t>
            </w:r>
          </w:p>
        </w:tc>
      </w:tr>
      <w:tr w:rsidR="00032304" w:rsidRPr="00C14D16" w14:paraId="11F1829C" w14:textId="77777777" w:rsidTr="00221CD1">
        <w:tc>
          <w:tcPr>
            <w:tcW w:w="3120" w:type="dxa"/>
            <w:shd w:val="clear" w:color="auto" w:fill="auto"/>
            <w:tcMar>
              <w:top w:w="100" w:type="dxa"/>
              <w:left w:w="100" w:type="dxa"/>
              <w:bottom w:w="100" w:type="dxa"/>
              <w:right w:w="100" w:type="dxa"/>
            </w:tcMar>
          </w:tcPr>
          <w:p w14:paraId="47241019" w14:textId="77777777" w:rsidR="00032304" w:rsidRPr="00C14D16" w:rsidRDefault="00032304" w:rsidP="00221CD1">
            <w:pPr>
              <w:widowControl w:val="0"/>
              <w:spacing w:line="240" w:lineRule="auto"/>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Grumichama</w:t>
            </w:r>
          </w:p>
        </w:tc>
        <w:tc>
          <w:tcPr>
            <w:tcW w:w="3120" w:type="dxa"/>
            <w:shd w:val="clear" w:color="auto" w:fill="auto"/>
            <w:tcMar>
              <w:top w:w="100" w:type="dxa"/>
              <w:left w:w="100" w:type="dxa"/>
              <w:bottom w:w="100" w:type="dxa"/>
              <w:right w:w="100" w:type="dxa"/>
            </w:tcMar>
          </w:tcPr>
          <w:p w14:paraId="4D8A689F" w14:textId="77777777" w:rsidR="00032304" w:rsidRPr="00C14D16" w:rsidRDefault="00032304" w:rsidP="00221CD1">
            <w:pPr>
              <w:widowControl w:val="0"/>
              <w:spacing w:line="240" w:lineRule="auto"/>
              <w:rPr>
                <w:rFonts w:ascii="Times New Roman" w:eastAsia="Times New Roman" w:hAnsi="Times New Roman" w:cs="Times New Roman"/>
                <w:i/>
                <w:sz w:val="24"/>
                <w:szCs w:val="24"/>
              </w:rPr>
            </w:pPr>
            <w:r w:rsidRPr="00C14D16">
              <w:rPr>
                <w:rFonts w:ascii="Times New Roman" w:eastAsia="Times New Roman" w:hAnsi="Times New Roman" w:cs="Times New Roman"/>
                <w:i/>
                <w:sz w:val="24"/>
                <w:szCs w:val="24"/>
              </w:rPr>
              <w:t xml:space="preserve">Eugenia brasilienensis </w:t>
            </w:r>
          </w:p>
        </w:tc>
        <w:tc>
          <w:tcPr>
            <w:tcW w:w="3120" w:type="dxa"/>
            <w:shd w:val="clear" w:color="auto" w:fill="auto"/>
            <w:tcMar>
              <w:top w:w="100" w:type="dxa"/>
              <w:left w:w="100" w:type="dxa"/>
              <w:bottom w:w="100" w:type="dxa"/>
              <w:right w:w="100" w:type="dxa"/>
            </w:tcMar>
          </w:tcPr>
          <w:p w14:paraId="51DC77EC" w14:textId="77777777" w:rsidR="00032304" w:rsidRPr="00C14D16" w:rsidRDefault="00032304" w:rsidP="00221CD1">
            <w:pPr>
              <w:widowControl w:val="0"/>
              <w:spacing w:line="240" w:lineRule="auto"/>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Myrtaceae</w:t>
            </w:r>
          </w:p>
        </w:tc>
      </w:tr>
      <w:tr w:rsidR="00032304" w:rsidRPr="00C14D16" w14:paraId="59E2E68B" w14:textId="77777777" w:rsidTr="00221CD1">
        <w:tc>
          <w:tcPr>
            <w:tcW w:w="3120" w:type="dxa"/>
            <w:shd w:val="clear" w:color="auto" w:fill="auto"/>
            <w:tcMar>
              <w:top w:w="100" w:type="dxa"/>
              <w:left w:w="100" w:type="dxa"/>
              <w:bottom w:w="100" w:type="dxa"/>
              <w:right w:w="100" w:type="dxa"/>
            </w:tcMar>
          </w:tcPr>
          <w:p w14:paraId="792C6765" w14:textId="77777777" w:rsidR="00032304" w:rsidRPr="00C14D16" w:rsidRDefault="00032304" w:rsidP="00221CD1">
            <w:pPr>
              <w:widowControl w:val="0"/>
              <w:spacing w:line="240" w:lineRule="auto"/>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Allspice</w:t>
            </w:r>
          </w:p>
        </w:tc>
        <w:tc>
          <w:tcPr>
            <w:tcW w:w="3120" w:type="dxa"/>
            <w:shd w:val="clear" w:color="auto" w:fill="auto"/>
            <w:tcMar>
              <w:top w:w="100" w:type="dxa"/>
              <w:left w:w="100" w:type="dxa"/>
              <w:bottom w:w="100" w:type="dxa"/>
              <w:right w:w="100" w:type="dxa"/>
            </w:tcMar>
          </w:tcPr>
          <w:p w14:paraId="37878DE5" w14:textId="77777777" w:rsidR="00032304" w:rsidRPr="00C14D16" w:rsidRDefault="00032304" w:rsidP="00221CD1">
            <w:pPr>
              <w:widowControl w:val="0"/>
              <w:spacing w:line="240" w:lineRule="auto"/>
              <w:rPr>
                <w:rFonts w:ascii="Times New Roman" w:eastAsia="Times New Roman" w:hAnsi="Times New Roman" w:cs="Times New Roman"/>
                <w:i/>
                <w:sz w:val="24"/>
                <w:szCs w:val="24"/>
              </w:rPr>
            </w:pPr>
            <w:r w:rsidRPr="00C14D16">
              <w:rPr>
                <w:rFonts w:ascii="Times New Roman" w:eastAsia="Times New Roman" w:hAnsi="Times New Roman" w:cs="Times New Roman"/>
                <w:i/>
                <w:sz w:val="24"/>
                <w:szCs w:val="24"/>
              </w:rPr>
              <w:t>Pimenta dioica</w:t>
            </w:r>
          </w:p>
        </w:tc>
        <w:tc>
          <w:tcPr>
            <w:tcW w:w="3120" w:type="dxa"/>
            <w:shd w:val="clear" w:color="auto" w:fill="auto"/>
            <w:tcMar>
              <w:top w:w="100" w:type="dxa"/>
              <w:left w:w="100" w:type="dxa"/>
              <w:bottom w:w="100" w:type="dxa"/>
              <w:right w:w="100" w:type="dxa"/>
            </w:tcMar>
          </w:tcPr>
          <w:p w14:paraId="665B5BF0" w14:textId="77777777" w:rsidR="00032304" w:rsidRPr="00C14D16" w:rsidRDefault="00032304" w:rsidP="00221CD1">
            <w:pPr>
              <w:widowControl w:val="0"/>
              <w:spacing w:line="240" w:lineRule="auto"/>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Myrtaceae</w:t>
            </w:r>
          </w:p>
        </w:tc>
      </w:tr>
      <w:tr w:rsidR="00032304" w:rsidRPr="00C14D16" w14:paraId="37B93684" w14:textId="77777777" w:rsidTr="00221CD1">
        <w:tc>
          <w:tcPr>
            <w:tcW w:w="3120" w:type="dxa"/>
            <w:shd w:val="clear" w:color="auto" w:fill="auto"/>
            <w:tcMar>
              <w:top w:w="100" w:type="dxa"/>
              <w:left w:w="100" w:type="dxa"/>
              <w:bottom w:w="100" w:type="dxa"/>
              <w:right w:w="100" w:type="dxa"/>
            </w:tcMar>
          </w:tcPr>
          <w:p w14:paraId="70B352F6" w14:textId="77777777" w:rsidR="00032304" w:rsidRPr="00C14D16" w:rsidRDefault="00032304" w:rsidP="00221CD1">
            <w:pPr>
              <w:widowControl w:val="0"/>
              <w:spacing w:line="240" w:lineRule="auto"/>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Guava</w:t>
            </w:r>
          </w:p>
        </w:tc>
        <w:tc>
          <w:tcPr>
            <w:tcW w:w="3120" w:type="dxa"/>
            <w:shd w:val="clear" w:color="auto" w:fill="auto"/>
            <w:tcMar>
              <w:top w:w="100" w:type="dxa"/>
              <w:left w:w="100" w:type="dxa"/>
              <w:bottom w:w="100" w:type="dxa"/>
              <w:right w:w="100" w:type="dxa"/>
            </w:tcMar>
          </w:tcPr>
          <w:p w14:paraId="2A8299DC" w14:textId="77777777" w:rsidR="00032304" w:rsidRPr="00C14D16" w:rsidRDefault="00032304" w:rsidP="00221CD1">
            <w:pPr>
              <w:widowControl w:val="0"/>
              <w:spacing w:line="240" w:lineRule="auto"/>
              <w:rPr>
                <w:rFonts w:ascii="Times New Roman" w:eastAsia="Times New Roman" w:hAnsi="Times New Roman" w:cs="Times New Roman"/>
                <w:i/>
                <w:sz w:val="24"/>
                <w:szCs w:val="24"/>
              </w:rPr>
            </w:pPr>
            <w:r w:rsidRPr="00C14D16">
              <w:rPr>
                <w:rFonts w:ascii="Times New Roman" w:eastAsia="Times New Roman" w:hAnsi="Times New Roman" w:cs="Times New Roman"/>
                <w:i/>
                <w:sz w:val="24"/>
                <w:szCs w:val="24"/>
              </w:rPr>
              <w:t>Psidium guajava</w:t>
            </w:r>
          </w:p>
        </w:tc>
        <w:tc>
          <w:tcPr>
            <w:tcW w:w="3120" w:type="dxa"/>
            <w:shd w:val="clear" w:color="auto" w:fill="auto"/>
            <w:tcMar>
              <w:top w:w="100" w:type="dxa"/>
              <w:left w:w="100" w:type="dxa"/>
              <w:bottom w:w="100" w:type="dxa"/>
              <w:right w:w="100" w:type="dxa"/>
            </w:tcMar>
          </w:tcPr>
          <w:p w14:paraId="6F555560" w14:textId="77777777" w:rsidR="00032304" w:rsidRPr="00C14D16" w:rsidRDefault="00032304" w:rsidP="00221CD1">
            <w:pPr>
              <w:widowControl w:val="0"/>
              <w:spacing w:line="240" w:lineRule="auto"/>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Myrtaceae</w:t>
            </w:r>
          </w:p>
        </w:tc>
      </w:tr>
      <w:tr w:rsidR="00032304" w:rsidRPr="00C14D16" w14:paraId="6C5949A4" w14:textId="77777777" w:rsidTr="00221CD1">
        <w:tc>
          <w:tcPr>
            <w:tcW w:w="3120" w:type="dxa"/>
            <w:shd w:val="clear" w:color="auto" w:fill="auto"/>
            <w:tcMar>
              <w:top w:w="100" w:type="dxa"/>
              <w:left w:w="100" w:type="dxa"/>
              <w:bottom w:w="100" w:type="dxa"/>
              <w:right w:w="100" w:type="dxa"/>
            </w:tcMar>
          </w:tcPr>
          <w:p w14:paraId="576D3C7F" w14:textId="77777777" w:rsidR="00032304" w:rsidRPr="00C14D16" w:rsidRDefault="00032304" w:rsidP="00221CD1">
            <w:pPr>
              <w:widowControl w:val="0"/>
              <w:spacing w:line="240" w:lineRule="auto"/>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 xml:space="preserve">Starfruit </w:t>
            </w:r>
          </w:p>
        </w:tc>
        <w:tc>
          <w:tcPr>
            <w:tcW w:w="3120" w:type="dxa"/>
            <w:shd w:val="clear" w:color="auto" w:fill="auto"/>
            <w:tcMar>
              <w:top w:w="100" w:type="dxa"/>
              <w:left w:w="100" w:type="dxa"/>
              <w:bottom w:w="100" w:type="dxa"/>
              <w:right w:w="100" w:type="dxa"/>
            </w:tcMar>
          </w:tcPr>
          <w:p w14:paraId="14B6A61C" w14:textId="77777777" w:rsidR="00032304" w:rsidRPr="00C14D16" w:rsidRDefault="00032304" w:rsidP="00221CD1">
            <w:pPr>
              <w:widowControl w:val="0"/>
              <w:spacing w:line="240" w:lineRule="auto"/>
              <w:rPr>
                <w:rFonts w:ascii="Times New Roman" w:eastAsia="Times New Roman" w:hAnsi="Times New Roman" w:cs="Times New Roman"/>
                <w:i/>
                <w:sz w:val="24"/>
                <w:szCs w:val="24"/>
              </w:rPr>
            </w:pPr>
            <w:r w:rsidRPr="00C14D16">
              <w:rPr>
                <w:rFonts w:ascii="Times New Roman" w:eastAsia="Times New Roman" w:hAnsi="Times New Roman" w:cs="Times New Roman"/>
                <w:i/>
                <w:sz w:val="24"/>
                <w:szCs w:val="24"/>
              </w:rPr>
              <w:t>Averrhoa carambola</w:t>
            </w:r>
          </w:p>
        </w:tc>
        <w:tc>
          <w:tcPr>
            <w:tcW w:w="3120" w:type="dxa"/>
            <w:shd w:val="clear" w:color="auto" w:fill="auto"/>
            <w:tcMar>
              <w:top w:w="100" w:type="dxa"/>
              <w:left w:w="100" w:type="dxa"/>
              <w:bottom w:w="100" w:type="dxa"/>
              <w:right w:w="100" w:type="dxa"/>
            </w:tcMar>
          </w:tcPr>
          <w:p w14:paraId="3E0F4F12" w14:textId="77777777" w:rsidR="00032304" w:rsidRPr="00C14D16" w:rsidRDefault="00032304" w:rsidP="00221CD1">
            <w:pPr>
              <w:widowControl w:val="0"/>
              <w:spacing w:line="240" w:lineRule="auto"/>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Oxalidaceae</w:t>
            </w:r>
          </w:p>
        </w:tc>
      </w:tr>
      <w:tr w:rsidR="00032304" w:rsidRPr="00C14D16" w14:paraId="2CAABF7C" w14:textId="77777777" w:rsidTr="00221CD1">
        <w:tc>
          <w:tcPr>
            <w:tcW w:w="3120" w:type="dxa"/>
            <w:shd w:val="clear" w:color="auto" w:fill="auto"/>
            <w:tcMar>
              <w:top w:w="100" w:type="dxa"/>
              <w:left w:w="100" w:type="dxa"/>
              <w:bottom w:w="100" w:type="dxa"/>
              <w:right w:w="100" w:type="dxa"/>
            </w:tcMar>
          </w:tcPr>
          <w:p w14:paraId="386B0C31" w14:textId="77777777" w:rsidR="00032304" w:rsidRPr="00C14D16" w:rsidRDefault="00032304" w:rsidP="00221CD1">
            <w:pPr>
              <w:widowControl w:val="0"/>
              <w:spacing w:line="240" w:lineRule="auto"/>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Loquat</w:t>
            </w:r>
          </w:p>
        </w:tc>
        <w:tc>
          <w:tcPr>
            <w:tcW w:w="3120" w:type="dxa"/>
            <w:shd w:val="clear" w:color="auto" w:fill="auto"/>
            <w:tcMar>
              <w:top w:w="100" w:type="dxa"/>
              <w:left w:w="100" w:type="dxa"/>
              <w:bottom w:w="100" w:type="dxa"/>
              <w:right w:w="100" w:type="dxa"/>
            </w:tcMar>
          </w:tcPr>
          <w:p w14:paraId="7DBF9820" w14:textId="77777777" w:rsidR="00032304" w:rsidRPr="00C14D16" w:rsidRDefault="00032304" w:rsidP="00221CD1">
            <w:pPr>
              <w:widowControl w:val="0"/>
              <w:spacing w:line="240" w:lineRule="auto"/>
              <w:rPr>
                <w:rFonts w:ascii="Times New Roman" w:eastAsia="Times New Roman" w:hAnsi="Times New Roman" w:cs="Times New Roman"/>
                <w:i/>
                <w:sz w:val="24"/>
                <w:szCs w:val="24"/>
              </w:rPr>
            </w:pPr>
            <w:r w:rsidRPr="00C14D16">
              <w:rPr>
                <w:rFonts w:ascii="Times New Roman" w:eastAsia="Times New Roman" w:hAnsi="Times New Roman" w:cs="Times New Roman"/>
                <w:i/>
                <w:sz w:val="24"/>
                <w:szCs w:val="24"/>
              </w:rPr>
              <w:t>Eriobotrya japonica</w:t>
            </w:r>
          </w:p>
        </w:tc>
        <w:tc>
          <w:tcPr>
            <w:tcW w:w="3120" w:type="dxa"/>
            <w:shd w:val="clear" w:color="auto" w:fill="auto"/>
            <w:tcMar>
              <w:top w:w="100" w:type="dxa"/>
              <w:left w:w="100" w:type="dxa"/>
              <w:bottom w:w="100" w:type="dxa"/>
              <w:right w:w="100" w:type="dxa"/>
            </w:tcMar>
          </w:tcPr>
          <w:p w14:paraId="3A3C0C25" w14:textId="77777777" w:rsidR="00032304" w:rsidRPr="00C14D16" w:rsidRDefault="00032304" w:rsidP="00221CD1">
            <w:pPr>
              <w:widowControl w:val="0"/>
              <w:spacing w:line="240" w:lineRule="auto"/>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Rosaceae</w:t>
            </w:r>
          </w:p>
        </w:tc>
      </w:tr>
      <w:tr w:rsidR="00032304" w:rsidRPr="00C14D16" w14:paraId="396BE1A0" w14:textId="77777777" w:rsidTr="00221CD1">
        <w:tc>
          <w:tcPr>
            <w:tcW w:w="3120" w:type="dxa"/>
            <w:shd w:val="clear" w:color="auto" w:fill="auto"/>
            <w:tcMar>
              <w:top w:w="100" w:type="dxa"/>
              <w:left w:w="100" w:type="dxa"/>
              <w:bottom w:w="100" w:type="dxa"/>
              <w:right w:w="100" w:type="dxa"/>
            </w:tcMar>
          </w:tcPr>
          <w:p w14:paraId="2D80BBEF" w14:textId="77777777" w:rsidR="00032304" w:rsidRPr="00C14D16" w:rsidRDefault="00032304" w:rsidP="00221CD1">
            <w:pPr>
              <w:widowControl w:val="0"/>
              <w:spacing w:line="240" w:lineRule="auto"/>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Peach</w:t>
            </w:r>
          </w:p>
        </w:tc>
        <w:tc>
          <w:tcPr>
            <w:tcW w:w="3120" w:type="dxa"/>
            <w:shd w:val="clear" w:color="auto" w:fill="auto"/>
            <w:tcMar>
              <w:top w:w="100" w:type="dxa"/>
              <w:left w:w="100" w:type="dxa"/>
              <w:bottom w:w="100" w:type="dxa"/>
              <w:right w:w="100" w:type="dxa"/>
            </w:tcMar>
          </w:tcPr>
          <w:p w14:paraId="3EB68908" w14:textId="77777777" w:rsidR="00032304" w:rsidRPr="00C14D16" w:rsidRDefault="00032304" w:rsidP="00221CD1">
            <w:pPr>
              <w:widowControl w:val="0"/>
              <w:spacing w:line="240" w:lineRule="auto"/>
              <w:rPr>
                <w:rFonts w:ascii="Times New Roman" w:eastAsia="Times New Roman" w:hAnsi="Times New Roman" w:cs="Times New Roman"/>
                <w:i/>
                <w:sz w:val="24"/>
                <w:szCs w:val="24"/>
              </w:rPr>
            </w:pPr>
            <w:r w:rsidRPr="00C14D16">
              <w:rPr>
                <w:rFonts w:ascii="Times New Roman" w:eastAsia="Times New Roman" w:hAnsi="Times New Roman" w:cs="Times New Roman"/>
                <w:i/>
                <w:sz w:val="24"/>
                <w:szCs w:val="24"/>
              </w:rPr>
              <w:t>Prunus persica</w:t>
            </w:r>
          </w:p>
        </w:tc>
        <w:tc>
          <w:tcPr>
            <w:tcW w:w="3120" w:type="dxa"/>
            <w:shd w:val="clear" w:color="auto" w:fill="auto"/>
            <w:tcMar>
              <w:top w:w="100" w:type="dxa"/>
              <w:left w:w="100" w:type="dxa"/>
              <w:bottom w:w="100" w:type="dxa"/>
              <w:right w:w="100" w:type="dxa"/>
            </w:tcMar>
          </w:tcPr>
          <w:p w14:paraId="7BB3BD23" w14:textId="77777777" w:rsidR="00032304" w:rsidRPr="00C14D16" w:rsidRDefault="00032304" w:rsidP="00221CD1">
            <w:pPr>
              <w:widowControl w:val="0"/>
              <w:spacing w:line="240" w:lineRule="auto"/>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Rosaceae</w:t>
            </w:r>
          </w:p>
        </w:tc>
      </w:tr>
      <w:tr w:rsidR="00032304" w:rsidRPr="00C14D16" w14:paraId="3D279781" w14:textId="77777777" w:rsidTr="00221CD1">
        <w:tc>
          <w:tcPr>
            <w:tcW w:w="3120" w:type="dxa"/>
            <w:shd w:val="clear" w:color="auto" w:fill="auto"/>
            <w:tcMar>
              <w:top w:w="100" w:type="dxa"/>
              <w:left w:w="100" w:type="dxa"/>
              <w:bottom w:w="100" w:type="dxa"/>
              <w:right w:w="100" w:type="dxa"/>
            </w:tcMar>
          </w:tcPr>
          <w:p w14:paraId="7ABB7EFA" w14:textId="77777777" w:rsidR="00032304" w:rsidRPr="00C14D16" w:rsidRDefault="00032304" w:rsidP="00221CD1">
            <w:pPr>
              <w:widowControl w:val="0"/>
              <w:spacing w:line="240" w:lineRule="auto"/>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White Sapote</w:t>
            </w:r>
          </w:p>
        </w:tc>
        <w:tc>
          <w:tcPr>
            <w:tcW w:w="3120" w:type="dxa"/>
            <w:shd w:val="clear" w:color="auto" w:fill="auto"/>
            <w:tcMar>
              <w:top w:w="100" w:type="dxa"/>
              <w:left w:w="100" w:type="dxa"/>
              <w:bottom w:w="100" w:type="dxa"/>
              <w:right w:w="100" w:type="dxa"/>
            </w:tcMar>
          </w:tcPr>
          <w:p w14:paraId="06034472" w14:textId="77777777" w:rsidR="00032304" w:rsidRPr="00C14D16" w:rsidRDefault="00032304" w:rsidP="00221CD1">
            <w:pPr>
              <w:widowControl w:val="0"/>
              <w:spacing w:line="240" w:lineRule="auto"/>
              <w:rPr>
                <w:rFonts w:ascii="Times New Roman" w:eastAsia="Times New Roman" w:hAnsi="Times New Roman" w:cs="Times New Roman"/>
                <w:i/>
                <w:sz w:val="24"/>
                <w:szCs w:val="24"/>
              </w:rPr>
            </w:pPr>
            <w:r w:rsidRPr="00C14D16">
              <w:rPr>
                <w:rFonts w:ascii="Times New Roman" w:eastAsia="Times New Roman" w:hAnsi="Times New Roman" w:cs="Times New Roman"/>
                <w:i/>
                <w:sz w:val="24"/>
                <w:szCs w:val="24"/>
              </w:rPr>
              <w:t>Casimiroa edulis</w:t>
            </w:r>
          </w:p>
        </w:tc>
        <w:tc>
          <w:tcPr>
            <w:tcW w:w="3120" w:type="dxa"/>
            <w:shd w:val="clear" w:color="auto" w:fill="auto"/>
            <w:tcMar>
              <w:top w:w="100" w:type="dxa"/>
              <w:left w:w="100" w:type="dxa"/>
              <w:bottom w:w="100" w:type="dxa"/>
              <w:right w:w="100" w:type="dxa"/>
            </w:tcMar>
          </w:tcPr>
          <w:p w14:paraId="46657433" w14:textId="77777777" w:rsidR="00032304" w:rsidRPr="00C14D16" w:rsidRDefault="00032304" w:rsidP="00221CD1">
            <w:pPr>
              <w:widowControl w:val="0"/>
              <w:spacing w:line="240" w:lineRule="auto"/>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Rutaceae</w:t>
            </w:r>
          </w:p>
        </w:tc>
      </w:tr>
      <w:tr w:rsidR="00032304" w:rsidRPr="00C14D16" w14:paraId="09A9B2F0" w14:textId="77777777" w:rsidTr="00221CD1">
        <w:tc>
          <w:tcPr>
            <w:tcW w:w="3120" w:type="dxa"/>
            <w:shd w:val="clear" w:color="auto" w:fill="auto"/>
            <w:tcMar>
              <w:top w:w="100" w:type="dxa"/>
              <w:left w:w="100" w:type="dxa"/>
              <w:bottom w:w="100" w:type="dxa"/>
              <w:right w:w="100" w:type="dxa"/>
            </w:tcMar>
          </w:tcPr>
          <w:p w14:paraId="32EBF493" w14:textId="77777777" w:rsidR="00032304" w:rsidRPr="00C14D16" w:rsidRDefault="00032304" w:rsidP="00221CD1">
            <w:pPr>
              <w:widowControl w:val="0"/>
              <w:spacing w:line="240" w:lineRule="auto"/>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Citrus</w:t>
            </w:r>
          </w:p>
        </w:tc>
        <w:tc>
          <w:tcPr>
            <w:tcW w:w="3120" w:type="dxa"/>
            <w:shd w:val="clear" w:color="auto" w:fill="auto"/>
            <w:tcMar>
              <w:top w:w="100" w:type="dxa"/>
              <w:left w:w="100" w:type="dxa"/>
              <w:bottom w:w="100" w:type="dxa"/>
              <w:right w:w="100" w:type="dxa"/>
            </w:tcMar>
          </w:tcPr>
          <w:p w14:paraId="21127489" w14:textId="77777777" w:rsidR="00032304" w:rsidRPr="00C14D16" w:rsidRDefault="00032304" w:rsidP="00221CD1">
            <w:pPr>
              <w:widowControl w:val="0"/>
              <w:spacing w:line="240" w:lineRule="auto"/>
              <w:rPr>
                <w:rFonts w:ascii="Times New Roman" w:eastAsia="Times New Roman" w:hAnsi="Times New Roman" w:cs="Times New Roman"/>
                <w:i/>
                <w:sz w:val="24"/>
                <w:szCs w:val="24"/>
              </w:rPr>
            </w:pPr>
            <w:r w:rsidRPr="00C14D16">
              <w:rPr>
                <w:rFonts w:ascii="Times New Roman" w:eastAsia="Times New Roman" w:hAnsi="Times New Roman" w:cs="Times New Roman"/>
                <w:i/>
                <w:sz w:val="24"/>
                <w:szCs w:val="24"/>
              </w:rPr>
              <w:t>Citrus spp.</w:t>
            </w:r>
          </w:p>
        </w:tc>
        <w:tc>
          <w:tcPr>
            <w:tcW w:w="3120" w:type="dxa"/>
            <w:shd w:val="clear" w:color="auto" w:fill="auto"/>
            <w:tcMar>
              <w:top w:w="100" w:type="dxa"/>
              <w:left w:w="100" w:type="dxa"/>
              <w:bottom w:w="100" w:type="dxa"/>
              <w:right w:w="100" w:type="dxa"/>
            </w:tcMar>
          </w:tcPr>
          <w:p w14:paraId="5C0D6A09" w14:textId="77777777" w:rsidR="00032304" w:rsidRPr="00C14D16" w:rsidRDefault="00032304" w:rsidP="00221CD1">
            <w:pPr>
              <w:widowControl w:val="0"/>
              <w:spacing w:line="240" w:lineRule="auto"/>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Rutaceae</w:t>
            </w:r>
          </w:p>
        </w:tc>
      </w:tr>
      <w:tr w:rsidR="00032304" w:rsidRPr="00C14D16" w14:paraId="5D0708DB" w14:textId="77777777" w:rsidTr="00221CD1">
        <w:tc>
          <w:tcPr>
            <w:tcW w:w="3120" w:type="dxa"/>
            <w:shd w:val="clear" w:color="auto" w:fill="auto"/>
            <w:tcMar>
              <w:top w:w="100" w:type="dxa"/>
              <w:left w:w="100" w:type="dxa"/>
              <w:bottom w:w="100" w:type="dxa"/>
              <w:right w:w="100" w:type="dxa"/>
            </w:tcMar>
          </w:tcPr>
          <w:p w14:paraId="4E426898" w14:textId="77777777" w:rsidR="00032304" w:rsidRPr="00C14D16" w:rsidRDefault="00032304" w:rsidP="00221CD1">
            <w:pPr>
              <w:widowControl w:val="0"/>
              <w:spacing w:line="240" w:lineRule="auto"/>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Longan</w:t>
            </w:r>
          </w:p>
        </w:tc>
        <w:tc>
          <w:tcPr>
            <w:tcW w:w="3120" w:type="dxa"/>
            <w:shd w:val="clear" w:color="auto" w:fill="auto"/>
            <w:tcMar>
              <w:top w:w="100" w:type="dxa"/>
              <w:left w:w="100" w:type="dxa"/>
              <w:bottom w:w="100" w:type="dxa"/>
              <w:right w:w="100" w:type="dxa"/>
            </w:tcMar>
          </w:tcPr>
          <w:p w14:paraId="64B36D07" w14:textId="77777777" w:rsidR="00032304" w:rsidRPr="00C14D16" w:rsidRDefault="00032304" w:rsidP="00221CD1">
            <w:pPr>
              <w:widowControl w:val="0"/>
              <w:spacing w:line="240" w:lineRule="auto"/>
              <w:rPr>
                <w:rFonts w:ascii="Times New Roman" w:eastAsia="Times New Roman" w:hAnsi="Times New Roman" w:cs="Times New Roman"/>
                <w:i/>
                <w:sz w:val="24"/>
                <w:szCs w:val="24"/>
              </w:rPr>
            </w:pPr>
            <w:r w:rsidRPr="00C14D16">
              <w:rPr>
                <w:rFonts w:ascii="Times New Roman" w:eastAsia="Times New Roman" w:hAnsi="Times New Roman" w:cs="Times New Roman"/>
                <w:i/>
                <w:sz w:val="24"/>
                <w:szCs w:val="24"/>
              </w:rPr>
              <w:t>Dimocarpus longan</w:t>
            </w:r>
          </w:p>
        </w:tc>
        <w:tc>
          <w:tcPr>
            <w:tcW w:w="3120" w:type="dxa"/>
            <w:shd w:val="clear" w:color="auto" w:fill="auto"/>
            <w:tcMar>
              <w:top w:w="100" w:type="dxa"/>
              <w:left w:w="100" w:type="dxa"/>
              <w:bottom w:w="100" w:type="dxa"/>
              <w:right w:w="100" w:type="dxa"/>
            </w:tcMar>
          </w:tcPr>
          <w:p w14:paraId="526A8F44" w14:textId="77777777" w:rsidR="00032304" w:rsidRPr="00C14D16" w:rsidRDefault="00032304" w:rsidP="00221CD1">
            <w:pPr>
              <w:widowControl w:val="0"/>
              <w:spacing w:line="240" w:lineRule="auto"/>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Sapindaceae</w:t>
            </w:r>
          </w:p>
        </w:tc>
      </w:tr>
      <w:tr w:rsidR="00032304" w:rsidRPr="00C14D16" w14:paraId="4ACB42F9" w14:textId="77777777" w:rsidTr="00221CD1">
        <w:tc>
          <w:tcPr>
            <w:tcW w:w="3120" w:type="dxa"/>
            <w:shd w:val="clear" w:color="auto" w:fill="auto"/>
            <w:tcMar>
              <w:top w:w="100" w:type="dxa"/>
              <w:left w:w="100" w:type="dxa"/>
              <w:bottom w:w="100" w:type="dxa"/>
              <w:right w:w="100" w:type="dxa"/>
            </w:tcMar>
          </w:tcPr>
          <w:p w14:paraId="71EB9BA3" w14:textId="77777777" w:rsidR="00032304" w:rsidRPr="00C14D16" w:rsidRDefault="00032304" w:rsidP="00221CD1">
            <w:pPr>
              <w:widowControl w:val="0"/>
              <w:spacing w:line="240" w:lineRule="auto"/>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Lychee</w:t>
            </w:r>
          </w:p>
        </w:tc>
        <w:tc>
          <w:tcPr>
            <w:tcW w:w="3120" w:type="dxa"/>
            <w:shd w:val="clear" w:color="auto" w:fill="auto"/>
            <w:tcMar>
              <w:top w:w="100" w:type="dxa"/>
              <w:left w:w="100" w:type="dxa"/>
              <w:bottom w:w="100" w:type="dxa"/>
              <w:right w:w="100" w:type="dxa"/>
            </w:tcMar>
          </w:tcPr>
          <w:p w14:paraId="76BEB37F" w14:textId="77777777" w:rsidR="00032304" w:rsidRPr="00C14D16" w:rsidRDefault="00032304" w:rsidP="00221CD1">
            <w:pPr>
              <w:widowControl w:val="0"/>
              <w:spacing w:line="240" w:lineRule="auto"/>
              <w:rPr>
                <w:rFonts w:ascii="Times New Roman" w:eastAsia="Times New Roman" w:hAnsi="Times New Roman" w:cs="Times New Roman"/>
                <w:i/>
                <w:sz w:val="24"/>
                <w:szCs w:val="24"/>
              </w:rPr>
            </w:pPr>
            <w:r w:rsidRPr="00C14D16">
              <w:rPr>
                <w:rFonts w:ascii="Times New Roman" w:eastAsia="Times New Roman" w:hAnsi="Times New Roman" w:cs="Times New Roman"/>
                <w:i/>
                <w:sz w:val="24"/>
                <w:szCs w:val="24"/>
              </w:rPr>
              <w:t>Litchee chinensis</w:t>
            </w:r>
          </w:p>
        </w:tc>
        <w:tc>
          <w:tcPr>
            <w:tcW w:w="3120" w:type="dxa"/>
            <w:shd w:val="clear" w:color="auto" w:fill="auto"/>
            <w:tcMar>
              <w:top w:w="100" w:type="dxa"/>
              <w:left w:w="100" w:type="dxa"/>
              <w:bottom w:w="100" w:type="dxa"/>
              <w:right w:w="100" w:type="dxa"/>
            </w:tcMar>
          </w:tcPr>
          <w:p w14:paraId="0CF915F0" w14:textId="77777777" w:rsidR="00032304" w:rsidRPr="00C14D16" w:rsidRDefault="00032304" w:rsidP="00221CD1">
            <w:pPr>
              <w:widowControl w:val="0"/>
              <w:spacing w:line="240" w:lineRule="auto"/>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Sapindaceae</w:t>
            </w:r>
          </w:p>
        </w:tc>
      </w:tr>
      <w:tr w:rsidR="00032304" w:rsidRPr="00C14D16" w14:paraId="351FC3A1" w14:textId="77777777" w:rsidTr="00221CD1">
        <w:tc>
          <w:tcPr>
            <w:tcW w:w="3120" w:type="dxa"/>
            <w:shd w:val="clear" w:color="auto" w:fill="auto"/>
            <w:tcMar>
              <w:top w:w="100" w:type="dxa"/>
              <w:left w:w="100" w:type="dxa"/>
              <w:bottom w:w="100" w:type="dxa"/>
              <w:right w:w="100" w:type="dxa"/>
            </w:tcMar>
          </w:tcPr>
          <w:p w14:paraId="72D5196E" w14:textId="77777777" w:rsidR="00032304" w:rsidRPr="00C14D16" w:rsidRDefault="00032304" w:rsidP="00221CD1">
            <w:pPr>
              <w:widowControl w:val="0"/>
              <w:spacing w:line="240" w:lineRule="auto"/>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Mamoncillo</w:t>
            </w:r>
          </w:p>
        </w:tc>
        <w:tc>
          <w:tcPr>
            <w:tcW w:w="3120" w:type="dxa"/>
            <w:shd w:val="clear" w:color="auto" w:fill="auto"/>
            <w:tcMar>
              <w:top w:w="100" w:type="dxa"/>
              <w:left w:w="100" w:type="dxa"/>
              <w:bottom w:w="100" w:type="dxa"/>
              <w:right w:w="100" w:type="dxa"/>
            </w:tcMar>
          </w:tcPr>
          <w:p w14:paraId="743D7C08" w14:textId="77777777" w:rsidR="00032304" w:rsidRPr="00C14D16" w:rsidRDefault="00032304" w:rsidP="00221CD1">
            <w:pPr>
              <w:widowControl w:val="0"/>
              <w:spacing w:line="240" w:lineRule="auto"/>
              <w:rPr>
                <w:rFonts w:ascii="Times New Roman" w:eastAsia="Times New Roman" w:hAnsi="Times New Roman" w:cs="Times New Roman"/>
                <w:i/>
                <w:sz w:val="24"/>
                <w:szCs w:val="24"/>
              </w:rPr>
            </w:pPr>
            <w:r w:rsidRPr="00C14D16">
              <w:rPr>
                <w:rFonts w:ascii="Times New Roman" w:eastAsia="Times New Roman" w:hAnsi="Times New Roman" w:cs="Times New Roman"/>
                <w:i/>
                <w:sz w:val="24"/>
                <w:szCs w:val="24"/>
              </w:rPr>
              <w:t>Melicoccus bijugatus</w:t>
            </w:r>
          </w:p>
        </w:tc>
        <w:tc>
          <w:tcPr>
            <w:tcW w:w="3120" w:type="dxa"/>
            <w:shd w:val="clear" w:color="auto" w:fill="auto"/>
            <w:tcMar>
              <w:top w:w="100" w:type="dxa"/>
              <w:left w:w="100" w:type="dxa"/>
              <w:bottom w:w="100" w:type="dxa"/>
              <w:right w:w="100" w:type="dxa"/>
            </w:tcMar>
          </w:tcPr>
          <w:p w14:paraId="75CC2E79" w14:textId="77777777" w:rsidR="00032304" w:rsidRPr="00C14D16" w:rsidRDefault="00032304" w:rsidP="00221CD1">
            <w:pPr>
              <w:widowControl w:val="0"/>
              <w:spacing w:line="240" w:lineRule="auto"/>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Sapindaceae</w:t>
            </w:r>
          </w:p>
        </w:tc>
      </w:tr>
      <w:tr w:rsidR="00032304" w:rsidRPr="00C14D16" w14:paraId="2C121445" w14:textId="77777777" w:rsidTr="00221CD1">
        <w:tc>
          <w:tcPr>
            <w:tcW w:w="3120" w:type="dxa"/>
            <w:shd w:val="clear" w:color="auto" w:fill="auto"/>
            <w:tcMar>
              <w:top w:w="100" w:type="dxa"/>
              <w:left w:w="100" w:type="dxa"/>
              <w:bottom w:w="100" w:type="dxa"/>
              <w:right w:w="100" w:type="dxa"/>
            </w:tcMar>
          </w:tcPr>
          <w:p w14:paraId="1EA0D214" w14:textId="77777777" w:rsidR="00032304" w:rsidRPr="00C14D16" w:rsidRDefault="00032304" w:rsidP="00221CD1">
            <w:pPr>
              <w:widowControl w:val="0"/>
              <w:spacing w:line="240" w:lineRule="auto"/>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Sapodilla</w:t>
            </w:r>
          </w:p>
        </w:tc>
        <w:tc>
          <w:tcPr>
            <w:tcW w:w="3120" w:type="dxa"/>
            <w:shd w:val="clear" w:color="auto" w:fill="auto"/>
            <w:tcMar>
              <w:top w:w="100" w:type="dxa"/>
              <w:left w:w="100" w:type="dxa"/>
              <w:bottom w:w="100" w:type="dxa"/>
              <w:right w:w="100" w:type="dxa"/>
            </w:tcMar>
          </w:tcPr>
          <w:p w14:paraId="1AA813E6" w14:textId="77777777" w:rsidR="00032304" w:rsidRPr="00C14D16" w:rsidRDefault="00032304" w:rsidP="00221CD1">
            <w:pPr>
              <w:widowControl w:val="0"/>
              <w:spacing w:line="240" w:lineRule="auto"/>
              <w:rPr>
                <w:rFonts w:ascii="Times New Roman" w:eastAsia="Times New Roman" w:hAnsi="Times New Roman" w:cs="Times New Roman"/>
                <w:sz w:val="24"/>
                <w:szCs w:val="24"/>
              </w:rPr>
            </w:pPr>
            <w:r w:rsidRPr="00C14D16">
              <w:rPr>
                <w:rFonts w:ascii="Times New Roman" w:eastAsia="Times New Roman" w:hAnsi="Times New Roman" w:cs="Times New Roman"/>
                <w:i/>
                <w:sz w:val="24"/>
                <w:szCs w:val="24"/>
              </w:rPr>
              <w:t>Manilkara zapota</w:t>
            </w:r>
          </w:p>
        </w:tc>
        <w:tc>
          <w:tcPr>
            <w:tcW w:w="3120" w:type="dxa"/>
            <w:shd w:val="clear" w:color="auto" w:fill="auto"/>
            <w:tcMar>
              <w:top w:w="100" w:type="dxa"/>
              <w:left w:w="100" w:type="dxa"/>
              <w:bottom w:w="100" w:type="dxa"/>
              <w:right w:w="100" w:type="dxa"/>
            </w:tcMar>
          </w:tcPr>
          <w:p w14:paraId="3D100EBC" w14:textId="77777777" w:rsidR="00032304" w:rsidRPr="00C14D16" w:rsidRDefault="00032304" w:rsidP="00221CD1">
            <w:pPr>
              <w:widowControl w:val="0"/>
              <w:spacing w:line="240" w:lineRule="auto"/>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Sapotaceae</w:t>
            </w:r>
          </w:p>
        </w:tc>
      </w:tr>
      <w:tr w:rsidR="00032304" w:rsidRPr="00C14D16" w14:paraId="0A570688" w14:textId="77777777" w:rsidTr="00221CD1">
        <w:tc>
          <w:tcPr>
            <w:tcW w:w="3120" w:type="dxa"/>
            <w:shd w:val="clear" w:color="auto" w:fill="auto"/>
            <w:tcMar>
              <w:top w:w="100" w:type="dxa"/>
              <w:left w:w="100" w:type="dxa"/>
              <w:bottom w:w="100" w:type="dxa"/>
              <w:right w:w="100" w:type="dxa"/>
            </w:tcMar>
          </w:tcPr>
          <w:p w14:paraId="4CA069F7" w14:textId="77777777" w:rsidR="00032304" w:rsidRPr="00C14D16" w:rsidRDefault="00032304" w:rsidP="00221CD1">
            <w:pPr>
              <w:widowControl w:val="0"/>
              <w:spacing w:line="240" w:lineRule="auto"/>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Canistel</w:t>
            </w:r>
          </w:p>
        </w:tc>
        <w:tc>
          <w:tcPr>
            <w:tcW w:w="3120" w:type="dxa"/>
            <w:shd w:val="clear" w:color="auto" w:fill="auto"/>
            <w:tcMar>
              <w:top w:w="100" w:type="dxa"/>
              <w:left w:w="100" w:type="dxa"/>
              <w:bottom w:w="100" w:type="dxa"/>
              <w:right w:w="100" w:type="dxa"/>
            </w:tcMar>
          </w:tcPr>
          <w:p w14:paraId="410E0CD6" w14:textId="77777777" w:rsidR="00032304" w:rsidRPr="00C14D16" w:rsidRDefault="00032304" w:rsidP="00221CD1">
            <w:pPr>
              <w:widowControl w:val="0"/>
              <w:spacing w:line="240" w:lineRule="auto"/>
              <w:rPr>
                <w:rFonts w:ascii="Times New Roman" w:eastAsia="Times New Roman" w:hAnsi="Times New Roman" w:cs="Times New Roman"/>
                <w:i/>
                <w:sz w:val="24"/>
                <w:szCs w:val="24"/>
              </w:rPr>
            </w:pPr>
            <w:r w:rsidRPr="00C14D16">
              <w:rPr>
                <w:rFonts w:ascii="Times New Roman" w:eastAsia="Times New Roman" w:hAnsi="Times New Roman" w:cs="Times New Roman"/>
                <w:i/>
                <w:sz w:val="24"/>
                <w:szCs w:val="24"/>
              </w:rPr>
              <w:t>Pouteria campechiana</w:t>
            </w:r>
          </w:p>
        </w:tc>
        <w:tc>
          <w:tcPr>
            <w:tcW w:w="3120" w:type="dxa"/>
            <w:shd w:val="clear" w:color="auto" w:fill="auto"/>
            <w:tcMar>
              <w:top w:w="100" w:type="dxa"/>
              <w:left w:w="100" w:type="dxa"/>
              <w:bottom w:w="100" w:type="dxa"/>
              <w:right w:w="100" w:type="dxa"/>
            </w:tcMar>
          </w:tcPr>
          <w:p w14:paraId="530F3AFE" w14:textId="77777777" w:rsidR="00032304" w:rsidRPr="00C14D16" w:rsidRDefault="00032304" w:rsidP="00221CD1">
            <w:pPr>
              <w:widowControl w:val="0"/>
              <w:spacing w:line="240" w:lineRule="auto"/>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Sapotaceae</w:t>
            </w:r>
          </w:p>
        </w:tc>
      </w:tr>
      <w:tr w:rsidR="00032304" w:rsidRPr="00C14D16" w14:paraId="743CBDA9" w14:textId="77777777" w:rsidTr="00221CD1">
        <w:tc>
          <w:tcPr>
            <w:tcW w:w="3120" w:type="dxa"/>
            <w:shd w:val="clear" w:color="auto" w:fill="auto"/>
            <w:tcMar>
              <w:top w:w="100" w:type="dxa"/>
              <w:left w:w="100" w:type="dxa"/>
              <w:bottom w:w="100" w:type="dxa"/>
              <w:right w:w="100" w:type="dxa"/>
            </w:tcMar>
          </w:tcPr>
          <w:p w14:paraId="47A2443B" w14:textId="77777777" w:rsidR="00032304" w:rsidRPr="00C14D16" w:rsidRDefault="00032304" w:rsidP="00221CD1">
            <w:pPr>
              <w:widowControl w:val="0"/>
              <w:spacing w:line="240" w:lineRule="auto"/>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Miracle Fruit</w:t>
            </w:r>
          </w:p>
        </w:tc>
        <w:tc>
          <w:tcPr>
            <w:tcW w:w="3120" w:type="dxa"/>
            <w:shd w:val="clear" w:color="auto" w:fill="auto"/>
            <w:tcMar>
              <w:top w:w="100" w:type="dxa"/>
              <w:left w:w="100" w:type="dxa"/>
              <w:bottom w:w="100" w:type="dxa"/>
              <w:right w:w="100" w:type="dxa"/>
            </w:tcMar>
          </w:tcPr>
          <w:p w14:paraId="37206772" w14:textId="77777777" w:rsidR="00032304" w:rsidRPr="00C14D16" w:rsidRDefault="00032304" w:rsidP="00221CD1">
            <w:pPr>
              <w:widowControl w:val="0"/>
              <w:spacing w:line="240" w:lineRule="auto"/>
              <w:rPr>
                <w:rFonts w:ascii="Times New Roman" w:eastAsia="Times New Roman" w:hAnsi="Times New Roman" w:cs="Times New Roman"/>
                <w:sz w:val="24"/>
                <w:szCs w:val="24"/>
              </w:rPr>
            </w:pPr>
            <w:r w:rsidRPr="00C14D16">
              <w:rPr>
                <w:rFonts w:ascii="Times New Roman" w:eastAsia="Times New Roman" w:hAnsi="Times New Roman" w:cs="Times New Roman"/>
                <w:i/>
                <w:sz w:val="24"/>
                <w:szCs w:val="24"/>
              </w:rPr>
              <w:t xml:space="preserve">Synsepalum dulcificum </w:t>
            </w:r>
          </w:p>
        </w:tc>
        <w:tc>
          <w:tcPr>
            <w:tcW w:w="3120" w:type="dxa"/>
            <w:shd w:val="clear" w:color="auto" w:fill="auto"/>
            <w:tcMar>
              <w:top w:w="100" w:type="dxa"/>
              <w:left w:w="100" w:type="dxa"/>
              <w:bottom w:w="100" w:type="dxa"/>
              <w:right w:w="100" w:type="dxa"/>
            </w:tcMar>
          </w:tcPr>
          <w:p w14:paraId="712D5C59" w14:textId="77777777" w:rsidR="00032304" w:rsidRPr="00C14D16" w:rsidRDefault="00032304" w:rsidP="00221CD1">
            <w:pPr>
              <w:widowControl w:val="0"/>
              <w:spacing w:line="240" w:lineRule="auto"/>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Sapotaceae</w:t>
            </w:r>
          </w:p>
        </w:tc>
      </w:tr>
    </w:tbl>
    <w:p w14:paraId="5944FBFF" w14:textId="77777777" w:rsidR="00032304" w:rsidRDefault="00032304" w:rsidP="00032304">
      <w:pPr>
        <w:spacing w:line="480" w:lineRule="auto"/>
        <w:rPr>
          <w:rFonts w:ascii="Times New Roman" w:eastAsia="Times New Roman" w:hAnsi="Times New Roman" w:cs="Times New Roman"/>
          <w:b/>
          <w:sz w:val="24"/>
          <w:szCs w:val="24"/>
        </w:rPr>
      </w:pPr>
    </w:p>
    <w:p w14:paraId="46844C5D" w14:textId="77777777" w:rsidR="00032304" w:rsidRDefault="00032304" w:rsidP="00032304">
      <w:pPr>
        <w:spacing w:after="160" w:line="259"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5C7266BF" w14:textId="77777777" w:rsidR="00032304" w:rsidRPr="00B11885" w:rsidRDefault="00032304" w:rsidP="00032304">
      <w:pPr>
        <w:spacing w:line="480" w:lineRule="auto"/>
        <w:rPr>
          <w:rFonts w:ascii="Times New Roman" w:eastAsia="Times New Roman" w:hAnsi="Times New Roman" w:cs="Times New Roman"/>
          <w:sz w:val="24"/>
          <w:szCs w:val="24"/>
        </w:rPr>
      </w:pPr>
      <w:r w:rsidRPr="00B11885">
        <w:rPr>
          <w:rFonts w:ascii="Times New Roman" w:eastAsia="Times New Roman" w:hAnsi="Times New Roman" w:cs="Times New Roman"/>
          <w:noProof/>
          <w:sz w:val="24"/>
          <w:szCs w:val="24"/>
          <w:lang w:val="en-US"/>
        </w:rPr>
        <mc:AlternateContent>
          <mc:Choice Requires="wps">
            <w:drawing>
              <wp:anchor distT="45720" distB="45720" distL="114300" distR="114300" simplePos="0" relativeHeight="251660288" behindDoc="0" locked="0" layoutInCell="1" allowOverlap="1" wp14:anchorId="639451BC" wp14:editId="4C1083D8">
                <wp:simplePos x="0" y="0"/>
                <wp:positionH relativeFrom="margin">
                  <wp:align>right</wp:align>
                </wp:positionH>
                <wp:positionV relativeFrom="paragraph">
                  <wp:posOffset>2343150</wp:posOffset>
                </wp:positionV>
                <wp:extent cx="8247380" cy="3579495"/>
                <wp:effectExtent l="0" t="9208" r="11113" b="11112"/>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400000">
                          <a:off x="0" y="0"/>
                          <a:ext cx="8247380" cy="3579495"/>
                        </a:xfrm>
                        <a:prstGeom prst="rect">
                          <a:avLst/>
                        </a:prstGeom>
                        <a:solidFill>
                          <a:srgbClr val="FFFFFF"/>
                        </a:solidFill>
                        <a:ln w="9525">
                          <a:solidFill>
                            <a:srgbClr val="000000"/>
                          </a:solidFill>
                          <a:miter lim="800000"/>
                          <a:headEnd/>
                          <a:tailEnd/>
                        </a:ln>
                      </wps:spPr>
                      <wps:txbx>
                        <w:txbxContent>
                          <w:tbl>
                            <w:tblPr>
                              <w:tblW w:w="12580" w:type="dxa"/>
                              <w:tblLook w:val="04A0" w:firstRow="1" w:lastRow="0" w:firstColumn="1" w:lastColumn="0" w:noHBand="0" w:noVBand="1"/>
                            </w:tblPr>
                            <w:tblGrid>
                              <w:gridCol w:w="1420"/>
                              <w:gridCol w:w="1420"/>
                              <w:gridCol w:w="1140"/>
                              <w:gridCol w:w="2460"/>
                              <w:gridCol w:w="3980"/>
                              <w:gridCol w:w="2160"/>
                            </w:tblGrid>
                            <w:tr w:rsidR="00221CD1" w:rsidRPr="00B11885" w14:paraId="3A2B20DC" w14:textId="77777777" w:rsidTr="00221CD1">
                              <w:trPr>
                                <w:trHeight w:val="285"/>
                              </w:trPr>
                              <w:tc>
                                <w:tcPr>
                                  <w:tcW w:w="1420" w:type="dxa"/>
                                  <w:tcBorders>
                                    <w:top w:val="nil"/>
                                    <w:left w:val="nil"/>
                                    <w:bottom w:val="nil"/>
                                    <w:right w:val="nil"/>
                                  </w:tcBorders>
                                  <w:shd w:val="clear" w:color="auto" w:fill="auto"/>
                                  <w:vAlign w:val="bottom"/>
                                  <w:hideMark/>
                                </w:tcPr>
                                <w:p w14:paraId="6D49986E" w14:textId="77777777" w:rsidR="00221CD1" w:rsidRPr="00B11885" w:rsidRDefault="00221CD1" w:rsidP="00221CD1">
                                  <w:pPr>
                                    <w:spacing w:line="240" w:lineRule="auto"/>
                                    <w:jc w:val="center"/>
                                    <w:rPr>
                                      <w:rFonts w:ascii="Calibri" w:eastAsia="Times New Roman" w:hAnsi="Calibri" w:cs="Calibri"/>
                                      <w:b/>
                                      <w:bCs/>
                                      <w:color w:val="000000"/>
                                      <w:sz w:val="20"/>
                                      <w:szCs w:val="20"/>
                                      <w:lang w:val="en-US"/>
                                    </w:rPr>
                                  </w:pPr>
                                  <w:r w:rsidRPr="00B11885">
                                    <w:rPr>
                                      <w:rFonts w:ascii="Calibri" w:eastAsia="Times New Roman" w:hAnsi="Calibri" w:cs="Calibri"/>
                                      <w:b/>
                                      <w:bCs/>
                                      <w:color w:val="000000"/>
                                      <w:sz w:val="20"/>
                                      <w:szCs w:val="20"/>
                                      <w:lang w:val="en-US"/>
                                    </w:rPr>
                                    <w:t>Analysis</w:t>
                                  </w:r>
                                </w:p>
                              </w:tc>
                              <w:tc>
                                <w:tcPr>
                                  <w:tcW w:w="1420" w:type="dxa"/>
                                  <w:tcBorders>
                                    <w:top w:val="nil"/>
                                    <w:left w:val="nil"/>
                                    <w:bottom w:val="nil"/>
                                    <w:right w:val="nil"/>
                                  </w:tcBorders>
                                  <w:shd w:val="clear" w:color="auto" w:fill="auto"/>
                                  <w:vAlign w:val="bottom"/>
                                  <w:hideMark/>
                                </w:tcPr>
                                <w:p w14:paraId="3B69AC5F" w14:textId="77777777" w:rsidR="00221CD1" w:rsidRPr="00B11885" w:rsidRDefault="00221CD1" w:rsidP="00221CD1">
                                  <w:pPr>
                                    <w:spacing w:line="240" w:lineRule="auto"/>
                                    <w:jc w:val="center"/>
                                    <w:rPr>
                                      <w:rFonts w:ascii="Calibri" w:eastAsia="Times New Roman" w:hAnsi="Calibri" w:cs="Calibri"/>
                                      <w:b/>
                                      <w:bCs/>
                                      <w:color w:val="000000"/>
                                      <w:sz w:val="20"/>
                                      <w:szCs w:val="20"/>
                                      <w:lang w:val="en-US"/>
                                    </w:rPr>
                                  </w:pPr>
                                  <w:r w:rsidRPr="00B11885">
                                    <w:rPr>
                                      <w:rFonts w:ascii="Calibri" w:eastAsia="Times New Roman" w:hAnsi="Calibri" w:cs="Calibri"/>
                                      <w:b/>
                                      <w:bCs/>
                                      <w:color w:val="000000"/>
                                      <w:sz w:val="20"/>
                                      <w:szCs w:val="20"/>
                                      <w:lang w:val="en-US"/>
                                    </w:rPr>
                                    <w:t>Contrast</w:t>
                                  </w:r>
                                </w:p>
                              </w:tc>
                              <w:tc>
                                <w:tcPr>
                                  <w:tcW w:w="1140" w:type="dxa"/>
                                  <w:tcBorders>
                                    <w:top w:val="nil"/>
                                    <w:left w:val="nil"/>
                                    <w:bottom w:val="nil"/>
                                    <w:right w:val="nil"/>
                                  </w:tcBorders>
                                  <w:shd w:val="clear" w:color="auto" w:fill="auto"/>
                                  <w:noWrap/>
                                  <w:vAlign w:val="bottom"/>
                                  <w:hideMark/>
                                </w:tcPr>
                                <w:p w14:paraId="60068E74" w14:textId="77777777" w:rsidR="00221CD1" w:rsidRPr="00B11885" w:rsidRDefault="00221CD1" w:rsidP="00221CD1">
                                  <w:pPr>
                                    <w:spacing w:line="240" w:lineRule="auto"/>
                                    <w:jc w:val="center"/>
                                    <w:rPr>
                                      <w:rFonts w:ascii="Calibri" w:eastAsia="Times New Roman" w:hAnsi="Calibri" w:cs="Calibri"/>
                                      <w:b/>
                                      <w:bCs/>
                                      <w:color w:val="000000"/>
                                      <w:sz w:val="20"/>
                                      <w:szCs w:val="20"/>
                                      <w:lang w:val="en-US"/>
                                    </w:rPr>
                                  </w:pPr>
                                  <w:r w:rsidRPr="00B11885">
                                    <w:rPr>
                                      <w:rFonts w:ascii="Calibri" w:eastAsia="Times New Roman" w:hAnsi="Calibri" w:cs="Calibri"/>
                                      <w:b/>
                                      <w:bCs/>
                                      <w:color w:val="000000"/>
                                      <w:sz w:val="20"/>
                                      <w:szCs w:val="20"/>
                                      <w:lang w:val="en-US"/>
                                    </w:rPr>
                                    <w:t>Sample Year</w:t>
                                  </w:r>
                                </w:p>
                              </w:tc>
                              <w:tc>
                                <w:tcPr>
                                  <w:tcW w:w="2460" w:type="dxa"/>
                                  <w:tcBorders>
                                    <w:top w:val="nil"/>
                                    <w:left w:val="nil"/>
                                    <w:bottom w:val="nil"/>
                                    <w:right w:val="nil"/>
                                  </w:tcBorders>
                                  <w:shd w:val="clear" w:color="auto" w:fill="auto"/>
                                  <w:noWrap/>
                                  <w:vAlign w:val="bottom"/>
                                  <w:hideMark/>
                                </w:tcPr>
                                <w:p w14:paraId="7693DF17" w14:textId="77777777" w:rsidR="00221CD1" w:rsidRPr="00B11885" w:rsidRDefault="00221CD1" w:rsidP="00221CD1">
                                  <w:pPr>
                                    <w:spacing w:line="240" w:lineRule="auto"/>
                                    <w:jc w:val="center"/>
                                    <w:rPr>
                                      <w:rFonts w:ascii="Calibri" w:eastAsia="Times New Roman" w:hAnsi="Calibri" w:cs="Calibri"/>
                                      <w:b/>
                                      <w:bCs/>
                                      <w:color w:val="000000"/>
                                      <w:sz w:val="20"/>
                                      <w:szCs w:val="20"/>
                                      <w:lang w:val="en-US"/>
                                    </w:rPr>
                                  </w:pPr>
                                  <w:r w:rsidRPr="00B11885">
                                    <w:rPr>
                                      <w:rFonts w:ascii="Calibri" w:eastAsia="Times New Roman" w:hAnsi="Calibri" w:cs="Calibri"/>
                                      <w:b/>
                                      <w:bCs/>
                                      <w:color w:val="000000"/>
                                      <w:sz w:val="20"/>
                                      <w:szCs w:val="20"/>
                                      <w:lang w:val="en-US"/>
                                    </w:rPr>
                                    <w:t>Total Samples (per contrast)</w:t>
                                  </w:r>
                                </w:p>
                              </w:tc>
                              <w:tc>
                                <w:tcPr>
                                  <w:tcW w:w="3980" w:type="dxa"/>
                                  <w:tcBorders>
                                    <w:top w:val="nil"/>
                                    <w:left w:val="nil"/>
                                    <w:bottom w:val="nil"/>
                                    <w:right w:val="nil"/>
                                  </w:tcBorders>
                                  <w:shd w:val="clear" w:color="auto" w:fill="auto"/>
                                  <w:noWrap/>
                                  <w:vAlign w:val="bottom"/>
                                  <w:hideMark/>
                                </w:tcPr>
                                <w:p w14:paraId="21E2653A" w14:textId="77777777" w:rsidR="00221CD1" w:rsidRPr="00B11885" w:rsidRDefault="00221CD1" w:rsidP="00221CD1">
                                  <w:pPr>
                                    <w:spacing w:line="240" w:lineRule="auto"/>
                                    <w:jc w:val="center"/>
                                    <w:rPr>
                                      <w:rFonts w:ascii="Calibri" w:eastAsia="Times New Roman" w:hAnsi="Calibri" w:cs="Calibri"/>
                                      <w:b/>
                                      <w:bCs/>
                                      <w:color w:val="000000"/>
                                      <w:sz w:val="20"/>
                                      <w:szCs w:val="20"/>
                                      <w:lang w:val="en-US"/>
                                    </w:rPr>
                                  </w:pPr>
                                  <w:r w:rsidRPr="00B11885">
                                    <w:rPr>
                                      <w:rFonts w:ascii="Calibri" w:eastAsia="Times New Roman" w:hAnsi="Calibri" w:cs="Calibri"/>
                                      <w:b/>
                                      <w:bCs/>
                                      <w:color w:val="000000"/>
                                      <w:sz w:val="20"/>
                                      <w:szCs w:val="20"/>
                                      <w:lang w:val="en-US"/>
                                    </w:rPr>
                                    <w:t xml:space="preserve"> Analysis (equations)</w:t>
                                  </w:r>
                                </w:p>
                              </w:tc>
                              <w:tc>
                                <w:tcPr>
                                  <w:tcW w:w="2160" w:type="dxa"/>
                                  <w:tcBorders>
                                    <w:top w:val="nil"/>
                                    <w:left w:val="nil"/>
                                    <w:bottom w:val="nil"/>
                                    <w:right w:val="nil"/>
                                  </w:tcBorders>
                                  <w:shd w:val="clear" w:color="auto" w:fill="auto"/>
                                  <w:vAlign w:val="bottom"/>
                                  <w:hideMark/>
                                </w:tcPr>
                                <w:p w14:paraId="05521CE5" w14:textId="77777777" w:rsidR="00221CD1" w:rsidRPr="00B11885" w:rsidRDefault="00221CD1" w:rsidP="00221CD1">
                                  <w:pPr>
                                    <w:spacing w:line="240" w:lineRule="auto"/>
                                    <w:jc w:val="center"/>
                                    <w:rPr>
                                      <w:rFonts w:ascii="Calibri" w:eastAsia="Times New Roman" w:hAnsi="Calibri" w:cs="Calibri"/>
                                      <w:b/>
                                      <w:bCs/>
                                      <w:color w:val="000000"/>
                                      <w:sz w:val="20"/>
                                      <w:szCs w:val="20"/>
                                      <w:lang w:val="en-US"/>
                                    </w:rPr>
                                  </w:pPr>
                                  <w:r w:rsidRPr="00B11885">
                                    <w:rPr>
                                      <w:rFonts w:ascii="Calibri" w:eastAsia="Times New Roman" w:hAnsi="Calibri" w:cs="Calibri"/>
                                      <w:b/>
                                      <w:bCs/>
                                      <w:color w:val="000000"/>
                                      <w:sz w:val="20"/>
                                      <w:szCs w:val="20"/>
                                      <w:lang w:val="en-US"/>
                                    </w:rPr>
                                    <w:t>Significance Criteria</w:t>
                                  </w:r>
                                </w:p>
                              </w:tc>
                            </w:tr>
                            <w:tr w:rsidR="00221CD1" w:rsidRPr="00B11885" w14:paraId="4E174987" w14:textId="77777777" w:rsidTr="00221CD1">
                              <w:trPr>
                                <w:trHeight w:val="561"/>
                              </w:trPr>
                              <w:tc>
                                <w:tcPr>
                                  <w:tcW w:w="1420" w:type="dxa"/>
                                  <w:tcBorders>
                                    <w:top w:val="nil"/>
                                    <w:left w:val="nil"/>
                                    <w:bottom w:val="nil"/>
                                    <w:right w:val="nil"/>
                                  </w:tcBorders>
                                  <w:shd w:val="clear" w:color="auto" w:fill="auto"/>
                                  <w:vAlign w:val="center"/>
                                  <w:hideMark/>
                                </w:tcPr>
                                <w:p w14:paraId="23985D15"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Total C Sequestration</w:t>
                                  </w: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37BB35"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Area x Stratum x Year</w:t>
                                  </w:r>
                                </w:p>
                              </w:tc>
                              <w:tc>
                                <w:tcPr>
                                  <w:tcW w:w="1140" w:type="dxa"/>
                                  <w:tcBorders>
                                    <w:top w:val="single" w:sz="4" w:space="0" w:color="auto"/>
                                    <w:left w:val="nil"/>
                                    <w:bottom w:val="single" w:sz="4" w:space="0" w:color="auto"/>
                                    <w:right w:val="single" w:sz="4" w:space="0" w:color="auto"/>
                                  </w:tcBorders>
                                  <w:shd w:val="clear" w:color="auto" w:fill="auto"/>
                                  <w:noWrap/>
                                  <w:vAlign w:val="center"/>
                                  <w:hideMark/>
                                </w:tcPr>
                                <w:p w14:paraId="2015AC29"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2017, 2019</w:t>
                                  </w:r>
                                </w:p>
                              </w:tc>
                              <w:tc>
                                <w:tcPr>
                                  <w:tcW w:w="2460" w:type="dxa"/>
                                  <w:tcBorders>
                                    <w:top w:val="single" w:sz="4" w:space="0" w:color="auto"/>
                                    <w:left w:val="nil"/>
                                    <w:bottom w:val="single" w:sz="4" w:space="0" w:color="auto"/>
                                    <w:right w:val="single" w:sz="4" w:space="0" w:color="auto"/>
                                  </w:tcBorders>
                                  <w:shd w:val="clear" w:color="auto" w:fill="auto"/>
                                  <w:noWrap/>
                                  <w:vAlign w:val="center"/>
                                  <w:hideMark/>
                                </w:tcPr>
                                <w:p w14:paraId="7A7A5471"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280 (28)</w:t>
                                  </w:r>
                                </w:p>
                              </w:tc>
                              <w:tc>
                                <w:tcPr>
                                  <w:tcW w:w="3980" w:type="dxa"/>
                                  <w:tcBorders>
                                    <w:top w:val="single" w:sz="4" w:space="0" w:color="auto"/>
                                    <w:left w:val="nil"/>
                                    <w:bottom w:val="single" w:sz="4" w:space="0" w:color="auto"/>
                                    <w:right w:val="single" w:sz="4" w:space="0" w:color="auto"/>
                                  </w:tcBorders>
                                  <w:shd w:val="clear" w:color="auto" w:fill="auto"/>
                                  <w:vAlign w:val="center"/>
                                  <w:hideMark/>
                                </w:tcPr>
                                <w:p w14:paraId="4206720E"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HB lognormal regression with linked calibration and spatial random effect (S1-S6)</w:t>
                                  </w:r>
                                </w:p>
                              </w:tc>
                              <w:tc>
                                <w:tcPr>
                                  <w:tcW w:w="2160" w:type="dxa"/>
                                  <w:tcBorders>
                                    <w:top w:val="single" w:sz="4" w:space="0" w:color="auto"/>
                                    <w:left w:val="nil"/>
                                    <w:bottom w:val="single" w:sz="4" w:space="0" w:color="auto"/>
                                    <w:right w:val="single" w:sz="4" w:space="0" w:color="auto"/>
                                  </w:tcBorders>
                                  <w:shd w:val="clear" w:color="auto" w:fill="auto"/>
                                  <w:vAlign w:val="center"/>
                                  <w:hideMark/>
                                </w:tcPr>
                                <w:p w14:paraId="0C52586F"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non-overlapping 95% CI</w:t>
                                  </w:r>
                                </w:p>
                              </w:tc>
                            </w:tr>
                            <w:tr w:rsidR="00221CD1" w:rsidRPr="00B11885" w14:paraId="77DE519A" w14:textId="77777777" w:rsidTr="00221CD1">
                              <w:trPr>
                                <w:trHeight w:val="561"/>
                              </w:trPr>
                              <w:tc>
                                <w:tcPr>
                                  <w:tcW w:w="1420" w:type="dxa"/>
                                  <w:tcBorders>
                                    <w:top w:val="nil"/>
                                    <w:left w:val="nil"/>
                                    <w:bottom w:val="nil"/>
                                    <w:right w:val="nil"/>
                                  </w:tcBorders>
                                  <w:shd w:val="clear" w:color="auto" w:fill="auto"/>
                                  <w:vAlign w:val="center"/>
                                  <w:hideMark/>
                                </w:tcPr>
                                <w:p w14:paraId="6E6CAA83"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Fine Scale Mass Balance</w:t>
                                  </w:r>
                                </w:p>
                              </w:tc>
                              <w:tc>
                                <w:tcPr>
                                  <w:tcW w:w="1420" w:type="dxa"/>
                                  <w:tcBorders>
                                    <w:top w:val="nil"/>
                                    <w:left w:val="single" w:sz="4" w:space="0" w:color="auto"/>
                                    <w:bottom w:val="single" w:sz="4" w:space="0" w:color="auto"/>
                                    <w:right w:val="single" w:sz="4" w:space="0" w:color="auto"/>
                                  </w:tcBorders>
                                  <w:shd w:val="clear" w:color="auto" w:fill="auto"/>
                                  <w:vAlign w:val="center"/>
                                  <w:hideMark/>
                                </w:tcPr>
                                <w:p w14:paraId="59D66810"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Area</w:t>
                                  </w:r>
                                </w:p>
                              </w:tc>
                              <w:tc>
                                <w:tcPr>
                                  <w:tcW w:w="1140" w:type="dxa"/>
                                  <w:tcBorders>
                                    <w:top w:val="nil"/>
                                    <w:left w:val="nil"/>
                                    <w:bottom w:val="single" w:sz="4" w:space="0" w:color="auto"/>
                                    <w:right w:val="single" w:sz="4" w:space="0" w:color="auto"/>
                                  </w:tcBorders>
                                  <w:shd w:val="clear" w:color="auto" w:fill="auto"/>
                                  <w:noWrap/>
                                  <w:vAlign w:val="center"/>
                                  <w:hideMark/>
                                </w:tcPr>
                                <w:p w14:paraId="11630D0D"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2017, 2019</w:t>
                                  </w:r>
                                </w:p>
                              </w:tc>
                              <w:tc>
                                <w:tcPr>
                                  <w:tcW w:w="2460" w:type="dxa"/>
                                  <w:tcBorders>
                                    <w:top w:val="nil"/>
                                    <w:left w:val="nil"/>
                                    <w:bottom w:val="single" w:sz="4" w:space="0" w:color="auto"/>
                                    <w:right w:val="single" w:sz="4" w:space="0" w:color="auto"/>
                                  </w:tcBorders>
                                  <w:shd w:val="clear" w:color="auto" w:fill="auto"/>
                                  <w:noWrap/>
                                  <w:vAlign w:val="center"/>
                                  <w:hideMark/>
                                </w:tcPr>
                                <w:p w14:paraId="1FF85A08"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280 (28)</w:t>
                                  </w:r>
                                </w:p>
                              </w:tc>
                              <w:tc>
                                <w:tcPr>
                                  <w:tcW w:w="3980" w:type="dxa"/>
                                  <w:tcBorders>
                                    <w:top w:val="nil"/>
                                    <w:left w:val="nil"/>
                                    <w:bottom w:val="single" w:sz="4" w:space="0" w:color="auto"/>
                                    <w:right w:val="single" w:sz="4" w:space="0" w:color="auto"/>
                                  </w:tcBorders>
                                  <w:shd w:val="clear" w:color="auto" w:fill="auto"/>
                                  <w:vAlign w:val="center"/>
                                  <w:hideMark/>
                                </w:tcPr>
                                <w:p w14:paraId="15A2A220"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HB lognormal regression with linked calibration and spatial random effect (S1-S8)</w:t>
                                  </w:r>
                                </w:p>
                              </w:tc>
                              <w:tc>
                                <w:tcPr>
                                  <w:tcW w:w="2160" w:type="dxa"/>
                                  <w:tcBorders>
                                    <w:top w:val="nil"/>
                                    <w:left w:val="nil"/>
                                    <w:bottom w:val="single" w:sz="4" w:space="0" w:color="auto"/>
                                    <w:right w:val="single" w:sz="4" w:space="0" w:color="auto"/>
                                  </w:tcBorders>
                                  <w:shd w:val="clear" w:color="auto" w:fill="auto"/>
                                  <w:vAlign w:val="center"/>
                                  <w:hideMark/>
                                </w:tcPr>
                                <w:p w14:paraId="1B326877"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parameter 95% CIs exlude zero</w:t>
                                  </w:r>
                                </w:p>
                              </w:tc>
                            </w:tr>
                            <w:tr w:rsidR="00221CD1" w:rsidRPr="00B11885" w14:paraId="573F7F46" w14:textId="77777777" w:rsidTr="00221CD1">
                              <w:trPr>
                                <w:trHeight w:val="561"/>
                              </w:trPr>
                              <w:tc>
                                <w:tcPr>
                                  <w:tcW w:w="1420" w:type="dxa"/>
                                  <w:tcBorders>
                                    <w:top w:val="nil"/>
                                    <w:left w:val="nil"/>
                                    <w:bottom w:val="nil"/>
                                    <w:right w:val="nil"/>
                                  </w:tcBorders>
                                  <w:shd w:val="clear" w:color="auto" w:fill="auto"/>
                                  <w:vAlign w:val="center"/>
                                  <w:hideMark/>
                                </w:tcPr>
                                <w:p w14:paraId="26ED7FE0"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Soil C Calibration</w:t>
                                  </w:r>
                                </w:p>
                              </w:tc>
                              <w:tc>
                                <w:tcPr>
                                  <w:tcW w:w="1420" w:type="dxa"/>
                                  <w:tcBorders>
                                    <w:top w:val="nil"/>
                                    <w:left w:val="single" w:sz="4" w:space="0" w:color="auto"/>
                                    <w:bottom w:val="single" w:sz="4" w:space="0" w:color="auto"/>
                                    <w:right w:val="single" w:sz="4" w:space="0" w:color="auto"/>
                                  </w:tcBorders>
                                  <w:shd w:val="clear" w:color="auto" w:fill="auto"/>
                                  <w:vAlign w:val="center"/>
                                  <w:hideMark/>
                                </w:tcPr>
                                <w:p w14:paraId="004F82D4"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Area x Stratum</w:t>
                                  </w:r>
                                </w:p>
                              </w:tc>
                              <w:tc>
                                <w:tcPr>
                                  <w:tcW w:w="1140" w:type="dxa"/>
                                  <w:tcBorders>
                                    <w:top w:val="nil"/>
                                    <w:left w:val="nil"/>
                                    <w:bottom w:val="single" w:sz="4" w:space="0" w:color="auto"/>
                                    <w:right w:val="single" w:sz="4" w:space="0" w:color="auto"/>
                                  </w:tcBorders>
                                  <w:shd w:val="clear" w:color="auto" w:fill="auto"/>
                                  <w:noWrap/>
                                  <w:vAlign w:val="center"/>
                                  <w:hideMark/>
                                </w:tcPr>
                                <w:p w14:paraId="055AB950"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2019</w:t>
                                  </w:r>
                                </w:p>
                              </w:tc>
                              <w:tc>
                                <w:tcPr>
                                  <w:tcW w:w="2460" w:type="dxa"/>
                                  <w:tcBorders>
                                    <w:top w:val="nil"/>
                                    <w:left w:val="nil"/>
                                    <w:bottom w:val="single" w:sz="4" w:space="0" w:color="auto"/>
                                    <w:right w:val="single" w:sz="4" w:space="0" w:color="auto"/>
                                  </w:tcBorders>
                                  <w:shd w:val="clear" w:color="auto" w:fill="auto"/>
                                  <w:noWrap/>
                                  <w:vAlign w:val="center"/>
                                  <w:hideMark/>
                                </w:tcPr>
                                <w:p w14:paraId="0483F1AF"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15 (3)</w:t>
                                  </w:r>
                                </w:p>
                              </w:tc>
                              <w:tc>
                                <w:tcPr>
                                  <w:tcW w:w="3980" w:type="dxa"/>
                                  <w:tcBorders>
                                    <w:top w:val="nil"/>
                                    <w:left w:val="nil"/>
                                    <w:bottom w:val="single" w:sz="4" w:space="0" w:color="auto"/>
                                    <w:right w:val="single" w:sz="4" w:space="0" w:color="auto"/>
                                  </w:tcBorders>
                                  <w:shd w:val="clear" w:color="auto" w:fill="auto"/>
                                  <w:vAlign w:val="center"/>
                                  <w:hideMark/>
                                </w:tcPr>
                                <w:p w14:paraId="54DB6A3A"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Linear Models</w:t>
                                  </w:r>
                                </w:p>
                              </w:tc>
                              <w:tc>
                                <w:tcPr>
                                  <w:tcW w:w="2160" w:type="dxa"/>
                                  <w:tcBorders>
                                    <w:top w:val="nil"/>
                                    <w:left w:val="nil"/>
                                    <w:bottom w:val="single" w:sz="4" w:space="0" w:color="auto"/>
                                    <w:right w:val="single" w:sz="4" w:space="0" w:color="auto"/>
                                  </w:tcBorders>
                                  <w:shd w:val="clear" w:color="auto" w:fill="auto"/>
                                  <w:vAlign w:val="center"/>
                                  <w:hideMark/>
                                </w:tcPr>
                                <w:p w14:paraId="008707B6"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AIC</w:t>
                                  </w:r>
                                </w:p>
                              </w:tc>
                            </w:tr>
                            <w:tr w:rsidR="00221CD1" w:rsidRPr="00B11885" w14:paraId="33D5FD05" w14:textId="77777777" w:rsidTr="00221CD1">
                              <w:trPr>
                                <w:trHeight w:val="561"/>
                              </w:trPr>
                              <w:tc>
                                <w:tcPr>
                                  <w:tcW w:w="1420" w:type="dxa"/>
                                  <w:tcBorders>
                                    <w:top w:val="nil"/>
                                    <w:left w:val="nil"/>
                                    <w:bottom w:val="nil"/>
                                    <w:right w:val="nil"/>
                                  </w:tcBorders>
                                  <w:shd w:val="clear" w:color="auto" w:fill="auto"/>
                                  <w:vAlign w:val="center"/>
                                  <w:hideMark/>
                                </w:tcPr>
                                <w:p w14:paraId="3A027613"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Soil Bulk Density</w:t>
                                  </w:r>
                                </w:p>
                              </w:tc>
                              <w:tc>
                                <w:tcPr>
                                  <w:tcW w:w="1420" w:type="dxa"/>
                                  <w:tcBorders>
                                    <w:top w:val="nil"/>
                                    <w:left w:val="single" w:sz="4" w:space="0" w:color="auto"/>
                                    <w:bottom w:val="single" w:sz="4" w:space="0" w:color="auto"/>
                                    <w:right w:val="single" w:sz="4" w:space="0" w:color="auto"/>
                                  </w:tcBorders>
                                  <w:shd w:val="clear" w:color="auto" w:fill="auto"/>
                                  <w:vAlign w:val="center"/>
                                  <w:hideMark/>
                                </w:tcPr>
                                <w:p w14:paraId="0B788D73"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Area x Stratum</w:t>
                                  </w:r>
                                </w:p>
                              </w:tc>
                              <w:tc>
                                <w:tcPr>
                                  <w:tcW w:w="1140" w:type="dxa"/>
                                  <w:tcBorders>
                                    <w:top w:val="nil"/>
                                    <w:left w:val="nil"/>
                                    <w:bottom w:val="single" w:sz="4" w:space="0" w:color="auto"/>
                                    <w:right w:val="single" w:sz="4" w:space="0" w:color="auto"/>
                                  </w:tcBorders>
                                  <w:shd w:val="clear" w:color="auto" w:fill="auto"/>
                                  <w:noWrap/>
                                  <w:vAlign w:val="center"/>
                                  <w:hideMark/>
                                </w:tcPr>
                                <w:p w14:paraId="2AD72063"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2019</w:t>
                                  </w:r>
                                </w:p>
                              </w:tc>
                              <w:tc>
                                <w:tcPr>
                                  <w:tcW w:w="2460" w:type="dxa"/>
                                  <w:tcBorders>
                                    <w:top w:val="nil"/>
                                    <w:left w:val="nil"/>
                                    <w:bottom w:val="single" w:sz="4" w:space="0" w:color="auto"/>
                                    <w:right w:val="single" w:sz="4" w:space="0" w:color="auto"/>
                                  </w:tcBorders>
                                  <w:shd w:val="clear" w:color="auto" w:fill="auto"/>
                                  <w:noWrap/>
                                  <w:vAlign w:val="center"/>
                                  <w:hideMark/>
                                </w:tcPr>
                                <w:p w14:paraId="1A0244DE"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160 (32)</w:t>
                                  </w:r>
                                </w:p>
                              </w:tc>
                              <w:tc>
                                <w:tcPr>
                                  <w:tcW w:w="3980" w:type="dxa"/>
                                  <w:tcBorders>
                                    <w:top w:val="nil"/>
                                    <w:left w:val="nil"/>
                                    <w:bottom w:val="single" w:sz="4" w:space="0" w:color="auto"/>
                                    <w:right w:val="single" w:sz="4" w:space="0" w:color="auto"/>
                                  </w:tcBorders>
                                  <w:shd w:val="clear" w:color="auto" w:fill="auto"/>
                                  <w:vAlign w:val="center"/>
                                  <w:hideMark/>
                                </w:tcPr>
                                <w:p w14:paraId="6418B663"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HB lognormal regression with spatial random effect (S5-S6)</w:t>
                                  </w:r>
                                </w:p>
                              </w:tc>
                              <w:tc>
                                <w:tcPr>
                                  <w:tcW w:w="2160" w:type="dxa"/>
                                  <w:tcBorders>
                                    <w:top w:val="nil"/>
                                    <w:left w:val="nil"/>
                                    <w:bottom w:val="single" w:sz="4" w:space="0" w:color="auto"/>
                                    <w:right w:val="single" w:sz="4" w:space="0" w:color="auto"/>
                                  </w:tcBorders>
                                  <w:shd w:val="clear" w:color="auto" w:fill="auto"/>
                                  <w:vAlign w:val="center"/>
                                  <w:hideMark/>
                                </w:tcPr>
                                <w:p w14:paraId="2319E795"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non-overlapping 95% CI</w:t>
                                  </w:r>
                                </w:p>
                              </w:tc>
                            </w:tr>
                            <w:tr w:rsidR="00221CD1" w:rsidRPr="00B11885" w14:paraId="05D045BC" w14:textId="77777777" w:rsidTr="00221CD1">
                              <w:trPr>
                                <w:trHeight w:val="561"/>
                              </w:trPr>
                              <w:tc>
                                <w:tcPr>
                                  <w:tcW w:w="1420" w:type="dxa"/>
                                  <w:tcBorders>
                                    <w:top w:val="nil"/>
                                    <w:left w:val="nil"/>
                                    <w:bottom w:val="nil"/>
                                    <w:right w:val="nil"/>
                                  </w:tcBorders>
                                  <w:shd w:val="clear" w:color="auto" w:fill="auto"/>
                                  <w:vAlign w:val="center"/>
                                  <w:hideMark/>
                                </w:tcPr>
                                <w:p w14:paraId="33588401"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Soil Respiration</w:t>
                                  </w:r>
                                </w:p>
                              </w:tc>
                              <w:tc>
                                <w:tcPr>
                                  <w:tcW w:w="1420" w:type="dxa"/>
                                  <w:tcBorders>
                                    <w:top w:val="nil"/>
                                    <w:left w:val="single" w:sz="4" w:space="0" w:color="auto"/>
                                    <w:bottom w:val="single" w:sz="4" w:space="0" w:color="auto"/>
                                    <w:right w:val="single" w:sz="4" w:space="0" w:color="auto"/>
                                  </w:tcBorders>
                                  <w:shd w:val="clear" w:color="auto" w:fill="auto"/>
                                  <w:vAlign w:val="center"/>
                                  <w:hideMark/>
                                </w:tcPr>
                                <w:p w14:paraId="65CCF660"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Area x Stratum - Lower</w:t>
                                  </w:r>
                                </w:p>
                              </w:tc>
                              <w:tc>
                                <w:tcPr>
                                  <w:tcW w:w="1140" w:type="dxa"/>
                                  <w:tcBorders>
                                    <w:top w:val="nil"/>
                                    <w:left w:val="nil"/>
                                    <w:bottom w:val="single" w:sz="4" w:space="0" w:color="auto"/>
                                    <w:right w:val="single" w:sz="4" w:space="0" w:color="auto"/>
                                  </w:tcBorders>
                                  <w:shd w:val="clear" w:color="auto" w:fill="auto"/>
                                  <w:noWrap/>
                                  <w:vAlign w:val="center"/>
                                  <w:hideMark/>
                                </w:tcPr>
                                <w:p w14:paraId="03149CD1"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2019</w:t>
                                  </w:r>
                                </w:p>
                              </w:tc>
                              <w:tc>
                                <w:tcPr>
                                  <w:tcW w:w="2460" w:type="dxa"/>
                                  <w:tcBorders>
                                    <w:top w:val="nil"/>
                                    <w:left w:val="nil"/>
                                    <w:bottom w:val="single" w:sz="4" w:space="0" w:color="auto"/>
                                    <w:right w:val="single" w:sz="4" w:space="0" w:color="auto"/>
                                  </w:tcBorders>
                                  <w:shd w:val="clear" w:color="auto" w:fill="auto"/>
                                  <w:noWrap/>
                                  <w:vAlign w:val="center"/>
                                  <w:hideMark/>
                                </w:tcPr>
                                <w:p w14:paraId="48D0AC88"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96 (32)</w:t>
                                  </w:r>
                                </w:p>
                              </w:tc>
                              <w:tc>
                                <w:tcPr>
                                  <w:tcW w:w="3980" w:type="dxa"/>
                                  <w:tcBorders>
                                    <w:top w:val="nil"/>
                                    <w:left w:val="nil"/>
                                    <w:bottom w:val="single" w:sz="4" w:space="0" w:color="auto"/>
                                    <w:right w:val="single" w:sz="4" w:space="0" w:color="auto"/>
                                  </w:tcBorders>
                                  <w:shd w:val="clear" w:color="auto" w:fill="auto"/>
                                  <w:vAlign w:val="center"/>
                                  <w:hideMark/>
                                </w:tcPr>
                                <w:p w14:paraId="0877B681"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HB lognormal regression with spatial random effect (S5-S6)</w:t>
                                  </w:r>
                                </w:p>
                              </w:tc>
                              <w:tc>
                                <w:tcPr>
                                  <w:tcW w:w="2160" w:type="dxa"/>
                                  <w:tcBorders>
                                    <w:top w:val="nil"/>
                                    <w:left w:val="nil"/>
                                    <w:bottom w:val="single" w:sz="4" w:space="0" w:color="auto"/>
                                    <w:right w:val="single" w:sz="4" w:space="0" w:color="auto"/>
                                  </w:tcBorders>
                                  <w:shd w:val="clear" w:color="auto" w:fill="auto"/>
                                  <w:vAlign w:val="center"/>
                                  <w:hideMark/>
                                </w:tcPr>
                                <w:p w14:paraId="73A115DA"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non-overlapping 95% CI</w:t>
                                  </w:r>
                                </w:p>
                              </w:tc>
                            </w:tr>
                            <w:tr w:rsidR="00221CD1" w:rsidRPr="00B11885" w14:paraId="02504E14" w14:textId="77777777" w:rsidTr="00221CD1">
                              <w:trPr>
                                <w:trHeight w:val="561"/>
                              </w:trPr>
                              <w:tc>
                                <w:tcPr>
                                  <w:tcW w:w="1420" w:type="dxa"/>
                                  <w:tcBorders>
                                    <w:top w:val="nil"/>
                                    <w:left w:val="nil"/>
                                    <w:bottom w:val="nil"/>
                                    <w:right w:val="nil"/>
                                  </w:tcBorders>
                                  <w:shd w:val="clear" w:color="auto" w:fill="auto"/>
                                  <w:vAlign w:val="center"/>
                                  <w:hideMark/>
                                </w:tcPr>
                                <w:p w14:paraId="220FE263"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Soil Nutrient</w:t>
                                  </w:r>
                                </w:p>
                              </w:tc>
                              <w:tc>
                                <w:tcPr>
                                  <w:tcW w:w="1420" w:type="dxa"/>
                                  <w:tcBorders>
                                    <w:top w:val="nil"/>
                                    <w:left w:val="single" w:sz="4" w:space="0" w:color="auto"/>
                                    <w:bottom w:val="single" w:sz="4" w:space="0" w:color="auto"/>
                                    <w:right w:val="single" w:sz="4" w:space="0" w:color="auto"/>
                                  </w:tcBorders>
                                  <w:shd w:val="clear" w:color="auto" w:fill="auto"/>
                                  <w:vAlign w:val="center"/>
                                  <w:hideMark/>
                                </w:tcPr>
                                <w:p w14:paraId="566CC66E"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Area</w:t>
                                  </w:r>
                                </w:p>
                              </w:tc>
                              <w:tc>
                                <w:tcPr>
                                  <w:tcW w:w="1140" w:type="dxa"/>
                                  <w:tcBorders>
                                    <w:top w:val="nil"/>
                                    <w:left w:val="nil"/>
                                    <w:bottom w:val="single" w:sz="4" w:space="0" w:color="auto"/>
                                    <w:right w:val="single" w:sz="4" w:space="0" w:color="auto"/>
                                  </w:tcBorders>
                                  <w:shd w:val="clear" w:color="auto" w:fill="auto"/>
                                  <w:noWrap/>
                                  <w:vAlign w:val="center"/>
                                  <w:hideMark/>
                                </w:tcPr>
                                <w:p w14:paraId="26055B54"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2019</w:t>
                                  </w:r>
                                </w:p>
                              </w:tc>
                              <w:tc>
                                <w:tcPr>
                                  <w:tcW w:w="2460" w:type="dxa"/>
                                  <w:tcBorders>
                                    <w:top w:val="nil"/>
                                    <w:left w:val="nil"/>
                                    <w:bottom w:val="single" w:sz="4" w:space="0" w:color="auto"/>
                                    <w:right w:val="single" w:sz="4" w:space="0" w:color="auto"/>
                                  </w:tcBorders>
                                  <w:shd w:val="clear" w:color="auto" w:fill="auto"/>
                                  <w:noWrap/>
                                  <w:vAlign w:val="center"/>
                                  <w:hideMark/>
                                </w:tcPr>
                                <w:p w14:paraId="368D7889"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8 (4 UFF, 3 Lawn)</w:t>
                                  </w:r>
                                </w:p>
                              </w:tc>
                              <w:tc>
                                <w:tcPr>
                                  <w:tcW w:w="3980" w:type="dxa"/>
                                  <w:tcBorders>
                                    <w:top w:val="nil"/>
                                    <w:left w:val="nil"/>
                                    <w:bottom w:val="single" w:sz="4" w:space="0" w:color="auto"/>
                                    <w:right w:val="single" w:sz="4" w:space="0" w:color="auto"/>
                                  </w:tcBorders>
                                  <w:shd w:val="clear" w:color="auto" w:fill="auto"/>
                                  <w:vAlign w:val="center"/>
                                  <w:hideMark/>
                                </w:tcPr>
                                <w:p w14:paraId="6C56037F"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Principle Component Analysis</w:t>
                                  </w:r>
                                </w:p>
                              </w:tc>
                              <w:tc>
                                <w:tcPr>
                                  <w:tcW w:w="2160" w:type="dxa"/>
                                  <w:tcBorders>
                                    <w:top w:val="nil"/>
                                    <w:left w:val="nil"/>
                                    <w:bottom w:val="single" w:sz="4" w:space="0" w:color="auto"/>
                                    <w:right w:val="single" w:sz="4" w:space="0" w:color="auto"/>
                                  </w:tcBorders>
                                  <w:shd w:val="clear" w:color="auto" w:fill="auto"/>
                                  <w:vAlign w:val="center"/>
                                  <w:hideMark/>
                                </w:tcPr>
                                <w:p w14:paraId="3AD11646"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NA</w:t>
                                  </w:r>
                                </w:p>
                              </w:tc>
                            </w:tr>
                            <w:tr w:rsidR="00221CD1" w:rsidRPr="00B11885" w14:paraId="2DE5B883" w14:textId="77777777" w:rsidTr="00221CD1">
                              <w:trPr>
                                <w:trHeight w:val="561"/>
                              </w:trPr>
                              <w:tc>
                                <w:tcPr>
                                  <w:tcW w:w="1420" w:type="dxa"/>
                                  <w:tcBorders>
                                    <w:top w:val="nil"/>
                                    <w:left w:val="nil"/>
                                    <w:bottom w:val="nil"/>
                                    <w:right w:val="nil"/>
                                  </w:tcBorders>
                                  <w:shd w:val="clear" w:color="auto" w:fill="auto"/>
                                  <w:vAlign w:val="center"/>
                                  <w:hideMark/>
                                </w:tcPr>
                                <w:p w14:paraId="5DD01627"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Microbial Diversity</w:t>
                                  </w:r>
                                </w:p>
                              </w:tc>
                              <w:tc>
                                <w:tcPr>
                                  <w:tcW w:w="1420" w:type="dxa"/>
                                  <w:tcBorders>
                                    <w:top w:val="nil"/>
                                    <w:left w:val="single" w:sz="4" w:space="0" w:color="auto"/>
                                    <w:bottom w:val="single" w:sz="4" w:space="0" w:color="auto"/>
                                    <w:right w:val="single" w:sz="4" w:space="0" w:color="auto"/>
                                  </w:tcBorders>
                                  <w:shd w:val="clear" w:color="auto" w:fill="auto"/>
                                  <w:vAlign w:val="center"/>
                                  <w:hideMark/>
                                </w:tcPr>
                                <w:p w14:paraId="12EEBB8D"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Area</w:t>
                                  </w:r>
                                </w:p>
                              </w:tc>
                              <w:tc>
                                <w:tcPr>
                                  <w:tcW w:w="1140" w:type="dxa"/>
                                  <w:tcBorders>
                                    <w:top w:val="nil"/>
                                    <w:left w:val="nil"/>
                                    <w:bottom w:val="single" w:sz="4" w:space="0" w:color="auto"/>
                                    <w:right w:val="single" w:sz="4" w:space="0" w:color="auto"/>
                                  </w:tcBorders>
                                  <w:shd w:val="clear" w:color="auto" w:fill="auto"/>
                                  <w:noWrap/>
                                  <w:vAlign w:val="center"/>
                                  <w:hideMark/>
                                </w:tcPr>
                                <w:p w14:paraId="6B9DD17C"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2019</w:t>
                                  </w:r>
                                </w:p>
                              </w:tc>
                              <w:tc>
                                <w:tcPr>
                                  <w:tcW w:w="2460" w:type="dxa"/>
                                  <w:tcBorders>
                                    <w:top w:val="nil"/>
                                    <w:left w:val="nil"/>
                                    <w:bottom w:val="single" w:sz="4" w:space="0" w:color="auto"/>
                                    <w:right w:val="single" w:sz="4" w:space="0" w:color="auto"/>
                                  </w:tcBorders>
                                  <w:shd w:val="clear" w:color="auto" w:fill="auto"/>
                                  <w:noWrap/>
                                  <w:vAlign w:val="center"/>
                                  <w:hideMark/>
                                </w:tcPr>
                                <w:p w14:paraId="207A63E8"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6 (3 UFF, 2 Lawn)</w:t>
                                  </w:r>
                                </w:p>
                              </w:tc>
                              <w:tc>
                                <w:tcPr>
                                  <w:tcW w:w="3980" w:type="dxa"/>
                                  <w:tcBorders>
                                    <w:top w:val="nil"/>
                                    <w:left w:val="nil"/>
                                    <w:bottom w:val="single" w:sz="4" w:space="0" w:color="auto"/>
                                    <w:right w:val="single" w:sz="4" w:space="0" w:color="auto"/>
                                  </w:tcBorders>
                                  <w:shd w:val="clear" w:color="auto" w:fill="auto"/>
                                  <w:vAlign w:val="center"/>
                                  <w:hideMark/>
                                </w:tcPr>
                                <w:p w14:paraId="12577774"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Chao-1 diversity</w:t>
                                  </w:r>
                                </w:p>
                              </w:tc>
                              <w:tc>
                                <w:tcPr>
                                  <w:tcW w:w="2160" w:type="dxa"/>
                                  <w:tcBorders>
                                    <w:top w:val="nil"/>
                                    <w:left w:val="nil"/>
                                    <w:bottom w:val="single" w:sz="4" w:space="0" w:color="auto"/>
                                    <w:right w:val="single" w:sz="4" w:space="0" w:color="auto"/>
                                  </w:tcBorders>
                                  <w:shd w:val="clear" w:color="auto" w:fill="auto"/>
                                  <w:vAlign w:val="center"/>
                                  <w:hideMark/>
                                </w:tcPr>
                                <w:p w14:paraId="408E4B26"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non-overlapping standard error</w:t>
                                  </w:r>
                                </w:p>
                              </w:tc>
                            </w:tr>
                            <w:tr w:rsidR="00221CD1" w:rsidRPr="00B11885" w14:paraId="5201408D" w14:textId="77777777" w:rsidTr="00221CD1">
                              <w:trPr>
                                <w:trHeight w:val="561"/>
                              </w:trPr>
                              <w:tc>
                                <w:tcPr>
                                  <w:tcW w:w="1420" w:type="dxa"/>
                                  <w:tcBorders>
                                    <w:top w:val="nil"/>
                                    <w:left w:val="nil"/>
                                    <w:bottom w:val="nil"/>
                                    <w:right w:val="nil"/>
                                  </w:tcBorders>
                                  <w:shd w:val="clear" w:color="auto" w:fill="auto"/>
                                  <w:vAlign w:val="center"/>
                                  <w:hideMark/>
                                </w:tcPr>
                                <w:p w14:paraId="60E44CE9"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Fungal Function</w:t>
                                  </w:r>
                                </w:p>
                              </w:tc>
                              <w:tc>
                                <w:tcPr>
                                  <w:tcW w:w="1420" w:type="dxa"/>
                                  <w:tcBorders>
                                    <w:top w:val="nil"/>
                                    <w:left w:val="single" w:sz="4" w:space="0" w:color="auto"/>
                                    <w:bottom w:val="single" w:sz="4" w:space="0" w:color="auto"/>
                                    <w:right w:val="single" w:sz="4" w:space="0" w:color="auto"/>
                                  </w:tcBorders>
                                  <w:shd w:val="clear" w:color="auto" w:fill="auto"/>
                                  <w:vAlign w:val="center"/>
                                  <w:hideMark/>
                                </w:tcPr>
                                <w:p w14:paraId="31675FE3"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Area</w:t>
                                  </w:r>
                                </w:p>
                              </w:tc>
                              <w:tc>
                                <w:tcPr>
                                  <w:tcW w:w="1140" w:type="dxa"/>
                                  <w:tcBorders>
                                    <w:top w:val="nil"/>
                                    <w:left w:val="nil"/>
                                    <w:bottom w:val="single" w:sz="4" w:space="0" w:color="auto"/>
                                    <w:right w:val="single" w:sz="4" w:space="0" w:color="auto"/>
                                  </w:tcBorders>
                                  <w:shd w:val="clear" w:color="auto" w:fill="auto"/>
                                  <w:noWrap/>
                                  <w:vAlign w:val="center"/>
                                  <w:hideMark/>
                                </w:tcPr>
                                <w:p w14:paraId="65D647C0"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2019</w:t>
                                  </w:r>
                                </w:p>
                              </w:tc>
                              <w:tc>
                                <w:tcPr>
                                  <w:tcW w:w="2460" w:type="dxa"/>
                                  <w:tcBorders>
                                    <w:top w:val="nil"/>
                                    <w:left w:val="nil"/>
                                    <w:bottom w:val="single" w:sz="4" w:space="0" w:color="auto"/>
                                    <w:right w:val="single" w:sz="4" w:space="0" w:color="auto"/>
                                  </w:tcBorders>
                                  <w:shd w:val="clear" w:color="auto" w:fill="auto"/>
                                  <w:noWrap/>
                                  <w:vAlign w:val="center"/>
                                  <w:hideMark/>
                                </w:tcPr>
                                <w:p w14:paraId="688B8B1B"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250 OTUs (26, 224)</w:t>
                                  </w:r>
                                </w:p>
                              </w:tc>
                              <w:tc>
                                <w:tcPr>
                                  <w:tcW w:w="3980" w:type="dxa"/>
                                  <w:tcBorders>
                                    <w:top w:val="nil"/>
                                    <w:left w:val="nil"/>
                                    <w:bottom w:val="single" w:sz="4" w:space="0" w:color="auto"/>
                                    <w:right w:val="single" w:sz="4" w:space="0" w:color="auto"/>
                                  </w:tcBorders>
                                  <w:shd w:val="clear" w:color="auto" w:fill="auto"/>
                                  <w:vAlign w:val="center"/>
                                  <w:hideMark/>
                                </w:tcPr>
                                <w:p w14:paraId="4C647C66"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Fisher's Exact Test</w:t>
                                  </w:r>
                                </w:p>
                              </w:tc>
                              <w:tc>
                                <w:tcPr>
                                  <w:tcW w:w="2160" w:type="dxa"/>
                                  <w:tcBorders>
                                    <w:top w:val="nil"/>
                                    <w:left w:val="nil"/>
                                    <w:bottom w:val="single" w:sz="4" w:space="0" w:color="auto"/>
                                    <w:right w:val="single" w:sz="4" w:space="0" w:color="auto"/>
                                  </w:tcBorders>
                                  <w:shd w:val="clear" w:color="auto" w:fill="auto"/>
                                  <w:vAlign w:val="center"/>
                                  <w:hideMark/>
                                </w:tcPr>
                                <w:p w14:paraId="46053CFB"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p&lt;0.05</w:t>
                                  </w:r>
                                </w:p>
                              </w:tc>
                            </w:tr>
                          </w:tbl>
                          <w:p w14:paraId="1516331F" w14:textId="77777777" w:rsidR="00221CD1" w:rsidRDefault="00221CD1" w:rsidP="0003230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9451BC" id="_x0000_t202" coordsize="21600,21600" o:spt="202" path="m,l,21600r21600,l21600,xe">
                <v:stroke joinstyle="miter"/>
                <v:path gradientshapeok="t" o:connecttype="rect"/>
              </v:shapetype>
              <v:shape id="Text Box 3" o:spid="_x0000_s1026" type="#_x0000_t202" style="position:absolute;margin-left:598.2pt;margin-top:184.5pt;width:649.4pt;height:281.85pt;rotation:90;z-index:25166028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">
                <v:textbox>
                  <w:txbxContent>
                    <w:tbl>
                      <w:tblPr>
                        <w:tblW w:w="12580" w:type="dxa"/>
                        <w:tblLook w:val="04A0" w:firstRow="1" w:lastRow="0" w:firstColumn="1" w:lastColumn="0" w:noHBand="0" w:noVBand="1"/>
                      </w:tblPr>
                      <w:tblGrid>
                        <w:gridCol w:w="1420"/>
                        <w:gridCol w:w="1420"/>
                        <w:gridCol w:w="1140"/>
                        <w:gridCol w:w="2460"/>
                        <w:gridCol w:w="3980"/>
                        <w:gridCol w:w="2160"/>
                      </w:tblGrid>
                      <w:tr w:rsidR="00221CD1" w:rsidRPr="00B11885" w14:paraId="3A2B20DC" w14:textId="77777777" w:rsidTr="00221CD1">
                        <w:trPr>
                          <w:trHeight w:val="285"/>
                        </w:trPr>
                        <w:tc>
                          <w:tcPr>
                            <w:tcW w:w="1420" w:type="dxa"/>
                            <w:tcBorders>
                              <w:top w:val="nil"/>
                              <w:left w:val="nil"/>
                              <w:bottom w:val="nil"/>
                              <w:right w:val="nil"/>
                            </w:tcBorders>
                            <w:shd w:val="clear" w:color="auto" w:fill="auto"/>
                            <w:vAlign w:val="bottom"/>
                            <w:hideMark/>
                          </w:tcPr>
                          <w:p w14:paraId="6D49986E" w14:textId="77777777" w:rsidR="00221CD1" w:rsidRPr="00B11885" w:rsidRDefault="00221CD1" w:rsidP="00221CD1">
                            <w:pPr>
                              <w:spacing w:line="240" w:lineRule="auto"/>
                              <w:jc w:val="center"/>
                              <w:rPr>
                                <w:rFonts w:ascii="Calibri" w:eastAsia="Times New Roman" w:hAnsi="Calibri" w:cs="Calibri"/>
                                <w:b/>
                                <w:bCs/>
                                <w:color w:val="000000"/>
                                <w:sz w:val="20"/>
                                <w:szCs w:val="20"/>
                                <w:lang w:val="en-US"/>
                              </w:rPr>
                            </w:pPr>
                            <w:r w:rsidRPr="00B11885">
                              <w:rPr>
                                <w:rFonts w:ascii="Calibri" w:eastAsia="Times New Roman" w:hAnsi="Calibri" w:cs="Calibri"/>
                                <w:b/>
                                <w:bCs/>
                                <w:color w:val="000000"/>
                                <w:sz w:val="20"/>
                                <w:szCs w:val="20"/>
                                <w:lang w:val="en-US"/>
                              </w:rPr>
                              <w:t>Analysis</w:t>
                            </w:r>
                          </w:p>
                        </w:tc>
                        <w:tc>
                          <w:tcPr>
                            <w:tcW w:w="1420" w:type="dxa"/>
                            <w:tcBorders>
                              <w:top w:val="nil"/>
                              <w:left w:val="nil"/>
                              <w:bottom w:val="nil"/>
                              <w:right w:val="nil"/>
                            </w:tcBorders>
                            <w:shd w:val="clear" w:color="auto" w:fill="auto"/>
                            <w:vAlign w:val="bottom"/>
                            <w:hideMark/>
                          </w:tcPr>
                          <w:p w14:paraId="3B69AC5F" w14:textId="77777777" w:rsidR="00221CD1" w:rsidRPr="00B11885" w:rsidRDefault="00221CD1" w:rsidP="00221CD1">
                            <w:pPr>
                              <w:spacing w:line="240" w:lineRule="auto"/>
                              <w:jc w:val="center"/>
                              <w:rPr>
                                <w:rFonts w:ascii="Calibri" w:eastAsia="Times New Roman" w:hAnsi="Calibri" w:cs="Calibri"/>
                                <w:b/>
                                <w:bCs/>
                                <w:color w:val="000000"/>
                                <w:sz w:val="20"/>
                                <w:szCs w:val="20"/>
                                <w:lang w:val="en-US"/>
                              </w:rPr>
                            </w:pPr>
                            <w:r w:rsidRPr="00B11885">
                              <w:rPr>
                                <w:rFonts w:ascii="Calibri" w:eastAsia="Times New Roman" w:hAnsi="Calibri" w:cs="Calibri"/>
                                <w:b/>
                                <w:bCs/>
                                <w:color w:val="000000"/>
                                <w:sz w:val="20"/>
                                <w:szCs w:val="20"/>
                                <w:lang w:val="en-US"/>
                              </w:rPr>
                              <w:t>Contrast</w:t>
                            </w:r>
                          </w:p>
                        </w:tc>
                        <w:tc>
                          <w:tcPr>
                            <w:tcW w:w="1140" w:type="dxa"/>
                            <w:tcBorders>
                              <w:top w:val="nil"/>
                              <w:left w:val="nil"/>
                              <w:bottom w:val="nil"/>
                              <w:right w:val="nil"/>
                            </w:tcBorders>
                            <w:shd w:val="clear" w:color="auto" w:fill="auto"/>
                            <w:noWrap/>
                            <w:vAlign w:val="bottom"/>
                            <w:hideMark/>
                          </w:tcPr>
                          <w:p w14:paraId="60068E74" w14:textId="77777777" w:rsidR="00221CD1" w:rsidRPr="00B11885" w:rsidRDefault="00221CD1" w:rsidP="00221CD1">
                            <w:pPr>
                              <w:spacing w:line="240" w:lineRule="auto"/>
                              <w:jc w:val="center"/>
                              <w:rPr>
                                <w:rFonts w:ascii="Calibri" w:eastAsia="Times New Roman" w:hAnsi="Calibri" w:cs="Calibri"/>
                                <w:b/>
                                <w:bCs/>
                                <w:color w:val="000000"/>
                                <w:sz w:val="20"/>
                                <w:szCs w:val="20"/>
                                <w:lang w:val="en-US"/>
                              </w:rPr>
                            </w:pPr>
                            <w:r w:rsidRPr="00B11885">
                              <w:rPr>
                                <w:rFonts w:ascii="Calibri" w:eastAsia="Times New Roman" w:hAnsi="Calibri" w:cs="Calibri"/>
                                <w:b/>
                                <w:bCs/>
                                <w:color w:val="000000"/>
                                <w:sz w:val="20"/>
                                <w:szCs w:val="20"/>
                                <w:lang w:val="en-US"/>
                              </w:rPr>
                              <w:t>Sample Year</w:t>
                            </w:r>
                          </w:p>
                        </w:tc>
                        <w:tc>
                          <w:tcPr>
                            <w:tcW w:w="2460" w:type="dxa"/>
                            <w:tcBorders>
                              <w:top w:val="nil"/>
                              <w:left w:val="nil"/>
                              <w:bottom w:val="nil"/>
                              <w:right w:val="nil"/>
                            </w:tcBorders>
                            <w:shd w:val="clear" w:color="auto" w:fill="auto"/>
                            <w:noWrap/>
                            <w:vAlign w:val="bottom"/>
                            <w:hideMark/>
                          </w:tcPr>
                          <w:p w14:paraId="7693DF17" w14:textId="77777777" w:rsidR="00221CD1" w:rsidRPr="00B11885" w:rsidRDefault="00221CD1" w:rsidP="00221CD1">
                            <w:pPr>
                              <w:spacing w:line="240" w:lineRule="auto"/>
                              <w:jc w:val="center"/>
                              <w:rPr>
                                <w:rFonts w:ascii="Calibri" w:eastAsia="Times New Roman" w:hAnsi="Calibri" w:cs="Calibri"/>
                                <w:b/>
                                <w:bCs/>
                                <w:color w:val="000000"/>
                                <w:sz w:val="20"/>
                                <w:szCs w:val="20"/>
                                <w:lang w:val="en-US"/>
                              </w:rPr>
                            </w:pPr>
                            <w:r w:rsidRPr="00B11885">
                              <w:rPr>
                                <w:rFonts w:ascii="Calibri" w:eastAsia="Times New Roman" w:hAnsi="Calibri" w:cs="Calibri"/>
                                <w:b/>
                                <w:bCs/>
                                <w:color w:val="000000"/>
                                <w:sz w:val="20"/>
                                <w:szCs w:val="20"/>
                                <w:lang w:val="en-US"/>
                              </w:rPr>
                              <w:t>Total Samples (per contrast)</w:t>
                            </w:r>
                          </w:p>
                        </w:tc>
                        <w:tc>
                          <w:tcPr>
                            <w:tcW w:w="3980" w:type="dxa"/>
                            <w:tcBorders>
                              <w:top w:val="nil"/>
                              <w:left w:val="nil"/>
                              <w:bottom w:val="nil"/>
                              <w:right w:val="nil"/>
                            </w:tcBorders>
                            <w:shd w:val="clear" w:color="auto" w:fill="auto"/>
                            <w:noWrap/>
                            <w:vAlign w:val="bottom"/>
                            <w:hideMark/>
                          </w:tcPr>
                          <w:p w14:paraId="21E2653A" w14:textId="77777777" w:rsidR="00221CD1" w:rsidRPr="00B11885" w:rsidRDefault="00221CD1" w:rsidP="00221CD1">
                            <w:pPr>
                              <w:spacing w:line="240" w:lineRule="auto"/>
                              <w:jc w:val="center"/>
                              <w:rPr>
                                <w:rFonts w:ascii="Calibri" w:eastAsia="Times New Roman" w:hAnsi="Calibri" w:cs="Calibri"/>
                                <w:b/>
                                <w:bCs/>
                                <w:color w:val="000000"/>
                                <w:sz w:val="20"/>
                                <w:szCs w:val="20"/>
                                <w:lang w:val="en-US"/>
                              </w:rPr>
                            </w:pPr>
                            <w:r w:rsidRPr="00B11885">
                              <w:rPr>
                                <w:rFonts w:ascii="Calibri" w:eastAsia="Times New Roman" w:hAnsi="Calibri" w:cs="Calibri"/>
                                <w:b/>
                                <w:bCs/>
                                <w:color w:val="000000"/>
                                <w:sz w:val="20"/>
                                <w:szCs w:val="20"/>
                                <w:lang w:val="en-US"/>
                              </w:rPr>
                              <w:t xml:space="preserve"> Analysis (equations)</w:t>
                            </w:r>
                          </w:p>
                        </w:tc>
                        <w:tc>
                          <w:tcPr>
                            <w:tcW w:w="2160" w:type="dxa"/>
                            <w:tcBorders>
                              <w:top w:val="nil"/>
                              <w:left w:val="nil"/>
                              <w:bottom w:val="nil"/>
                              <w:right w:val="nil"/>
                            </w:tcBorders>
                            <w:shd w:val="clear" w:color="auto" w:fill="auto"/>
                            <w:vAlign w:val="bottom"/>
                            <w:hideMark/>
                          </w:tcPr>
                          <w:p w14:paraId="05521CE5" w14:textId="77777777" w:rsidR="00221CD1" w:rsidRPr="00B11885" w:rsidRDefault="00221CD1" w:rsidP="00221CD1">
                            <w:pPr>
                              <w:spacing w:line="240" w:lineRule="auto"/>
                              <w:jc w:val="center"/>
                              <w:rPr>
                                <w:rFonts w:ascii="Calibri" w:eastAsia="Times New Roman" w:hAnsi="Calibri" w:cs="Calibri"/>
                                <w:b/>
                                <w:bCs/>
                                <w:color w:val="000000"/>
                                <w:sz w:val="20"/>
                                <w:szCs w:val="20"/>
                                <w:lang w:val="en-US"/>
                              </w:rPr>
                            </w:pPr>
                            <w:r w:rsidRPr="00B11885">
                              <w:rPr>
                                <w:rFonts w:ascii="Calibri" w:eastAsia="Times New Roman" w:hAnsi="Calibri" w:cs="Calibri"/>
                                <w:b/>
                                <w:bCs/>
                                <w:color w:val="000000"/>
                                <w:sz w:val="20"/>
                                <w:szCs w:val="20"/>
                                <w:lang w:val="en-US"/>
                              </w:rPr>
                              <w:t>Significance Criteria</w:t>
                            </w:r>
                          </w:p>
                        </w:tc>
                      </w:tr>
                      <w:tr w:rsidR="00221CD1" w:rsidRPr="00B11885" w14:paraId="4E174987" w14:textId="77777777" w:rsidTr="00221CD1">
                        <w:trPr>
                          <w:trHeight w:val="561"/>
                        </w:trPr>
                        <w:tc>
                          <w:tcPr>
                            <w:tcW w:w="1420" w:type="dxa"/>
                            <w:tcBorders>
                              <w:top w:val="nil"/>
                              <w:left w:val="nil"/>
                              <w:bottom w:val="nil"/>
                              <w:right w:val="nil"/>
                            </w:tcBorders>
                            <w:shd w:val="clear" w:color="auto" w:fill="auto"/>
                            <w:vAlign w:val="center"/>
                            <w:hideMark/>
                          </w:tcPr>
                          <w:p w14:paraId="23985D15"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Total C Sequestration</w:t>
                            </w: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37BB35"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Area x Stratum x Year</w:t>
                            </w:r>
                          </w:p>
                        </w:tc>
                        <w:tc>
                          <w:tcPr>
                            <w:tcW w:w="1140" w:type="dxa"/>
                            <w:tcBorders>
                              <w:top w:val="single" w:sz="4" w:space="0" w:color="auto"/>
                              <w:left w:val="nil"/>
                              <w:bottom w:val="single" w:sz="4" w:space="0" w:color="auto"/>
                              <w:right w:val="single" w:sz="4" w:space="0" w:color="auto"/>
                            </w:tcBorders>
                            <w:shd w:val="clear" w:color="auto" w:fill="auto"/>
                            <w:noWrap/>
                            <w:vAlign w:val="center"/>
                            <w:hideMark/>
                          </w:tcPr>
                          <w:p w14:paraId="2015AC29"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2017, 2019</w:t>
                            </w:r>
                          </w:p>
                        </w:tc>
                        <w:tc>
                          <w:tcPr>
                            <w:tcW w:w="2460" w:type="dxa"/>
                            <w:tcBorders>
                              <w:top w:val="single" w:sz="4" w:space="0" w:color="auto"/>
                              <w:left w:val="nil"/>
                              <w:bottom w:val="single" w:sz="4" w:space="0" w:color="auto"/>
                              <w:right w:val="single" w:sz="4" w:space="0" w:color="auto"/>
                            </w:tcBorders>
                            <w:shd w:val="clear" w:color="auto" w:fill="auto"/>
                            <w:noWrap/>
                            <w:vAlign w:val="center"/>
                            <w:hideMark/>
                          </w:tcPr>
                          <w:p w14:paraId="7A7A5471"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280 (28)</w:t>
                            </w:r>
                          </w:p>
                        </w:tc>
                        <w:tc>
                          <w:tcPr>
                            <w:tcW w:w="3980" w:type="dxa"/>
                            <w:tcBorders>
                              <w:top w:val="single" w:sz="4" w:space="0" w:color="auto"/>
                              <w:left w:val="nil"/>
                              <w:bottom w:val="single" w:sz="4" w:space="0" w:color="auto"/>
                              <w:right w:val="single" w:sz="4" w:space="0" w:color="auto"/>
                            </w:tcBorders>
                            <w:shd w:val="clear" w:color="auto" w:fill="auto"/>
                            <w:vAlign w:val="center"/>
                            <w:hideMark/>
                          </w:tcPr>
                          <w:p w14:paraId="4206720E"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HB lognormal regression with linked calibration and spatial random effect (S1-S6)</w:t>
                            </w:r>
                          </w:p>
                        </w:tc>
                        <w:tc>
                          <w:tcPr>
                            <w:tcW w:w="2160" w:type="dxa"/>
                            <w:tcBorders>
                              <w:top w:val="single" w:sz="4" w:space="0" w:color="auto"/>
                              <w:left w:val="nil"/>
                              <w:bottom w:val="single" w:sz="4" w:space="0" w:color="auto"/>
                              <w:right w:val="single" w:sz="4" w:space="0" w:color="auto"/>
                            </w:tcBorders>
                            <w:shd w:val="clear" w:color="auto" w:fill="auto"/>
                            <w:vAlign w:val="center"/>
                            <w:hideMark/>
                          </w:tcPr>
                          <w:p w14:paraId="0C52586F"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non-overlapping 95% CI</w:t>
                            </w:r>
                          </w:p>
                        </w:tc>
                      </w:tr>
                      <w:tr w:rsidR="00221CD1" w:rsidRPr="00B11885" w14:paraId="77DE519A" w14:textId="77777777" w:rsidTr="00221CD1">
                        <w:trPr>
                          <w:trHeight w:val="561"/>
                        </w:trPr>
                        <w:tc>
                          <w:tcPr>
                            <w:tcW w:w="1420" w:type="dxa"/>
                            <w:tcBorders>
                              <w:top w:val="nil"/>
                              <w:left w:val="nil"/>
                              <w:bottom w:val="nil"/>
                              <w:right w:val="nil"/>
                            </w:tcBorders>
                            <w:shd w:val="clear" w:color="auto" w:fill="auto"/>
                            <w:vAlign w:val="center"/>
                            <w:hideMark/>
                          </w:tcPr>
                          <w:p w14:paraId="6E6CAA83"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Fine Scale Mass Balance</w:t>
                            </w:r>
                          </w:p>
                        </w:tc>
                        <w:tc>
                          <w:tcPr>
                            <w:tcW w:w="1420" w:type="dxa"/>
                            <w:tcBorders>
                              <w:top w:val="nil"/>
                              <w:left w:val="single" w:sz="4" w:space="0" w:color="auto"/>
                              <w:bottom w:val="single" w:sz="4" w:space="0" w:color="auto"/>
                              <w:right w:val="single" w:sz="4" w:space="0" w:color="auto"/>
                            </w:tcBorders>
                            <w:shd w:val="clear" w:color="auto" w:fill="auto"/>
                            <w:vAlign w:val="center"/>
                            <w:hideMark/>
                          </w:tcPr>
                          <w:p w14:paraId="59D66810"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Area</w:t>
                            </w:r>
                          </w:p>
                        </w:tc>
                        <w:tc>
                          <w:tcPr>
                            <w:tcW w:w="1140" w:type="dxa"/>
                            <w:tcBorders>
                              <w:top w:val="nil"/>
                              <w:left w:val="nil"/>
                              <w:bottom w:val="single" w:sz="4" w:space="0" w:color="auto"/>
                              <w:right w:val="single" w:sz="4" w:space="0" w:color="auto"/>
                            </w:tcBorders>
                            <w:shd w:val="clear" w:color="auto" w:fill="auto"/>
                            <w:noWrap/>
                            <w:vAlign w:val="center"/>
                            <w:hideMark/>
                          </w:tcPr>
                          <w:p w14:paraId="11630D0D"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2017, 2019</w:t>
                            </w:r>
                          </w:p>
                        </w:tc>
                        <w:tc>
                          <w:tcPr>
                            <w:tcW w:w="2460" w:type="dxa"/>
                            <w:tcBorders>
                              <w:top w:val="nil"/>
                              <w:left w:val="nil"/>
                              <w:bottom w:val="single" w:sz="4" w:space="0" w:color="auto"/>
                              <w:right w:val="single" w:sz="4" w:space="0" w:color="auto"/>
                            </w:tcBorders>
                            <w:shd w:val="clear" w:color="auto" w:fill="auto"/>
                            <w:noWrap/>
                            <w:vAlign w:val="center"/>
                            <w:hideMark/>
                          </w:tcPr>
                          <w:p w14:paraId="1FF85A08"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280 (28)</w:t>
                            </w:r>
                          </w:p>
                        </w:tc>
                        <w:tc>
                          <w:tcPr>
                            <w:tcW w:w="3980" w:type="dxa"/>
                            <w:tcBorders>
                              <w:top w:val="nil"/>
                              <w:left w:val="nil"/>
                              <w:bottom w:val="single" w:sz="4" w:space="0" w:color="auto"/>
                              <w:right w:val="single" w:sz="4" w:space="0" w:color="auto"/>
                            </w:tcBorders>
                            <w:shd w:val="clear" w:color="auto" w:fill="auto"/>
                            <w:vAlign w:val="center"/>
                            <w:hideMark/>
                          </w:tcPr>
                          <w:p w14:paraId="15A2A220"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HB lognormal regression with linked calibration and spatial random effect (S1-S8)</w:t>
                            </w:r>
                          </w:p>
                        </w:tc>
                        <w:tc>
                          <w:tcPr>
                            <w:tcW w:w="2160" w:type="dxa"/>
                            <w:tcBorders>
                              <w:top w:val="nil"/>
                              <w:left w:val="nil"/>
                              <w:bottom w:val="single" w:sz="4" w:space="0" w:color="auto"/>
                              <w:right w:val="single" w:sz="4" w:space="0" w:color="auto"/>
                            </w:tcBorders>
                            <w:shd w:val="clear" w:color="auto" w:fill="auto"/>
                            <w:vAlign w:val="center"/>
                            <w:hideMark/>
                          </w:tcPr>
                          <w:p w14:paraId="1B326877"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parameter 95% CIs exlude zero</w:t>
                            </w:r>
                          </w:p>
                        </w:tc>
                      </w:tr>
                      <w:tr w:rsidR="00221CD1" w:rsidRPr="00B11885" w14:paraId="573F7F46" w14:textId="77777777" w:rsidTr="00221CD1">
                        <w:trPr>
                          <w:trHeight w:val="561"/>
                        </w:trPr>
                        <w:tc>
                          <w:tcPr>
                            <w:tcW w:w="1420" w:type="dxa"/>
                            <w:tcBorders>
                              <w:top w:val="nil"/>
                              <w:left w:val="nil"/>
                              <w:bottom w:val="nil"/>
                              <w:right w:val="nil"/>
                            </w:tcBorders>
                            <w:shd w:val="clear" w:color="auto" w:fill="auto"/>
                            <w:vAlign w:val="center"/>
                            <w:hideMark/>
                          </w:tcPr>
                          <w:p w14:paraId="26ED7FE0"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Soil C Calibration</w:t>
                            </w:r>
                          </w:p>
                        </w:tc>
                        <w:tc>
                          <w:tcPr>
                            <w:tcW w:w="1420" w:type="dxa"/>
                            <w:tcBorders>
                              <w:top w:val="nil"/>
                              <w:left w:val="single" w:sz="4" w:space="0" w:color="auto"/>
                              <w:bottom w:val="single" w:sz="4" w:space="0" w:color="auto"/>
                              <w:right w:val="single" w:sz="4" w:space="0" w:color="auto"/>
                            </w:tcBorders>
                            <w:shd w:val="clear" w:color="auto" w:fill="auto"/>
                            <w:vAlign w:val="center"/>
                            <w:hideMark/>
                          </w:tcPr>
                          <w:p w14:paraId="004F82D4"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Area x Stratum</w:t>
                            </w:r>
                          </w:p>
                        </w:tc>
                        <w:tc>
                          <w:tcPr>
                            <w:tcW w:w="1140" w:type="dxa"/>
                            <w:tcBorders>
                              <w:top w:val="nil"/>
                              <w:left w:val="nil"/>
                              <w:bottom w:val="single" w:sz="4" w:space="0" w:color="auto"/>
                              <w:right w:val="single" w:sz="4" w:space="0" w:color="auto"/>
                            </w:tcBorders>
                            <w:shd w:val="clear" w:color="auto" w:fill="auto"/>
                            <w:noWrap/>
                            <w:vAlign w:val="center"/>
                            <w:hideMark/>
                          </w:tcPr>
                          <w:p w14:paraId="055AB950"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2019</w:t>
                            </w:r>
                          </w:p>
                        </w:tc>
                        <w:tc>
                          <w:tcPr>
                            <w:tcW w:w="2460" w:type="dxa"/>
                            <w:tcBorders>
                              <w:top w:val="nil"/>
                              <w:left w:val="nil"/>
                              <w:bottom w:val="single" w:sz="4" w:space="0" w:color="auto"/>
                              <w:right w:val="single" w:sz="4" w:space="0" w:color="auto"/>
                            </w:tcBorders>
                            <w:shd w:val="clear" w:color="auto" w:fill="auto"/>
                            <w:noWrap/>
                            <w:vAlign w:val="center"/>
                            <w:hideMark/>
                          </w:tcPr>
                          <w:p w14:paraId="0483F1AF"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15 (3)</w:t>
                            </w:r>
                          </w:p>
                        </w:tc>
                        <w:tc>
                          <w:tcPr>
                            <w:tcW w:w="3980" w:type="dxa"/>
                            <w:tcBorders>
                              <w:top w:val="nil"/>
                              <w:left w:val="nil"/>
                              <w:bottom w:val="single" w:sz="4" w:space="0" w:color="auto"/>
                              <w:right w:val="single" w:sz="4" w:space="0" w:color="auto"/>
                            </w:tcBorders>
                            <w:shd w:val="clear" w:color="auto" w:fill="auto"/>
                            <w:vAlign w:val="center"/>
                            <w:hideMark/>
                          </w:tcPr>
                          <w:p w14:paraId="54DB6A3A"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Linear Models</w:t>
                            </w:r>
                          </w:p>
                        </w:tc>
                        <w:tc>
                          <w:tcPr>
                            <w:tcW w:w="2160" w:type="dxa"/>
                            <w:tcBorders>
                              <w:top w:val="nil"/>
                              <w:left w:val="nil"/>
                              <w:bottom w:val="single" w:sz="4" w:space="0" w:color="auto"/>
                              <w:right w:val="single" w:sz="4" w:space="0" w:color="auto"/>
                            </w:tcBorders>
                            <w:shd w:val="clear" w:color="auto" w:fill="auto"/>
                            <w:vAlign w:val="center"/>
                            <w:hideMark/>
                          </w:tcPr>
                          <w:p w14:paraId="008707B6"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AIC</w:t>
                            </w:r>
                          </w:p>
                        </w:tc>
                      </w:tr>
                      <w:tr w:rsidR="00221CD1" w:rsidRPr="00B11885" w14:paraId="33D5FD05" w14:textId="77777777" w:rsidTr="00221CD1">
                        <w:trPr>
                          <w:trHeight w:val="561"/>
                        </w:trPr>
                        <w:tc>
                          <w:tcPr>
                            <w:tcW w:w="1420" w:type="dxa"/>
                            <w:tcBorders>
                              <w:top w:val="nil"/>
                              <w:left w:val="nil"/>
                              <w:bottom w:val="nil"/>
                              <w:right w:val="nil"/>
                            </w:tcBorders>
                            <w:shd w:val="clear" w:color="auto" w:fill="auto"/>
                            <w:vAlign w:val="center"/>
                            <w:hideMark/>
                          </w:tcPr>
                          <w:p w14:paraId="3A027613"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Soil Bulk Density</w:t>
                            </w:r>
                          </w:p>
                        </w:tc>
                        <w:tc>
                          <w:tcPr>
                            <w:tcW w:w="1420" w:type="dxa"/>
                            <w:tcBorders>
                              <w:top w:val="nil"/>
                              <w:left w:val="single" w:sz="4" w:space="0" w:color="auto"/>
                              <w:bottom w:val="single" w:sz="4" w:space="0" w:color="auto"/>
                              <w:right w:val="single" w:sz="4" w:space="0" w:color="auto"/>
                            </w:tcBorders>
                            <w:shd w:val="clear" w:color="auto" w:fill="auto"/>
                            <w:vAlign w:val="center"/>
                            <w:hideMark/>
                          </w:tcPr>
                          <w:p w14:paraId="0B788D73"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Area x Stratum</w:t>
                            </w:r>
                          </w:p>
                        </w:tc>
                        <w:tc>
                          <w:tcPr>
                            <w:tcW w:w="1140" w:type="dxa"/>
                            <w:tcBorders>
                              <w:top w:val="nil"/>
                              <w:left w:val="nil"/>
                              <w:bottom w:val="single" w:sz="4" w:space="0" w:color="auto"/>
                              <w:right w:val="single" w:sz="4" w:space="0" w:color="auto"/>
                            </w:tcBorders>
                            <w:shd w:val="clear" w:color="auto" w:fill="auto"/>
                            <w:noWrap/>
                            <w:vAlign w:val="center"/>
                            <w:hideMark/>
                          </w:tcPr>
                          <w:p w14:paraId="2AD72063"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2019</w:t>
                            </w:r>
                          </w:p>
                        </w:tc>
                        <w:tc>
                          <w:tcPr>
                            <w:tcW w:w="2460" w:type="dxa"/>
                            <w:tcBorders>
                              <w:top w:val="nil"/>
                              <w:left w:val="nil"/>
                              <w:bottom w:val="single" w:sz="4" w:space="0" w:color="auto"/>
                              <w:right w:val="single" w:sz="4" w:space="0" w:color="auto"/>
                            </w:tcBorders>
                            <w:shd w:val="clear" w:color="auto" w:fill="auto"/>
                            <w:noWrap/>
                            <w:vAlign w:val="center"/>
                            <w:hideMark/>
                          </w:tcPr>
                          <w:p w14:paraId="1A0244DE"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160 (32)</w:t>
                            </w:r>
                          </w:p>
                        </w:tc>
                        <w:tc>
                          <w:tcPr>
                            <w:tcW w:w="3980" w:type="dxa"/>
                            <w:tcBorders>
                              <w:top w:val="nil"/>
                              <w:left w:val="nil"/>
                              <w:bottom w:val="single" w:sz="4" w:space="0" w:color="auto"/>
                              <w:right w:val="single" w:sz="4" w:space="0" w:color="auto"/>
                            </w:tcBorders>
                            <w:shd w:val="clear" w:color="auto" w:fill="auto"/>
                            <w:vAlign w:val="center"/>
                            <w:hideMark/>
                          </w:tcPr>
                          <w:p w14:paraId="6418B663"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HB lognormal regression with spatial random effect (S5-S6)</w:t>
                            </w:r>
                          </w:p>
                        </w:tc>
                        <w:tc>
                          <w:tcPr>
                            <w:tcW w:w="2160" w:type="dxa"/>
                            <w:tcBorders>
                              <w:top w:val="nil"/>
                              <w:left w:val="nil"/>
                              <w:bottom w:val="single" w:sz="4" w:space="0" w:color="auto"/>
                              <w:right w:val="single" w:sz="4" w:space="0" w:color="auto"/>
                            </w:tcBorders>
                            <w:shd w:val="clear" w:color="auto" w:fill="auto"/>
                            <w:vAlign w:val="center"/>
                            <w:hideMark/>
                          </w:tcPr>
                          <w:p w14:paraId="2319E795"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non-overlapping 95% CI</w:t>
                            </w:r>
                          </w:p>
                        </w:tc>
                      </w:tr>
                      <w:tr w:rsidR="00221CD1" w:rsidRPr="00B11885" w14:paraId="05D045BC" w14:textId="77777777" w:rsidTr="00221CD1">
                        <w:trPr>
                          <w:trHeight w:val="561"/>
                        </w:trPr>
                        <w:tc>
                          <w:tcPr>
                            <w:tcW w:w="1420" w:type="dxa"/>
                            <w:tcBorders>
                              <w:top w:val="nil"/>
                              <w:left w:val="nil"/>
                              <w:bottom w:val="nil"/>
                              <w:right w:val="nil"/>
                            </w:tcBorders>
                            <w:shd w:val="clear" w:color="auto" w:fill="auto"/>
                            <w:vAlign w:val="center"/>
                            <w:hideMark/>
                          </w:tcPr>
                          <w:p w14:paraId="33588401"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Soil Respiration</w:t>
                            </w:r>
                          </w:p>
                        </w:tc>
                        <w:tc>
                          <w:tcPr>
                            <w:tcW w:w="1420" w:type="dxa"/>
                            <w:tcBorders>
                              <w:top w:val="nil"/>
                              <w:left w:val="single" w:sz="4" w:space="0" w:color="auto"/>
                              <w:bottom w:val="single" w:sz="4" w:space="0" w:color="auto"/>
                              <w:right w:val="single" w:sz="4" w:space="0" w:color="auto"/>
                            </w:tcBorders>
                            <w:shd w:val="clear" w:color="auto" w:fill="auto"/>
                            <w:vAlign w:val="center"/>
                            <w:hideMark/>
                          </w:tcPr>
                          <w:p w14:paraId="65CCF660"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Area x Stratum - Lower</w:t>
                            </w:r>
                          </w:p>
                        </w:tc>
                        <w:tc>
                          <w:tcPr>
                            <w:tcW w:w="1140" w:type="dxa"/>
                            <w:tcBorders>
                              <w:top w:val="nil"/>
                              <w:left w:val="nil"/>
                              <w:bottom w:val="single" w:sz="4" w:space="0" w:color="auto"/>
                              <w:right w:val="single" w:sz="4" w:space="0" w:color="auto"/>
                            </w:tcBorders>
                            <w:shd w:val="clear" w:color="auto" w:fill="auto"/>
                            <w:noWrap/>
                            <w:vAlign w:val="center"/>
                            <w:hideMark/>
                          </w:tcPr>
                          <w:p w14:paraId="03149CD1"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2019</w:t>
                            </w:r>
                          </w:p>
                        </w:tc>
                        <w:tc>
                          <w:tcPr>
                            <w:tcW w:w="2460" w:type="dxa"/>
                            <w:tcBorders>
                              <w:top w:val="nil"/>
                              <w:left w:val="nil"/>
                              <w:bottom w:val="single" w:sz="4" w:space="0" w:color="auto"/>
                              <w:right w:val="single" w:sz="4" w:space="0" w:color="auto"/>
                            </w:tcBorders>
                            <w:shd w:val="clear" w:color="auto" w:fill="auto"/>
                            <w:noWrap/>
                            <w:vAlign w:val="center"/>
                            <w:hideMark/>
                          </w:tcPr>
                          <w:p w14:paraId="48D0AC88"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96 (32)</w:t>
                            </w:r>
                          </w:p>
                        </w:tc>
                        <w:tc>
                          <w:tcPr>
                            <w:tcW w:w="3980" w:type="dxa"/>
                            <w:tcBorders>
                              <w:top w:val="nil"/>
                              <w:left w:val="nil"/>
                              <w:bottom w:val="single" w:sz="4" w:space="0" w:color="auto"/>
                              <w:right w:val="single" w:sz="4" w:space="0" w:color="auto"/>
                            </w:tcBorders>
                            <w:shd w:val="clear" w:color="auto" w:fill="auto"/>
                            <w:vAlign w:val="center"/>
                            <w:hideMark/>
                          </w:tcPr>
                          <w:p w14:paraId="0877B681"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HB lognormal regression with spatial random effect (S5-S6)</w:t>
                            </w:r>
                          </w:p>
                        </w:tc>
                        <w:tc>
                          <w:tcPr>
                            <w:tcW w:w="2160" w:type="dxa"/>
                            <w:tcBorders>
                              <w:top w:val="nil"/>
                              <w:left w:val="nil"/>
                              <w:bottom w:val="single" w:sz="4" w:space="0" w:color="auto"/>
                              <w:right w:val="single" w:sz="4" w:space="0" w:color="auto"/>
                            </w:tcBorders>
                            <w:shd w:val="clear" w:color="auto" w:fill="auto"/>
                            <w:vAlign w:val="center"/>
                            <w:hideMark/>
                          </w:tcPr>
                          <w:p w14:paraId="73A115DA"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non-overlapping 95% CI</w:t>
                            </w:r>
                          </w:p>
                        </w:tc>
                      </w:tr>
                      <w:tr w:rsidR="00221CD1" w:rsidRPr="00B11885" w14:paraId="02504E14" w14:textId="77777777" w:rsidTr="00221CD1">
                        <w:trPr>
                          <w:trHeight w:val="561"/>
                        </w:trPr>
                        <w:tc>
                          <w:tcPr>
                            <w:tcW w:w="1420" w:type="dxa"/>
                            <w:tcBorders>
                              <w:top w:val="nil"/>
                              <w:left w:val="nil"/>
                              <w:bottom w:val="nil"/>
                              <w:right w:val="nil"/>
                            </w:tcBorders>
                            <w:shd w:val="clear" w:color="auto" w:fill="auto"/>
                            <w:vAlign w:val="center"/>
                            <w:hideMark/>
                          </w:tcPr>
                          <w:p w14:paraId="220FE263"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Soil Nutrient</w:t>
                            </w:r>
                          </w:p>
                        </w:tc>
                        <w:tc>
                          <w:tcPr>
                            <w:tcW w:w="1420" w:type="dxa"/>
                            <w:tcBorders>
                              <w:top w:val="nil"/>
                              <w:left w:val="single" w:sz="4" w:space="0" w:color="auto"/>
                              <w:bottom w:val="single" w:sz="4" w:space="0" w:color="auto"/>
                              <w:right w:val="single" w:sz="4" w:space="0" w:color="auto"/>
                            </w:tcBorders>
                            <w:shd w:val="clear" w:color="auto" w:fill="auto"/>
                            <w:vAlign w:val="center"/>
                            <w:hideMark/>
                          </w:tcPr>
                          <w:p w14:paraId="566CC66E"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Area</w:t>
                            </w:r>
                          </w:p>
                        </w:tc>
                        <w:tc>
                          <w:tcPr>
                            <w:tcW w:w="1140" w:type="dxa"/>
                            <w:tcBorders>
                              <w:top w:val="nil"/>
                              <w:left w:val="nil"/>
                              <w:bottom w:val="single" w:sz="4" w:space="0" w:color="auto"/>
                              <w:right w:val="single" w:sz="4" w:space="0" w:color="auto"/>
                            </w:tcBorders>
                            <w:shd w:val="clear" w:color="auto" w:fill="auto"/>
                            <w:noWrap/>
                            <w:vAlign w:val="center"/>
                            <w:hideMark/>
                          </w:tcPr>
                          <w:p w14:paraId="26055B54"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2019</w:t>
                            </w:r>
                          </w:p>
                        </w:tc>
                        <w:tc>
                          <w:tcPr>
                            <w:tcW w:w="2460" w:type="dxa"/>
                            <w:tcBorders>
                              <w:top w:val="nil"/>
                              <w:left w:val="nil"/>
                              <w:bottom w:val="single" w:sz="4" w:space="0" w:color="auto"/>
                              <w:right w:val="single" w:sz="4" w:space="0" w:color="auto"/>
                            </w:tcBorders>
                            <w:shd w:val="clear" w:color="auto" w:fill="auto"/>
                            <w:noWrap/>
                            <w:vAlign w:val="center"/>
                            <w:hideMark/>
                          </w:tcPr>
                          <w:p w14:paraId="368D7889"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8 (4 UFF, 3 Lawn)</w:t>
                            </w:r>
                          </w:p>
                        </w:tc>
                        <w:tc>
                          <w:tcPr>
                            <w:tcW w:w="3980" w:type="dxa"/>
                            <w:tcBorders>
                              <w:top w:val="nil"/>
                              <w:left w:val="nil"/>
                              <w:bottom w:val="single" w:sz="4" w:space="0" w:color="auto"/>
                              <w:right w:val="single" w:sz="4" w:space="0" w:color="auto"/>
                            </w:tcBorders>
                            <w:shd w:val="clear" w:color="auto" w:fill="auto"/>
                            <w:vAlign w:val="center"/>
                            <w:hideMark/>
                          </w:tcPr>
                          <w:p w14:paraId="6C56037F"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Principle Component Analysis</w:t>
                            </w:r>
                          </w:p>
                        </w:tc>
                        <w:tc>
                          <w:tcPr>
                            <w:tcW w:w="2160" w:type="dxa"/>
                            <w:tcBorders>
                              <w:top w:val="nil"/>
                              <w:left w:val="nil"/>
                              <w:bottom w:val="single" w:sz="4" w:space="0" w:color="auto"/>
                              <w:right w:val="single" w:sz="4" w:space="0" w:color="auto"/>
                            </w:tcBorders>
                            <w:shd w:val="clear" w:color="auto" w:fill="auto"/>
                            <w:vAlign w:val="center"/>
                            <w:hideMark/>
                          </w:tcPr>
                          <w:p w14:paraId="3AD11646"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NA</w:t>
                            </w:r>
                          </w:p>
                        </w:tc>
                      </w:tr>
                      <w:tr w:rsidR="00221CD1" w:rsidRPr="00B11885" w14:paraId="2DE5B883" w14:textId="77777777" w:rsidTr="00221CD1">
                        <w:trPr>
                          <w:trHeight w:val="561"/>
                        </w:trPr>
                        <w:tc>
                          <w:tcPr>
                            <w:tcW w:w="1420" w:type="dxa"/>
                            <w:tcBorders>
                              <w:top w:val="nil"/>
                              <w:left w:val="nil"/>
                              <w:bottom w:val="nil"/>
                              <w:right w:val="nil"/>
                            </w:tcBorders>
                            <w:shd w:val="clear" w:color="auto" w:fill="auto"/>
                            <w:vAlign w:val="center"/>
                            <w:hideMark/>
                          </w:tcPr>
                          <w:p w14:paraId="5DD01627"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Microbial Diversity</w:t>
                            </w:r>
                          </w:p>
                        </w:tc>
                        <w:tc>
                          <w:tcPr>
                            <w:tcW w:w="1420" w:type="dxa"/>
                            <w:tcBorders>
                              <w:top w:val="nil"/>
                              <w:left w:val="single" w:sz="4" w:space="0" w:color="auto"/>
                              <w:bottom w:val="single" w:sz="4" w:space="0" w:color="auto"/>
                              <w:right w:val="single" w:sz="4" w:space="0" w:color="auto"/>
                            </w:tcBorders>
                            <w:shd w:val="clear" w:color="auto" w:fill="auto"/>
                            <w:vAlign w:val="center"/>
                            <w:hideMark/>
                          </w:tcPr>
                          <w:p w14:paraId="12EEBB8D"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Area</w:t>
                            </w:r>
                          </w:p>
                        </w:tc>
                        <w:tc>
                          <w:tcPr>
                            <w:tcW w:w="1140" w:type="dxa"/>
                            <w:tcBorders>
                              <w:top w:val="nil"/>
                              <w:left w:val="nil"/>
                              <w:bottom w:val="single" w:sz="4" w:space="0" w:color="auto"/>
                              <w:right w:val="single" w:sz="4" w:space="0" w:color="auto"/>
                            </w:tcBorders>
                            <w:shd w:val="clear" w:color="auto" w:fill="auto"/>
                            <w:noWrap/>
                            <w:vAlign w:val="center"/>
                            <w:hideMark/>
                          </w:tcPr>
                          <w:p w14:paraId="6B9DD17C"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2019</w:t>
                            </w:r>
                          </w:p>
                        </w:tc>
                        <w:tc>
                          <w:tcPr>
                            <w:tcW w:w="2460" w:type="dxa"/>
                            <w:tcBorders>
                              <w:top w:val="nil"/>
                              <w:left w:val="nil"/>
                              <w:bottom w:val="single" w:sz="4" w:space="0" w:color="auto"/>
                              <w:right w:val="single" w:sz="4" w:space="0" w:color="auto"/>
                            </w:tcBorders>
                            <w:shd w:val="clear" w:color="auto" w:fill="auto"/>
                            <w:noWrap/>
                            <w:vAlign w:val="center"/>
                            <w:hideMark/>
                          </w:tcPr>
                          <w:p w14:paraId="207A63E8"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6 (3 UFF, 2 Lawn)</w:t>
                            </w:r>
                          </w:p>
                        </w:tc>
                        <w:tc>
                          <w:tcPr>
                            <w:tcW w:w="3980" w:type="dxa"/>
                            <w:tcBorders>
                              <w:top w:val="nil"/>
                              <w:left w:val="nil"/>
                              <w:bottom w:val="single" w:sz="4" w:space="0" w:color="auto"/>
                              <w:right w:val="single" w:sz="4" w:space="0" w:color="auto"/>
                            </w:tcBorders>
                            <w:shd w:val="clear" w:color="auto" w:fill="auto"/>
                            <w:vAlign w:val="center"/>
                            <w:hideMark/>
                          </w:tcPr>
                          <w:p w14:paraId="12577774"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Chao-1 diversity</w:t>
                            </w:r>
                          </w:p>
                        </w:tc>
                        <w:tc>
                          <w:tcPr>
                            <w:tcW w:w="2160" w:type="dxa"/>
                            <w:tcBorders>
                              <w:top w:val="nil"/>
                              <w:left w:val="nil"/>
                              <w:bottom w:val="single" w:sz="4" w:space="0" w:color="auto"/>
                              <w:right w:val="single" w:sz="4" w:space="0" w:color="auto"/>
                            </w:tcBorders>
                            <w:shd w:val="clear" w:color="auto" w:fill="auto"/>
                            <w:vAlign w:val="center"/>
                            <w:hideMark/>
                          </w:tcPr>
                          <w:p w14:paraId="408E4B26"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non-overlapping standard error</w:t>
                            </w:r>
                          </w:p>
                        </w:tc>
                      </w:tr>
                      <w:tr w:rsidR="00221CD1" w:rsidRPr="00B11885" w14:paraId="5201408D" w14:textId="77777777" w:rsidTr="00221CD1">
                        <w:trPr>
                          <w:trHeight w:val="561"/>
                        </w:trPr>
                        <w:tc>
                          <w:tcPr>
                            <w:tcW w:w="1420" w:type="dxa"/>
                            <w:tcBorders>
                              <w:top w:val="nil"/>
                              <w:left w:val="nil"/>
                              <w:bottom w:val="nil"/>
                              <w:right w:val="nil"/>
                            </w:tcBorders>
                            <w:shd w:val="clear" w:color="auto" w:fill="auto"/>
                            <w:vAlign w:val="center"/>
                            <w:hideMark/>
                          </w:tcPr>
                          <w:p w14:paraId="60E44CE9"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Fungal Function</w:t>
                            </w:r>
                          </w:p>
                        </w:tc>
                        <w:tc>
                          <w:tcPr>
                            <w:tcW w:w="1420" w:type="dxa"/>
                            <w:tcBorders>
                              <w:top w:val="nil"/>
                              <w:left w:val="single" w:sz="4" w:space="0" w:color="auto"/>
                              <w:bottom w:val="single" w:sz="4" w:space="0" w:color="auto"/>
                              <w:right w:val="single" w:sz="4" w:space="0" w:color="auto"/>
                            </w:tcBorders>
                            <w:shd w:val="clear" w:color="auto" w:fill="auto"/>
                            <w:vAlign w:val="center"/>
                            <w:hideMark/>
                          </w:tcPr>
                          <w:p w14:paraId="31675FE3"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Area</w:t>
                            </w:r>
                          </w:p>
                        </w:tc>
                        <w:tc>
                          <w:tcPr>
                            <w:tcW w:w="1140" w:type="dxa"/>
                            <w:tcBorders>
                              <w:top w:val="nil"/>
                              <w:left w:val="nil"/>
                              <w:bottom w:val="single" w:sz="4" w:space="0" w:color="auto"/>
                              <w:right w:val="single" w:sz="4" w:space="0" w:color="auto"/>
                            </w:tcBorders>
                            <w:shd w:val="clear" w:color="auto" w:fill="auto"/>
                            <w:noWrap/>
                            <w:vAlign w:val="center"/>
                            <w:hideMark/>
                          </w:tcPr>
                          <w:p w14:paraId="65D647C0"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2019</w:t>
                            </w:r>
                          </w:p>
                        </w:tc>
                        <w:tc>
                          <w:tcPr>
                            <w:tcW w:w="2460" w:type="dxa"/>
                            <w:tcBorders>
                              <w:top w:val="nil"/>
                              <w:left w:val="nil"/>
                              <w:bottom w:val="single" w:sz="4" w:space="0" w:color="auto"/>
                              <w:right w:val="single" w:sz="4" w:space="0" w:color="auto"/>
                            </w:tcBorders>
                            <w:shd w:val="clear" w:color="auto" w:fill="auto"/>
                            <w:noWrap/>
                            <w:vAlign w:val="center"/>
                            <w:hideMark/>
                          </w:tcPr>
                          <w:p w14:paraId="688B8B1B"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250 OTUs (26, 224)</w:t>
                            </w:r>
                          </w:p>
                        </w:tc>
                        <w:tc>
                          <w:tcPr>
                            <w:tcW w:w="3980" w:type="dxa"/>
                            <w:tcBorders>
                              <w:top w:val="nil"/>
                              <w:left w:val="nil"/>
                              <w:bottom w:val="single" w:sz="4" w:space="0" w:color="auto"/>
                              <w:right w:val="single" w:sz="4" w:space="0" w:color="auto"/>
                            </w:tcBorders>
                            <w:shd w:val="clear" w:color="auto" w:fill="auto"/>
                            <w:vAlign w:val="center"/>
                            <w:hideMark/>
                          </w:tcPr>
                          <w:p w14:paraId="4C647C66"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Fisher's Exact Test</w:t>
                            </w:r>
                          </w:p>
                        </w:tc>
                        <w:tc>
                          <w:tcPr>
                            <w:tcW w:w="2160" w:type="dxa"/>
                            <w:tcBorders>
                              <w:top w:val="nil"/>
                              <w:left w:val="nil"/>
                              <w:bottom w:val="single" w:sz="4" w:space="0" w:color="auto"/>
                              <w:right w:val="single" w:sz="4" w:space="0" w:color="auto"/>
                            </w:tcBorders>
                            <w:shd w:val="clear" w:color="auto" w:fill="auto"/>
                            <w:vAlign w:val="center"/>
                            <w:hideMark/>
                          </w:tcPr>
                          <w:p w14:paraId="46053CFB" w14:textId="77777777" w:rsidR="00221CD1" w:rsidRPr="00B11885" w:rsidRDefault="00221CD1" w:rsidP="00221CD1">
                            <w:pPr>
                              <w:spacing w:line="240" w:lineRule="auto"/>
                              <w:jc w:val="center"/>
                              <w:rPr>
                                <w:rFonts w:ascii="Calibri" w:eastAsia="Times New Roman" w:hAnsi="Calibri" w:cs="Calibri"/>
                                <w:color w:val="000000"/>
                                <w:sz w:val="20"/>
                                <w:szCs w:val="20"/>
                                <w:lang w:val="en-US"/>
                              </w:rPr>
                            </w:pPr>
                            <w:r w:rsidRPr="00B11885">
                              <w:rPr>
                                <w:rFonts w:ascii="Calibri" w:eastAsia="Times New Roman" w:hAnsi="Calibri" w:cs="Calibri"/>
                                <w:color w:val="000000"/>
                                <w:sz w:val="20"/>
                                <w:szCs w:val="20"/>
                                <w:lang w:val="en-US"/>
                              </w:rPr>
                              <w:t>p&lt;0.05</w:t>
                            </w:r>
                          </w:p>
                        </w:tc>
                      </w:tr>
                    </w:tbl>
                    <w:p w14:paraId="1516331F" w14:textId="77777777" w:rsidR="00221CD1" w:rsidRDefault="00221CD1" w:rsidP="00032304"/>
                  </w:txbxContent>
                </v:textbox>
                <w10:wrap type="square" anchorx="margin"/>
              </v:shape>
            </w:pict>
          </mc:Fallback>
        </mc:AlternateContent>
      </w:r>
      <w:r w:rsidRPr="00C14D16">
        <w:rPr>
          <w:rFonts w:ascii="Times New Roman" w:eastAsia="Times New Roman" w:hAnsi="Times New Roman" w:cs="Times New Roman"/>
          <w:b/>
          <w:sz w:val="24"/>
          <w:szCs w:val="24"/>
        </w:rPr>
        <w:t>Table S2</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Sampling strategy</w:t>
      </w:r>
      <w:r>
        <w:rPr>
          <w:rFonts w:ascii="Times New Roman" w:eastAsia="Times New Roman" w:hAnsi="Times New Roman" w:cs="Times New Roman"/>
          <w:b/>
          <w:sz w:val="24"/>
          <w:szCs w:val="24"/>
        </w:rPr>
        <w:br w:type="page"/>
      </w:r>
    </w:p>
    <w:p w14:paraId="2BDC9ADC" w14:textId="77777777" w:rsidR="00032304" w:rsidRDefault="00032304" w:rsidP="00032304">
      <w:pPr>
        <w:spacing w:line="480" w:lineRule="auto"/>
        <w:rPr>
          <w:rFonts w:ascii="Times New Roman" w:eastAsia="Times New Roman" w:hAnsi="Times New Roman" w:cs="Times New Roman"/>
          <w:b/>
          <w:sz w:val="24"/>
          <w:szCs w:val="24"/>
        </w:rPr>
      </w:pPr>
      <w:r w:rsidRPr="00500DC1">
        <w:rPr>
          <w:rFonts w:ascii="Times New Roman" w:eastAsia="Times New Roman" w:hAnsi="Times New Roman" w:cs="Times New Roman"/>
          <w:b/>
          <w:noProof/>
          <w:sz w:val="24"/>
          <w:szCs w:val="24"/>
          <w:lang w:val="en-US"/>
        </w:rPr>
        <mc:AlternateContent>
          <mc:Choice Requires="wps">
            <w:drawing>
              <wp:anchor distT="45720" distB="45720" distL="114300" distR="114300" simplePos="0" relativeHeight="251659264" behindDoc="0" locked="0" layoutInCell="1" allowOverlap="1" wp14:anchorId="309EDA8C" wp14:editId="593307F9">
                <wp:simplePos x="0" y="0"/>
                <wp:positionH relativeFrom="margin">
                  <wp:align>right</wp:align>
                </wp:positionH>
                <wp:positionV relativeFrom="paragraph">
                  <wp:posOffset>3142615</wp:posOffset>
                </wp:positionV>
                <wp:extent cx="7567295" cy="1404620"/>
                <wp:effectExtent l="0" t="8890" r="24765" b="247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400000">
                          <a:off x="0" y="0"/>
                          <a:ext cx="7567295" cy="1404620"/>
                        </a:xfrm>
                        <a:prstGeom prst="rect">
                          <a:avLst/>
                        </a:prstGeom>
                        <a:solidFill>
                          <a:srgbClr val="FFFFFF"/>
                        </a:solidFill>
                        <a:ln w="9525">
                          <a:solidFill>
                            <a:schemeClr val="bg1"/>
                          </a:solidFill>
                          <a:miter lim="800000"/>
                          <a:headEnd/>
                          <a:tailEnd/>
                        </a:ln>
                      </wps:spPr>
                      <wps:txbx>
                        <w:txbxContent>
                          <w:p w14:paraId="05ABE408" w14:textId="77777777" w:rsidR="00221CD1" w:rsidRDefault="00221CD1" w:rsidP="00032304"/>
                          <w:tbl>
                            <w:tblPr>
                              <w:tblW w:w="11060" w:type="dxa"/>
                              <w:tblLook w:val="04A0" w:firstRow="1" w:lastRow="0" w:firstColumn="1" w:lastColumn="0" w:noHBand="0" w:noVBand="1"/>
                            </w:tblPr>
                            <w:tblGrid>
                              <w:gridCol w:w="1020"/>
                              <w:gridCol w:w="1420"/>
                              <w:gridCol w:w="1020"/>
                              <w:gridCol w:w="1020"/>
                              <w:gridCol w:w="1040"/>
                              <w:gridCol w:w="1020"/>
                              <w:gridCol w:w="1460"/>
                              <w:gridCol w:w="1020"/>
                              <w:gridCol w:w="1020"/>
                              <w:gridCol w:w="1020"/>
                            </w:tblGrid>
                            <w:tr w:rsidR="00221CD1" w:rsidRPr="00E60E42" w14:paraId="675D0BDC" w14:textId="77777777" w:rsidTr="00221CD1">
                              <w:trPr>
                                <w:trHeight w:val="285"/>
                              </w:trPr>
                              <w:tc>
                                <w:tcPr>
                                  <w:tcW w:w="1020" w:type="dxa"/>
                                  <w:tcBorders>
                                    <w:top w:val="nil"/>
                                    <w:left w:val="nil"/>
                                    <w:bottom w:val="nil"/>
                                    <w:right w:val="nil"/>
                                  </w:tcBorders>
                                  <w:shd w:val="clear" w:color="auto" w:fill="auto"/>
                                  <w:noWrap/>
                                  <w:vAlign w:val="bottom"/>
                                  <w:hideMark/>
                                </w:tcPr>
                                <w:p w14:paraId="2E57AD6C" w14:textId="77777777" w:rsidR="00221CD1" w:rsidRPr="00E60E42" w:rsidRDefault="00221CD1" w:rsidP="00221CD1">
                                  <w:pPr>
                                    <w:spacing w:line="240" w:lineRule="auto"/>
                                    <w:jc w:val="center"/>
                                    <w:rPr>
                                      <w:rFonts w:ascii="Times New Roman" w:eastAsia="Times New Roman" w:hAnsi="Times New Roman" w:cs="Times New Roman"/>
                                      <w:b/>
                                      <w:color w:val="000000"/>
                                      <w:sz w:val="18"/>
                                      <w:szCs w:val="18"/>
                                      <w:lang w:val="en-US"/>
                                    </w:rPr>
                                  </w:pPr>
                                  <w:r w:rsidRPr="00E60E42">
                                    <w:rPr>
                                      <w:rFonts w:ascii="Times New Roman" w:eastAsia="Times New Roman" w:hAnsi="Times New Roman" w:cs="Times New Roman"/>
                                      <w:b/>
                                      <w:color w:val="000000"/>
                                      <w:sz w:val="18"/>
                                      <w:szCs w:val="18"/>
                                      <w:lang w:val="en-US"/>
                                    </w:rPr>
                                    <w:t>Response</w:t>
                                  </w:r>
                                </w:p>
                              </w:tc>
                              <w:tc>
                                <w:tcPr>
                                  <w:tcW w:w="1420" w:type="dxa"/>
                                  <w:tcBorders>
                                    <w:top w:val="nil"/>
                                    <w:left w:val="nil"/>
                                    <w:bottom w:val="nil"/>
                                    <w:right w:val="nil"/>
                                  </w:tcBorders>
                                  <w:shd w:val="clear" w:color="auto" w:fill="auto"/>
                                  <w:noWrap/>
                                  <w:vAlign w:val="bottom"/>
                                  <w:hideMark/>
                                </w:tcPr>
                                <w:p w14:paraId="74A4C9A5" w14:textId="77777777" w:rsidR="00221CD1" w:rsidRPr="00E60E42" w:rsidRDefault="00221CD1" w:rsidP="00221CD1">
                                  <w:pPr>
                                    <w:spacing w:line="240" w:lineRule="auto"/>
                                    <w:jc w:val="center"/>
                                    <w:rPr>
                                      <w:rFonts w:ascii="Times New Roman" w:eastAsia="Times New Roman" w:hAnsi="Times New Roman" w:cs="Times New Roman"/>
                                      <w:b/>
                                      <w:color w:val="000000"/>
                                      <w:sz w:val="18"/>
                                      <w:szCs w:val="18"/>
                                      <w:lang w:val="en-US"/>
                                    </w:rPr>
                                  </w:pPr>
                                  <w:r w:rsidRPr="00E60E42">
                                    <w:rPr>
                                      <w:rFonts w:ascii="Times New Roman" w:eastAsia="Times New Roman" w:hAnsi="Times New Roman" w:cs="Times New Roman"/>
                                      <w:b/>
                                      <w:color w:val="000000"/>
                                      <w:sz w:val="18"/>
                                      <w:szCs w:val="18"/>
                                      <w:lang w:val="en-US"/>
                                    </w:rPr>
                                    <w:t>Factor</w:t>
                                  </w:r>
                                </w:p>
                              </w:tc>
                              <w:tc>
                                <w:tcPr>
                                  <w:tcW w:w="1020" w:type="dxa"/>
                                  <w:tcBorders>
                                    <w:top w:val="nil"/>
                                    <w:left w:val="nil"/>
                                    <w:bottom w:val="nil"/>
                                    <w:right w:val="nil"/>
                                  </w:tcBorders>
                                  <w:shd w:val="clear" w:color="auto" w:fill="auto"/>
                                  <w:noWrap/>
                                  <w:vAlign w:val="bottom"/>
                                  <w:hideMark/>
                                </w:tcPr>
                                <w:p w14:paraId="70D8AEBB" w14:textId="77777777" w:rsidR="00221CD1" w:rsidRPr="00E60E42" w:rsidRDefault="00221CD1" w:rsidP="00221CD1">
                                  <w:pPr>
                                    <w:spacing w:line="240" w:lineRule="auto"/>
                                    <w:jc w:val="center"/>
                                    <w:rPr>
                                      <w:rFonts w:ascii="Times New Roman" w:eastAsia="Times New Roman" w:hAnsi="Times New Roman" w:cs="Times New Roman"/>
                                      <w:b/>
                                      <w:color w:val="000000"/>
                                      <w:sz w:val="18"/>
                                      <w:szCs w:val="18"/>
                                      <w:lang w:val="en-US"/>
                                    </w:rPr>
                                  </w:pPr>
                                  <w:r w:rsidRPr="00E60E42">
                                    <w:rPr>
                                      <w:rFonts w:ascii="Times New Roman" w:eastAsia="Times New Roman" w:hAnsi="Times New Roman" w:cs="Times New Roman"/>
                                      <w:b/>
                                      <w:color w:val="000000"/>
                                      <w:sz w:val="18"/>
                                      <w:szCs w:val="18"/>
                                      <w:lang w:val="en-US"/>
                                    </w:rPr>
                                    <w:t>Covariate</w:t>
                                  </w:r>
                                </w:p>
                              </w:tc>
                              <w:tc>
                                <w:tcPr>
                                  <w:tcW w:w="1020" w:type="dxa"/>
                                  <w:tcBorders>
                                    <w:top w:val="nil"/>
                                    <w:left w:val="nil"/>
                                    <w:bottom w:val="nil"/>
                                    <w:right w:val="nil"/>
                                  </w:tcBorders>
                                  <w:shd w:val="clear" w:color="auto" w:fill="auto"/>
                                  <w:noWrap/>
                                  <w:vAlign w:val="bottom"/>
                                  <w:hideMark/>
                                </w:tcPr>
                                <w:p w14:paraId="43B43C70" w14:textId="77777777" w:rsidR="00221CD1" w:rsidRPr="00E60E42" w:rsidRDefault="00221CD1" w:rsidP="00221CD1">
                                  <w:pPr>
                                    <w:spacing w:line="240" w:lineRule="auto"/>
                                    <w:jc w:val="center"/>
                                    <w:rPr>
                                      <w:rFonts w:ascii="Times New Roman" w:eastAsia="Times New Roman" w:hAnsi="Times New Roman" w:cs="Times New Roman"/>
                                      <w:b/>
                                      <w:color w:val="000000"/>
                                      <w:sz w:val="18"/>
                                      <w:szCs w:val="18"/>
                                      <w:lang w:val="en-US"/>
                                    </w:rPr>
                                  </w:pPr>
                                  <w:r w:rsidRPr="00E60E42">
                                    <w:rPr>
                                      <w:rFonts w:ascii="Times New Roman" w:eastAsia="Times New Roman" w:hAnsi="Times New Roman" w:cs="Times New Roman"/>
                                      <w:b/>
                                      <w:color w:val="000000"/>
                                      <w:sz w:val="18"/>
                                      <w:szCs w:val="18"/>
                                      <w:lang w:val="en-US"/>
                                    </w:rPr>
                                    <w:t>df</w:t>
                                  </w:r>
                                </w:p>
                              </w:tc>
                              <w:tc>
                                <w:tcPr>
                                  <w:tcW w:w="1040" w:type="dxa"/>
                                  <w:tcBorders>
                                    <w:top w:val="nil"/>
                                    <w:left w:val="nil"/>
                                    <w:bottom w:val="nil"/>
                                    <w:right w:val="nil"/>
                                  </w:tcBorders>
                                  <w:shd w:val="clear" w:color="auto" w:fill="auto"/>
                                  <w:noWrap/>
                                  <w:vAlign w:val="bottom"/>
                                  <w:hideMark/>
                                </w:tcPr>
                                <w:p w14:paraId="747F5BF1" w14:textId="77777777" w:rsidR="00221CD1" w:rsidRPr="00E60E42" w:rsidRDefault="00221CD1" w:rsidP="00221CD1">
                                  <w:pPr>
                                    <w:spacing w:line="240" w:lineRule="auto"/>
                                    <w:jc w:val="center"/>
                                    <w:rPr>
                                      <w:rFonts w:ascii="Times New Roman" w:eastAsia="Times New Roman" w:hAnsi="Times New Roman" w:cs="Times New Roman"/>
                                      <w:b/>
                                      <w:color w:val="000000"/>
                                      <w:sz w:val="18"/>
                                      <w:szCs w:val="18"/>
                                      <w:lang w:val="en-US"/>
                                    </w:rPr>
                                  </w:pPr>
                                  <w:r w:rsidRPr="00E60E42">
                                    <w:rPr>
                                      <w:rFonts w:ascii="Times New Roman" w:eastAsia="Times New Roman" w:hAnsi="Times New Roman" w:cs="Times New Roman"/>
                                      <w:b/>
                                      <w:color w:val="000000"/>
                                      <w:sz w:val="18"/>
                                      <w:szCs w:val="18"/>
                                      <w:lang w:val="en-US"/>
                                    </w:rPr>
                                    <w:t>AIC</w:t>
                                  </w:r>
                                </w:p>
                              </w:tc>
                              <w:tc>
                                <w:tcPr>
                                  <w:tcW w:w="1020" w:type="dxa"/>
                                  <w:tcBorders>
                                    <w:top w:val="nil"/>
                                    <w:left w:val="nil"/>
                                    <w:bottom w:val="nil"/>
                                    <w:right w:val="nil"/>
                                  </w:tcBorders>
                                  <w:shd w:val="clear" w:color="auto" w:fill="auto"/>
                                  <w:noWrap/>
                                  <w:vAlign w:val="bottom"/>
                                  <w:hideMark/>
                                </w:tcPr>
                                <w:p w14:paraId="54F722C9" w14:textId="77777777" w:rsidR="00221CD1" w:rsidRPr="00E60E42" w:rsidRDefault="00221CD1" w:rsidP="00221CD1">
                                  <w:pPr>
                                    <w:spacing w:line="240" w:lineRule="auto"/>
                                    <w:jc w:val="center"/>
                                    <w:rPr>
                                      <w:rFonts w:ascii="Times New Roman" w:eastAsia="Times New Roman" w:hAnsi="Times New Roman" w:cs="Times New Roman"/>
                                      <w:b/>
                                      <w:color w:val="000000"/>
                                      <w:sz w:val="18"/>
                                      <w:szCs w:val="18"/>
                                      <w:lang w:val="en-US"/>
                                    </w:rPr>
                                  </w:pPr>
                                  <w:r w:rsidRPr="00E60E42">
                                    <w:rPr>
                                      <w:rFonts w:ascii="Times New Roman" w:eastAsia="Times New Roman" w:hAnsi="Times New Roman" w:cs="Times New Roman"/>
                                      <w:b/>
                                      <w:color w:val="000000"/>
                                      <w:sz w:val="18"/>
                                      <w:szCs w:val="18"/>
                                      <w:lang w:val="en-US"/>
                                    </w:rPr>
                                    <w:t>Response</w:t>
                                  </w:r>
                                </w:p>
                              </w:tc>
                              <w:tc>
                                <w:tcPr>
                                  <w:tcW w:w="1460" w:type="dxa"/>
                                  <w:tcBorders>
                                    <w:top w:val="nil"/>
                                    <w:left w:val="nil"/>
                                    <w:bottom w:val="nil"/>
                                    <w:right w:val="nil"/>
                                  </w:tcBorders>
                                  <w:shd w:val="clear" w:color="auto" w:fill="auto"/>
                                  <w:noWrap/>
                                  <w:vAlign w:val="bottom"/>
                                  <w:hideMark/>
                                </w:tcPr>
                                <w:p w14:paraId="27FE6B23" w14:textId="77777777" w:rsidR="00221CD1" w:rsidRPr="00E60E42" w:rsidRDefault="00221CD1" w:rsidP="00221CD1">
                                  <w:pPr>
                                    <w:spacing w:line="240" w:lineRule="auto"/>
                                    <w:jc w:val="center"/>
                                    <w:rPr>
                                      <w:rFonts w:ascii="Times New Roman" w:eastAsia="Times New Roman" w:hAnsi="Times New Roman" w:cs="Times New Roman"/>
                                      <w:b/>
                                      <w:color w:val="000000"/>
                                      <w:sz w:val="18"/>
                                      <w:szCs w:val="18"/>
                                      <w:lang w:val="en-US"/>
                                    </w:rPr>
                                  </w:pPr>
                                  <w:r w:rsidRPr="00E60E42">
                                    <w:rPr>
                                      <w:rFonts w:ascii="Times New Roman" w:eastAsia="Times New Roman" w:hAnsi="Times New Roman" w:cs="Times New Roman"/>
                                      <w:b/>
                                      <w:color w:val="000000"/>
                                      <w:sz w:val="18"/>
                                      <w:szCs w:val="18"/>
                                      <w:lang w:val="en-US"/>
                                    </w:rPr>
                                    <w:t>Factor</w:t>
                                  </w:r>
                                </w:p>
                              </w:tc>
                              <w:tc>
                                <w:tcPr>
                                  <w:tcW w:w="1020" w:type="dxa"/>
                                  <w:tcBorders>
                                    <w:top w:val="nil"/>
                                    <w:left w:val="nil"/>
                                    <w:bottom w:val="nil"/>
                                    <w:right w:val="nil"/>
                                  </w:tcBorders>
                                  <w:shd w:val="clear" w:color="auto" w:fill="auto"/>
                                  <w:noWrap/>
                                  <w:vAlign w:val="bottom"/>
                                  <w:hideMark/>
                                </w:tcPr>
                                <w:p w14:paraId="6660E9B1" w14:textId="77777777" w:rsidR="00221CD1" w:rsidRPr="00E60E42" w:rsidRDefault="00221CD1" w:rsidP="00221CD1">
                                  <w:pPr>
                                    <w:spacing w:line="240" w:lineRule="auto"/>
                                    <w:jc w:val="center"/>
                                    <w:rPr>
                                      <w:rFonts w:ascii="Times New Roman" w:eastAsia="Times New Roman" w:hAnsi="Times New Roman" w:cs="Times New Roman"/>
                                      <w:b/>
                                      <w:color w:val="000000"/>
                                      <w:sz w:val="18"/>
                                      <w:szCs w:val="18"/>
                                      <w:lang w:val="en-US"/>
                                    </w:rPr>
                                  </w:pPr>
                                  <w:r w:rsidRPr="00E60E42">
                                    <w:rPr>
                                      <w:rFonts w:ascii="Times New Roman" w:eastAsia="Times New Roman" w:hAnsi="Times New Roman" w:cs="Times New Roman"/>
                                      <w:b/>
                                      <w:color w:val="000000"/>
                                      <w:sz w:val="18"/>
                                      <w:szCs w:val="18"/>
                                      <w:lang w:val="en-US"/>
                                    </w:rPr>
                                    <w:t>Covariate</w:t>
                                  </w:r>
                                </w:p>
                              </w:tc>
                              <w:tc>
                                <w:tcPr>
                                  <w:tcW w:w="1020" w:type="dxa"/>
                                  <w:tcBorders>
                                    <w:top w:val="nil"/>
                                    <w:left w:val="nil"/>
                                    <w:bottom w:val="nil"/>
                                    <w:right w:val="nil"/>
                                  </w:tcBorders>
                                  <w:shd w:val="clear" w:color="auto" w:fill="auto"/>
                                  <w:noWrap/>
                                  <w:vAlign w:val="bottom"/>
                                  <w:hideMark/>
                                </w:tcPr>
                                <w:p w14:paraId="2EF20C2F" w14:textId="77777777" w:rsidR="00221CD1" w:rsidRPr="00E60E42" w:rsidRDefault="00221CD1" w:rsidP="00221CD1">
                                  <w:pPr>
                                    <w:spacing w:line="240" w:lineRule="auto"/>
                                    <w:jc w:val="center"/>
                                    <w:rPr>
                                      <w:rFonts w:ascii="Times New Roman" w:eastAsia="Times New Roman" w:hAnsi="Times New Roman" w:cs="Times New Roman"/>
                                      <w:b/>
                                      <w:color w:val="000000"/>
                                      <w:sz w:val="18"/>
                                      <w:szCs w:val="18"/>
                                      <w:lang w:val="en-US"/>
                                    </w:rPr>
                                  </w:pPr>
                                  <w:r w:rsidRPr="00E60E42">
                                    <w:rPr>
                                      <w:rFonts w:ascii="Times New Roman" w:eastAsia="Times New Roman" w:hAnsi="Times New Roman" w:cs="Times New Roman"/>
                                      <w:b/>
                                      <w:color w:val="000000"/>
                                      <w:sz w:val="18"/>
                                      <w:szCs w:val="18"/>
                                      <w:lang w:val="en-US"/>
                                    </w:rPr>
                                    <w:t>df</w:t>
                                  </w:r>
                                </w:p>
                              </w:tc>
                              <w:tc>
                                <w:tcPr>
                                  <w:tcW w:w="1020" w:type="dxa"/>
                                  <w:tcBorders>
                                    <w:top w:val="nil"/>
                                    <w:left w:val="nil"/>
                                    <w:bottom w:val="nil"/>
                                    <w:right w:val="nil"/>
                                  </w:tcBorders>
                                  <w:shd w:val="clear" w:color="auto" w:fill="auto"/>
                                  <w:noWrap/>
                                  <w:vAlign w:val="bottom"/>
                                  <w:hideMark/>
                                </w:tcPr>
                                <w:p w14:paraId="16CA3B99" w14:textId="77777777" w:rsidR="00221CD1" w:rsidRPr="00E60E42" w:rsidRDefault="00221CD1" w:rsidP="00221CD1">
                                  <w:pPr>
                                    <w:spacing w:line="240" w:lineRule="auto"/>
                                    <w:jc w:val="center"/>
                                    <w:rPr>
                                      <w:rFonts w:ascii="Times New Roman" w:eastAsia="Times New Roman" w:hAnsi="Times New Roman" w:cs="Times New Roman"/>
                                      <w:b/>
                                      <w:color w:val="000000"/>
                                      <w:sz w:val="18"/>
                                      <w:szCs w:val="18"/>
                                      <w:lang w:val="en-US"/>
                                    </w:rPr>
                                  </w:pPr>
                                  <w:r w:rsidRPr="00E60E42">
                                    <w:rPr>
                                      <w:rFonts w:ascii="Times New Roman" w:eastAsia="Times New Roman" w:hAnsi="Times New Roman" w:cs="Times New Roman"/>
                                      <w:b/>
                                      <w:color w:val="000000"/>
                                      <w:sz w:val="18"/>
                                      <w:szCs w:val="18"/>
                                      <w:lang w:val="en-US"/>
                                    </w:rPr>
                                    <w:t>AIC</w:t>
                                  </w:r>
                                </w:p>
                              </w:tc>
                            </w:tr>
                            <w:tr w:rsidR="00221CD1" w:rsidRPr="00E60E42" w14:paraId="3BD7B175" w14:textId="77777777" w:rsidTr="00221CD1">
                              <w:trPr>
                                <w:trHeight w:val="285"/>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9CE85C"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OC</w:t>
                                  </w:r>
                                </w:p>
                              </w:tc>
                              <w:tc>
                                <w:tcPr>
                                  <w:tcW w:w="1420" w:type="dxa"/>
                                  <w:tcBorders>
                                    <w:top w:val="single" w:sz="4" w:space="0" w:color="auto"/>
                                    <w:left w:val="nil"/>
                                    <w:bottom w:val="single" w:sz="4" w:space="0" w:color="auto"/>
                                    <w:right w:val="single" w:sz="4" w:space="0" w:color="auto"/>
                                  </w:tcBorders>
                                  <w:shd w:val="clear" w:color="auto" w:fill="auto"/>
                                  <w:noWrap/>
                                  <w:vAlign w:val="bottom"/>
                                  <w:hideMark/>
                                </w:tcPr>
                                <w:p w14:paraId="598B11C6"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Area</w:t>
                                  </w:r>
                                </w:p>
                              </w:tc>
                              <w:tc>
                                <w:tcPr>
                                  <w:tcW w:w="1020" w:type="dxa"/>
                                  <w:tcBorders>
                                    <w:top w:val="single" w:sz="4" w:space="0" w:color="auto"/>
                                    <w:left w:val="nil"/>
                                    <w:bottom w:val="single" w:sz="4" w:space="0" w:color="auto"/>
                                    <w:right w:val="single" w:sz="4" w:space="0" w:color="auto"/>
                                  </w:tcBorders>
                                  <w:shd w:val="clear" w:color="auto" w:fill="auto"/>
                                  <w:noWrap/>
                                  <w:vAlign w:val="bottom"/>
                                  <w:hideMark/>
                                </w:tcPr>
                                <w:p w14:paraId="4735B89D"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LOI</w:t>
                                  </w:r>
                                </w:p>
                              </w:tc>
                              <w:tc>
                                <w:tcPr>
                                  <w:tcW w:w="1020" w:type="dxa"/>
                                  <w:tcBorders>
                                    <w:top w:val="single" w:sz="4" w:space="0" w:color="auto"/>
                                    <w:left w:val="nil"/>
                                    <w:bottom w:val="single" w:sz="4" w:space="0" w:color="auto"/>
                                    <w:right w:val="single" w:sz="4" w:space="0" w:color="auto"/>
                                  </w:tcBorders>
                                  <w:shd w:val="clear" w:color="auto" w:fill="auto"/>
                                  <w:noWrap/>
                                  <w:vAlign w:val="bottom"/>
                                  <w:hideMark/>
                                </w:tcPr>
                                <w:p w14:paraId="72F83726"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4</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14:paraId="37689E06" w14:textId="77777777" w:rsidR="00221CD1" w:rsidRPr="00E60E42" w:rsidRDefault="00221CD1" w:rsidP="00221CD1">
                                  <w:pPr>
                                    <w:spacing w:line="240" w:lineRule="auto"/>
                                    <w:jc w:val="right"/>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105.91</w:t>
                                  </w:r>
                                </w:p>
                              </w:tc>
                              <w:tc>
                                <w:tcPr>
                                  <w:tcW w:w="1020" w:type="dxa"/>
                                  <w:tcBorders>
                                    <w:top w:val="single" w:sz="4" w:space="0" w:color="auto"/>
                                    <w:left w:val="nil"/>
                                    <w:bottom w:val="single" w:sz="4" w:space="0" w:color="auto"/>
                                    <w:right w:val="single" w:sz="4" w:space="0" w:color="auto"/>
                                  </w:tcBorders>
                                  <w:shd w:val="clear" w:color="auto" w:fill="auto"/>
                                  <w:noWrap/>
                                  <w:vAlign w:val="bottom"/>
                                  <w:hideMark/>
                                </w:tcPr>
                                <w:p w14:paraId="43831157"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SBD</w:t>
                                  </w:r>
                                </w:p>
                              </w:tc>
                              <w:tc>
                                <w:tcPr>
                                  <w:tcW w:w="1460" w:type="dxa"/>
                                  <w:tcBorders>
                                    <w:top w:val="single" w:sz="4" w:space="0" w:color="auto"/>
                                    <w:left w:val="nil"/>
                                    <w:bottom w:val="single" w:sz="4" w:space="0" w:color="auto"/>
                                    <w:right w:val="single" w:sz="4" w:space="0" w:color="auto"/>
                                  </w:tcBorders>
                                  <w:shd w:val="clear" w:color="auto" w:fill="auto"/>
                                  <w:noWrap/>
                                  <w:vAlign w:val="bottom"/>
                                  <w:hideMark/>
                                </w:tcPr>
                                <w:p w14:paraId="163D032F"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Area</w:t>
                                  </w:r>
                                </w:p>
                              </w:tc>
                              <w:tc>
                                <w:tcPr>
                                  <w:tcW w:w="1020" w:type="dxa"/>
                                  <w:tcBorders>
                                    <w:top w:val="single" w:sz="4" w:space="0" w:color="auto"/>
                                    <w:left w:val="nil"/>
                                    <w:bottom w:val="single" w:sz="4" w:space="0" w:color="auto"/>
                                    <w:right w:val="single" w:sz="4" w:space="0" w:color="auto"/>
                                  </w:tcBorders>
                                  <w:shd w:val="clear" w:color="auto" w:fill="auto"/>
                                  <w:noWrap/>
                                  <w:vAlign w:val="bottom"/>
                                  <w:hideMark/>
                                </w:tcPr>
                                <w:p w14:paraId="3DAFEDFA"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LOI</w:t>
                                  </w:r>
                                </w:p>
                              </w:tc>
                              <w:tc>
                                <w:tcPr>
                                  <w:tcW w:w="1020" w:type="dxa"/>
                                  <w:tcBorders>
                                    <w:top w:val="single" w:sz="4" w:space="0" w:color="auto"/>
                                    <w:left w:val="nil"/>
                                    <w:bottom w:val="single" w:sz="4" w:space="0" w:color="auto"/>
                                    <w:right w:val="single" w:sz="4" w:space="0" w:color="auto"/>
                                  </w:tcBorders>
                                  <w:shd w:val="clear" w:color="auto" w:fill="auto"/>
                                  <w:noWrap/>
                                  <w:vAlign w:val="bottom"/>
                                  <w:hideMark/>
                                </w:tcPr>
                                <w:p w14:paraId="214969BD"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4</w:t>
                                  </w:r>
                                </w:p>
                              </w:tc>
                              <w:tc>
                                <w:tcPr>
                                  <w:tcW w:w="1020" w:type="dxa"/>
                                  <w:tcBorders>
                                    <w:top w:val="single" w:sz="4" w:space="0" w:color="auto"/>
                                    <w:left w:val="nil"/>
                                    <w:bottom w:val="single" w:sz="4" w:space="0" w:color="auto"/>
                                    <w:right w:val="single" w:sz="4" w:space="0" w:color="auto"/>
                                  </w:tcBorders>
                                  <w:shd w:val="clear" w:color="auto" w:fill="auto"/>
                                  <w:noWrap/>
                                  <w:vAlign w:val="bottom"/>
                                  <w:hideMark/>
                                </w:tcPr>
                                <w:p w14:paraId="186A29F1" w14:textId="77777777" w:rsidR="00221CD1" w:rsidRPr="00E60E42" w:rsidRDefault="00221CD1" w:rsidP="00221CD1">
                                  <w:pPr>
                                    <w:spacing w:line="240" w:lineRule="auto"/>
                                    <w:jc w:val="right"/>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10.04</w:t>
                                  </w:r>
                                </w:p>
                              </w:tc>
                            </w:tr>
                            <w:tr w:rsidR="00221CD1" w:rsidRPr="00E60E42" w14:paraId="66DC9702" w14:textId="77777777" w:rsidTr="00221CD1">
                              <w:trPr>
                                <w:trHeight w:val="285"/>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5CBFA41A"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OC</w:t>
                                  </w:r>
                                </w:p>
                              </w:tc>
                              <w:tc>
                                <w:tcPr>
                                  <w:tcW w:w="1420" w:type="dxa"/>
                                  <w:tcBorders>
                                    <w:top w:val="nil"/>
                                    <w:left w:val="nil"/>
                                    <w:bottom w:val="single" w:sz="4" w:space="0" w:color="auto"/>
                                    <w:right w:val="single" w:sz="4" w:space="0" w:color="auto"/>
                                  </w:tcBorders>
                                  <w:shd w:val="clear" w:color="auto" w:fill="auto"/>
                                  <w:noWrap/>
                                  <w:vAlign w:val="bottom"/>
                                  <w:hideMark/>
                                </w:tcPr>
                                <w:p w14:paraId="3F07680A"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Stratum</w:t>
                                  </w:r>
                                </w:p>
                              </w:tc>
                              <w:tc>
                                <w:tcPr>
                                  <w:tcW w:w="1020" w:type="dxa"/>
                                  <w:tcBorders>
                                    <w:top w:val="nil"/>
                                    <w:left w:val="nil"/>
                                    <w:bottom w:val="single" w:sz="4" w:space="0" w:color="auto"/>
                                    <w:right w:val="single" w:sz="4" w:space="0" w:color="auto"/>
                                  </w:tcBorders>
                                  <w:shd w:val="clear" w:color="auto" w:fill="auto"/>
                                  <w:noWrap/>
                                  <w:vAlign w:val="bottom"/>
                                  <w:hideMark/>
                                </w:tcPr>
                                <w:p w14:paraId="1A2F255F"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LOI</w:t>
                                  </w:r>
                                </w:p>
                              </w:tc>
                              <w:tc>
                                <w:tcPr>
                                  <w:tcW w:w="1020" w:type="dxa"/>
                                  <w:tcBorders>
                                    <w:top w:val="nil"/>
                                    <w:left w:val="nil"/>
                                    <w:bottom w:val="single" w:sz="4" w:space="0" w:color="auto"/>
                                    <w:right w:val="single" w:sz="4" w:space="0" w:color="auto"/>
                                  </w:tcBorders>
                                  <w:shd w:val="clear" w:color="auto" w:fill="auto"/>
                                  <w:noWrap/>
                                  <w:vAlign w:val="bottom"/>
                                  <w:hideMark/>
                                </w:tcPr>
                                <w:p w14:paraId="1DB969E8"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5</w:t>
                                  </w:r>
                                </w:p>
                              </w:tc>
                              <w:tc>
                                <w:tcPr>
                                  <w:tcW w:w="1040" w:type="dxa"/>
                                  <w:tcBorders>
                                    <w:top w:val="nil"/>
                                    <w:left w:val="nil"/>
                                    <w:bottom w:val="single" w:sz="4" w:space="0" w:color="auto"/>
                                    <w:right w:val="single" w:sz="4" w:space="0" w:color="auto"/>
                                  </w:tcBorders>
                                  <w:shd w:val="clear" w:color="auto" w:fill="auto"/>
                                  <w:noWrap/>
                                  <w:vAlign w:val="bottom"/>
                                  <w:hideMark/>
                                </w:tcPr>
                                <w:p w14:paraId="6D20AC31" w14:textId="77777777" w:rsidR="00221CD1" w:rsidRPr="00E60E42" w:rsidRDefault="00221CD1" w:rsidP="00221CD1">
                                  <w:pPr>
                                    <w:spacing w:line="240" w:lineRule="auto"/>
                                    <w:jc w:val="right"/>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95.14</w:t>
                                  </w:r>
                                </w:p>
                              </w:tc>
                              <w:tc>
                                <w:tcPr>
                                  <w:tcW w:w="1020" w:type="dxa"/>
                                  <w:tcBorders>
                                    <w:top w:val="nil"/>
                                    <w:left w:val="nil"/>
                                    <w:bottom w:val="single" w:sz="4" w:space="0" w:color="auto"/>
                                    <w:right w:val="single" w:sz="4" w:space="0" w:color="auto"/>
                                  </w:tcBorders>
                                  <w:shd w:val="clear" w:color="auto" w:fill="auto"/>
                                  <w:noWrap/>
                                  <w:vAlign w:val="bottom"/>
                                  <w:hideMark/>
                                </w:tcPr>
                                <w:p w14:paraId="197AB583"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SBD</w:t>
                                  </w:r>
                                </w:p>
                              </w:tc>
                              <w:tc>
                                <w:tcPr>
                                  <w:tcW w:w="1460" w:type="dxa"/>
                                  <w:tcBorders>
                                    <w:top w:val="nil"/>
                                    <w:left w:val="nil"/>
                                    <w:bottom w:val="single" w:sz="4" w:space="0" w:color="auto"/>
                                    <w:right w:val="single" w:sz="4" w:space="0" w:color="auto"/>
                                  </w:tcBorders>
                                  <w:shd w:val="clear" w:color="auto" w:fill="auto"/>
                                  <w:noWrap/>
                                  <w:vAlign w:val="bottom"/>
                                  <w:hideMark/>
                                </w:tcPr>
                                <w:p w14:paraId="139210AC"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Stratum</w:t>
                                  </w:r>
                                </w:p>
                              </w:tc>
                              <w:tc>
                                <w:tcPr>
                                  <w:tcW w:w="1020" w:type="dxa"/>
                                  <w:tcBorders>
                                    <w:top w:val="nil"/>
                                    <w:left w:val="nil"/>
                                    <w:bottom w:val="single" w:sz="4" w:space="0" w:color="auto"/>
                                    <w:right w:val="single" w:sz="4" w:space="0" w:color="auto"/>
                                  </w:tcBorders>
                                  <w:shd w:val="clear" w:color="auto" w:fill="auto"/>
                                  <w:noWrap/>
                                  <w:vAlign w:val="bottom"/>
                                  <w:hideMark/>
                                </w:tcPr>
                                <w:p w14:paraId="65966528"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LOI</w:t>
                                  </w:r>
                                </w:p>
                              </w:tc>
                              <w:tc>
                                <w:tcPr>
                                  <w:tcW w:w="1020" w:type="dxa"/>
                                  <w:tcBorders>
                                    <w:top w:val="nil"/>
                                    <w:left w:val="nil"/>
                                    <w:bottom w:val="single" w:sz="4" w:space="0" w:color="auto"/>
                                    <w:right w:val="single" w:sz="4" w:space="0" w:color="auto"/>
                                  </w:tcBorders>
                                  <w:shd w:val="clear" w:color="auto" w:fill="auto"/>
                                  <w:noWrap/>
                                  <w:vAlign w:val="bottom"/>
                                  <w:hideMark/>
                                </w:tcPr>
                                <w:p w14:paraId="55B3A518"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5</w:t>
                                  </w:r>
                                </w:p>
                              </w:tc>
                              <w:tc>
                                <w:tcPr>
                                  <w:tcW w:w="1020" w:type="dxa"/>
                                  <w:tcBorders>
                                    <w:top w:val="nil"/>
                                    <w:left w:val="nil"/>
                                    <w:bottom w:val="single" w:sz="4" w:space="0" w:color="auto"/>
                                    <w:right w:val="single" w:sz="4" w:space="0" w:color="auto"/>
                                  </w:tcBorders>
                                  <w:shd w:val="clear" w:color="auto" w:fill="auto"/>
                                  <w:noWrap/>
                                  <w:vAlign w:val="bottom"/>
                                  <w:hideMark/>
                                </w:tcPr>
                                <w:p w14:paraId="67D16355" w14:textId="77777777" w:rsidR="00221CD1" w:rsidRPr="00E60E42" w:rsidRDefault="00221CD1" w:rsidP="00221CD1">
                                  <w:pPr>
                                    <w:spacing w:line="240" w:lineRule="auto"/>
                                    <w:jc w:val="right"/>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18.83</w:t>
                                  </w:r>
                                </w:p>
                              </w:tc>
                            </w:tr>
                            <w:tr w:rsidR="00221CD1" w:rsidRPr="00E60E42" w14:paraId="4846DA49" w14:textId="77777777" w:rsidTr="00221CD1">
                              <w:trPr>
                                <w:trHeight w:val="285"/>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379A0D7B"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OC</w:t>
                                  </w:r>
                                </w:p>
                              </w:tc>
                              <w:tc>
                                <w:tcPr>
                                  <w:tcW w:w="1420" w:type="dxa"/>
                                  <w:tcBorders>
                                    <w:top w:val="nil"/>
                                    <w:left w:val="nil"/>
                                    <w:bottom w:val="single" w:sz="4" w:space="0" w:color="auto"/>
                                    <w:right w:val="single" w:sz="4" w:space="0" w:color="auto"/>
                                  </w:tcBorders>
                                  <w:shd w:val="clear" w:color="auto" w:fill="auto"/>
                                  <w:noWrap/>
                                  <w:vAlign w:val="bottom"/>
                                  <w:hideMark/>
                                </w:tcPr>
                                <w:p w14:paraId="2C03F4C9"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Area + Stratum</w:t>
                                  </w:r>
                                </w:p>
                              </w:tc>
                              <w:tc>
                                <w:tcPr>
                                  <w:tcW w:w="1020" w:type="dxa"/>
                                  <w:tcBorders>
                                    <w:top w:val="nil"/>
                                    <w:left w:val="nil"/>
                                    <w:bottom w:val="single" w:sz="4" w:space="0" w:color="auto"/>
                                    <w:right w:val="single" w:sz="4" w:space="0" w:color="auto"/>
                                  </w:tcBorders>
                                  <w:shd w:val="clear" w:color="auto" w:fill="auto"/>
                                  <w:noWrap/>
                                  <w:vAlign w:val="bottom"/>
                                  <w:hideMark/>
                                </w:tcPr>
                                <w:p w14:paraId="2ED29957"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LOI</w:t>
                                  </w:r>
                                </w:p>
                              </w:tc>
                              <w:tc>
                                <w:tcPr>
                                  <w:tcW w:w="1020" w:type="dxa"/>
                                  <w:tcBorders>
                                    <w:top w:val="nil"/>
                                    <w:left w:val="nil"/>
                                    <w:bottom w:val="single" w:sz="4" w:space="0" w:color="auto"/>
                                    <w:right w:val="single" w:sz="4" w:space="0" w:color="auto"/>
                                  </w:tcBorders>
                                  <w:shd w:val="clear" w:color="auto" w:fill="auto"/>
                                  <w:noWrap/>
                                  <w:vAlign w:val="bottom"/>
                                  <w:hideMark/>
                                </w:tcPr>
                                <w:p w14:paraId="60515BAC"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6</w:t>
                                  </w:r>
                                </w:p>
                              </w:tc>
                              <w:tc>
                                <w:tcPr>
                                  <w:tcW w:w="1040" w:type="dxa"/>
                                  <w:tcBorders>
                                    <w:top w:val="nil"/>
                                    <w:left w:val="nil"/>
                                    <w:bottom w:val="single" w:sz="4" w:space="0" w:color="auto"/>
                                    <w:right w:val="single" w:sz="4" w:space="0" w:color="auto"/>
                                  </w:tcBorders>
                                  <w:shd w:val="clear" w:color="auto" w:fill="auto"/>
                                  <w:noWrap/>
                                  <w:vAlign w:val="bottom"/>
                                  <w:hideMark/>
                                </w:tcPr>
                                <w:p w14:paraId="2C36B0C0" w14:textId="77777777" w:rsidR="00221CD1" w:rsidRPr="00E60E42" w:rsidRDefault="00221CD1" w:rsidP="00221CD1">
                                  <w:pPr>
                                    <w:spacing w:line="240" w:lineRule="auto"/>
                                    <w:jc w:val="right"/>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97.09</w:t>
                                  </w:r>
                                </w:p>
                              </w:tc>
                              <w:tc>
                                <w:tcPr>
                                  <w:tcW w:w="1020" w:type="dxa"/>
                                  <w:tcBorders>
                                    <w:top w:val="nil"/>
                                    <w:left w:val="nil"/>
                                    <w:bottom w:val="single" w:sz="4" w:space="0" w:color="auto"/>
                                    <w:right w:val="single" w:sz="4" w:space="0" w:color="auto"/>
                                  </w:tcBorders>
                                  <w:shd w:val="clear" w:color="auto" w:fill="auto"/>
                                  <w:noWrap/>
                                  <w:vAlign w:val="bottom"/>
                                  <w:hideMark/>
                                </w:tcPr>
                                <w:p w14:paraId="4927725E"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SBD</w:t>
                                  </w:r>
                                </w:p>
                              </w:tc>
                              <w:tc>
                                <w:tcPr>
                                  <w:tcW w:w="1460" w:type="dxa"/>
                                  <w:tcBorders>
                                    <w:top w:val="nil"/>
                                    <w:left w:val="nil"/>
                                    <w:bottom w:val="single" w:sz="4" w:space="0" w:color="auto"/>
                                    <w:right w:val="single" w:sz="4" w:space="0" w:color="auto"/>
                                  </w:tcBorders>
                                  <w:shd w:val="clear" w:color="auto" w:fill="auto"/>
                                  <w:noWrap/>
                                  <w:vAlign w:val="bottom"/>
                                  <w:hideMark/>
                                </w:tcPr>
                                <w:p w14:paraId="095B57F8"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Area + Stratum</w:t>
                                  </w:r>
                                </w:p>
                              </w:tc>
                              <w:tc>
                                <w:tcPr>
                                  <w:tcW w:w="1020" w:type="dxa"/>
                                  <w:tcBorders>
                                    <w:top w:val="nil"/>
                                    <w:left w:val="nil"/>
                                    <w:bottom w:val="single" w:sz="4" w:space="0" w:color="auto"/>
                                    <w:right w:val="single" w:sz="4" w:space="0" w:color="auto"/>
                                  </w:tcBorders>
                                  <w:shd w:val="clear" w:color="auto" w:fill="auto"/>
                                  <w:noWrap/>
                                  <w:vAlign w:val="bottom"/>
                                  <w:hideMark/>
                                </w:tcPr>
                                <w:p w14:paraId="104A7414"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LOI</w:t>
                                  </w:r>
                                </w:p>
                              </w:tc>
                              <w:tc>
                                <w:tcPr>
                                  <w:tcW w:w="1020" w:type="dxa"/>
                                  <w:tcBorders>
                                    <w:top w:val="nil"/>
                                    <w:left w:val="nil"/>
                                    <w:bottom w:val="single" w:sz="4" w:space="0" w:color="auto"/>
                                    <w:right w:val="single" w:sz="4" w:space="0" w:color="auto"/>
                                  </w:tcBorders>
                                  <w:shd w:val="clear" w:color="auto" w:fill="auto"/>
                                  <w:noWrap/>
                                  <w:vAlign w:val="bottom"/>
                                  <w:hideMark/>
                                </w:tcPr>
                                <w:p w14:paraId="1353D279"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6</w:t>
                                  </w:r>
                                </w:p>
                              </w:tc>
                              <w:tc>
                                <w:tcPr>
                                  <w:tcW w:w="1020" w:type="dxa"/>
                                  <w:tcBorders>
                                    <w:top w:val="nil"/>
                                    <w:left w:val="nil"/>
                                    <w:bottom w:val="single" w:sz="4" w:space="0" w:color="auto"/>
                                    <w:right w:val="single" w:sz="4" w:space="0" w:color="auto"/>
                                  </w:tcBorders>
                                  <w:shd w:val="clear" w:color="auto" w:fill="auto"/>
                                  <w:noWrap/>
                                  <w:vAlign w:val="bottom"/>
                                  <w:hideMark/>
                                </w:tcPr>
                                <w:p w14:paraId="11BE3012" w14:textId="77777777" w:rsidR="00221CD1" w:rsidRPr="00E60E42" w:rsidRDefault="00221CD1" w:rsidP="00221CD1">
                                  <w:pPr>
                                    <w:spacing w:line="240" w:lineRule="auto"/>
                                    <w:jc w:val="right"/>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8.15</w:t>
                                  </w:r>
                                </w:p>
                              </w:tc>
                            </w:tr>
                            <w:tr w:rsidR="00221CD1" w:rsidRPr="00E60E42" w14:paraId="5C81F00D" w14:textId="77777777" w:rsidTr="00221CD1">
                              <w:trPr>
                                <w:trHeight w:val="285"/>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613101C0"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OC</w:t>
                                  </w:r>
                                </w:p>
                              </w:tc>
                              <w:tc>
                                <w:tcPr>
                                  <w:tcW w:w="1420" w:type="dxa"/>
                                  <w:tcBorders>
                                    <w:top w:val="nil"/>
                                    <w:left w:val="nil"/>
                                    <w:bottom w:val="single" w:sz="4" w:space="0" w:color="auto"/>
                                    <w:right w:val="single" w:sz="4" w:space="0" w:color="auto"/>
                                  </w:tcBorders>
                                  <w:shd w:val="clear" w:color="auto" w:fill="auto"/>
                                  <w:noWrap/>
                                  <w:vAlign w:val="bottom"/>
                                  <w:hideMark/>
                                </w:tcPr>
                                <w:p w14:paraId="301D1DC9"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Area x Stratum</w:t>
                                  </w:r>
                                </w:p>
                              </w:tc>
                              <w:tc>
                                <w:tcPr>
                                  <w:tcW w:w="1020" w:type="dxa"/>
                                  <w:tcBorders>
                                    <w:top w:val="nil"/>
                                    <w:left w:val="nil"/>
                                    <w:bottom w:val="single" w:sz="4" w:space="0" w:color="auto"/>
                                    <w:right w:val="single" w:sz="4" w:space="0" w:color="auto"/>
                                  </w:tcBorders>
                                  <w:shd w:val="clear" w:color="auto" w:fill="auto"/>
                                  <w:noWrap/>
                                  <w:vAlign w:val="bottom"/>
                                  <w:hideMark/>
                                </w:tcPr>
                                <w:p w14:paraId="680C653C"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LOI</w:t>
                                  </w:r>
                                </w:p>
                              </w:tc>
                              <w:tc>
                                <w:tcPr>
                                  <w:tcW w:w="1020" w:type="dxa"/>
                                  <w:tcBorders>
                                    <w:top w:val="nil"/>
                                    <w:left w:val="nil"/>
                                    <w:bottom w:val="single" w:sz="4" w:space="0" w:color="auto"/>
                                    <w:right w:val="single" w:sz="4" w:space="0" w:color="auto"/>
                                  </w:tcBorders>
                                  <w:shd w:val="clear" w:color="auto" w:fill="auto"/>
                                  <w:noWrap/>
                                  <w:vAlign w:val="bottom"/>
                                  <w:hideMark/>
                                </w:tcPr>
                                <w:p w14:paraId="3E9497FF"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7</w:t>
                                  </w:r>
                                </w:p>
                              </w:tc>
                              <w:tc>
                                <w:tcPr>
                                  <w:tcW w:w="1040" w:type="dxa"/>
                                  <w:tcBorders>
                                    <w:top w:val="nil"/>
                                    <w:left w:val="nil"/>
                                    <w:bottom w:val="single" w:sz="4" w:space="0" w:color="auto"/>
                                    <w:right w:val="single" w:sz="4" w:space="0" w:color="auto"/>
                                  </w:tcBorders>
                                  <w:shd w:val="clear" w:color="auto" w:fill="auto"/>
                                  <w:noWrap/>
                                  <w:vAlign w:val="bottom"/>
                                  <w:hideMark/>
                                </w:tcPr>
                                <w:p w14:paraId="6597EC5F" w14:textId="77777777" w:rsidR="00221CD1" w:rsidRPr="00E60E42" w:rsidRDefault="00221CD1" w:rsidP="00221CD1">
                                  <w:pPr>
                                    <w:spacing w:line="240" w:lineRule="auto"/>
                                    <w:jc w:val="right"/>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98.78</w:t>
                                  </w:r>
                                </w:p>
                              </w:tc>
                              <w:tc>
                                <w:tcPr>
                                  <w:tcW w:w="1020" w:type="dxa"/>
                                  <w:tcBorders>
                                    <w:top w:val="nil"/>
                                    <w:left w:val="nil"/>
                                    <w:bottom w:val="single" w:sz="4" w:space="0" w:color="auto"/>
                                    <w:right w:val="single" w:sz="4" w:space="0" w:color="auto"/>
                                  </w:tcBorders>
                                  <w:shd w:val="clear" w:color="auto" w:fill="auto"/>
                                  <w:noWrap/>
                                  <w:vAlign w:val="bottom"/>
                                  <w:hideMark/>
                                </w:tcPr>
                                <w:p w14:paraId="1053F772"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SBD</w:t>
                                  </w:r>
                                </w:p>
                              </w:tc>
                              <w:tc>
                                <w:tcPr>
                                  <w:tcW w:w="1460" w:type="dxa"/>
                                  <w:tcBorders>
                                    <w:top w:val="nil"/>
                                    <w:left w:val="nil"/>
                                    <w:bottom w:val="single" w:sz="4" w:space="0" w:color="auto"/>
                                    <w:right w:val="single" w:sz="4" w:space="0" w:color="auto"/>
                                  </w:tcBorders>
                                  <w:shd w:val="clear" w:color="auto" w:fill="auto"/>
                                  <w:noWrap/>
                                  <w:vAlign w:val="bottom"/>
                                  <w:hideMark/>
                                </w:tcPr>
                                <w:p w14:paraId="0048785B"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Area x Stratum</w:t>
                                  </w:r>
                                </w:p>
                              </w:tc>
                              <w:tc>
                                <w:tcPr>
                                  <w:tcW w:w="1020" w:type="dxa"/>
                                  <w:tcBorders>
                                    <w:top w:val="nil"/>
                                    <w:left w:val="nil"/>
                                    <w:bottom w:val="single" w:sz="4" w:space="0" w:color="auto"/>
                                    <w:right w:val="single" w:sz="4" w:space="0" w:color="auto"/>
                                  </w:tcBorders>
                                  <w:shd w:val="clear" w:color="auto" w:fill="auto"/>
                                  <w:noWrap/>
                                  <w:vAlign w:val="bottom"/>
                                  <w:hideMark/>
                                </w:tcPr>
                                <w:p w14:paraId="773DE76A"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LOI</w:t>
                                  </w:r>
                                </w:p>
                              </w:tc>
                              <w:tc>
                                <w:tcPr>
                                  <w:tcW w:w="1020" w:type="dxa"/>
                                  <w:tcBorders>
                                    <w:top w:val="nil"/>
                                    <w:left w:val="nil"/>
                                    <w:bottom w:val="single" w:sz="4" w:space="0" w:color="auto"/>
                                    <w:right w:val="single" w:sz="4" w:space="0" w:color="auto"/>
                                  </w:tcBorders>
                                  <w:shd w:val="clear" w:color="auto" w:fill="auto"/>
                                  <w:noWrap/>
                                  <w:vAlign w:val="bottom"/>
                                  <w:hideMark/>
                                </w:tcPr>
                                <w:p w14:paraId="1CE3BBBB"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7</w:t>
                                  </w:r>
                                </w:p>
                              </w:tc>
                              <w:tc>
                                <w:tcPr>
                                  <w:tcW w:w="1020" w:type="dxa"/>
                                  <w:tcBorders>
                                    <w:top w:val="nil"/>
                                    <w:left w:val="nil"/>
                                    <w:bottom w:val="single" w:sz="4" w:space="0" w:color="auto"/>
                                    <w:right w:val="single" w:sz="4" w:space="0" w:color="auto"/>
                                  </w:tcBorders>
                                  <w:shd w:val="clear" w:color="auto" w:fill="auto"/>
                                  <w:noWrap/>
                                  <w:vAlign w:val="bottom"/>
                                  <w:hideMark/>
                                </w:tcPr>
                                <w:p w14:paraId="67A5BE49" w14:textId="77777777" w:rsidR="00221CD1" w:rsidRPr="00E60E42" w:rsidRDefault="00221CD1" w:rsidP="00221CD1">
                                  <w:pPr>
                                    <w:spacing w:line="240" w:lineRule="auto"/>
                                    <w:jc w:val="right"/>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10.15</w:t>
                                  </w:r>
                                </w:p>
                              </w:tc>
                            </w:tr>
                            <w:tr w:rsidR="00221CD1" w:rsidRPr="00E60E42" w14:paraId="3A51D581" w14:textId="77777777" w:rsidTr="00221CD1">
                              <w:trPr>
                                <w:trHeight w:val="285"/>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7FE31463"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ln(OC)</w:t>
                                  </w:r>
                                </w:p>
                              </w:tc>
                              <w:tc>
                                <w:tcPr>
                                  <w:tcW w:w="1420" w:type="dxa"/>
                                  <w:tcBorders>
                                    <w:top w:val="nil"/>
                                    <w:left w:val="nil"/>
                                    <w:bottom w:val="single" w:sz="4" w:space="0" w:color="auto"/>
                                    <w:right w:val="single" w:sz="4" w:space="0" w:color="auto"/>
                                  </w:tcBorders>
                                  <w:shd w:val="clear" w:color="auto" w:fill="auto"/>
                                  <w:noWrap/>
                                  <w:vAlign w:val="bottom"/>
                                  <w:hideMark/>
                                </w:tcPr>
                                <w:p w14:paraId="459208DC"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Area</w:t>
                                  </w:r>
                                </w:p>
                              </w:tc>
                              <w:tc>
                                <w:tcPr>
                                  <w:tcW w:w="1020" w:type="dxa"/>
                                  <w:tcBorders>
                                    <w:top w:val="nil"/>
                                    <w:left w:val="nil"/>
                                    <w:bottom w:val="single" w:sz="4" w:space="0" w:color="auto"/>
                                    <w:right w:val="single" w:sz="4" w:space="0" w:color="auto"/>
                                  </w:tcBorders>
                                  <w:shd w:val="clear" w:color="auto" w:fill="auto"/>
                                  <w:noWrap/>
                                  <w:vAlign w:val="bottom"/>
                                  <w:hideMark/>
                                </w:tcPr>
                                <w:p w14:paraId="0E6AB32C"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LOI</w:t>
                                  </w:r>
                                </w:p>
                              </w:tc>
                              <w:tc>
                                <w:tcPr>
                                  <w:tcW w:w="1020" w:type="dxa"/>
                                  <w:tcBorders>
                                    <w:top w:val="nil"/>
                                    <w:left w:val="nil"/>
                                    <w:bottom w:val="single" w:sz="4" w:space="0" w:color="auto"/>
                                    <w:right w:val="single" w:sz="4" w:space="0" w:color="auto"/>
                                  </w:tcBorders>
                                  <w:shd w:val="clear" w:color="auto" w:fill="auto"/>
                                  <w:noWrap/>
                                  <w:vAlign w:val="bottom"/>
                                  <w:hideMark/>
                                </w:tcPr>
                                <w:p w14:paraId="2E684AE5"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4</w:t>
                                  </w:r>
                                </w:p>
                              </w:tc>
                              <w:tc>
                                <w:tcPr>
                                  <w:tcW w:w="1040" w:type="dxa"/>
                                  <w:tcBorders>
                                    <w:top w:val="nil"/>
                                    <w:left w:val="nil"/>
                                    <w:bottom w:val="single" w:sz="4" w:space="0" w:color="auto"/>
                                    <w:right w:val="single" w:sz="4" w:space="0" w:color="auto"/>
                                  </w:tcBorders>
                                  <w:shd w:val="clear" w:color="auto" w:fill="auto"/>
                                  <w:noWrap/>
                                  <w:vAlign w:val="bottom"/>
                                  <w:hideMark/>
                                </w:tcPr>
                                <w:p w14:paraId="720DF799" w14:textId="77777777" w:rsidR="00221CD1" w:rsidRPr="00E60E42" w:rsidRDefault="00221CD1" w:rsidP="00221CD1">
                                  <w:pPr>
                                    <w:spacing w:line="240" w:lineRule="auto"/>
                                    <w:jc w:val="right"/>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44.51</w:t>
                                  </w:r>
                                </w:p>
                              </w:tc>
                              <w:tc>
                                <w:tcPr>
                                  <w:tcW w:w="1020" w:type="dxa"/>
                                  <w:tcBorders>
                                    <w:top w:val="nil"/>
                                    <w:left w:val="nil"/>
                                    <w:bottom w:val="single" w:sz="4" w:space="0" w:color="auto"/>
                                    <w:right w:val="single" w:sz="4" w:space="0" w:color="auto"/>
                                  </w:tcBorders>
                                  <w:shd w:val="clear" w:color="auto" w:fill="auto"/>
                                  <w:noWrap/>
                                  <w:vAlign w:val="bottom"/>
                                  <w:hideMark/>
                                </w:tcPr>
                                <w:p w14:paraId="1CE0A291"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ln(SBD)</w:t>
                                  </w:r>
                                </w:p>
                              </w:tc>
                              <w:tc>
                                <w:tcPr>
                                  <w:tcW w:w="1460" w:type="dxa"/>
                                  <w:tcBorders>
                                    <w:top w:val="nil"/>
                                    <w:left w:val="nil"/>
                                    <w:bottom w:val="single" w:sz="4" w:space="0" w:color="auto"/>
                                    <w:right w:val="single" w:sz="4" w:space="0" w:color="auto"/>
                                  </w:tcBorders>
                                  <w:shd w:val="clear" w:color="auto" w:fill="auto"/>
                                  <w:noWrap/>
                                  <w:vAlign w:val="bottom"/>
                                  <w:hideMark/>
                                </w:tcPr>
                                <w:p w14:paraId="70C9636C"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Area</w:t>
                                  </w:r>
                                </w:p>
                              </w:tc>
                              <w:tc>
                                <w:tcPr>
                                  <w:tcW w:w="1020" w:type="dxa"/>
                                  <w:tcBorders>
                                    <w:top w:val="nil"/>
                                    <w:left w:val="nil"/>
                                    <w:bottom w:val="single" w:sz="4" w:space="0" w:color="auto"/>
                                    <w:right w:val="single" w:sz="4" w:space="0" w:color="auto"/>
                                  </w:tcBorders>
                                  <w:shd w:val="clear" w:color="auto" w:fill="auto"/>
                                  <w:noWrap/>
                                  <w:vAlign w:val="bottom"/>
                                  <w:hideMark/>
                                </w:tcPr>
                                <w:p w14:paraId="78F822C3"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LOI</w:t>
                                  </w:r>
                                </w:p>
                              </w:tc>
                              <w:tc>
                                <w:tcPr>
                                  <w:tcW w:w="1020" w:type="dxa"/>
                                  <w:tcBorders>
                                    <w:top w:val="nil"/>
                                    <w:left w:val="nil"/>
                                    <w:bottom w:val="single" w:sz="4" w:space="0" w:color="auto"/>
                                    <w:right w:val="single" w:sz="4" w:space="0" w:color="auto"/>
                                  </w:tcBorders>
                                  <w:shd w:val="clear" w:color="auto" w:fill="auto"/>
                                  <w:noWrap/>
                                  <w:vAlign w:val="bottom"/>
                                  <w:hideMark/>
                                </w:tcPr>
                                <w:p w14:paraId="625A8ED8"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4</w:t>
                                  </w:r>
                                </w:p>
                              </w:tc>
                              <w:tc>
                                <w:tcPr>
                                  <w:tcW w:w="1020" w:type="dxa"/>
                                  <w:tcBorders>
                                    <w:top w:val="nil"/>
                                    <w:left w:val="nil"/>
                                    <w:bottom w:val="single" w:sz="4" w:space="0" w:color="auto"/>
                                    <w:right w:val="single" w:sz="4" w:space="0" w:color="auto"/>
                                  </w:tcBorders>
                                  <w:shd w:val="clear" w:color="auto" w:fill="auto"/>
                                  <w:noWrap/>
                                  <w:vAlign w:val="bottom"/>
                                  <w:hideMark/>
                                </w:tcPr>
                                <w:p w14:paraId="4726E5FC" w14:textId="77777777" w:rsidR="00221CD1" w:rsidRPr="00E60E42" w:rsidRDefault="00221CD1" w:rsidP="00221CD1">
                                  <w:pPr>
                                    <w:spacing w:line="240" w:lineRule="auto"/>
                                    <w:jc w:val="right"/>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10.73</w:t>
                                  </w:r>
                                </w:p>
                              </w:tc>
                            </w:tr>
                            <w:tr w:rsidR="00221CD1" w:rsidRPr="00E60E42" w14:paraId="4BC7BDCD" w14:textId="77777777" w:rsidTr="00221CD1">
                              <w:trPr>
                                <w:trHeight w:val="285"/>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70789159"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ln(OC)</w:t>
                                  </w:r>
                                </w:p>
                              </w:tc>
                              <w:tc>
                                <w:tcPr>
                                  <w:tcW w:w="1420" w:type="dxa"/>
                                  <w:tcBorders>
                                    <w:top w:val="nil"/>
                                    <w:left w:val="nil"/>
                                    <w:bottom w:val="single" w:sz="4" w:space="0" w:color="auto"/>
                                    <w:right w:val="single" w:sz="4" w:space="0" w:color="auto"/>
                                  </w:tcBorders>
                                  <w:shd w:val="clear" w:color="auto" w:fill="auto"/>
                                  <w:noWrap/>
                                  <w:vAlign w:val="bottom"/>
                                  <w:hideMark/>
                                </w:tcPr>
                                <w:p w14:paraId="5C6CFB37"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Stratum</w:t>
                                  </w:r>
                                </w:p>
                              </w:tc>
                              <w:tc>
                                <w:tcPr>
                                  <w:tcW w:w="1020" w:type="dxa"/>
                                  <w:tcBorders>
                                    <w:top w:val="nil"/>
                                    <w:left w:val="nil"/>
                                    <w:bottom w:val="single" w:sz="4" w:space="0" w:color="auto"/>
                                    <w:right w:val="single" w:sz="4" w:space="0" w:color="auto"/>
                                  </w:tcBorders>
                                  <w:shd w:val="clear" w:color="auto" w:fill="auto"/>
                                  <w:noWrap/>
                                  <w:vAlign w:val="bottom"/>
                                  <w:hideMark/>
                                </w:tcPr>
                                <w:p w14:paraId="5BEE5ECC"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LOI</w:t>
                                  </w:r>
                                </w:p>
                              </w:tc>
                              <w:tc>
                                <w:tcPr>
                                  <w:tcW w:w="1020" w:type="dxa"/>
                                  <w:tcBorders>
                                    <w:top w:val="nil"/>
                                    <w:left w:val="nil"/>
                                    <w:bottom w:val="single" w:sz="4" w:space="0" w:color="auto"/>
                                    <w:right w:val="single" w:sz="4" w:space="0" w:color="auto"/>
                                  </w:tcBorders>
                                  <w:shd w:val="clear" w:color="auto" w:fill="auto"/>
                                  <w:noWrap/>
                                  <w:vAlign w:val="bottom"/>
                                  <w:hideMark/>
                                </w:tcPr>
                                <w:p w14:paraId="62B78E93"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5</w:t>
                                  </w:r>
                                </w:p>
                              </w:tc>
                              <w:tc>
                                <w:tcPr>
                                  <w:tcW w:w="1040" w:type="dxa"/>
                                  <w:tcBorders>
                                    <w:top w:val="nil"/>
                                    <w:left w:val="nil"/>
                                    <w:bottom w:val="single" w:sz="4" w:space="0" w:color="auto"/>
                                    <w:right w:val="single" w:sz="4" w:space="0" w:color="auto"/>
                                  </w:tcBorders>
                                  <w:shd w:val="clear" w:color="auto" w:fill="auto"/>
                                  <w:noWrap/>
                                  <w:vAlign w:val="bottom"/>
                                  <w:hideMark/>
                                </w:tcPr>
                                <w:p w14:paraId="36E58EC5" w14:textId="77777777" w:rsidR="00221CD1" w:rsidRPr="00E60E42" w:rsidRDefault="00221CD1" w:rsidP="00221CD1">
                                  <w:pPr>
                                    <w:spacing w:line="240" w:lineRule="auto"/>
                                    <w:jc w:val="right"/>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35.22</w:t>
                                  </w:r>
                                </w:p>
                              </w:tc>
                              <w:tc>
                                <w:tcPr>
                                  <w:tcW w:w="1020" w:type="dxa"/>
                                  <w:tcBorders>
                                    <w:top w:val="nil"/>
                                    <w:left w:val="nil"/>
                                    <w:bottom w:val="single" w:sz="4" w:space="0" w:color="auto"/>
                                    <w:right w:val="single" w:sz="4" w:space="0" w:color="auto"/>
                                  </w:tcBorders>
                                  <w:shd w:val="clear" w:color="auto" w:fill="auto"/>
                                  <w:noWrap/>
                                  <w:vAlign w:val="bottom"/>
                                  <w:hideMark/>
                                </w:tcPr>
                                <w:p w14:paraId="1FA2EE97"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ln(SBD)</w:t>
                                  </w:r>
                                </w:p>
                              </w:tc>
                              <w:tc>
                                <w:tcPr>
                                  <w:tcW w:w="1460" w:type="dxa"/>
                                  <w:tcBorders>
                                    <w:top w:val="nil"/>
                                    <w:left w:val="nil"/>
                                    <w:bottom w:val="single" w:sz="4" w:space="0" w:color="auto"/>
                                    <w:right w:val="single" w:sz="4" w:space="0" w:color="auto"/>
                                  </w:tcBorders>
                                  <w:shd w:val="clear" w:color="auto" w:fill="auto"/>
                                  <w:noWrap/>
                                  <w:vAlign w:val="bottom"/>
                                  <w:hideMark/>
                                </w:tcPr>
                                <w:p w14:paraId="48A7D439"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Stratum</w:t>
                                  </w:r>
                                </w:p>
                              </w:tc>
                              <w:tc>
                                <w:tcPr>
                                  <w:tcW w:w="1020" w:type="dxa"/>
                                  <w:tcBorders>
                                    <w:top w:val="nil"/>
                                    <w:left w:val="nil"/>
                                    <w:bottom w:val="single" w:sz="4" w:space="0" w:color="auto"/>
                                    <w:right w:val="single" w:sz="4" w:space="0" w:color="auto"/>
                                  </w:tcBorders>
                                  <w:shd w:val="clear" w:color="auto" w:fill="auto"/>
                                  <w:noWrap/>
                                  <w:vAlign w:val="bottom"/>
                                  <w:hideMark/>
                                </w:tcPr>
                                <w:p w14:paraId="69855F7A"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LOI</w:t>
                                  </w:r>
                                </w:p>
                              </w:tc>
                              <w:tc>
                                <w:tcPr>
                                  <w:tcW w:w="1020" w:type="dxa"/>
                                  <w:tcBorders>
                                    <w:top w:val="nil"/>
                                    <w:left w:val="nil"/>
                                    <w:bottom w:val="single" w:sz="4" w:space="0" w:color="auto"/>
                                    <w:right w:val="single" w:sz="4" w:space="0" w:color="auto"/>
                                  </w:tcBorders>
                                  <w:shd w:val="clear" w:color="auto" w:fill="auto"/>
                                  <w:noWrap/>
                                  <w:vAlign w:val="bottom"/>
                                  <w:hideMark/>
                                </w:tcPr>
                                <w:p w14:paraId="3CACC42E"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5</w:t>
                                  </w:r>
                                </w:p>
                              </w:tc>
                              <w:tc>
                                <w:tcPr>
                                  <w:tcW w:w="1020" w:type="dxa"/>
                                  <w:tcBorders>
                                    <w:top w:val="nil"/>
                                    <w:left w:val="nil"/>
                                    <w:bottom w:val="single" w:sz="4" w:space="0" w:color="auto"/>
                                    <w:right w:val="single" w:sz="4" w:space="0" w:color="auto"/>
                                  </w:tcBorders>
                                  <w:shd w:val="clear" w:color="auto" w:fill="auto"/>
                                  <w:noWrap/>
                                  <w:vAlign w:val="bottom"/>
                                  <w:hideMark/>
                                </w:tcPr>
                                <w:p w14:paraId="4AEEF206" w14:textId="77777777" w:rsidR="00221CD1" w:rsidRPr="00E60E42" w:rsidRDefault="00221CD1" w:rsidP="00221CD1">
                                  <w:pPr>
                                    <w:spacing w:line="240" w:lineRule="auto"/>
                                    <w:jc w:val="right"/>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13.35</w:t>
                                  </w:r>
                                </w:p>
                              </w:tc>
                            </w:tr>
                            <w:tr w:rsidR="00221CD1" w:rsidRPr="00E60E42" w14:paraId="444C50D5" w14:textId="77777777" w:rsidTr="00221CD1">
                              <w:trPr>
                                <w:trHeight w:val="285"/>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48C93159"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ln(OC)</w:t>
                                  </w:r>
                                </w:p>
                              </w:tc>
                              <w:tc>
                                <w:tcPr>
                                  <w:tcW w:w="1420" w:type="dxa"/>
                                  <w:tcBorders>
                                    <w:top w:val="nil"/>
                                    <w:left w:val="nil"/>
                                    <w:bottom w:val="single" w:sz="4" w:space="0" w:color="auto"/>
                                    <w:right w:val="single" w:sz="4" w:space="0" w:color="auto"/>
                                  </w:tcBorders>
                                  <w:shd w:val="clear" w:color="auto" w:fill="auto"/>
                                  <w:noWrap/>
                                  <w:vAlign w:val="bottom"/>
                                  <w:hideMark/>
                                </w:tcPr>
                                <w:p w14:paraId="6976EEEF"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Area + Stratum</w:t>
                                  </w:r>
                                </w:p>
                              </w:tc>
                              <w:tc>
                                <w:tcPr>
                                  <w:tcW w:w="1020" w:type="dxa"/>
                                  <w:tcBorders>
                                    <w:top w:val="nil"/>
                                    <w:left w:val="nil"/>
                                    <w:bottom w:val="single" w:sz="4" w:space="0" w:color="auto"/>
                                    <w:right w:val="single" w:sz="4" w:space="0" w:color="auto"/>
                                  </w:tcBorders>
                                  <w:shd w:val="clear" w:color="auto" w:fill="auto"/>
                                  <w:noWrap/>
                                  <w:vAlign w:val="bottom"/>
                                  <w:hideMark/>
                                </w:tcPr>
                                <w:p w14:paraId="12B92B3B"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LOI</w:t>
                                  </w:r>
                                </w:p>
                              </w:tc>
                              <w:tc>
                                <w:tcPr>
                                  <w:tcW w:w="1020" w:type="dxa"/>
                                  <w:tcBorders>
                                    <w:top w:val="nil"/>
                                    <w:left w:val="nil"/>
                                    <w:bottom w:val="single" w:sz="4" w:space="0" w:color="auto"/>
                                    <w:right w:val="single" w:sz="4" w:space="0" w:color="auto"/>
                                  </w:tcBorders>
                                  <w:shd w:val="clear" w:color="auto" w:fill="auto"/>
                                  <w:noWrap/>
                                  <w:vAlign w:val="bottom"/>
                                  <w:hideMark/>
                                </w:tcPr>
                                <w:p w14:paraId="64BC3931"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6</w:t>
                                  </w:r>
                                </w:p>
                              </w:tc>
                              <w:tc>
                                <w:tcPr>
                                  <w:tcW w:w="1040" w:type="dxa"/>
                                  <w:tcBorders>
                                    <w:top w:val="nil"/>
                                    <w:left w:val="nil"/>
                                    <w:bottom w:val="single" w:sz="4" w:space="0" w:color="auto"/>
                                    <w:right w:val="single" w:sz="4" w:space="0" w:color="auto"/>
                                  </w:tcBorders>
                                  <w:shd w:val="clear" w:color="auto" w:fill="auto"/>
                                  <w:noWrap/>
                                  <w:vAlign w:val="bottom"/>
                                  <w:hideMark/>
                                </w:tcPr>
                                <w:p w14:paraId="23EB06F0" w14:textId="77777777" w:rsidR="00221CD1" w:rsidRPr="00E60E42" w:rsidRDefault="00221CD1" w:rsidP="00221CD1">
                                  <w:pPr>
                                    <w:spacing w:line="240" w:lineRule="auto"/>
                                    <w:jc w:val="right"/>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37.08</w:t>
                                  </w:r>
                                </w:p>
                              </w:tc>
                              <w:tc>
                                <w:tcPr>
                                  <w:tcW w:w="1020" w:type="dxa"/>
                                  <w:tcBorders>
                                    <w:top w:val="nil"/>
                                    <w:left w:val="nil"/>
                                    <w:bottom w:val="single" w:sz="4" w:space="0" w:color="auto"/>
                                    <w:right w:val="single" w:sz="4" w:space="0" w:color="auto"/>
                                  </w:tcBorders>
                                  <w:shd w:val="clear" w:color="auto" w:fill="auto"/>
                                  <w:noWrap/>
                                  <w:vAlign w:val="bottom"/>
                                  <w:hideMark/>
                                </w:tcPr>
                                <w:p w14:paraId="0A75DB84"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ln(SBD)</w:t>
                                  </w:r>
                                </w:p>
                              </w:tc>
                              <w:tc>
                                <w:tcPr>
                                  <w:tcW w:w="1460" w:type="dxa"/>
                                  <w:tcBorders>
                                    <w:top w:val="nil"/>
                                    <w:left w:val="nil"/>
                                    <w:bottom w:val="single" w:sz="4" w:space="0" w:color="auto"/>
                                    <w:right w:val="single" w:sz="4" w:space="0" w:color="auto"/>
                                  </w:tcBorders>
                                  <w:shd w:val="clear" w:color="auto" w:fill="auto"/>
                                  <w:noWrap/>
                                  <w:vAlign w:val="bottom"/>
                                  <w:hideMark/>
                                </w:tcPr>
                                <w:p w14:paraId="6672FE83"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Area + Stratum</w:t>
                                  </w:r>
                                </w:p>
                              </w:tc>
                              <w:tc>
                                <w:tcPr>
                                  <w:tcW w:w="1020" w:type="dxa"/>
                                  <w:tcBorders>
                                    <w:top w:val="nil"/>
                                    <w:left w:val="nil"/>
                                    <w:bottom w:val="single" w:sz="4" w:space="0" w:color="auto"/>
                                    <w:right w:val="single" w:sz="4" w:space="0" w:color="auto"/>
                                  </w:tcBorders>
                                  <w:shd w:val="clear" w:color="auto" w:fill="auto"/>
                                  <w:noWrap/>
                                  <w:vAlign w:val="bottom"/>
                                  <w:hideMark/>
                                </w:tcPr>
                                <w:p w14:paraId="649AE432"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LOI</w:t>
                                  </w:r>
                                </w:p>
                              </w:tc>
                              <w:tc>
                                <w:tcPr>
                                  <w:tcW w:w="1020" w:type="dxa"/>
                                  <w:tcBorders>
                                    <w:top w:val="nil"/>
                                    <w:left w:val="nil"/>
                                    <w:bottom w:val="single" w:sz="4" w:space="0" w:color="auto"/>
                                    <w:right w:val="single" w:sz="4" w:space="0" w:color="auto"/>
                                  </w:tcBorders>
                                  <w:shd w:val="clear" w:color="auto" w:fill="auto"/>
                                  <w:noWrap/>
                                  <w:vAlign w:val="bottom"/>
                                  <w:hideMark/>
                                </w:tcPr>
                                <w:p w14:paraId="25312EA1"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6</w:t>
                                  </w:r>
                                </w:p>
                              </w:tc>
                              <w:tc>
                                <w:tcPr>
                                  <w:tcW w:w="1020" w:type="dxa"/>
                                  <w:tcBorders>
                                    <w:top w:val="nil"/>
                                    <w:left w:val="nil"/>
                                    <w:bottom w:val="single" w:sz="4" w:space="0" w:color="auto"/>
                                    <w:right w:val="single" w:sz="4" w:space="0" w:color="auto"/>
                                  </w:tcBorders>
                                  <w:shd w:val="clear" w:color="auto" w:fill="auto"/>
                                  <w:noWrap/>
                                  <w:vAlign w:val="bottom"/>
                                  <w:hideMark/>
                                </w:tcPr>
                                <w:p w14:paraId="6AD68F82" w14:textId="77777777" w:rsidR="00221CD1" w:rsidRPr="00E60E42" w:rsidRDefault="00221CD1" w:rsidP="00221CD1">
                                  <w:pPr>
                                    <w:spacing w:line="240" w:lineRule="auto"/>
                                    <w:jc w:val="right"/>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7.93</w:t>
                                  </w:r>
                                </w:p>
                              </w:tc>
                            </w:tr>
                            <w:tr w:rsidR="00221CD1" w:rsidRPr="00E60E42" w14:paraId="6EDB85A5" w14:textId="77777777" w:rsidTr="00221CD1">
                              <w:trPr>
                                <w:trHeight w:val="285"/>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3EC5D6B8"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ln(OC)</w:t>
                                  </w:r>
                                </w:p>
                              </w:tc>
                              <w:tc>
                                <w:tcPr>
                                  <w:tcW w:w="1420" w:type="dxa"/>
                                  <w:tcBorders>
                                    <w:top w:val="nil"/>
                                    <w:left w:val="nil"/>
                                    <w:bottom w:val="single" w:sz="4" w:space="0" w:color="auto"/>
                                    <w:right w:val="single" w:sz="4" w:space="0" w:color="auto"/>
                                  </w:tcBorders>
                                  <w:shd w:val="clear" w:color="auto" w:fill="auto"/>
                                  <w:noWrap/>
                                  <w:vAlign w:val="bottom"/>
                                  <w:hideMark/>
                                </w:tcPr>
                                <w:p w14:paraId="46CB146E"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Area x Stratum</w:t>
                                  </w:r>
                                </w:p>
                              </w:tc>
                              <w:tc>
                                <w:tcPr>
                                  <w:tcW w:w="1020" w:type="dxa"/>
                                  <w:tcBorders>
                                    <w:top w:val="nil"/>
                                    <w:left w:val="nil"/>
                                    <w:bottom w:val="single" w:sz="4" w:space="0" w:color="auto"/>
                                    <w:right w:val="single" w:sz="4" w:space="0" w:color="auto"/>
                                  </w:tcBorders>
                                  <w:shd w:val="clear" w:color="auto" w:fill="auto"/>
                                  <w:noWrap/>
                                  <w:vAlign w:val="bottom"/>
                                  <w:hideMark/>
                                </w:tcPr>
                                <w:p w14:paraId="77DB93A7"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LOI</w:t>
                                  </w:r>
                                </w:p>
                              </w:tc>
                              <w:tc>
                                <w:tcPr>
                                  <w:tcW w:w="1020" w:type="dxa"/>
                                  <w:tcBorders>
                                    <w:top w:val="nil"/>
                                    <w:left w:val="nil"/>
                                    <w:bottom w:val="single" w:sz="4" w:space="0" w:color="auto"/>
                                    <w:right w:val="single" w:sz="4" w:space="0" w:color="auto"/>
                                  </w:tcBorders>
                                  <w:shd w:val="clear" w:color="auto" w:fill="auto"/>
                                  <w:noWrap/>
                                  <w:vAlign w:val="bottom"/>
                                  <w:hideMark/>
                                </w:tcPr>
                                <w:p w14:paraId="3DBC69C0"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7</w:t>
                                  </w:r>
                                </w:p>
                              </w:tc>
                              <w:tc>
                                <w:tcPr>
                                  <w:tcW w:w="1040" w:type="dxa"/>
                                  <w:tcBorders>
                                    <w:top w:val="nil"/>
                                    <w:left w:val="nil"/>
                                    <w:bottom w:val="single" w:sz="4" w:space="0" w:color="auto"/>
                                    <w:right w:val="single" w:sz="4" w:space="0" w:color="auto"/>
                                  </w:tcBorders>
                                  <w:shd w:val="clear" w:color="auto" w:fill="auto"/>
                                  <w:noWrap/>
                                  <w:vAlign w:val="bottom"/>
                                  <w:hideMark/>
                                </w:tcPr>
                                <w:p w14:paraId="0031BCCD" w14:textId="77777777" w:rsidR="00221CD1" w:rsidRPr="00E60E42" w:rsidRDefault="00221CD1" w:rsidP="00221CD1">
                                  <w:pPr>
                                    <w:spacing w:line="240" w:lineRule="auto"/>
                                    <w:jc w:val="right"/>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38.91</w:t>
                                  </w:r>
                                </w:p>
                              </w:tc>
                              <w:tc>
                                <w:tcPr>
                                  <w:tcW w:w="1020" w:type="dxa"/>
                                  <w:tcBorders>
                                    <w:top w:val="nil"/>
                                    <w:left w:val="nil"/>
                                    <w:bottom w:val="single" w:sz="4" w:space="0" w:color="auto"/>
                                    <w:right w:val="single" w:sz="4" w:space="0" w:color="auto"/>
                                  </w:tcBorders>
                                  <w:shd w:val="clear" w:color="auto" w:fill="auto"/>
                                  <w:noWrap/>
                                  <w:vAlign w:val="bottom"/>
                                  <w:hideMark/>
                                </w:tcPr>
                                <w:p w14:paraId="0F24B3FB"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ln(SBD)</w:t>
                                  </w:r>
                                </w:p>
                              </w:tc>
                              <w:tc>
                                <w:tcPr>
                                  <w:tcW w:w="1460" w:type="dxa"/>
                                  <w:tcBorders>
                                    <w:top w:val="nil"/>
                                    <w:left w:val="nil"/>
                                    <w:bottom w:val="single" w:sz="4" w:space="0" w:color="auto"/>
                                    <w:right w:val="single" w:sz="4" w:space="0" w:color="auto"/>
                                  </w:tcBorders>
                                  <w:shd w:val="clear" w:color="auto" w:fill="auto"/>
                                  <w:noWrap/>
                                  <w:vAlign w:val="bottom"/>
                                  <w:hideMark/>
                                </w:tcPr>
                                <w:p w14:paraId="0E195DCF"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Area x Stratum</w:t>
                                  </w:r>
                                </w:p>
                              </w:tc>
                              <w:tc>
                                <w:tcPr>
                                  <w:tcW w:w="1020" w:type="dxa"/>
                                  <w:tcBorders>
                                    <w:top w:val="nil"/>
                                    <w:left w:val="nil"/>
                                    <w:bottom w:val="single" w:sz="4" w:space="0" w:color="auto"/>
                                    <w:right w:val="single" w:sz="4" w:space="0" w:color="auto"/>
                                  </w:tcBorders>
                                  <w:shd w:val="clear" w:color="auto" w:fill="auto"/>
                                  <w:noWrap/>
                                  <w:vAlign w:val="bottom"/>
                                  <w:hideMark/>
                                </w:tcPr>
                                <w:p w14:paraId="7E3083D3"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LOI</w:t>
                                  </w:r>
                                </w:p>
                              </w:tc>
                              <w:tc>
                                <w:tcPr>
                                  <w:tcW w:w="1020" w:type="dxa"/>
                                  <w:tcBorders>
                                    <w:top w:val="nil"/>
                                    <w:left w:val="nil"/>
                                    <w:bottom w:val="single" w:sz="4" w:space="0" w:color="auto"/>
                                    <w:right w:val="single" w:sz="4" w:space="0" w:color="auto"/>
                                  </w:tcBorders>
                                  <w:shd w:val="clear" w:color="auto" w:fill="auto"/>
                                  <w:noWrap/>
                                  <w:vAlign w:val="bottom"/>
                                  <w:hideMark/>
                                </w:tcPr>
                                <w:p w14:paraId="263E3FCE"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7</w:t>
                                  </w:r>
                                </w:p>
                              </w:tc>
                              <w:tc>
                                <w:tcPr>
                                  <w:tcW w:w="1020" w:type="dxa"/>
                                  <w:tcBorders>
                                    <w:top w:val="nil"/>
                                    <w:left w:val="nil"/>
                                    <w:bottom w:val="single" w:sz="4" w:space="0" w:color="auto"/>
                                    <w:right w:val="single" w:sz="4" w:space="0" w:color="auto"/>
                                  </w:tcBorders>
                                  <w:shd w:val="clear" w:color="auto" w:fill="auto"/>
                                  <w:noWrap/>
                                  <w:vAlign w:val="bottom"/>
                                  <w:hideMark/>
                                </w:tcPr>
                                <w:p w14:paraId="3D227B28" w14:textId="77777777" w:rsidR="00221CD1" w:rsidRPr="00E60E42" w:rsidRDefault="00221CD1" w:rsidP="00221CD1">
                                  <w:pPr>
                                    <w:spacing w:line="240" w:lineRule="auto"/>
                                    <w:jc w:val="right"/>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9.92</w:t>
                                  </w:r>
                                </w:p>
                              </w:tc>
                            </w:tr>
                            <w:tr w:rsidR="00221CD1" w:rsidRPr="00E60E42" w14:paraId="762A250E" w14:textId="77777777" w:rsidTr="00221CD1">
                              <w:trPr>
                                <w:trHeight w:val="285"/>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76A2FC28"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ln(OC)</w:t>
                                  </w:r>
                                </w:p>
                              </w:tc>
                              <w:tc>
                                <w:tcPr>
                                  <w:tcW w:w="1420" w:type="dxa"/>
                                  <w:tcBorders>
                                    <w:top w:val="nil"/>
                                    <w:left w:val="nil"/>
                                    <w:bottom w:val="single" w:sz="4" w:space="0" w:color="auto"/>
                                    <w:right w:val="single" w:sz="4" w:space="0" w:color="auto"/>
                                  </w:tcBorders>
                                  <w:shd w:val="clear" w:color="auto" w:fill="auto"/>
                                  <w:noWrap/>
                                  <w:vAlign w:val="bottom"/>
                                  <w:hideMark/>
                                </w:tcPr>
                                <w:p w14:paraId="65B0760D"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Area</w:t>
                                  </w:r>
                                </w:p>
                              </w:tc>
                              <w:tc>
                                <w:tcPr>
                                  <w:tcW w:w="1020" w:type="dxa"/>
                                  <w:tcBorders>
                                    <w:top w:val="nil"/>
                                    <w:left w:val="nil"/>
                                    <w:bottom w:val="single" w:sz="4" w:space="0" w:color="auto"/>
                                    <w:right w:val="single" w:sz="4" w:space="0" w:color="auto"/>
                                  </w:tcBorders>
                                  <w:shd w:val="clear" w:color="auto" w:fill="auto"/>
                                  <w:noWrap/>
                                  <w:vAlign w:val="bottom"/>
                                  <w:hideMark/>
                                </w:tcPr>
                                <w:p w14:paraId="3DADC3BD"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ln(LOI)</w:t>
                                  </w:r>
                                </w:p>
                              </w:tc>
                              <w:tc>
                                <w:tcPr>
                                  <w:tcW w:w="1020" w:type="dxa"/>
                                  <w:tcBorders>
                                    <w:top w:val="nil"/>
                                    <w:left w:val="nil"/>
                                    <w:bottom w:val="single" w:sz="4" w:space="0" w:color="auto"/>
                                    <w:right w:val="single" w:sz="4" w:space="0" w:color="auto"/>
                                  </w:tcBorders>
                                  <w:shd w:val="clear" w:color="auto" w:fill="auto"/>
                                  <w:noWrap/>
                                  <w:vAlign w:val="bottom"/>
                                  <w:hideMark/>
                                </w:tcPr>
                                <w:p w14:paraId="4E3AFC88"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4</w:t>
                                  </w:r>
                                </w:p>
                              </w:tc>
                              <w:tc>
                                <w:tcPr>
                                  <w:tcW w:w="1040" w:type="dxa"/>
                                  <w:tcBorders>
                                    <w:top w:val="nil"/>
                                    <w:left w:val="nil"/>
                                    <w:bottom w:val="single" w:sz="4" w:space="0" w:color="auto"/>
                                    <w:right w:val="single" w:sz="4" w:space="0" w:color="auto"/>
                                  </w:tcBorders>
                                  <w:shd w:val="clear" w:color="auto" w:fill="auto"/>
                                  <w:noWrap/>
                                  <w:vAlign w:val="bottom"/>
                                  <w:hideMark/>
                                </w:tcPr>
                                <w:p w14:paraId="47F6C333" w14:textId="77777777" w:rsidR="00221CD1" w:rsidRPr="00E60E42" w:rsidRDefault="00221CD1" w:rsidP="00221CD1">
                                  <w:pPr>
                                    <w:spacing w:line="240" w:lineRule="auto"/>
                                    <w:jc w:val="right"/>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39.22</w:t>
                                  </w:r>
                                </w:p>
                              </w:tc>
                              <w:tc>
                                <w:tcPr>
                                  <w:tcW w:w="1020" w:type="dxa"/>
                                  <w:tcBorders>
                                    <w:top w:val="nil"/>
                                    <w:left w:val="nil"/>
                                    <w:bottom w:val="single" w:sz="4" w:space="0" w:color="auto"/>
                                    <w:right w:val="single" w:sz="4" w:space="0" w:color="auto"/>
                                  </w:tcBorders>
                                  <w:shd w:val="clear" w:color="auto" w:fill="auto"/>
                                  <w:noWrap/>
                                  <w:vAlign w:val="bottom"/>
                                  <w:hideMark/>
                                </w:tcPr>
                                <w:p w14:paraId="60AB548A"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ln(SBD)</w:t>
                                  </w:r>
                                </w:p>
                              </w:tc>
                              <w:tc>
                                <w:tcPr>
                                  <w:tcW w:w="1460" w:type="dxa"/>
                                  <w:tcBorders>
                                    <w:top w:val="nil"/>
                                    <w:left w:val="nil"/>
                                    <w:bottom w:val="single" w:sz="4" w:space="0" w:color="auto"/>
                                    <w:right w:val="single" w:sz="4" w:space="0" w:color="auto"/>
                                  </w:tcBorders>
                                  <w:shd w:val="clear" w:color="auto" w:fill="auto"/>
                                  <w:noWrap/>
                                  <w:vAlign w:val="bottom"/>
                                  <w:hideMark/>
                                </w:tcPr>
                                <w:p w14:paraId="27D72A3F"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Area</w:t>
                                  </w:r>
                                </w:p>
                              </w:tc>
                              <w:tc>
                                <w:tcPr>
                                  <w:tcW w:w="1020" w:type="dxa"/>
                                  <w:tcBorders>
                                    <w:top w:val="nil"/>
                                    <w:left w:val="nil"/>
                                    <w:bottom w:val="single" w:sz="4" w:space="0" w:color="auto"/>
                                    <w:right w:val="single" w:sz="4" w:space="0" w:color="auto"/>
                                  </w:tcBorders>
                                  <w:shd w:val="clear" w:color="auto" w:fill="auto"/>
                                  <w:noWrap/>
                                  <w:vAlign w:val="bottom"/>
                                  <w:hideMark/>
                                </w:tcPr>
                                <w:p w14:paraId="047C6CE3"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ln(LOI)</w:t>
                                  </w:r>
                                </w:p>
                              </w:tc>
                              <w:tc>
                                <w:tcPr>
                                  <w:tcW w:w="1020" w:type="dxa"/>
                                  <w:tcBorders>
                                    <w:top w:val="nil"/>
                                    <w:left w:val="nil"/>
                                    <w:bottom w:val="single" w:sz="4" w:space="0" w:color="auto"/>
                                    <w:right w:val="single" w:sz="4" w:space="0" w:color="auto"/>
                                  </w:tcBorders>
                                  <w:shd w:val="clear" w:color="auto" w:fill="auto"/>
                                  <w:noWrap/>
                                  <w:vAlign w:val="bottom"/>
                                  <w:hideMark/>
                                </w:tcPr>
                                <w:p w14:paraId="3469E435"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4</w:t>
                                  </w:r>
                                </w:p>
                              </w:tc>
                              <w:tc>
                                <w:tcPr>
                                  <w:tcW w:w="1020" w:type="dxa"/>
                                  <w:tcBorders>
                                    <w:top w:val="nil"/>
                                    <w:left w:val="nil"/>
                                    <w:bottom w:val="single" w:sz="4" w:space="0" w:color="auto"/>
                                    <w:right w:val="single" w:sz="4" w:space="0" w:color="auto"/>
                                  </w:tcBorders>
                                  <w:shd w:val="clear" w:color="auto" w:fill="auto"/>
                                  <w:noWrap/>
                                  <w:vAlign w:val="bottom"/>
                                  <w:hideMark/>
                                </w:tcPr>
                                <w:p w14:paraId="5D649161" w14:textId="77777777" w:rsidR="00221CD1" w:rsidRPr="00E60E42" w:rsidRDefault="00221CD1" w:rsidP="00221CD1">
                                  <w:pPr>
                                    <w:spacing w:line="240" w:lineRule="auto"/>
                                    <w:jc w:val="right"/>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10.34</w:t>
                                  </w:r>
                                </w:p>
                              </w:tc>
                            </w:tr>
                            <w:tr w:rsidR="00221CD1" w:rsidRPr="00E60E42" w14:paraId="7FFC55EA" w14:textId="77777777" w:rsidTr="00221CD1">
                              <w:trPr>
                                <w:trHeight w:val="285"/>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49DC7CBA" w14:textId="77777777" w:rsidR="00221CD1" w:rsidRPr="00E60E42" w:rsidRDefault="00221CD1" w:rsidP="00221CD1">
                                  <w:pPr>
                                    <w:spacing w:line="240" w:lineRule="auto"/>
                                    <w:jc w:val="center"/>
                                    <w:rPr>
                                      <w:rFonts w:ascii="Times New Roman" w:eastAsia="Times New Roman" w:hAnsi="Times New Roman" w:cs="Times New Roman"/>
                                      <w:b/>
                                      <w:bCs/>
                                      <w:color w:val="000000"/>
                                      <w:sz w:val="18"/>
                                      <w:szCs w:val="18"/>
                                      <w:lang w:val="en-US"/>
                                    </w:rPr>
                                  </w:pPr>
                                  <w:r w:rsidRPr="00E60E42">
                                    <w:rPr>
                                      <w:rFonts w:ascii="Times New Roman" w:eastAsia="Times New Roman" w:hAnsi="Times New Roman" w:cs="Times New Roman"/>
                                      <w:b/>
                                      <w:bCs/>
                                      <w:color w:val="000000"/>
                                      <w:sz w:val="18"/>
                                      <w:szCs w:val="18"/>
                                      <w:lang w:val="en-US"/>
                                    </w:rPr>
                                    <w:t>ln(OC)</w:t>
                                  </w:r>
                                </w:p>
                              </w:tc>
                              <w:tc>
                                <w:tcPr>
                                  <w:tcW w:w="1420" w:type="dxa"/>
                                  <w:tcBorders>
                                    <w:top w:val="nil"/>
                                    <w:left w:val="nil"/>
                                    <w:bottom w:val="single" w:sz="4" w:space="0" w:color="auto"/>
                                    <w:right w:val="single" w:sz="4" w:space="0" w:color="auto"/>
                                  </w:tcBorders>
                                  <w:shd w:val="clear" w:color="auto" w:fill="auto"/>
                                  <w:noWrap/>
                                  <w:vAlign w:val="bottom"/>
                                  <w:hideMark/>
                                </w:tcPr>
                                <w:p w14:paraId="2AA9C21D" w14:textId="77777777" w:rsidR="00221CD1" w:rsidRPr="00E60E42" w:rsidRDefault="00221CD1" w:rsidP="00221CD1">
                                  <w:pPr>
                                    <w:spacing w:line="240" w:lineRule="auto"/>
                                    <w:jc w:val="center"/>
                                    <w:rPr>
                                      <w:rFonts w:ascii="Times New Roman" w:eastAsia="Times New Roman" w:hAnsi="Times New Roman" w:cs="Times New Roman"/>
                                      <w:b/>
                                      <w:bCs/>
                                      <w:color w:val="000000"/>
                                      <w:sz w:val="18"/>
                                      <w:szCs w:val="18"/>
                                      <w:lang w:val="en-US"/>
                                    </w:rPr>
                                  </w:pPr>
                                  <w:r w:rsidRPr="00E60E42">
                                    <w:rPr>
                                      <w:rFonts w:ascii="Times New Roman" w:eastAsia="Times New Roman" w:hAnsi="Times New Roman" w:cs="Times New Roman"/>
                                      <w:b/>
                                      <w:bCs/>
                                      <w:color w:val="000000"/>
                                      <w:sz w:val="18"/>
                                      <w:szCs w:val="18"/>
                                      <w:lang w:val="en-US"/>
                                    </w:rPr>
                                    <w:t>Stratum</w:t>
                                  </w:r>
                                </w:p>
                              </w:tc>
                              <w:tc>
                                <w:tcPr>
                                  <w:tcW w:w="1020" w:type="dxa"/>
                                  <w:tcBorders>
                                    <w:top w:val="nil"/>
                                    <w:left w:val="nil"/>
                                    <w:bottom w:val="single" w:sz="4" w:space="0" w:color="auto"/>
                                    <w:right w:val="single" w:sz="4" w:space="0" w:color="auto"/>
                                  </w:tcBorders>
                                  <w:shd w:val="clear" w:color="auto" w:fill="auto"/>
                                  <w:noWrap/>
                                  <w:vAlign w:val="bottom"/>
                                  <w:hideMark/>
                                </w:tcPr>
                                <w:p w14:paraId="4D88A482" w14:textId="77777777" w:rsidR="00221CD1" w:rsidRPr="00E60E42" w:rsidRDefault="00221CD1" w:rsidP="00221CD1">
                                  <w:pPr>
                                    <w:spacing w:line="240" w:lineRule="auto"/>
                                    <w:jc w:val="center"/>
                                    <w:rPr>
                                      <w:rFonts w:ascii="Times New Roman" w:eastAsia="Times New Roman" w:hAnsi="Times New Roman" w:cs="Times New Roman"/>
                                      <w:b/>
                                      <w:bCs/>
                                      <w:color w:val="000000"/>
                                      <w:sz w:val="18"/>
                                      <w:szCs w:val="18"/>
                                      <w:lang w:val="en-US"/>
                                    </w:rPr>
                                  </w:pPr>
                                  <w:r w:rsidRPr="00E60E42">
                                    <w:rPr>
                                      <w:rFonts w:ascii="Times New Roman" w:eastAsia="Times New Roman" w:hAnsi="Times New Roman" w:cs="Times New Roman"/>
                                      <w:b/>
                                      <w:bCs/>
                                      <w:color w:val="000000"/>
                                      <w:sz w:val="18"/>
                                      <w:szCs w:val="18"/>
                                      <w:lang w:val="en-US"/>
                                    </w:rPr>
                                    <w:t>ln(LOI)</w:t>
                                  </w:r>
                                </w:p>
                              </w:tc>
                              <w:tc>
                                <w:tcPr>
                                  <w:tcW w:w="1020" w:type="dxa"/>
                                  <w:tcBorders>
                                    <w:top w:val="nil"/>
                                    <w:left w:val="nil"/>
                                    <w:bottom w:val="single" w:sz="4" w:space="0" w:color="auto"/>
                                    <w:right w:val="single" w:sz="4" w:space="0" w:color="auto"/>
                                  </w:tcBorders>
                                  <w:shd w:val="clear" w:color="auto" w:fill="auto"/>
                                  <w:noWrap/>
                                  <w:vAlign w:val="bottom"/>
                                  <w:hideMark/>
                                </w:tcPr>
                                <w:p w14:paraId="0E1BDE21" w14:textId="77777777" w:rsidR="00221CD1" w:rsidRPr="00E60E42" w:rsidRDefault="00221CD1" w:rsidP="00221CD1">
                                  <w:pPr>
                                    <w:spacing w:line="240" w:lineRule="auto"/>
                                    <w:jc w:val="center"/>
                                    <w:rPr>
                                      <w:rFonts w:ascii="Times New Roman" w:eastAsia="Times New Roman" w:hAnsi="Times New Roman" w:cs="Times New Roman"/>
                                      <w:b/>
                                      <w:bCs/>
                                      <w:color w:val="000000"/>
                                      <w:sz w:val="18"/>
                                      <w:szCs w:val="18"/>
                                      <w:lang w:val="en-US"/>
                                    </w:rPr>
                                  </w:pPr>
                                  <w:r w:rsidRPr="00E60E42">
                                    <w:rPr>
                                      <w:rFonts w:ascii="Times New Roman" w:eastAsia="Times New Roman" w:hAnsi="Times New Roman" w:cs="Times New Roman"/>
                                      <w:b/>
                                      <w:bCs/>
                                      <w:color w:val="000000"/>
                                      <w:sz w:val="18"/>
                                      <w:szCs w:val="18"/>
                                      <w:lang w:val="en-US"/>
                                    </w:rPr>
                                    <w:t>5</w:t>
                                  </w:r>
                                </w:p>
                              </w:tc>
                              <w:tc>
                                <w:tcPr>
                                  <w:tcW w:w="1040" w:type="dxa"/>
                                  <w:tcBorders>
                                    <w:top w:val="nil"/>
                                    <w:left w:val="nil"/>
                                    <w:bottom w:val="single" w:sz="4" w:space="0" w:color="auto"/>
                                    <w:right w:val="single" w:sz="4" w:space="0" w:color="auto"/>
                                  </w:tcBorders>
                                  <w:shd w:val="clear" w:color="auto" w:fill="auto"/>
                                  <w:noWrap/>
                                  <w:vAlign w:val="bottom"/>
                                  <w:hideMark/>
                                </w:tcPr>
                                <w:p w14:paraId="5E2555BA" w14:textId="77777777" w:rsidR="00221CD1" w:rsidRPr="00E60E42" w:rsidRDefault="00221CD1" w:rsidP="00221CD1">
                                  <w:pPr>
                                    <w:spacing w:line="240" w:lineRule="auto"/>
                                    <w:jc w:val="right"/>
                                    <w:rPr>
                                      <w:rFonts w:ascii="Times New Roman" w:eastAsia="Times New Roman" w:hAnsi="Times New Roman" w:cs="Times New Roman"/>
                                      <w:b/>
                                      <w:bCs/>
                                      <w:color w:val="000000"/>
                                      <w:sz w:val="18"/>
                                      <w:szCs w:val="18"/>
                                      <w:lang w:val="en-US"/>
                                    </w:rPr>
                                  </w:pPr>
                                  <w:r w:rsidRPr="00E60E42">
                                    <w:rPr>
                                      <w:rFonts w:ascii="Times New Roman" w:eastAsia="Times New Roman" w:hAnsi="Times New Roman" w:cs="Times New Roman"/>
                                      <w:b/>
                                      <w:bCs/>
                                      <w:color w:val="000000"/>
                                      <w:sz w:val="18"/>
                                      <w:szCs w:val="18"/>
                                      <w:lang w:val="en-US"/>
                                    </w:rPr>
                                    <w:t>26.80</w:t>
                                  </w:r>
                                </w:p>
                              </w:tc>
                              <w:tc>
                                <w:tcPr>
                                  <w:tcW w:w="1020" w:type="dxa"/>
                                  <w:tcBorders>
                                    <w:top w:val="nil"/>
                                    <w:left w:val="nil"/>
                                    <w:bottom w:val="single" w:sz="4" w:space="0" w:color="auto"/>
                                    <w:right w:val="single" w:sz="4" w:space="0" w:color="auto"/>
                                  </w:tcBorders>
                                  <w:shd w:val="clear" w:color="auto" w:fill="auto"/>
                                  <w:noWrap/>
                                  <w:vAlign w:val="bottom"/>
                                  <w:hideMark/>
                                </w:tcPr>
                                <w:p w14:paraId="5956B42F"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ln(SBD)</w:t>
                                  </w:r>
                                </w:p>
                              </w:tc>
                              <w:tc>
                                <w:tcPr>
                                  <w:tcW w:w="1460" w:type="dxa"/>
                                  <w:tcBorders>
                                    <w:top w:val="nil"/>
                                    <w:left w:val="nil"/>
                                    <w:bottom w:val="single" w:sz="4" w:space="0" w:color="auto"/>
                                    <w:right w:val="single" w:sz="4" w:space="0" w:color="auto"/>
                                  </w:tcBorders>
                                  <w:shd w:val="clear" w:color="auto" w:fill="auto"/>
                                  <w:noWrap/>
                                  <w:vAlign w:val="bottom"/>
                                  <w:hideMark/>
                                </w:tcPr>
                                <w:p w14:paraId="6E4B5353"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Stratum</w:t>
                                  </w:r>
                                </w:p>
                              </w:tc>
                              <w:tc>
                                <w:tcPr>
                                  <w:tcW w:w="1020" w:type="dxa"/>
                                  <w:tcBorders>
                                    <w:top w:val="nil"/>
                                    <w:left w:val="nil"/>
                                    <w:bottom w:val="single" w:sz="4" w:space="0" w:color="auto"/>
                                    <w:right w:val="single" w:sz="4" w:space="0" w:color="auto"/>
                                  </w:tcBorders>
                                  <w:shd w:val="clear" w:color="auto" w:fill="auto"/>
                                  <w:noWrap/>
                                  <w:vAlign w:val="bottom"/>
                                  <w:hideMark/>
                                </w:tcPr>
                                <w:p w14:paraId="5AC898B4"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ln(LOI)</w:t>
                                  </w:r>
                                </w:p>
                              </w:tc>
                              <w:tc>
                                <w:tcPr>
                                  <w:tcW w:w="1020" w:type="dxa"/>
                                  <w:tcBorders>
                                    <w:top w:val="nil"/>
                                    <w:left w:val="nil"/>
                                    <w:bottom w:val="single" w:sz="4" w:space="0" w:color="auto"/>
                                    <w:right w:val="single" w:sz="4" w:space="0" w:color="auto"/>
                                  </w:tcBorders>
                                  <w:shd w:val="clear" w:color="auto" w:fill="auto"/>
                                  <w:noWrap/>
                                  <w:vAlign w:val="bottom"/>
                                  <w:hideMark/>
                                </w:tcPr>
                                <w:p w14:paraId="5C970D7A"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5</w:t>
                                  </w:r>
                                </w:p>
                              </w:tc>
                              <w:tc>
                                <w:tcPr>
                                  <w:tcW w:w="1020" w:type="dxa"/>
                                  <w:tcBorders>
                                    <w:top w:val="nil"/>
                                    <w:left w:val="nil"/>
                                    <w:bottom w:val="single" w:sz="4" w:space="0" w:color="auto"/>
                                    <w:right w:val="single" w:sz="4" w:space="0" w:color="auto"/>
                                  </w:tcBorders>
                                  <w:shd w:val="clear" w:color="auto" w:fill="auto"/>
                                  <w:noWrap/>
                                  <w:vAlign w:val="bottom"/>
                                  <w:hideMark/>
                                </w:tcPr>
                                <w:p w14:paraId="29ECE43A" w14:textId="77777777" w:rsidR="00221CD1" w:rsidRPr="00E60E42" w:rsidRDefault="00221CD1" w:rsidP="00221CD1">
                                  <w:pPr>
                                    <w:spacing w:line="240" w:lineRule="auto"/>
                                    <w:jc w:val="right"/>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10.43</w:t>
                                  </w:r>
                                </w:p>
                              </w:tc>
                            </w:tr>
                            <w:tr w:rsidR="00221CD1" w:rsidRPr="00E60E42" w14:paraId="0E8F9847" w14:textId="77777777" w:rsidTr="00221CD1">
                              <w:trPr>
                                <w:trHeight w:val="285"/>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0E78F1D7"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ln(OC)</w:t>
                                  </w:r>
                                </w:p>
                              </w:tc>
                              <w:tc>
                                <w:tcPr>
                                  <w:tcW w:w="1420" w:type="dxa"/>
                                  <w:tcBorders>
                                    <w:top w:val="nil"/>
                                    <w:left w:val="nil"/>
                                    <w:bottom w:val="single" w:sz="4" w:space="0" w:color="auto"/>
                                    <w:right w:val="single" w:sz="4" w:space="0" w:color="auto"/>
                                  </w:tcBorders>
                                  <w:shd w:val="clear" w:color="auto" w:fill="auto"/>
                                  <w:noWrap/>
                                  <w:vAlign w:val="bottom"/>
                                  <w:hideMark/>
                                </w:tcPr>
                                <w:p w14:paraId="50E27416"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Area + Stratum</w:t>
                                  </w:r>
                                </w:p>
                              </w:tc>
                              <w:tc>
                                <w:tcPr>
                                  <w:tcW w:w="1020" w:type="dxa"/>
                                  <w:tcBorders>
                                    <w:top w:val="nil"/>
                                    <w:left w:val="nil"/>
                                    <w:bottom w:val="single" w:sz="4" w:space="0" w:color="auto"/>
                                    <w:right w:val="single" w:sz="4" w:space="0" w:color="auto"/>
                                  </w:tcBorders>
                                  <w:shd w:val="clear" w:color="auto" w:fill="auto"/>
                                  <w:noWrap/>
                                  <w:vAlign w:val="bottom"/>
                                  <w:hideMark/>
                                </w:tcPr>
                                <w:p w14:paraId="1A8C4590"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ln(LOI)</w:t>
                                  </w:r>
                                </w:p>
                              </w:tc>
                              <w:tc>
                                <w:tcPr>
                                  <w:tcW w:w="1020" w:type="dxa"/>
                                  <w:tcBorders>
                                    <w:top w:val="nil"/>
                                    <w:left w:val="nil"/>
                                    <w:bottom w:val="single" w:sz="4" w:space="0" w:color="auto"/>
                                    <w:right w:val="single" w:sz="4" w:space="0" w:color="auto"/>
                                  </w:tcBorders>
                                  <w:shd w:val="clear" w:color="auto" w:fill="auto"/>
                                  <w:noWrap/>
                                  <w:vAlign w:val="bottom"/>
                                  <w:hideMark/>
                                </w:tcPr>
                                <w:p w14:paraId="1255696D"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6</w:t>
                                  </w:r>
                                </w:p>
                              </w:tc>
                              <w:tc>
                                <w:tcPr>
                                  <w:tcW w:w="1040" w:type="dxa"/>
                                  <w:tcBorders>
                                    <w:top w:val="nil"/>
                                    <w:left w:val="nil"/>
                                    <w:bottom w:val="single" w:sz="4" w:space="0" w:color="auto"/>
                                    <w:right w:val="single" w:sz="4" w:space="0" w:color="auto"/>
                                  </w:tcBorders>
                                  <w:shd w:val="clear" w:color="auto" w:fill="auto"/>
                                  <w:noWrap/>
                                  <w:vAlign w:val="bottom"/>
                                  <w:hideMark/>
                                </w:tcPr>
                                <w:p w14:paraId="71BA3257" w14:textId="77777777" w:rsidR="00221CD1" w:rsidRPr="00E60E42" w:rsidRDefault="00221CD1" w:rsidP="00221CD1">
                                  <w:pPr>
                                    <w:spacing w:line="240" w:lineRule="auto"/>
                                    <w:jc w:val="right"/>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28.71</w:t>
                                  </w:r>
                                </w:p>
                              </w:tc>
                              <w:tc>
                                <w:tcPr>
                                  <w:tcW w:w="1020" w:type="dxa"/>
                                  <w:tcBorders>
                                    <w:top w:val="nil"/>
                                    <w:left w:val="nil"/>
                                    <w:bottom w:val="single" w:sz="4" w:space="0" w:color="auto"/>
                                    <w:right w:val="single" w:sz="4" w:space="0" w:color="auto"/>
                                  </w:tcBorders>
                                  <w:shd w:val="clear" w:color="auto" w:fill="auto"/>
                                  <w:noWrap/>
                                  <w:vAlign w:val="bottom"/>
                                  <w:hideMark/>
                                </w:tcPr>
                                <w:p w14:paraId="0F2A3935" w14:textId="77777777" w:rsidR="00221CD1" w:rsidRPr="00E60E42" w:rsidRDefault="00221CD1" w:rsidP="00221CD1">
                                  <w:pPr>
                                    <w:spacing w:line="240" w:lineRule="auto"/>
                                    <w:jc w:val="center"/>
                                    <w:rPr>
                                      <w:rFonts w:ascii="Times New Roman" w:eastAsia="Times New Roman" w:hAnsi="Times New Roman" w:cs="Times New Roman"/>
                                      <w:b/>
                                      <w:bCs/>
                                      <w:color w:val="000000"/>
                                      <w:sz w:val="18"/>
                                      <w:szCs w:val="18"/>
                                      <w:lang w:val="en-US"/>
                                    </w:rPr>
                                  </w:pPr>
                                  <w:r w:rsidRPr="00E60E42">
                                    <w:rPr>
                                      <w:rFonts w:ascii="Times New Roman" w:eastAsia="Times New Roman" w:hAnsi="Times New Roman" w:cs="Times New Roman"/>
                                      <w:b/>
                                      <w:bCs/>
                                      <w:color w:val="000000"/>
                                      <w:sz w:val="18"/>
                                      <w:szCs w:val="18"/>
                                      <w:lang w:val="en-US"/>
                                    </w:rPr>
                                    <w:t>ln(SBD)</w:t>
                                  </w:r>
                                </w:p>
                              </w:tc>
                              <w:tc>
                                <w:tcPr>
                                  <w:tcW w:w="1460" w:type="dxa"/>
                                  <w:tcBorders>
                                    <w:top w:val="nil"/>
                                    <w:left w:val="nil"/>
                                    <w:bottom w:val="single" w:sz="4" w:space="0" w:color="auto"/>
                                    <w:right w:val="single" w:sz="4" w:space="0" w:color="auto"/>
                                  </w:tcBorders>
                                  <w:shd w:val="clear" w:color="auto" w:fill="auto"/>
                                  <w:noWrap/>
                                  <w:vAlign w:val="bottom"/>
                                  <w:hideMark/>
                                </w:tcPr>
                                <w:p w14:paraId="61E154A2" w14:textId="77777777" w:rsidR="00221CD1" w:rsidRPr="00E60E42" w:rsidRDefault="00221CD1" w:rsidP="00221CD1">
                                  <w:pPr>
                                    <w:spacing w:line="240" w:lineRule="auto"/>
                                    <w:jc w:val="center"/>
                                    <w:rPr>
                                      <w:rFonts w:ascii="Times New Roman" w:eastAsia="Times New Roman" w:hAnsi="Times New Roman" w:cs="Times New Roman"/>
                                      <w:b/>
                                      <w:bCs/>
                                      <w:color w:val="000000"/>
                                      <w:sz w:val="18"/>
                                      <w:szCs w:val="18"/>
                                      <w:lang w:val="en-US"/>
                                    </w:rPr>
                                  </w:pPr>
                                  <w:r w:rsidRPr="00E60E42">
                                    <w:rPr>
                                      <w:rFonts w:ascii="Times New Roman" w:eastAsia="Times New Roman" w:hAnsi="Times New Roman" w:cs="Times New Roman"/>
                                      <w:b/>
                                      <w:bCs/>
                                      <w:color w:val="000000"/>
                                      <w:sz w:val="18"/>
                                      <w:szCs w:val="18"/>
                                      <w:lang w:val="en-US"/>
                                    </w:rPr>
                                    <w:t>Area + Stratum</w:t>
                                  </w:r>
                                </w:p>
                              </w:tc>
                              <w:tc>
                                <w:tcPr>
                                  <w:tcW w:w="1020" w:type="dxa"/>
                                  <w:tcBorders>
                                    <w:top w:val="nil"/>
                                    <w:left w:val="nil"/>
                                    <w:bottom w:val="single" w:sz="4" w:space="0" w:color="auto"/>
                                    <w:right w:val="single" w:sz="4" w:space="0" w:color="auto"/>
                                  </w:tcBorders>
                                  <w:shd w:val="clear" w:color="auto" w:fill="auto"/>
                                  <w:noWrap/>
                                  <w:vAlign w:val="bottom"/>
                                  <w:hideMark/>
                                </w:tcPr>
                                <w:p w14:paraId="1C78B567" w14:textId="77777777" w:rsidR="00221CD1" w:rsidRPr="00E60E42" w:rsidRDefault="00221CD1" w:rsidP="00221CD1">
                                  <w:pPr>
                                    <w:spacing w:line="240" w:lineRule="auto"/>
                                    <w:jc w:val="center"/>
                                    <w:rPr>
                                      <w:rFonts w:ascii="Times New Roman" w:eastAsia="Times New Roman" w:hAnsi="Times New Roman" w:cs="Times New Roman"/>
                                      <w:b/>
                                      <w:bCs/>
                                      <w:color w:val="000000"/>
                                      <w:sz w:val="18"/>
                                      <w:szCs w:val="18"/>
                                      <w:lang w:val="en-US"/>
                                    </w:rPr>
                                  </w:pPr>
                                  <w:r w:rsidRPr="00E60E42">
                                    <w:rPr>
                                      <w:rFonts w:ascii="Times New Roman" w:eastAsia="Times New Roman" w:hAnsi="Times New Roman" w:cs="Times New Roman"/>
                                      <w:b/>
                                      <w:bCs/>
                                      <w:color w:val="000000"/>
                                      <w:sz w:val="18"/>
                                      <w:szCs w:val="18"/>
                                      <w:lang w:val="en-US"/>
                                    </w:rPr>
                                    <w:t>ln(LOI)</w:t>
                                  </w:r>
                                </w:p>
                              </w:tc>
                              <w:tc>
                                <w:tcPr>
                                  <w:tcW w:w="1020" w:type="dxa"/>
                                  <w:tcBorders>
                                    <w:top w:val="nil"/>
                                    <w:left w:val="nil"/>
                                    <w:bottom w:val="single" w:sz="4" w:space="0" w:color="auto"/>
                                    <w:right w:val="single" w:sz="4" w:space="0" w:color="auto"/>
                                  </w:tcBorders>
                                  <w:shd w:val="clear" w:color="auto" w:fill="auto"/>
                                  <w:noWrap/>
                                  <w:vAlign w:val="bottom"/>
                                  <w:hideMark/>
                                </w:tcPr>
                                <w:p w14:paraId="5DD3EF22" w14:textId="77777777" w:rsidR="00221CD1" w:rsidRPr="00E60E42" w:rsidRDefault="00221CD1" w:rsidP="00221CD1">
                                  <w:pPr>
                                    <w:spacing w:line="240" w:lineRule="auto"/>
                                    <w:jc w:val="center"/>
                                    <w:rPr>
                                      <w:rFonts w:ascii="Times New Roman" w:eastAsia="Times New Roman" w:hAnsi="Times New Roman" w:cs="Times New Roman"/>
                                      <w:b/>
                                      <w:bCs/>
                                      <w:color w:val="000000"/>
                                      <w:sz w:val="18"/>
                                      <w:szCs w:val="18"/>
                                      <w:lang w:val="en-US"/>
                                    </w:rPr>
                                  </w:pPr>
                                  <w:r w:rsidRPr="00E60E42">
                                    <w:rPr>
                                      <w:rFonts w:ascii="Times New Roman" w:eastAsia="Times New Roman" w:hAnsi="Times New Roman" w:cs="Times New Roman"/>
                                      <w:b/>
                                      <w:bCs/>
                                      <w:color w:val="000000"/>
                                      <w:sz w:val="18"/>
                                      <w:szCs w:val="18"/>
                                      <w:lang w:val="en-US"/>
                                    </w:rPr>
                                    <w:t>6</w:t>
                                  </w:r>
                                </w:p>
                              </w:tc>
                              <w:tc>
                                <w:tcPr>
                                  <w:tcW w:w="1020" w:type="dxa"/>
                                  <w:tcBorders>
                                    <w:top w:val="nil"/>
                                    <w:left w:val="nil"/>
                                    <w:bottom w:val="single" w:sz="4" w:space="0" w:color="auto"/>
                                    <w:right w:val="single" w:sz="4" w:space="0" w:color="auto"/>
                                  </w:tcBorders>
                                  <w:shd w:val="clear" w:color="auto" w:fill="auto"/>
                                  <w:noWrap/>
                                  <w:vAlign w:val="bottom"/>
                                  <w:hideMark/>
                                </w:tcPr>
                                <w:p w14:paraId="2689C677" w14:textId="77777777" w:rsidR="00221CD1" w:rsidRPr="00E60E42" w:rsidRDefault="00221CD1" w:rsidP="00221CD1">
                                  <w:pPr>
                                    <w:spacing w:line="240" w:lineRule="auto"/>
                                    <w:jc w:val="right"/>
                                    <w:rPr>
                                      <w:rFonts w:ascii="Times New Roman" w:eastAsia="Times New Roman" w:hAnsi="Times New Roman" w:cs="Times New Roman"/>
                                      <w:b/>
                                      <w:bCs/>
                                      <w:color w:val="000000"/>
                                      <w:sz w:val="18"/>
                                      <w:szCs w:val="18"/>
                                      <w:lang w:val="en-US"/>
                                    </w:rPr>
                                  </w:pPr>
                                  <w:r w:rsidRPr="00E60E42">
                                    <w:rPr>
                                      <w:rFonts w:ascii="Times New Roman" w:eastAsia="Times New Roman" w:hAnsi="Times New Roman" w:cs="Times New Roman"/>
                                      <w:b/>
                                      <w:bCs/>
                                      <w:color w:val="000000"/>
                                      <w:sz w:val="18"/>
                                      <w:szCs w:val="18"/>
                                      <w:lang w:val="en-US"/>
                                    </w:rPr>
                                    <w:t>5.93</w:t>
                                  </w:r>
                                </w:p>
                              </w:tc>
                            </w:tr>
                            <w:tr w:rsidR="00221CD1" w:rsidRPr="00E60E42" w14:paraId="0B988EDE" w14:textId="77777777" w:rsidTr="00221CD1">
                              <w:trPr>
                                <w:trHeight w:val="285"/>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35D1957D"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ln(OC)</w:t>
                                  </w:r>
                                </w:p>
                              </w:tc>
                              <w:tc>
                                <w:tcPr>
                                  <w:tcW w:w="1420" w:type="dxa"/>
                                  <w:tcBorders>
                                    <w:top w:val="nil"/>
                                    <w:left w:val="nil"/>
                                    <w:bottom w:val="single" w:sz="4" w:space="0" w:color="auto"/>
                                    <w:right w:val="single" w:sz="4" w:space="0" w:color="auto"/>
                                  </w:tcBorders>
                                  <w:shd w:val="clear" w:color="auto" w:fill="auto"/>
                                  <w:noWrap/>
                                  <w:vAlign w:val="bottom"/>
                                  <w:hideMark/>
                                </w:tcPr>
                                <w:p w14:paraId="4460B101"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Area x Stratum</w:t>
                                  </w:r>
                                </w:p>
                              </w:tc>
                              <w:tc>
                                <w:tcPr>
                                  <w:tcW w:w="1020" w:type="dxa"/>
                                  <w:tcBorders>
                                    <w:top w:val="nil"/>
                                    <w:left w:val="nil"/>
                                    <w:bottom w:val="single" w:sz="4" w:space="0" w:color="auto"/>
                                    <w:right w:val="single" w:sz="4" w:space="0" w:color="auto"/>
                                  </w:tcBorders>
                                  <w:shd w:val="clear" w:color="auto" w:fill="auto"/>
                                  <w:noWrap/>
                                  <w:vAlign w:val="bottom"/>
                                  <w:hideMark/>
                                </w:tcPr>
                                <w:p w14:paraId="4C734FF9"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ln(LOI)</w:t>
                                  </w:r>
                                </w:p>
                              </w:tc>
                              <w:tc>
                                <w:tcPr>
                                  <w:tcW w:w="1020" w:type="dxa"/>
                                  <w:tcBorders>
                                    <w:top w:val="nil"/>
                                    <w:left w:val="nil"/>
                                    <w:bottom w:val="single" w:sz="4" w:space="0" w:color="auto"/>
                                    <w:right w:val="single" w:sz="4" w:space="0" w:color="auto"/>
                                  </w:tcBorders>
                                  <w:shd w:val="clear" w:color="auto" w:fill="auto"/>
                                  <w:noWrap/>
                                  <w:vAlign w:val="bottom"/>
                                  <w:hideMark/>
                                </w:tcPr>
                                <w:p w14:paraId="7ECFF0C6"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7</w:t>
                                  </w:r>
                                </w:p>
                              </w:tc>
                              <w:tc>
                                <w:tcPr>
                                  <w:tcW w:w="1040" w:type="dxa"/>
                                  <w:tcBorders>
                                    <w:top w:val="nil"/>
                                    <w:left w:val="nil"/>
                                    <w:bottom w:val="single" w:sz="4" w:space="0" w:color="auto"/>
                                    <w:right w:val="single" w:sz="4" w:space="0" w:color="auto"/>
                                  </w:tcBorders>
                                  <w:shd w:val="clear" w:color="auto" w:fill="auto"/>
                                  <w:noWrap/>
                                  <w:vAlign w:val="bottom"/>
                                  <w:hideMark/>
                                </w:tcPr>
                                <w:p w14:paraId="0A54DCA9" w14:textId="77777777" w:rsidR="00221CD1" w:rsidRPr="00E60E42" w:rsidRDefault="00221CD1" w:rsidP="00221CD1">
                                  <w:pPr>
                                    <w:spacing w:line="240" w:lineRule="auto"/>
                                    <w:jc w:val="right"/>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30.11</w:t>
                                  </w:r>
                                </w:p>
                              </w:tc>
                              <w:tc>
                                <w:tcPr>
                                  <w:tcW w:w="1020" w:type="dxa"/>
                                  <w:tcBorders>
                                    <w:top w:val="nil"/>
                                    <w:left w:val="nil"/>
                                    <w:bottom w:val="single" w:sz="4" w:space="0" w:color="auto"/>
                                    <w:right w:val="single" w:sz="4" w:space="0" w:color="auto"/>
                                  </w:tcBorders>
                                  <w:shd w:val="clear" w:color="auto" w:fill="auto"/>
                                  <w:noWrap/>
                                  <w:vAlign w:val="bottom"/>
                                  <w:hideMark/>
                                </w:tcPr>
                                <w:p w14:paraId="74A1F544"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ln(SBD)</w:t>
                                  </w:r>
                                </w:p>
                              </w:tc>
                              <w:tc>
                                <w:tcPr>
                                  <w:tcW w:w="1460" w:type="dxa"/>
                                  <w:tcBorders>
                                    <w:top w:val="nil"/>
                                    <w:left w:val="nil"/>
                                    <w:bottom w:val="single" w:sz="4" w:space="0" w:color="auto"/>
                                    <w:right w:val="single" w:sz="4" w:space="0" w:color="auto"/>
                                  </w:tcBorders>
                                  <w:shd w:val="clear" w:color="auto" w:fill="auto"/>
                                  <w:noWrap/>
                                  <w:vAlign w:val="bottom"/>
                                  <w:hideMark/>
                                </w:tcPr>
                                <w:p w14:paraId="044B228D"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Area x Stratum</w:t>
                                  </w:r>
                                </w:p>
                              </w:tc>
                              <w:tc>
                                <w:tcPr>
                                  <w:tcW w:w="1020" w:type="dxa"/>
                                  <w:tcBorders>
                                    <w:top w:val="nil"/>
                                    <w:left w:val="nil"/>
                                    <w:bottom w:val="single" w:sz="4" w:space="0" w:color="auto"/>
                                    <w:right w:val="single" w:sz="4" w:space="0" w:color="auto"/>
                                  </w:tcBorders>
                                  <w:shd w:val="clear" w:color="auto" w:fill="auto"/>
                                  <w:noWrap/>
                                  <w:vAlign w:val="bottom"/>
                                  <w:hideMark/>
                                </w:tcPr>
                                <w:p w14:paraId="51791D9D"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ln(LOI)</w:t>
                                  </w:r>
                                </w:p>
                              </w:tc>
                              <w:tc>
                                <w:tcPr>
                                  <w:tcW w:w="1020" w:type="dxa"/>
                                  <w:tcBorders>
                                    <w:top w:val="nil"/>
                                    <w:left w:val="nil"/>
                                    <w:bottom w:val="single" w:sz="4" w:space="0" w:color="auto"/>
                                    <w:right w:val="single" w:sz="4" w:space="0" w:color="auto"/>
                                  </w:tcBorders>
                                  <w:shd w:val="clear" w:color="auto" w:fill="auto"/>
                                  <w:noWrap/>
                                  <w:vAlign w:val="bottom"/>
                                  <w:hideMark/>
                                </w:tcPr>
                                <w:p w14:paraId="2E71F830"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7</w:t>
                                  </w:r>
                                </w:p>
                              </w:tc>
                              <w:tc>
                                <w:tcPr>
                                  <w:tcW w:w="1020" w:type="dxa"/>
                                  <w:tcBorders>
                                    <w:top w:val="nil"/>
                                    <w:left w:val="nil"/>
                                    <w:bottom w:val="single" w:sz="4" w:space="0" w:color="auto"/>
                                    <w:right w:val="single" w:sz="4" w:space="0" w:color="auto"/>
                                  </w:tcBorders>
                                  <w:shd w:val="clear" w:color="auto" w:fill="auto"/>
                                  <w:noWrap/>
                                  <w:vAlign w:val="bottom"/>
                                  <w:hideMark/>
                                </w:tcPr>
                                <w:p w14:paraId="654B0F58" w14:textId="77777777" w:rsidR="00221CD1" w:rsidRPr="00E60E42" w:rsidRDefault="00221CD1" w:rsidP="00221CD1">
                                  <w:pPr>
                                    <w:spacing w:line="240" w:lineRule="auto"/>
                                    <w:jc w:val="right"/>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7.85</w:t>
                                  </w:r>
                                </w:p>
                              </w:tc>
                            </w:tr>
                          </w:tbl>
                          <w:p w14:paraId="76ADA3B3" w14:textId="77777777" w:rsidR="00221CD1" w:rsidRDefault="00221CD1" w:rsidP="00032304"/>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309EDA8C" id="Text Box 2" o:spid="_x0000_s1027" type="#_x0000_t202" style="position:absolute;margin-left:544.65pt;margin-top:247.45pt;width:595.85pt;height:110.6pt;rotation:90;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" strokecolor="white [3212]">
                <v:textbox style="mso-fit-shape-to-text:t">
                  <w:txbxContent>
                    <w:p w14:paraId="05ABE408" w14:textId="77777777" w:rsidR="00221CD1" w:rsidRDefault="00221CD1" w:rsidP="00032304"/>
                    <w:tbl>
                      <w:tblPr>
                        <w:tblW w:w="11060" w:type="dxa"/>
                        <w:tblLook w:val="04A0" w:firstRow="1" w:lastRow="0" w:firstColumn="1" w:lastColumn="0" w:noHBand="0" w:noVBand="1"/>
                      </w:tblPr>
                      <w:tblGrid>
                        <w:gridCol w:w="1020"/>
                        <w:gridCol w:w="1420"/>
                        <w:gridCol w:w="1020"/>
                        <w:gridCol w:w="1020"/>
                        <w:gridCol w:w="1040"/>
                        <w:gridCol w:w="1020"/>
                        <w:gridCol w:w="1460"/>
                        <w:gridCol w:w="1020"/>
                        <w:gridCol w:w="1020"/>
                        <w:gridCol w:w="1020"/>
                      </w:tblGrid>
                      <w:tr w:rsidR="00221CD1" w:rsidRPr="00E60E42" w14:paraId="675D0BDC" w14:textId="77777777" w:rsidTr="00221CD1">
                        <w:trPr>
                          <w:trHeight w:val="285"/>
                        </w:trPr>
                        <w:tc>
                          <w:tcPr>
                            <w:tcW w:w="1020" w:type="dxa"/>
                            <w:tcBorders>
                              <w:top w:val="nil"/>
                              <w:left w:val="nil"/>
                              <w:bottom w:val="nil"/>
                              <w:right w:val="nil"/>
                            </w:tcBorders>
                            <w:shd w:val="clear" w:color="auto" w:fill="auto"/>
                            <w:noWrap/>
                            <w:vAlign w:val="bottom"/>
                            <w:hideMark/>
                          </w:tcPr>
                          <w:p w14:paraId="2E57AD6C" w14:textId="77777777" w:rsidR="00221CD1" w:rsidRPr="00E60E42" w:rsidRDefault="00221CD1" w:rsidP="00221CD1">
                            <w:pPr>
                              <w:spacing w:line="240" w:lineRule="auto"/>
                              <w:jc w:val="center"/>
                              <w:rPr>
                                <w:rFonts w:ascii="Times New Roman" w:eastAsia="Times New Roman" w:hAnsi="Times New Roman" w:cs="Times New Roman"/>
                                <w:b/>
                                <w:color w:val="000000"/>
                                <w:sz w:val="18"/>
                                <w:szCs w:val="18"/>
                                <w:lang w:val="en-US"/>
                              </w:rPr>
                            </w:pPr>
                            <w:r w:rsidRPr="00E60E42">
                              <w:rPr>
                                <w:rFonts w:ascii="Times New Roman" w:eastAsia="Times New Roman" w:hAnsi="Times New Roman" w:cs="Times New Roman"/>
                                <w:b/>
                                <w:color w:val="000000"/>
                                <w:sz w:val="18"/>
                                <w:szCs w:val="18"/>
                                <w:lang w:val="en-US"/>
                              </w:rPr>
                              <w:t>Response</w:t>
                            </w:r>
                          </w:p>
                        </w:tc>
                        <w:tc>
                          <w:tcPr>
                            <w:tcW w:w="1420" w:type="dxa"/>
                            <w:tcBorders>
                              <w:top w:val="nil"/>
                              <w:left w:val="nil"/>
                              <w:bottom w:val="nil"/>
                              <w:right w:val="nil"/>
                            </w:tcBorders>
                            <w:shd w:val="clear" w:color="auto" w:fill="auto"/>
                            <w:noWrap/>
                            <w:vAlign w:val="bottom"/>
                            <w:hideMark/>
                          </w:tcPr>
                          <w:p w14:paraId="74A4C9A5" w14:textId="77777777" w:rsidR="00221CD1" w:rsidRPr="00E60E42" w:rsidRDefault="00221CD1" w:rsidP="00221CD1">
                            <w:pPr>
                              <w:spacing w:line="240" w:lineRule="auto"/>
                              <w:jc w:val="center"/>
                              <w:rPr>
                                <w:rFonts w:ascii="Times New Roman" w:eastAsia="Times New Roman" w:hAnsi="Times New Roman" w:cs="Times New Roman"/>
                                <w:b/>
                                <w:color w:val="000000"/>
                                <w:sz w:val="18"/>
                                <w:szCs w:val="18"/>
                                <w:lang w:val="en-US"/>
                              </w:rPr>
                            </w:pPr>
                            <w:r w:rsidRPr="00E60E42">
                              <w:rPr>
                                <w:rFonts w:ascii="Times New Roman" w:eastAsia="Times New Roman" w:hAnsi="Times New Roman" w:cs="Times New Roman"/>
                                <w:b/>
                                <w:color w:val="000000"/>
                                <w:sz w:val="18"/>
                                <w:szCs w:val="18"/>
                                <w:lang w:val="en-US"/>
                              </w:rPr>
                              <w:t>Factor</w:t>
                            </w:r>
                          </w:p>
                        </w:tc>
                        <w:tc>
                          <w:tcPr>
                            <w:tcW w:w="1020" w:type="dxa"/>
                            <w:tcBorders>
                              <w:top w:val="nil"/>
                              <w:left w:val="nil"/>
                              <w:bottom w:val="nil"/>
                              <w:right w:val="nil"/>
                            </w:tcBorders>
                            <w:shd w:val="clear" w:color="auto" w:fill="auto"/>
                            <w:noWrap/>
                            <w:vAlign w:val="bottom"/>
                            <w:hideMark/>
                          </w:tcPr>
                          <w:p w14:paraId="70D8AEBB" w14:textId="77777777" w:rsidR="00221CD1" w:rsidRPr="00E60E42" w:rsidRDefault="00221CD1" w:rsidP="00221CD1">
                            <w:pPr>
                              <w:spacing w:line="240" w:lineRule="auto"/>
                              <w:jc w:val="center"/>
                              <w:rPr>
                                <w:rFonts w:ascii="Times New Roman" w:eastAsia="Times New Roman" w:hAnsi="Times New Roman" w:cs="Times New Roman"/>
                                <w:b/>
                                <w:color w:val="000000"/>
                                <w:sz w:val="18"/>
                                <w:szCs w:val="18"/>
                                <w:lang w:val="en-US"/>
                              </w:rPr>
                            </w:pPr>
                            <w:r w:rsidRPr="00E60E42">
                              <w:rPr>
                                <w:rFonts w:ascii="Times New Roman" w:eastAsia="Times New Roman" w:hAnsi="Times New Roman" w:cs="Times New Roman"/>
                                <w:b/>
                                <w:color w:val="000000"/>
                                <w:sz w:val="18"/>
                                <w:szCs w:val="18"/>
                                <w:lang w:val="en-US"/>
                              </w:rPr>
                              <w:t>Covariate</w:t>
                            </w:r>
                          </w:p>
                        </w:tc>
                        <w:tc>
                          <w:tcPr>
                            <w:tcW w:w="1020" w:type="dxa"/>
                            <w:tcBorders>
                              <w:top w:val="nil"/>
                              <w:left w:val="nil"/>
                              <w:bottom w:val="nil"/>
                              <w:right w:val="nil"/>
                            </w:tcBorders>
                            <w:shd w:val="clear" w:color="auto" w:fill="auto"/>
                            <w:noWrap/>
                            <w:vAlign w:val="bottom"/>
                            <w:hideMark/>
                          </w:tcPr>
                          <w:p w14:paraId="43B43C70" w14:textId="77777777" w:rsidR="00221CD1" w:rsidRPr="00E60E42" w:rsidRDefault="00221CD1" w:rsidP="00221CD1">
                            <w:pPr>
                              <w:spacing w:line="240" w:lineRule="auto"/>
                              <w:jc w:val="center"/>
                              <w:rPr>
                                <w:rFonts w:ascii="Times New Roman" w:eastAsia="Times New Roman" w:hAnsi="Times New Roman" w:cs="Times New Roman"/>
                                <w:b/>
                                <w:color w:val="000000"/>
                                <w:sz w:val="18"/>
                                <w:szCs w:val="18"/>
                                <w:lang w:val="en-US"/>
                              </w:rPr>
                            </w:pPr>
                            <w:r w:rsidRPr="00E60E42">
                              <w:rPr>
                                <w:rFonts w:ascii="Times New Roman" w:eastAsia="Times New Roman" w:hAnsi="Times New Roman" w:cs="Times New Roman"/>
                                <w:b/>
                                <w:color w:val="000000"/>
                                <w:sz w:val="18"/>
                                <w:szCs w:val="18"/>
                                <w:lang w:val="en-US"/>
                              </w:rPr>
                              <w:t>df</w:t>
                            </w:r>
                          </w:p>
                        </w:tc>
                        <w:tc>
                          <w:tcPr>
                            <w:tcW w:w="1040" w:type="dxa"/>
                            <w:tcBorders>
                              <w:top w:val="nil"/>
                              <w:left w:val="nil"/>
                              <w:bottom w:val="nil"/>
                              <w:right w:val="nil"/>
                            </w:tcBorders>
                            <w:shd w:val="clear" w:color="auto" w:fill="auto"/>
                            <w:noWrap/>
                            <w:vAlign w:val="bottom"/>
                            <w:hideMark/>
                          </w:tcPr>
                          <w:p w14:paraId="747F5BF1" w14:textId="77777777" w:rsidR="00221CD1" w:rsidRPr="00E60E42" w:rsidRDefault="00221CD1" w:rsidP="00221CD1">
                            <w:pPr>
                              <w:spacing w:line="240" w:lineRule="auto"/>
                              <w:jc w:val="center"/>
                              <w:rPr>
                                <w:rFonts w:ascii="Times New Roman" w:eastAsia="Times New Roman" w:hAnsi="Times New Roman" w:cs="Times New Roman"/>
                                <w:b/>
                                <w:color w:val="000000"/>
                                <w:sz w:val="18"/>
                                <w:szCs w:val="18"/>
                                <w:lang w:val="en-US"/>
                              </w:rPr>
                            </w:pPr>
                            <w:r w:rsidRPr="00E60E42">
                              <w:rPr>
                                <w:rFonts w:ascii="Times New Roman" w:eastAsia="Times New Roman" w:hAnsi="Times New Roman" w:cs="Times New Roman"/>
                                <w:b/>
                                <w:color w:val="000000"/>
                                <w:sz w:val="18"/>
                                <w:szCs w:val="18"/>
                                <w:lang w:val="en-US"/>
                              </w:rPr>
                              <w:t>AIC</w:t>
                            </w:r>
                          </w:p>
                        </w:tc>
                        <w:tc>
                          <w:tcPr>
                            <w:tcW w:w="1020" w:type="dxa"/>
                            <w:tcBorders>
                              <w:top w:val="nil"/>
                              <w:left w:val="nil"/>
                              <w:bottom w:val="nil"/>
                              <w:right w:val="nil"/>
                            </w:tcBorders>
                            <w:shd w:val="clear" w:color="auto" w:fill="auto"/>
                            <w:noWrap/>
                            <w:vAlign w:val="bottom"/>
                            <w:hideMark/>
                          </w:tcPr>
                          <w:p w14:paraId="54F722C9" w14:textId="77777777" w:rsidR="00221CD1" w:rsidRPr="00E60E42" w:rsidRDefault="00221CD1" w:rsidP="00221CD1">
                            <w:pPr>
                              <w:spacing w:line="240" w:lineRule="auto"/>
                              <w:jc w:val="center"/>
                              <w:rPr>
                                <w:rFonts w:ascii="Times New Roman" w:eastAsia="Times New Roman" w:hAnsi="Times New Roman" w:cs="Times New Roman"/>
                                <w:b/>
                                <w:color w:val="000000"/>
                                <w:sz w:val="18"/>
                                <w:szCs w:val="18"/>
                                <w:lang w:val="en-US"/>
                              </w:rPr>
                            </w:pPr>
                            <w:r w:rsidRPr="00E60E42">
                              <w:rPr>
                                <w:rFonts w:ascii="Times New Roman" w:eastAsia="Times New Roman" w:hAnsi="Times New Roman" w:cs="Times New Roman"/>
                                <w:b/>
                                <w:color w:val="000000"/>
                                <w:sz w:val="18"/>
                                <w:szCs w:val="18"/>
                                <w:lang w:val="en-US"/>
                              </w:rPr>
                              <w:t>Response</w:t>
                            </w:r>
                          </w:p>
                        </w:tc>
                        <w:tc>
                          <w:tcPr>
                            <w:tcW w:w="1460" w:type="dxa"/>
                            <w:tcBorders>
                              <w:top w:val="nil"/>
                              <w:left w:val="nil"/>
                              <w:bottom w:val="nil"/>
                              <w:right w:val="nil"/>
                            </w:tcBorders>
                            <w:shd w:val="clear" w:color="auto" w:fill="auto"/>
                            <w:noWrap/>
                            <w:vAlign w:val="bottom"/>
                            <w:hideMark/>
                          </w:tcPr>
                          <w:p w14:paraId="27FE6B23" w14:textId="77777777" w:rsidR="00221CD1" w:rsidRPr="00E60E42" w:rsidRDefault="00221CD1" w:rsidP="00221CD1">
                            <w:pPr>
                              <w:spacing w:line="240" w:lineRule="auto"/>
                              <w:jc w:val="center"/>
                              <w:rPr>
                                <w:rFonts w:ascii="Times New Roman" w:eastAsia="Times New Roman" w:hAnsi="Times New Roman" w:cs="Times New Roman"/>
                                <w:b/>
                                <w:color w:val="000000"/>
                                <w:sz w:val="18"/>
                                <w:szCs w:val="18"/>
                                <w:lang w:val="en-US"/>
                              </w:rPr>
                            </w:pPr>
                            <w:r w:rsidRPr="00E60E42">
                              <w:rPr>
                                <w:rFonts w:ascii="Times New Roman" w:eastAsia="Times New Roman" w:hAnsi="Times New Roman" w:cs="Times New Roman"/>
                                <w:b/>
                                <w:color w:val="000000"/>
                                <w:sz w:val="18"/>
                                <w:szCs w:val="18"/>
                                <w:lang w:val="en-US"/>
                              </w:rPr>
                              <w:t>Factor</w:t>
                            </w:r>
                          </w:p>
                        </w:tc>
                        <w:tc>
                          <w:tcPr>
                            <w:tcW w:w="1020" w:type="dxa"/>
                            <w:tcBorders>
                              <w:top w:val="nil"/>
                              <w:left w:val="nil"/>
                              <w:bottom w:val="nil"/>
                              <w:right w:val="nil"/>
                            </w:tcBorders>
                            <w:shd w:val="clear" w:color="auto" w:fill="auto"/>
                            <w:noWrap/>
                            <w:vAlign w:val="bottom"/>
                            <w:hideMark/>
                          </w:tcPr>
                          <w:p w14:paraId="6660E9B1" w14:textId="77777777" w:rsidR="00221CD1" w:rsidRPr="00E60E42" w:rsidRDefault="00221CD1" w:rsidP="00221CD1">
                            <w:pPr>
                              <w:spacing w:line="240" w:lineRule="auto"/>
                              <w:jc w:val="center"/>
                              <w:rPr>
                                <w:rFonts w:ascii="Times New Roman" w:eastAsia="Times New Roman" w:hAnsi="Times New Roman" w:cs="Times New Roman"/>
                                <w:b/>
                                <w:color w:val="000000"/>
                                <w:sz w:val="18"/>
                                <w:szCs w:val="18"/>
                                <w:lang w:val="en-US"/>
                              </w:rPr>
                            </w:pPr>
                            <w:r w:rsidRPr="00E60E42">
                              <w:rPr>
                                <w:rFonts w:ascii="Times New Roman" w:eastAsia="Times New Roman" w:hAnsi="Times New Roman" w:cs="Times New Roman"/>
                                <w:b/>
                                <w:color w:val="000000"/>
                                <w:sz w:val="18"/>
                                <w:szCs w:val="18"/>
                                <w:lang w:val="en-US"/>
                              </w:rPr>
                              <w:t>Covariate</w:t>
                            </w:r>
                          </w:p>
                        </w:tc>
                        <w:tc>
                          <w:tcPr>
                            <w:tcW w:w="1020" w:type="dxa"/>
                            <w:tcBorders>
                              <w:top w:val="nil"/>
                              <w:left w:val="nil"/>
                              <w:bottom w:val="nil"/>
                              <w:right w:val="nil"/>
                            </w:tcBorders>
                            <w:shd w:val="clear" w:color="auto" w:fill="auto"/>
                            <w:noWrap/>
                            <w:vAlign w:val="bottom"/>
                            <w:hideMark/>
                          </w:tcPr>
                          <w:p w14:paraId="2EF20C2F" w14:textId="77777777" w:rsidR="00221CD1" w:rsidRPr="00E60E42" w:rsidRDefault="00221CD1" w:rsidP="00221CD1">
                            <w:pPr>
                              <w:spacing w:line="240" w:lineRule="auto"/>
                              <w:jc w:val="center"/>
                              <w:rPr>
                                <w:rFonts w:ascii="Times New Roman" w:eastAsia="Times New Roman" w:hAnsi="Times New Roman" w:cs="Times New Roman"/>
                                <w:b/>
                                <w:color w:val="000000"/>
                                <w:sz w:val="18"/>
                                <w:szCs w:val="18"/>
                                <w:lang w:val="en-US"/>
                              </w:rPr>
                            </w:pPr>
                            <w:r w:rsidRPr="00E60E42">
                              <w:rPr>
                                <w:rFonts w:ascii="Times New Roman" w:eastAsia="Times New Roman" w:hAnsi="Times New Roman" w:cs="Times New Roman"/>
                                <w:b/>
                                <w:color w:val="000000"/>
                                <w:sz w:val="18"/>
                                <w:szCs w:val="18"/>
                                <w:lang w:val="en-US"/>
                              </w:rPr>
                              <w:t>df</w:t>
                            </w:r>
                          </w:p>
                        </w:tc>
                        <w:tc>
                          <w:tcPr>
                            <w:tcW w:w="1020" w:type="dxa"/>
                            <w:tcBorders>
                              <w:top w:val="nil"/>
                              <w:left w:val="nil"/>
                              <w:bottom w:val="nil"/>
                              <w:right w:val="nil"/>
                            </w:tcBorders>
                            <w:shd w:val="clear" w:color="auto" w:fill="auto"/>
                            <w:noWrap/>
                            <w:vAlign w:val="bottom"/>
                            <w:hideMark/>
                          </w:tcPr>
                          <w:p w14:paraId="16CA3B99" w14:textId="77777777" w:rsidR="00221CD1" w:rsidRPr="00E60E42" w:rsidRDefault="00221CD1" w:rsidP="00221CD1">
                            <w:pPr>
                              <w:spacing w:line="240" w:lineRule="auto"/>
                              <w:jc w:val="center"/>
                              <w:rPr>
                                <w:rFonts w:ascii="Times New Roman" w:eastAsia="Times New Roman" w:hAnsi="Times New Roman" w:cs="Times New Roman"/>
                                <w:b/>
                                <w:color w:val="000000"/>
                                <w:sz w:val="18"/>
                                <w:szCs w:val="18"/>
                                <w:lang w:val="en-US"/>
                              </w:rPr>
                            </w:pPr>
                            <w:r w:rsidRPr="00E60E42">
                              <w:rPr>
                                <w:rFonts w:ascii="Times New Roman" w:eastAsia="Times New Roman" w:hAnsi="Times New Roman" w:cs="Times New Roman"/>
                                <w:b/>
                                <w:color w:val="000000"/>
                                <w:sz w:val="18"/>
                                <w:szCs w:val="18"/>
                                <w:lang w:val="en-US"/>
                              </w:rPr>
                              <w:t>AIC</w:t>
                            </w:r>
                          </w:p>
                        </w:tc>
                      </w:tr>
                      <w:tr w:rsidR="00221CD1" w:rsidRPr="00E60E42" w14:paraId="3BD7B175" w14:textId="77777777" w:rsidTr="00221CD1">
                        <w:trPr>
                          <w:trHeight w:val="285"/>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9CE85C"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OC</w:t>
                            </w:r>
                          </w:p>
                        </w:tc>
                        <w:tc>
                          <w:tcPr>
                            <w:tcW w:w="1420" w:type="dxa"/>
                            <w:tcBorders>
                              <w:top w:val="single" w:sz="4" w:space="0" w:color="auto"/>
                              <w:left w:val="nil"/>
                              <w:bottom w:val="single" w:sz="4" w:space="0" w:color="auto"/>
                              <w:right w:val="single" w:sz="4" w:space="0" w:color="auto"/>
                            </w:tcBorders>
                            <w:shd w:val="clear" w:color="auto" w:fill="auto"/>
                            <w:noWrap/>
                            <w:vAlign w:val="bottom"/>
                            <w:hideMark/>
                          </w:tcPr>
                          <w:p w14:paraId="598B11C6"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Area</w:t>
                            </w:r>
                          </w:p>
                        </w:tc>
                        <w:tc>
                          <w:tcPr>
                            <w:tcW w:w="1020" w:type="dxa"/>
                            <w:tcBorders>
                              <w:top w:val="single" w:sz="4" w:space="0" w:color="auto"/>
                              <w:left w:val="nil"/>
                              <w:bottom w:val="single" w:sz="4" w:space="0" w:color="auto"/>
                              <w:right w:val="single" w:sz="4" w:space="0" w:color="auto"/>
                            </w:tcBorders>
                            <w:shd w:val="clear" w:color="auto" w:fill="auto"/>
                            <w:noWrap/>
                            <w:vAlign w:val="bottom"/>
                            <w:hideMark/>
                          </w:tcPr>
                          <w:p w14:paraId="4735B89D"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LOI</w:t>
                            </w:r>
                          </w:p>
                        </w:tc>
                        <w:tc>
                          <w:tcPr>
                            <w:tcW w:w="1020" w:type="dxa"/>
                            <w:tcBorders>
                              <w:top w:val="single" w:sz="4" w:space="0" w:color="auto"/>
                              <w:left w:val="nil"/>
                              <w:bottom w:val="single" w:sz="4" w:space="0" w:color="auto"/>
                              <w:right w:val="single" w:sz="4" w:space="0" w:color="auto"/>
                            </w:tcBorders>
                            <w:shd w:val="clear" w:color="auto" w:fill="auto"/>
                            <w:noWrap/>
                            <w:vAlign w:val="bottom"/>
                            <w:hideMark/>
                          </w:tcPr>
                          <w:p w14:paraId="72F83726"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4</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14:paraId="37689E06" w14:textId="77777777" w:rsidR="00221CD1" w:rsidRPr="00E60E42" w:rsidRDefault="00221CD1" w:rsidP="00221CD1">
                            <w:pPr>
                              <w:spacing w:line="240" w:lineRule="auto"/>
                              <w:jc w:val="right"/>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105.91</w:t>
                            </w:r>
                          </w:p>
                        </w:tc>
                        <w:tc>
                          <w:tcPr>
                            <w:tcW w:w="1020" w:type="dxa"/>
                            <w:tcBorders>
                              <w:top w:val="single" w:sz="4" w:space="0" w:color="auto"/>
                              <w:left w:val="nil"/>
                              <w:bottom w:val="single" w:sz="4" w:space="0" w:color="auto"/>
                              <w:right w:val="single" w:sz="4" w:space="0" w:color="auto"/>
                            </w:tcBorders>
                            <w:shd w:val="clear" w:color="auto" w:fill="auto"/>
                            <w:noWrap/>
                            <w:vAlign w:val="bottom"/>
                            <w:hideMark/>
                          </w:tcPr>
                          <w:p w14:paraId="43831157"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SBD</w:t>
                            </w:r>
                          </w:p>
                        </w:tc>
                        <w:tc>
                          <w:tcPr>
                            <w:tcW w:w="1460" w:type="dxa"/>
                            <w:tcBorders>
                              <w:top w:val="single" w:sz="4" w:space="0" w:color="auto"/>
                              <w:left w:val="nil"/>
                              <w:bottom w:val="single" w:sz="4" w:space="0" w:color="auto"/>
                              <w:right w:val="single" w:sz="4" w:space="0" w:color="auto"/>
                            </w:tcBorders>
                            <w:shd w:val="clear" w:color="auto" w:fill="auto"/>
                            <w:noWrap/>
                            <w:vAlign w:val="bottom"/>
                            <w:hideMark/>
                          </w:tcPr>
                          <w:p w14:paraId="163D032F"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Area</w:t>
                            </w:r>
                          </w:p>
                        </w:tc>
                        <w:tc>
                          <w:tcPr>
                            <w:tcW w:w="1020" w:type="dxa"/>
                            <w:tcBorders>
                              <w:top w:val="single" w:sz="4" w:space="0" w:color="auto"/>
                              <w:left w:val="nil"/>
                              <w:bottom w:val="single" w:sz="4" w:space="0" w:color="auto"/>
                              <w:right w:val="single" w:sz="4" w:space="0" w:color="auto"/>
                            </w:tcBorders>
                            <w:shd w:val="clear" w:color="auto" w:fill="auto"/>
                            <w:noWrap/>
                            <w:vAlign w:val="bottom"/>
                            <w:hideMark/>
                          </w:tcPr>
                          <w:p w14:paraId="3DAFEDFA"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LOI</w:t>
                            </w:r>
                          </w:p>
                        </w:tc>
                        <w:tc>
                          <w:tcPr>
                            <w:tcW w:w="1020" w:type="dxa"/>
                            <w:tcBorders>
                              <w:top w:val="single" w:sz="4" w:space="0" w:color="auto"/>
                              <w:left w:val="nil"/>
                              <w:bottom w:val="single" w:sz="4" w:space="0" w:color="auto"/>
                              <w:right w:val="single" w:sz="4" w:space="0" w:color="auto"/>
                            </w:tcBorders>
                            <w:shd w:val="clear" w:color="auto" w:fill="auto"/>
                            <w:noWrap/>
                            <w:vAlign w:val="bottom"/>
                            <w:hideMark/>
                          </w:tcPr>
                          <w:p w14:paraId="214969BD"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4</w:t>
                            </w:r>
                          </w:p>
                        </w:tc>
                        <w:tc>
                          <w:tcPr>
                            <w:tcW w:w="1020" w:type="dxa"/>
                            <w:tcBorders>
                              <w:top w:val="single" w:sz="4" w:space="0" w:color="auto"/>
                              <w:left w:val="nil"/>
                              <w:bottom w:val="single" w:sz="4" w:space="0" w:color="auto"/>
                              <w:right w:val="single" w:sz="4" w:space="0" w:color="auto"/>
                            </w:tcBorders>
                            <w:shd w:val="clear" w:color="auto" w:fill="auto"/>
                            <w:noWrap/>
                            <w:vAlign w:val="bottom"/>
                            <w:hideMark/>
                          </w:tcPr>
                          <w:p w14:paraId="186A29F1" w14:textId="77777777" w:rsidR="00221CD1" w:rsidRPr="00E60E42" w:rsidRDefault="00221CD1" w:rsidP="00221CD1">
                            <w:pPr>
                              <w:spacing w:line="240" w:lineRule="auto"/>
                              <w:jc w:val="right"/>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10.04</w:t>
                            </w:r>
                          </w:p>
                        </w:tc>
                      </w:tr>
                      <w:tr w:rsidR="00221CD1" w:rsidRPr="00E60E42" w14:paraId="66DC9702" w14:textId="77777777" w:rsidTr="00221CD1">
                        <w:trPr>
                          <w:trHeight w:val="285"/>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5CBFA41A"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OC</w:t>
                            </w:r>
                          </w:p>
                        </w:tc>
                        <w:tc>
                          <w:tcPr>
                            <w:tcW w:w="1420" w:type="dxa"/>
                            <w:tcBorders>
                              <w:top w:val="nil"/>
                              <w:left w:val="nil"/>
                              <w:bottom w:val="single" w:sz="4" w:space="0" w:color="auto"/>
                              <w:right w:val="single" w:sz="4" w:space="0" w:color="auto"/>
                            </w:tcBorders>
                            <w:shd w:val="clear" w:color="auto" w:fill="auto"/>
                            <w:noWrap/>
                            <w:vAlign w:val="bottom"/>
                            <w:hideMark/>
                          </w:tcPr>
                          <w:p w14:paraId="3F07680A"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Stratum</w:t>
                            </w:r>
                          </w:p>
                        </w:tc>
                        <w:tc>
                          <w:tcPr>
                            <w:tcW w:w="1020" w:type="dxa"/>
                            <w:tcBorders>
                              <w:top w:val="nil"/>
                              <w:left w:val="nil"/>
                              <w:bottom w:val="single" w:sz="4" w:space="0" w:color="auto"/>
                              <w:right w:val="single" w:sz="4" w:space="0" w:color="auto"/>
                            </w:tcBorders>
                            <w:shd w:val="clear" w:color="auto" w:fill="auto"/>
                            <w:noWrap/>
                            <w:vAlign w:val="bottom"/>
                            <w:hideMark/>
                          </w:tcPr>
                          <w:p w14:paraId="1A2F255F"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LOI</w:t>
                            </w:r>
                          </w:p>
                        </w:tc>
                        <w:tc>
                          <w:tcPr>
                            <w:tcW w:w="1020" w:type="dxa"/>
                            <w:tcBorders>
                              <w:top w:val="nil"/>
                              <w:left w:val="nil"/>
                              <w:bottom w:val="single" w:sz="4" w:space="0" w:color="auto"/>
                              <w:right w:val="single" w:sz="4" w:space="0" w:color="auto"/>
                            </w:tcBorders>
                            <w:shd w:val="clear" w:color="auto" w:fill="auto"/>
                            <w:noWrap/>
                            <w:vAlign w:val="bottom"/>
                            <w:hideMark/>
                          </w:tcPr>
                          <w:p w14:paraId="1DB969E8"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5</w:t>
                            </w:r>
                          </w:p>
                        </w:tc>
                        <w:tc>
                          <w:tcPr>
                            <w:tcW w:w="1040" w:type="dxa"/>
                            <w:tcBorders>
                              <w:top w:val="nil"/>
                              <w:left w:val="nil"/>
                              <w:bottom w:val="single" w:sz="4" w:space="0" w:color="auto"/>
                              <w:right w:val="single" w:sz="4" w:space="0" w:color="auto"/>
                            </w:tcBorders>
                            <w:shd w:val="clear" w:color="auto" w:fill="auto"/>
                            <w:noWrap/>
                            <w:vAlign w:val="bottom"/>
                            <w:hideMark/>
                          </w:tcPr>
                          <w:p w14:paraId="6D20AC31" w14:textId="77777777" w:rsidR="00221CD1" w:rsidRPr="00E60E42" w:rsidRDefault="00221CD1" w:rsidP="00221CD1">
                            <w:pPr>
                              <w:spacing w:line="240" w:lineRule="auto"/>
                              <w:jc w:val="right"/>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95.14</w:t>
                            </w:r>
                          </w:p>
                        </w:tc>
                        <w:tc>
                          <w:tcPr>
                            <w:tcW w:w="1020" w:type="dxa"/>
                            <w:tcBorders>
                              <w:top w:val="nil"/>
                              <w:left w:val="nil"/>
                              <w:bottom w:val="single" w:sz="4" w:space="0" w:color="auto"/>
                              <w:right w:val="single" w:sz="4" w:space="0" w:color="auto"/>
                            </w:tcBorders>
                            <w:shd w:val="clear" w:color="auto" w:fill="auto"/>
                            <w:noWrap/>
                            <w:vAlign w:val="bottom"/>
                            <w:hideMark/>
                          </w:tcPr>
                          <w:p w14:paraId="197AB583"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SBD</w:t>
                            </w:r>
                          </w:p>
                        </w:tc>
                        <w:tc>
                          <w:tcPr>
                            <w:tcW w:w="1460" w:type="dxa"/>
                            <w:tcBorders>
                              <w:top w:val="nil"/>
                              <w:left w:val="nil"/>
                              <w:bottom w:val="single" w:sz="4" w:space="0" w:color="auto"/>
                              <w:right w:val="single" w:sz="4" w:space="0" w:color="auto"/>
                            </w:tcBorders>
                            <w:shd w:val="clear" w:color="auto" w:fill="auto"/>
                            <w:noWrap/>
                            <w:vAlign w:val="bottom"/>
                            <w:hideMark/>
                          </w:tcPr>
                          <w:p w14:paraId="139210AC"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Stratum</w:t>
                            </w:r>
                          </w:p>
                        </w:tc>
                        <w:tc>
                          <w:tcPr>
                            <w:tcW w:w="1020" w:type="dxa"/>
                            <w:tcBorders>
                              <w:top w:val="nil"/>
                              <w:left w:val="nil"/>
                              <w:bottom w:val="single" w:sz="4" w:space="0" w:color="auto"/>
                              <w:right w:val="single" w:sz="4" w:space="0" w:color="auto"/>
                            </w:tcBorders>
                            <w:shd w:val="clear" w:color="auto" w:fill="auto"/>
                            <w:noWrap/>
                            <w:vAlign w:val="bottom"/>
                            <w:hideMark/>
                          </w:tcPr>
                          <w:p w14:paraId="65966528"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LOI</w:t>
                            </w:r>
                          </w:p>
                        </w:tc>
                        <w:tc>
                          <w:tcPr>
                            <w:tcW w:w="1020" w:type="dxa"/>
                            <w:tcBorders>
                              <w:top w:val="nil"/>
                              <w:left w:val="nil"/>
                              <w:bottom w:val="single" w:sz="4" w:space="0" w:color="auto"/>
                              <w:right w:val="single" w:sz="4" w:space="0" w:color="auto"/>
                            </w:tcBorders>
                            <w:shd w:val="clear" w:color="auto" w:fill="auto"/>
                            <w:noWrap/>
                            <w:vAlign w:val="bottom"/>
                            <w:hideMark/>
                          </w:tcPr>
                          <w:p w14:paraId="55B3A518"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5</w:t>
                            </w:r>
                          </w:p>
                        </w:tc>
                        <w:tc>
                          <w:tcPr>
                            <w:tcW w:w="1020" w:type="dxa"/>
                            <w:tcBorders>
                              <w:top w:val="nil"/>
                              <w:left w:val="nil"/>
                              <w:bottom w:val="single" w:sz="4" w:space="0" w:color="auto"/>
                              <w:right w:val="single" w:sz="4" w:space="0" w:color="auto"/>
                            </w:tcBorders>
                            <w:shd w:val="clear" w:color="auto" w:fill="auto"/>
                            <w:noWrap/>
                            <w:vAlign w:val="bottom"/>
                            <w:hideMark/>
                          </w:tcPr>
                          <w:p w14:paraId="67D16355" w14:textId="77777777" w:rsidR="00221CD1" w:rsidRPr="00E60E42" w:rsidRDefault="00221CD1" w:rsidP="00221CD1">
                            <w:pPr>
                              <w:spacing w:line="240" w:lineRule="auto"/>
                              <w:jc w:val="right"/>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18.83</w:t>
                            </w:r>
                          </w:p>
                        </w:tc>
                      </w:tr>
                      <w:tr w:rsidR="00221CD1" w:rsidRPr="00E60E42" w14:paraId="4846DA49" w14:textId="77777777" w:rsidTr="00221CD1">
                        <w:trPr>
                          <w:trHeight w:val="285"/>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379A0D7B"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OC</w:t>
                            </w:r>
                          </w:p>
                        </w:tc>
                        <w:tc>
                          <w:tcPr>
                            <w:tcW w:w="1420" w:type="dxa"/>
                            <w:tcBorders>
                              <w:top w:val="nil"/>
                              <w:left w:val="nil"/>
                              <w:bottom w:val="single" w:sz="4" w:space="0" w:color="auto"/>
                              <w:right w:val="single" w:sz="4" w:space="0" w:color="auto"/>
                            </w:tcBorders>
                            <w:shd w:val="clear" w:color="auto" w:fill="auto"/>
                            <w:noWrap/>
                            <w:vAlign w:val="bottom"/>
                            <w:hideMark/>
                          </w:tcPr>
                          <w:p w14:paraId="2C03F4C9"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Area + Stratum</w:t>
                            </w:r>
                          </w:p>
                        </w:tc>
                        <w:tc>
                          <w:tcPr>
                            <w:tcW w:w="1020" w:type="dxa"/>
                            <w:tcBorders>
                              <w:top w:val="nil"/>
                              <w:left w:val="nil"/>
                              <w:bottom w:val="single" w:sz="4" w:space="0" w:color="auto"/>
                              <w:right w:val="single" w:sz="4" w:space="0" w:color="auto"/>
                            </w:tcBorders>
                            <w:shd w:val="clear" w:color="auto" w:fill="auto"/>
                            <w:noWrap/>
                            <w:vAlign w:val="bottom"/>
                            <w:hideMark/>
                          </w:tcPr>
                          <w:p w14:paraId="2ED29957"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LOI</w:t>
                            </w:r>
                          </w:p>
                        </w:tc>
                        <w:tc>
                          <w:tcPr>
                            <w:tcW w:w="1020" w:type="dxa"/>
                            <w:tcBorders>
                              <w:top w:val="nil"/>
                              <w:left w:val="nil"/>
                              <w:bottom w:val="single" w:sz="4" w:space="0" w:color="auto"/>
                              <w:right w:val="single" w:sz="4" w:space="0" w:color="auto"/>
                            </w:tcBorders>
                            <w:shd w:val="clear" w:color="auto" w:fill="auto"/>
                            <w:noWrap/>
                            <w:vAlign w:val="bottom"/>
                            <w:hideMark/>
                          </w:tcPr>
                          <w:p w14:paraId="60515BAC"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6</w:t>
                            </w:r>
                          </w:p>
                        </w:tc>
                        <w:tc>
                          <w:tcPr>
                            <w:tcW w:w="1040" w:type="dxa"/>
                            <w:tcBorders>
                              <w:top w:val="nil"/>
                              <w:left w:val="nil"/>
                              <w:bottom w:val="single" w:sz="4" w:space="0" w:color="auto"/>
                              <w:right w:val="single" w:sz="4" w:space="0" w:color="auto"/>
                            </w:tcBorders>
                            <w:shd w:val="clear" w:color="auto" w:fill="auto"/>
                            <w:noWrap/>
                            <w:vAlign w:val="bottom"/>
                            <w:hideMark/>
                          </w:tcPr>
                          <w:p w14:paraId="2C36B0C0" w14:textId="77777777" w:rsidR="00221CD1" w:rsidRPr="00E60E42" w:rsidRDefault="00221CD1" w:rsidP="00221CD1">
                            <w:pPr>
                              <w:spacing w:line="240" w:lineRule="auto"/>
                              <w:jc w:val="right"/>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97.09</w:t>
                            </w:r>
                          </w:p>
                        </w:tc>
                        <w:tc>
                          <w:tcPr>
                            <w:tcW w:w="1020" w:type="dxa"/>
                            <w:tcBorders>
                              <w:top w:val="nil"/>
                              <w:left w:val="nil"/>
                              <w:bottom w:val="single" w:sz="4" w:space="0" w:color="auto"/>
                              <w:right w:val="single" w:sz="4" w:space="0" w:color="auto"/>
                            </w:tcBorders>
                            <w:shd w:val="clear" w:color="auto" w:fill="auto"/>
                            <w:noWrap/>
                            <w:vAlign w:val="bottom"/>
                            <w:hideMark/>
                          </w:tcPr>
                          <w:p w14:paraId="4927725E"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SBD</w:t>
                            </w:r>
                          </w:p>
                        </w:tc>
                        <w:tc>
                          <w:tcPr>
                            <w:tcW w:w="1460" w:type="dxa"/>
                            <w:tcBorders>
                              <w:top w:val="nil"/>
                              <w:left w:val="nil"/>
                              <w:bottom w:val="single" w:sz="4" w:space="0" w:color="auto"/>
                              <w:right w:val="single" w:sz="4" w:space="0" w:color="auto"/>
                            </w:tcBorders>
                            <w:shd w:val="clear" w:color="auto" w:fill="auto"/>
                            <w:noWrap/>
                            <w:vAlign w:val="bottom"/>
                            <w:hideMark/>
                          </w:tcPr>
                          <w:p w14:paraId="095B57F8"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Area + Stratum</w:t>
                            </w:r>
                          </w:p>
                        </w:tc>
                        <w:tc>
                          <w:tcPr>
                            <w:tcW w:w="1020" w:type="dxa"/>
                            <w:tcBorders>
                              <w:top w:val="nil"/>
                              <w:left w:val="nil"/>
                              <w:bottom w:val="single" w:sz="4" w:space="0" w:color="auto"/>
                              <w:right w:val="single" w:sz="4" w:space="0" w:color="auto"/>
                            </w:tcBorders>
                            <w:shd w:val="clear" w:color="auto" w:fill="auto"/>
                            <w:noWrap/>
                            <w:vAlign w:val="bottom"/>
                            <w:hideMark/>
                          </w:tcPr>
                          <w:p w14:paraId="104A7414"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LOI</w:t>
                            </w:r>
                          </w:p>
                        </w:tc>
                        <w:tc>
                          <w:tcPr>
                            <w:tcW w:w="1020" w:type="dxa"/>
                            <w:tcBorders>
                              <w:top w:val="nil"/>
                              <w:left w:val="nil"/>
                              <w:bottom w:val="single" w:sz="4" w:space="0" w:color="auto"/>
                              <w:right w:val="single" w:sz="4" w:space="0" w:color="auto"/>
                            </w:tcBorders>
                            <w:shd w:val="clear" w:color="auto" w:fill="auto"/>
                            <w:noWrap/>
                            <w:vAlign w:val="bottom"/>
                            <w:hideMark/>
                          </w:tcPr>
                          <w:p w14:paraId="1353D279"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6</w:t>
                            </w:r>
                          </w:p>
                        </w:tc>
                        <w:tc>
                          <w:tcPr>
                            <w:tcW w:w="1020" w:type="dxa"/>
                            <w:tcBorders>
                              <w:top w:val="nil"/>
                              <w:left w:val="nil"/>
                              <w:bottom w:val="single" w:sz="4" w:space="0" w:color="auto"/>
                              <w:right w:val="single" w:sz="4" w:space="0" w:color="auto"/>
                            </w:tcBorders>
                            <w:shd w:val="clear" w:color="auto" w:fill="auto"/>
                            <w:noWrap/>
                            <w:vAlign w:val="bottom"/>
                            <w:hideMark/>
                          </w:tcPr>
                          <w:p w14:paraId="11BE3012" w14:textId="77777777" w:rsidR="00221CD1" w:rsidRPr="00E60E42" w:rsidRDefault="00221CD1" w:rsidP="00221CD1">
                            <w:pPr>
                              <w:spacing w:line="240" w:lineRule="auto"/>
                              <w:jc w:val="right"/>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8.15</w:t>
                            </w:r>
                          </w:p>
                        </w:tc>
                      </w:tr>
                      <w:tr w:rsidR="00221CD1" w:rsidRPr="00E60E42" w14:paraId="5C81F00D" w14:textId="77777777" w:rsidTr="00221CD1">
                        <w:trPr>
                          <w:trHeight w:val="285"/>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613101C0"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OC</w:t>
                            </w:r>
                          </w:p>
                        </w:tc>
                        <w:tc>
                          <w:tcPr>
                            <w:tcW w:w="1420" w:type="dxa"/>
                            <w:tcBorders>
                              <w:top w:val="nil"/>
                              <w:left w:val="nil"/>
                              <w:bottom w:val="single" w:sz="4" w:space="0" w:color="auto"/>
                              <w:right w:val="single" w:sz="4" w:space="0" w:color="auto"/>
                            </w:tcBorders>
                            <w:shd w:val="clear" w:color="auto" w:fill="auto"/>
                            <w:noWrap/>
                            <w:vAlign w:val="bottom"/>
                            <w:hideMark/>
                          </w:tcPr>
                          <w:p w14:paraId="301D1DC9"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Area x Stratum</w:t>
                            </w:r>
                          </w:p>
                        </w:tc>
                        <w:tc>
                          <w:tcPr>
                            <w:tcW w:w="1020" w:type="dxa"/>
                            <w:tcBorders>
                              <w:top w:val="nil"/>
                              <w:left w:val="nil"/>
                              <w:bottom w:val="single" w:sz="4" w:space="0" w:color="auto"/>
                              <w:right w:val="single" w:sz="4" w:space="0" w:color="auto"/>
                            </w:tcBorders>
                            <w:shd w:val="clear" w:color="auto" w:fill="auto"/>
                            <w:noWrap/>
                            <w:vAlign w:val="bottom"/>
                            <w:hideMark/>
                          </w:tcPr>
                          <w:p w14:paraId="680C653C"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LOI</w:t>
                            </w:r>
                          </w:p>
                        </w:tc>
                        <w:tc>
                          <w:tcPr>
                            <w:tcW w:w="1020" w:type="dxa"/>
                            <w:tcBorders>
                              <w:top w:val="nil"/>
                              <w:left w:val="nil"/>
                              <w:bottom w:val="single" w:sz="4" w:space="0" w:color="auto"/>
                              <w:right w:val="single" w:sz="4" w:space="0" w:color="auto"/>
                            </w:tcBorders>
                            <w:shd w:val="clear" w:color="auto" w:fill="auto"/>
                            <w:noWrap/>
                            <w:vAlign w:val="bottom"/>
                            <w:hideMark/>
                          </w:tcPr>
                          <w:p w14:paraId="3E9497FF"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7</w:t>
                            </w:r>
                          </w:p>
                        </w:tc>
                        <w:tc>
                          <w:tcPr>
                            <w:tcW w:w="1040" w:type="dxa"/>
                            <w:tcBorders>
                              <w:top w:val="nil"/>
                              <w:left w:val="nil"/>
                              <w:bottom w:val="single" w:sz="4" w:space="0" w:color="auto"/>
                              <w:right w:val="single" w:sz="4" w:space="0" w:color="auto"/>
                            </w:tcBorders>
                            <w:shd w:val="clear" w:color="auto" w:fill="auto"/>
                            <w:noWrap/>
                            <w:vAlign w:val="bottom"/>
                            <w:hideMark/>
                          </w:tcPr>
                          <w:p w14:paraId="6597EC5F" w14:textId="77777777" w:rsidR="00221CD1" w:rsidRPr="00E60E42" w:rsidRDefault="00221CD1" w:rsidP="00221CD1">
                            <w:pPr>
                              <w:spacing w:line="240" w:lineRule="auto"/>
                              <w:jc w:val="right"/>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98.78</w:t>
                            </w:r>
                          </w:p>
                        </w:tc>
                        <w:tc>
                          <w:tcPr>
                            <w:tcW w:w="1020" w:type="dxa"/>
                            <w:tcBorders>
                              <w:top w:val="nil"/>
                              <w:left w:val="nil"/>
                              <w:bottom w:val="single" w:sz="4" w:space="0" w:color="auto"/>
                              <w:right w:val="single" w:sz="4" w:space="0" w:color="auto"/>
                            </w:tcBorders>
                            <w:shd w:val="clear" w:color="auto" w:fill="auto"/>
                            <w:noWrap/>
                            <w:vAlign w:val="bottom"/>
                            <w:hideMark/>
                          </w:tcPr>
                          <w:p w14:paraId="1053F772"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SBD</w:t>
                            </w:r>
                          </w:p>
                        </w:tc>
                        <w:tc>
                          <w:tcPr>
                            <w:tcW w:w="1460" w:type="dxa"/>
                            <w:tcBorders>
                              <w:top w:val="nil"/>
                              <w:left w:val="nil"/>
                              <w:bottom w:val="single" w:sz="4" w:space="0" w:color="auto"/>
                              <w:right w:val="single" w:sz="4" w:space="0" w:color="auto"/>
                            </w:tcBorders>
                            <w:shd w:val="clear" w:color="auto" w:fill="auto"/>
                            <w:noWrap/>
                            <w:vAlign w:val="bottom"/>
                            <w:hideMark/>
                          </w:tcPr>
                          <w:p w14:paraId="0048785B"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Area x Stratum</w:t>
                            </w:r>
                          </w:p>
                        </w:tc>
                        <w:tc>
                          <w:tcPr>
                            <w:tcW w:w="1020" w:type="dxa"/>
                            <w:tcBorders>
                              <w:top w:val="nil"/>
                              <w:left w:val="nil"/>
                              <w:bottom w:val="single" w:sz="4" w:space="0" w:color="auto"/>
                              <w:right w:val="single" w:sz="4" w:space="0" w:color="auto"/>
                            </w:tcBorders>
                            <w:shd w:val="clear" w:color="auto" w:fill="auto"/>
                            <w:noWrap/>
                            <w:vAlign w:val="bottom"/>
                            <w:hideMark/>
                          </w:tcPr>
                          <w:p w14:paraId="773DE76A"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LOI</w:t>
                            </w:r>
                          </w:p>
                        </w:tc>
                        <w:tc>
                          <w:tcPr>
                            <w:tcW w:w="1020" w:type="dxa"/>
                            <w:tcBorders>
                              <w:top w:val="nil"/>
                              <w:left w:val="nil"/>
                              <w:bottom w:val="single" w:sz="4" w:space="0" w:color="auto"/>
                              <w:right w:val="single" w:sz="4" w:space="0" w:color="auto"/>
                            </w:tcBorders>
                            <w:shd w:val="clear" w:color="auto" w:fill="auto"/>
                            <w:noWrap/>
                            <w:vAlign w:val="bottom"/>
                            <w:hideMark/>
                          </w:tcPr>
                          <w:p w14:paraId="1CE3BBBB"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7</w:t>
                            </w:r>
                          </w:p>
                        </w:tc>
                        <w:tc>
                          <w:tcPr>
                            <w:tcW w:w="1020" w:type="dxa"/>
                            <w:tcBorders>
                              <w:top w:val="nil"/>
                              <w:left w:val="nil"/>
                              <w:bottom w:val="single" w:sz="4" w:space="0" w:color="auto"/>
                              <w:right w:val="single" w:sz="4" w:space="0" w:color="auto"/>
                            </w:tcBorders>
                            <w:shd w:val="clear" w:color="auto" w:fill="auto"/>
                            <w:noWrap/>
                            <w:vAlign w:val="bottom"/>
                            <w:hideMark/>
                          </w:tcPr>
                          <w:p w14:paraId="67A5BE49" w14:textId="77777777" w:rsidR="00221CD1" w:rsidRPr="00E60E42" w:rsidRDefault="00221CD1" w:rsidP="00221CD1">
                            <w:pPr>
                              <w:spacing w:line="240" w:lineRule="auto"/>
                              <w:jc w:val="right"/>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10.15</w:t>
                            </w:r>
                          </w:p>
                        </w:tc>
                      </w:tr>
                      <w:tr w:rsidR="00221CD1" w:rsidRPr="00E60E42" w14:paraId="3A51D581" w14:textId="77777777" w:rsidTr="00221CD1">
                        <w:trPr>
                          <w:trHeight w:val="285"/>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7FE31463"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ln(OC)</w:t>
                            </w:r>
                          </w:p>
                        </w:tc>
                        <w:tc>
                          <w:tcPr>
                            <w:tcW w:w="1420" w:type="dxa"/>
                            <w:tcBorders>
                              <w:top w:val="nil"/>
                              <w:left w:val="nil"/>
                              <w:bottom w:val="single" w:sz="4" w:space="0" w:color="auto"/>
                              <w:right w:val="single" w:sz="4" w:space="0" w:color="auto"/>
                            </w:tcBorders>
                            <w:shd w:val="clear" w:color="auto" w:fill="auto"/>
                            <w:noWrap/>
                            <w:vAlign w:val="bottom"/>
                            <w:hideMark/>
                          </w:tcPr>
                          <w:p w14:paraId="459208DC"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Area</w:t>
                            </w:r>
                          </w:p>
                        </w:tc>
                        <w:tc>
                          <w:tcPr>
                            <w:tcW w:w="1020" w:type="dxa"/>
                            <w:tcBorders>
                              <w:top w:val="nil"/>
                              <w:left w:val="nil"/>
                              <w:bottom w:val="single" w:sz="4" w:space="0" w:color="auto"/>
                              <w:right w:val="single" w:sz="4" w:space="0" w:color="auto"/>
                            </w:tcBorders>
                            <w:shd w:val="clear" w:color="auto" w:fill="auto"/>
                            <w:noWrap/>
                            <w:vAlign w:val="bottom"/>
                            <w:hideMark/>
                          </w:tcPr>
                          <w:p w14:paraId="0E6AB32C"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LOI</w:t>
                            </w:r>
                          </w:p>
                        </w:tc>
                        <w:tc>
                          <w:tcPr>
                            <w:tcW w:w="1020" w:type="dxa"/>
                            <w:tcBorders>
                              <w:top w:val="nil"/>
                              <w:left w:val="nil"/>
                              <w:bottom w:val="single" w:sz="4" w:space="0" w:color="auto"/>
                              <w:right w:val="single" w:sz="4" w:space="0" w:color="auto"/>
                            </w:tcBorders>
                            <w:shd w:val="clear" w:color="auto" w:fill="auto"/>
                            <w:noWrap/>
                            <w:vAlign w:val="bottom"/>
                            <w:hideMark/>
                          </w:tcPr>
                          <w:p w14:paraId="2E684AE5"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4</w:t>
                            </w:r>
                          </w:p>
                        </w:tc>
                        <w:tc>
                          <w:tcPr>
                            <w:tcW w:w="1040" w:type="dxa"/>
                            <w:tcBorders>
                              <w:top w:val="nil"/>
                              <w:left w:val="nil"/>
                              <w:bottom w:val="single" w:sz="4" w:space="0" w:color="auto"/>
                              <w:right w:val="single" w:sz="4" w:space="0" w:color="auto"/>
                            </w:tcBorders>
                            <w:shd w:val="clear" w:color="auto" w:fill="auto"/>
                            <w:noWrap/>
                            <w:vAlign w:val="bottom"/>
                            <w:hideMark/>
                          </w:tcPr>
                          <w:p w14:paraId="720DF799" w14:textId="77777777" w:rsidR="00221CD1" w:rsidRPr="00E60E42" w:rsidRDefault="00221CD1" w:rsidP="00221CD1">
                            <w:pPr>
                              <w:spacing w:line="240" w:lineRule="auto"/>
                              <w:jc w:val="right"/>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44.51</w:t>
                            </w:r>
                          </w:p>
                        </w:tc>
                        <w:tc>
                          <w:tcPr>
                            <w:tcW w:w="1020" w:type="dxa"/>
                            <w:tcBorders>
                              <w:top w:val="nil"/>
                              <w:left w:val="nil"/>
                              <w:bottom w:val="single" w:sz="4" w:space="0" w:color="auto"/>
                              <w:right w:val="single" w:sz="4" w:space="0" w:color="auto"/>
                            </w:tcBorders>
                            <w:shd w:val="clear" w:color="auto" w:fill="auto"/>
                            <w:noWrap/>
                            <w:vAlign w:val="bottom"/>
                            <w:hideMark/>
                          </w:tcPr>
                          <w:p w14:paraId="1CE0A291"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ln(SBD)</w:t>
                            </w:r>
                          </w:p>
                        </w:tc>
                        <w:tc>
                          <w:tcPr>
                            <w:tcW w:w="1460" w:type="dxa"/>
                            <w:tcBorders>
                              <w:top w:val="nil"/>
                              <w:left w:val="nil"/>
                              <w:bottom w:val="single" w:sz="4" w:space="0" w:color="auto"/>
                              <w:right w:val="single" w:sz="4" w:space="0" w:color="auto"/>
                            </w:tcBorders>
                            <w:shd w:val="clear" w:color="auto" w:fill="auto"/>
                            <w:noWrap/>
                            <w:vAlign w:val="bottom"/>
                            <w:hideMark/>
                          </w:tcPr>
                          <w:p w14:paraId="70C9636C"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Area</w:t>
                            </w:r>
                          </w:p>
                        </w:tc>
                        <w:tc>
                          <w:tcPr>
                            <w:tcW w:w="1020" w:type="dxa"/>
                            <w:tcBorders>
                              <w:top w:val="nil"/>
                              <w:left w:val="nil"/>
                              <w:bottom w:val="single" w:sz="4" w:space="0" w:color="auto"/>
                              <w:right w:val="single" w:sz="4" w:space="0" w:color="auto"/>
                            </w:tcBorders>
                            <w:shd w:val="clear" w:color="auto" w:fill="auto"/>
                            <w:noWrap/>
                            <w:vAlign w:val="bottom"/>
                            <w:hideMark/>
                          </w:tcPr>
                          <w:p w14:paraId="78F822C3"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LOI</w:t>
                            </w:r>
                          </w:p>
                        </w:tc>
                        <w:tc>
                          <w:tcPr>
                            <w:tcW w:w="1020" w:type="dxa"/>
                            <w:tcBorders>
                              <w:top w:val="nil"/>
                              <w:left w:val="nil"/>
                              <w:bottom w:val="single" w:sz="4" w:space="0" w:color="auto"/>
                              <w:right w:val="single" w:sz="4" w:space="0" w:color="auto"/>
                            </w:tcBorders>
                            <w:shd w:val="clear" w:color="auto" w:fill="auto"/>
                            <w:noWrap/>
                            <w:vAlign w:val="bottom"/>
                            <w:hideMark/>
                          </w:tcPr>
                          <w:p w14:paraId="625A8ED8"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4</w:t>
                            </w:r>
                          </w:p>
                        </w:tc>
                        <w:tc>
                          <w:tcPr>
                            <w:tcW w:w="1020" w:type="dxa"/>
                            <w:tcBorders>
                              <w:top w:val="nil"/>
                              <w:left w:val="nil"/>
                              <w:bottom w:val="single" w:sz="4" w:space="0" w:color="auto"/>
                              <w:right w:val="single" w:sz="4" w:space="0" w:color="auto"/>
                            </w:tcBorders>
                            <w:shd w:val="clear" w:color="auto" w:fill="auto"/>
                            <w:noWrap/>
                            <w:vAlign w:val="bottom"/>
                            <w:hideMark/>
                          </w:tcPr>
                          <w:p w14:paraId="4726E5FC" w14:textId="77777777" w:rsidR="00221CD1" w:rsidRPr="00E60E42" w:rsidRDefault="00221CD1" w:rsidP="00221CD1">
                            <w:pPr>
                              <w:spacing w:line="240" w:lineRule="auto"/>
                              <w:jc w:val="right"/>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10.73</w:t>
                            </w:r>
                          </w:p>
                        </w:tc>
                      </w:tr>
                      <w:tr w:rsidR="00221CD1" w:rsidRPr="00E60E42" w14:paraId="4BC7BDCD" w14:textId="77777777" w:rsidTr="00221CD1">
                        <w:trPr>
                          <w:trHeight w:val="285"/>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70789159"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ln(OC)</w:t>
                            </w:r>
                          </w:p>
                        </w:tc>
                        <w:tc>
                          <w:tcPr>
                            <w:tcW w:w="1420" w:type="dxa"/>
                            <w:tcBorders>
                              <w:top w:val="nil"/>
                              <w:left w:val="nil"/>
                              <w:bottom w:val="single" w:sz="4" w:space="0" w:color="auto"/>
                              <w:right w:val="single" w:sz="4" w:space="0" w:color="auto"/>
                            </w:tcBorders>
                            <w:shd w:val="clear" w:color="auto" w:fill="auto"/>
                            <w:noWrap/>
                            <w:vAlign w:val="bottom"/>
                            <w:hideMark/>
                          </w:tcPr>
                          <w:p w14:paraId="5C6CFB37"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Stratum</w:t>
                            </w:r>
                          </w:p>
                        </w:tc>
                        <w:tc>
                          <w:tcPr>
                            <w:tcW w:w="1020" w:type="dxa"/>
                            <w:tcBorders>
                              <w:top w:val="nil"/>
                              <w:left w:val="nil"/>
                              <w:bottom w:val="single" w:sz="4" w:space="0" w:color="auto"/>
                              <w:right w:val="single" w:sz="4" w:space="0" w:color="auto"/>
                            </w:tcBorders>
                            <w:shd w:val="clear" w:color="auto" w:fill="auto"/>
                            <w:noWrap/>
                            <w:vAlign w:val="bottom"/>
                            <w:hideMark/>
                          </w:tcPr>
                          <w:p w14:paraId="5BEE5ECC"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LOI</w:t>
                            </w:r>
                          </w:p>
                        </w:tc>
                        <w:tc>
                          <w:tcPr>
                            <w:tcW w:w="1020" w:type="dxa"/>
                            <w:tcBorders>
                              <w:top w:val="nil"/>
                              <w:left w:val="nil"/>
                              <w:bottom w:val="single" w:sz="4" w:space="0" w:color="auto"/>
                              <w:right w:val="single" w:sz="4" w:space="0" w:color="auto"/>
                            </w:tcBorders>
                            <w:shd w:val="clear" w:color="auto" w:fill="auto"/>
                            <w:noWrap/>
                            <w:vAlign w:val="bottom"/>
                            <w:hideMark/>
                          </w:tcPr>
                          <w:p w14:paraId="62B78E93"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5</w:t>
                            </w:r>
                          </w:p>
                        </w:tc>
                        <w:tc>
                          <w:tcPr>
                            <w:tcW w:w="1040" w:type="dxa"/>
                            <w:tcBorders>
                              <w:top w:val="nil"/>
                              <w:left w:val="nil"/>
                              <w:bottom w:val="single" w:sz="4" w:space="0" w:color="auto"/>
                              <w:right w:val="single" w:sz="4" w:space="0" w:color="auto"/>
                            </w:tcBorders>
                            <w:shd w:val="clear" w:color="auto" w:fill="auto"/>
                            <w:noWrap/>
                            <w:vAlign w:val="bottom"/>
                            <w:hideMark/>
                          </w:tcPr>
                          <w:p w14:paraId="36E58EC5" w14:textId="77777777" w:rsidR="00221CD1" w:rsidRPr="00E60E42" w:rsidRDefault="00221CD1" w:rsidP="00221CD1">
                            <w:pPr>
                              <w:spacing w:line="240" w:lineRule="auto"/>
                              <w:jc w:val="right"/>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35.22</w:t>
                            </w:r>
                          </w:p>
                        </w:tc>
                        <w:tc>
                          <w:tcPr>
                            <w:tcW w:w="1020" w:type="dxa"/>
                            <w:tcBorders>
                              <w:top w:val="nil"/>
                              <w:left w:val="nil"/>
                              <w:bottom w:val="single" w:sz="4" w:space="0" w:color="auto"/>
                              <w:right w:val="single" w:sz="4" w:space="0" w:color="auto"/>
                            </w:tcBorders>
                            <w:shd w:val="clear" w:color="auto" w:fill="auto"/>
                            <w:noWrap/>
                            <w:vAlign w:val="bottom"/>
                            <w:hideMark/>
                          </w:tcPr>
                          <w:p w14:paraId="1FA2EE97"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ln(SBD)</w:t>
                            </w:r>
                          </w:p>
                        </w:tc>
                        <w:tc>
                          <w:tcPr>
                            <w:tcW w:w="1460" w:type="dxa"/>
                            <w:tcBorders>
                              <w:top w:val="nil"/>
                              <w:left w:val="nil"/>
                              <w:bottom w:val="single" w:sz="4" w:space="0" w:color="auto"/>
                              <w:right w:val="single" w:sz="4" w:space="0" w:color="auto"/>
                            </w:tcBorders>
                            <w:shd w:val="clear" w:color="auto" w:fill="auto"/>
                            <w:noWrap/>
                            <w:vAlign w:val="bottom"/>
                            <w:hideMark/>
                          </w:tcPr>
                          <w:p w14:paraId="48A7D439"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Stratum</w:t>
                            </w:r>
                          </w:p>
                        </w:tc>
                        <w:tc>
                          <w:tcPr>
                            <w:tcW w:w="1020" w:type="dxa"/>
                            <w:tcBorders>
                              <w:top w:val="nil"/>
                              <w:left w:val="nil"/>
                              <w:bottom w:val="single" w:sz="4" w:space="0" w:color="auto"/>
                              <w:right w:val="single" w:sz="4" w:space="0" w:color="auto"/>
                            </w:tcBorders>
                            <w:shd w:val="clear" w:color="auto" w:fill="auto"/>
                            <w:noWrap/>
                            <w:vAlign w:val="bottom"/>
                            <w:hideMark/>
                          </w:tcPr>
                          <w:p w14:paraId="69855F7A"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LOI</w:t>
                            </w:r>
                          </w:p>
                        </w:tc>
                        <w:tc>
                          <w:tcPr>
                            <w:tcW w:w="1020" w:type="dxa"/>
                            <w:tcBorders>
                              <w:top w:val="nil"/>
                              <w:left w:val="nil"/>
                              <w:bottom w:val="single" w:sz="4" w:space="0" w:color="auto"/>
                              <w:right w:val="single" w:sz="4" w:space="0" w:color="auto"/>
                            </w:tcBorders>
                            <w:shd w:val="clear" w:color="auto" w:fill="auto"/>
                            <w:noWrap/>
                            <w:vAlign w:val="bottom"/>
                            <w:hideMark/>
                          </w:tcPr>
                          <w:p w14:paraId="3CACC42E"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5</w:t>
                            </w:r>
                          </w:p>
                        </w:tc>
                        <w:tc>
                          <w:tcPr>
                            <w:tcW w:w="1020" w:type="dxa"/>
                            <w:tcBorders>
                              <w:top w:val="nil"/>
                              <w:left w:val="nil"/>
                              <w:bottom w:val="single" w:sz="4" w:space="0" w:color="auto"/>
                              <w:right w:val="single" w:sz="4" w:space="0" w:color="auto"/>
                            </w:tcBorders>
                            <w:shd w:val="clear" w:color="auto" w:fill="auto"/>
                            <w:noWrap/>
                            <w:vAlign w:val="bottom"/>
                            <w:hideMark/>
                          </w:tcPr>
                          <w:p w14:paraId="4AEEF206" w14:textId="77777777" w:rsidR="00221CD1" w:rsidRPr="00E60E42" w:rsidRDefault="00221CD1" w:rsidP="00221CD1">
                            <w:pPr>
                              <w:spacing w:line="240" w:lineRule="auto"/>
                              <w:jc w:val="right"/>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13.35</w:t>
                            </w:r>
                          </w:p>
                        </w:tc>
                      </w:tr>
                      <w:tr w:rsidR="00221CD1" w:rsidRPr="00E60E42" w14:paraId="444C50D5" w14:textId="77777777" w:rsidTr="00221CD1">
                        <w:trPr>
                          <w:trHeight w:val="285"/>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48C93159"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ln(OC)</w:t>
                            </w:r>
                          </w:p>
                        </w:tc>
                        <w:tc>
                          <w:tcPr>
                            <w:tcW w:w="1420" w:type="dxa"/>
                            <w:tcBorders>
                              <w:top w:val="nil"/>
                              <w:left w:val="nil"/>
                              <w:bottom w:val="single" w:sz="4" w:space="0" w:color="auto"/>
                              <w:right w:val="single" w:sz="4" w:space="0" w:color="auto"/>
                            </w:tcBorders>
                            <w:shd w:val="clear" w:color="auto" w:fill="auto"/>
                            <w:noWrap/>
                            <w:vAlign w:val="bottom"/>
                            <w:hideMark/>
                          </w:tcPr>
                          <w:p w14:paraId="6976EEEF"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Area + Stratum</w:t>
                            </w:r>
                          </w:p>
                        </w:tc>
                        <w:tc>
                          <w:tcPr>
                            <w:tcW w:w="1020" w:type="dxa"/>
                            <w:tcBorders>
                              <w:top w:val="nil"/>
                              <w:left w:val="nil"/>
                              <w:bottom w:val="single" w:sz="4" w:space="0" w:color="auto"/>
                              <w:right w:val="single" w:sz="4" w:space="0" w:color="auto"/>
                            </w:tcBorders>
                            <w:shd w:val="clear" w:color="auto" w:fill="auto"/>
                            <w:noWrap/>
                            <w:vAlign w:val="bottom"/>
                            <w:hideMark/>
                          </w:tcPr>
                          <w:p w14:paraId="12B92B3B"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LOI</w:t>
                            </w:r>
                          </w:p>
                        </w:tc>
                        <w:tc>
                          <w:tcPr>
                            <w:tcW w:w="1020" w:type="dxa"/>
                            <w:tcBorders>
                              <w:top w:val="nil"/>
                              <w:left w:val="nil"/>
                              <w:bottom w:val="single" w:sz="4" w:space="0" w:color="auto"/>
                              <w:right w:val="single" w:sz="4" w:space="0" w:color="auto"/>
                            </w:tcBorders>
                            <w:shd w:val="clear" w:color="auto" w:fill="auto"/>
                            <w:noWrap/>
                            <w:vAlign w:val="bottom"/>
                            <w:hideMark/>
                          </w:tcPr>
                          <w:p w14:paraId="64BC3931"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6</w:t>
                            </w:r>
                          </w:p>
                        </w:tc>
                        <w:tc>
                          <w:tcPr>
                            <w:tcW w:w="1040" w:type="dxa"/>
                            <w:tcBorders>
                              <w:top w:val="nil"/>
                              <w:left w:val="nil"/>
                              <w:bottom w:val="single" w:sz="4" w:space="0" w:color="auto"/>
                              <w:right w:val="single" w:sz="4" w:space="0" w:color="auto"/>
                            </w:tcBorders>
                            <w:shd w:val="clear" w:color="auto" w:fill="auto"/>
                            <w:noWrap/>
                            <w:vAlign w:val="bottom"/>
                            <w:hideMark/>
                          </w:tcPr>
                          <w:p w14:paraId="23EB06F0" w14:textId="77777777" w:rsidR="00221CD1" w:rsidRPr="00E60E42" w:rsidRDefault="00221CD1" w:rsidP="00221CD1">
                            <w:pPr>
                              <w:spacing w:line="240" w:lineRule="auto"/>
                              <w:jc w:val="right"/>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37.08</w:t>
                            </w:r>
                          </w:p>
                        </w:tc>
                        <w:tc>
                          <w:tcPr>
                            <w:tcW w:w="1020" w:type="dxa"/>
                            <w:tcBorders>
                              <w:top w:val="nil"/>
                              <w:left w:val="nil"/>
                              <w:bottom w:val="single" w:sz="4" w:space="0" w:color="auto"/>
                              <w:right w:val="single" w:sz="4" w:space="0" w:color="auto"/>
                            </w:tcBorders>
                            <w:shd w:val="clear" w:color="auto" w:fill="auto"/>
                            <w:noWrap/>
                            <w:vAlign w:val="bottom"/>
                            <w:hideMark/>
                          </w:tcPr>
                          <w:p w14:paraId="0A75DB84"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ln(SBD)</w:t>
                            </w:r>
                          </w:p>
                        </w:tc>
                        <w:tc>
                          <w:tcPr>
                            <w:tcW w:w="1460" w:type="dxa"/>
                            <w:tcBorders>
                              <w:top w:val="nil"/>
                              <w:left w:val="nil"/>
                              <w:bottom w:val="single" w:sz="4" w:space="0" w:color="auto"/>
                              <w:right w:val="single" w:sz="4" w:space="0" w:color="auto"/>
                            </w:tcBorders>
                            <w:shd w:val="clear" w:color="auto" w:fill="auto"/>
                            <w:noWrap/>
                            <w:vAlign w:val="bottom"/>
                            <w:hideMark/>
                          </w:tcPr>
                          <w:p w14:paraId="6672FE83"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Area + Stratum</w:t>
                            </w:r>
                          </w:p>
                        </w:tc>
                        <w:tc>
                          <w:tcPr>
                            <w:tcW w:w="1020" w:type="dxa"/>
                            <w:tcBorders>
                              <w:top w:val="nil"/>
                              <w:left w:val="nil"/>
                              <w:bottom w:val="single" w:sz="4" w:space="0" w:color="auto"/>
                              <w:right w:val="single" w:sz="4" w:space="0" w:color="auto"/>
                            </w:tcBorders>
                            <w:shd w:val="clear" w:color="auto" w:fill="auto"/>
                            <w:noWrap/>
                            <w:vAlign w:val="bottom"/>
                            <w:hideMark/>
                          </w:tcPr>
                          <w:p w14:paraId="649AE432"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LOI</w:t>
                            </w:r>
                          </w:p>
                        </w:tc>
                        <w:tc>
                          <w:tcPr>
                            <w:tcW w:w="1020" w:type="dxa"/>
                            <w:tcBorders>
                              <w:top w:val="nil"/>
                              <w:left w:val="nil"/>
                              <w:bottom w:val="single" w:sz="4" w:space="0" w:color="auto"/>
                              <w:right w:val="single" w:sz="4" w:space="0" w:color="auto"/>
                            </w:tcBorders>
                            <w:shd w:val="clear" w:color="auto" w:fill="auto"/>
                            <w:noWrap/>
                            <w:vAlign w:val="bottom"/>
                            <w:hideMark/>
                          </w:tcPr>
                          <w:p w14:paraId="25312EA1"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6</w:t>
                            </w:r>
                          </w:p>
                        </w:tc>
                        <w:tc>
                          <w:tcPr>
                            <w:tcW w:w="1020" w:type="dxa"/>
                            <w:tcBorders>
                              <w:top w:val="nil"/>
                              <w:left w:val="nil"/>
                              <w:bottom w:val="single" w:sz="4" w:space="0" w:color="auto"/>
                              <w:right w:val="single" w:sz="4" w:space="0" w:color="auto"/>
                            </w:tcBorders>
                            <w:shd w:val="clear" w:color="auto" w:fill="auto"/>
                            <w:noWrap/>
                            <w:vAlign w:val="bottom"/>
                            <w:hideMark/>
                          </w:tcPr>
                          <w:p w14:paraId="6AD68F82" w14:textId="77777777" w:rsidR="00221CD1" w:rsidRPr="00E60E42" w:rsidRDefault="00221CD1" w:rsidP="00221CD1">
                            <w:pPr>
                              <w:spacing w:line="240" w:lineRule="auto"/>
                              <w:jc w:val="right"/>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7.93</w:t>
                            </w:r>
                          </w:p>
                        </w:tc>
                      </w:tr>
                      <w:tr w:rsidR="00221CD1" w:rsidRPr="00E60E42" w14:paraId="6EDB85A5" w14:textId="77777777" w:rsidTr="00221CD1">
                        <w:trPr>
                          <w:trHeight w:val="285"/>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3EC5D6B8"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ln(OC)</w:t>
                            </w:r>
                          </w:p>
                        </w:tc>
                        <w:tc>
                          <w:tcPr>
                            <w:tcW w:w="1420" w:type="dxa"/>
                            <w:tcBorders>
                              <w:top w:val="nil"/>
                              <w:left w:val="nil"/>
                              <w:bottom w:val="single" w:sz="4" w:space="0" w:color="auto"/>
                              <w:right w:val="single" w:sz="4" w:space="0" w:color="auto"/>
                            </w:tcBorders>
                            <w:shd w:val="clear" w:color="auto" w:fill="auto"/>
                            <w:noWrap/>
                            <w:vAlign w:val="bottom"/>
                            <w:hideMark/>
                          </w:tcPr>
                          <w:p w14:paraId="46CB146E"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Area x Stratum</w:t>
                            </w:r>
                          </w:p>
                        </w:tc>
                        <w:tc>
                          <w:tcPr>
                            <w:tcW w:w="1020" w:type="dxa"/>
                            <w:tcBorders>
                              <w:top w:val="nil"/>
                              <w:left w:val="nil"/>
                              <w:bottom w:val="single" w:sz="4" w:space="0" w:color="auto"/>
                              <w:right w:val="single" w:sz="4" w:space="0" w:color="auto"/>
                            </w:tcBorders>
                            <w:shd w:val="clear" w:color="auto" w:fill="auto"/>
                            <w:noWrap/>
                            <w:vAlign w:val="bottom"/>
                            <w:hideMark/>
                          </w:tcPr>
                          <w:p w14:paraId="77DB93A7"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LOI</w:t>
                            </w:r>
                          </w:p>
                        </w:tc>
                        <w:tc>
                          <w:tcPr>
                            <w:tcW w:w="1020" w:type="dxa"/>
                            <w:tcBorders>
                              <w:top w:val="nil"/>
                              <w:left w:val="nil"/>
                              <w:bottom w:val="single" w:sz="4" w:space="0" w:color="auto"/>
                              <w:right w:val="single" w:sz="4" w:space="0" w:color="auto"/>
                            </w:tcBorders>
                            <w:shd w:val="clear" w:color="auto" w:fill="auto"/>
                            <w:noWrap/>
                            <w:vAlign w:val="bottom"/>
                            <w:hideMark/>
                          </w:tcPr>
                          <w:p w14:paraId="3DBC69C0"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7</w:t>
                            </w:r>
                          </w:p>
                        </w:tc>
                        <w:tc>
                          <w:tcPr>
                            <w:tcW w:w="1040" w:type="dxa"/>
                            <w:tcBorders>
                              <w:top w:val="nil"/>
                              <w:left w:val="nil"/>
                              <w:bottom w:val="single" w:sz="4" w:space="0" w:color="auto"/>
                              <w:right w:val="single" w:sz="4" w:space="0" w:color="auto"/>
                            </w:tcBorders>
                            <w:shd w:val="clear" w:color="auto" w:fill="auto"/>
                            <w:noWrap/>
                            <w:vAlign w:val="bottom"/>
                            <w:hideMark/>
                          </w:tcPr>
                          <w:p w14:paraId="0031BCCD" w14:textId="77777777" w:rsidR="00221CD1" w:rsidRPr="00E60E42" w:rsidRDefault="00221CD1" w:rsidP="00221CD1">
                            <w:pPr>
                              <w:spacing w:line="240" w:lineRule="auto"/>
                              <w:jc w:val="right"/>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38.91</w:t>
                            </w:r>
                          </w:p>
                        </w:tc>
                        <w:tc>
                          <w:tcPr>
                            <w:tcW w:w="1020" w:type="dxa"/>
                            <w:tcBorders>
                              <w:top w:val="nil"/>
                              <w:left w:val="nil"/>
                              <w:bottom w:val="single" w:sz="4" w:space="0" w:color="auto"/>
                              <w:right w:val="single" w:sz="4" w:space="0" w:color="auto"/>
                            </w:tcBorders>
                            <w:shd w:val="clear" w:color="auto" w:fill="auto"/>
                            <w:noWrap/>
                            <w:vAlign w:val="bottom"/>
                            <w:hideMark/>
                          </w:tcPr>
                          <w:p w14:paraId="0F24B3FB"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ln(SBD)</w:t>
                            </w:r>
                          </w:p>
                        </w:tc>
                        <w:tc>
                          <w:tcPr>
                            <w:tcW w:w="1460" w:type="dxa"/>
                            <w:tcBorders>
                              <w:top w:val="nil"/>
                              <w:left w:val="nil"/>
                              <w:bottom w:val="single" w:sz="4" w:space="0" w:color="auto"/>
                              <w:right w:val="single" w:sz="4" w:space="0" w:color="auto"/>
                            </w:tcBorders>
                            <w:shd w:val="clear" w:color="auto" w:fill="auto"/>
                            <w:noWrap/>
                            <w:vAlign w:val="bottom"/>
                            <w:hideMark/>
                          </w:tcPr>
                          <w:p w14:paraId="0E195DCF"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Area x Stratum</w:t>
                            </w:r>
                          </w:p>
                        </w:tc>
                        <w:tc>
                          <w:tcPr>
                            <w:tcW w:w="1020" w:type="dxa"/>
                            <w:tcBorders>
                              <w:top w:val="nil"/>
                              <w:left w:val="nil"/>
                              <w:bottom w:val="single" w:sz="4" w:space="0" w:color="auto"/>
                              <w:right w:val="single" w:sz="4" w:space="0" w:color="auto"/>
                            </w:tcBorders>
                            <w:shd w:val="clear" w:color="auto" w:fill="auto"/>
                            <w:noWrap/>
                            <w:vAlign w:val="bottom"/>
                            <w:hideMark/>
                          </w:tcPr>
                          <w:p w14:paraId="7E3083D3"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LOI</w:t>
                            </w:r>
                          </w:p>
                        </w:tc>
                        <w:tc>
                          <w:tcPr>
                            <w:tcW w:w="1020" w:type="dxa"/>
                            <w:tcBorders>
                              <w:top w:val="nil"/>
                              <w:left w:val="nil"/>
                              <w:bottom w:val="single" w:sz="4" w:space="0" w:color="auto"/>
                              <w:right w:val="single" w:sz="4" w:space="0" w:color="auto"/>
                            </w:tcBorders>
                            <w:shd w:val="clear" w:color="auto" w:fill="auto"/>
                            <w:noWrap/>
                            <w:vAlign w:val="bottom"/>
                            <w:hideMark/>
                          </w:tcPr>
                          <w:p w14:paraId="263E3FCE"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7</w:t>
                            </w:r>
                          </w:p>
                        </w:tc>
                        <w:tc>
                          <w:tcPr>
                            <w:tcW w:w="1020" w:type="dxa"/>
                            <w:tcBorders>
                              <w:top w:val="nil"/>
                              <w:left w:val="nil"/>
                              <w:bottom w:val="single" w:sz="4" w:space="0" w:color="auto"/>
                              <w:right w:val="single" w:sz="4" w:space="0" w:color="auto"/>
                            </w:tcBorders>
                            <w:shd w:val="clear" w:color="auto" w:fill="auto"/>
                            <w:noWrap/>
                            <w:vAlign w:val="bottom"/>
                            <w:hideMark/>
                          </w:tcPr>
                          <w:p w14:paraId="3D227B28" w14:textId="77777777" w:rsidR="00221CD1" w:rsidRPr="00E60E42" w:rsidRDefault="00221CD1" w:rsidP="00221CD1">
                            <w:pPr>
                              <w:spacing w:line="240" w:lineRule="auto"/>
                              <w:jc w:val="right"/>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9.92</w:t>
                            </w:r>
                          </w:p>
                        </w:tc>
                      </w:tr>
                      <w:tr w:rsidR="00221CD1" w:rsidRPr="00E60E42" w14:paraId="762A250E" w14:textId="77777777" w:rsidTr="00221CD1">
                        <w:trPr>
                          <w:trHeight w:val="285"/>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76A2FC28"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ln(OC)</w:t>
                            </w:r>
                          </w:p>
                        </w:tc>
                        <w:tc>
                          <w:tcPr>
                            <w:tcW w:w="1420" w:type="dxa"/>
                            <w:tcBorders>
                              <w:top w:val="nil"/>
                              <w:left w:val="nil"/>
                              <w:bottom w:val="single" w:sz="4" w:space="0" w:color="auto"/>
                              <w:right w:val="single" w:sz="4" w:space="0" w:color="auto"/>
                            </w:tcBorders>
                            <w:shd w:val="clear" w:color="auto" w:fill="auto"/>
                            <w:noWrap/>
                            <w:vAlign w:val="bottom"/>
                            <w:hideMark/>
                          </w:tcPr>
                          <w:p w14:paraId="65B0760D"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Area</w:t>
                            </w:r>
                          </w:p>
                        </w:tc>
                        <w:tc>
                          <w:tcPr>
                            <w:tcW w:w="1020" w:type="dxa"/>
                            <w:tcBorders>
                              <w:top w:val="nil"/>
                              <w:left w:val="nil"/>
                              <w:bottom w:val="single" w:sz="4" w:space="0" w:color="auto"/>
                              <w:right w:val="single" w:sz="4" w:space="0" w:color="auto"/>
                            </w:tcBorders>
                            <w:shd w:val="clear" w:color="auto" w:fill="auto"/>
                            <w:noWrap/>
                            <w:vAlign w:val="bottom"/>
                            <w:hideMark/>
                          </w:tcPr>
                          <w:p w14:paraId="3DADC3BD"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ln(LOI)</w:t>
                            </w:r>
                          </w:p>
                        </w:tc>
                        <w:tc>
                          <w:tcPr>
                            <w:tcW w:w="1020" w:type="dxa"/>
                            <w:tcBorders>
                              <w:top w:val="nil"/>
                              <w:left w:val="nil"/>
                              <w:bottom w:val="single" w:sz="4" w:space="0" w:color="auto"/>
                              <w:right w:val="single" w:sz="4" w:space="0" w:color="auto"/>
                            </w:tcBorders>
                            <w:shd w:val="clear" w:color="auto" w:fill="auto"/>
                            <w:noWrap/>
                            <w:vAlign w:val="bottom"/>
                            <w:hideMark/>
                          </w:tcPr>
                          <w:p w14:paraId="4E3AFC88"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4</w:t>
                            </w:r>
                          </w:p>
                        </w:tc>
                        <w:tc>
                          <w:tcPr>
                            <w:tcW w:w="1040" w:type="dxa"/>
                            <w:tcBorders>
                              <w:top w:val="nil"/>
                              <w:left w:val="nil"/>
                              <w:bottom w:val="single" w:sz="4" w:space="0" w:color="auto"/>
                              <w:right w:val="single" w:sz="4" w:space="0" w:color="auto"/>
                            </w:tcBorders>
                            <w:shd w:val="clear" w:color="auto" w:fill="auto"/>
                            <w:noWrap/>
                            <w:vAlign w:val="bottom"/>
                            <w:hideMark/>
                          </w:tcPr>
                          <w:p w14:paraId="47F6C333" w14:textId="77777777" w:rsidR="00221CD1" w:rsidRPr="00E60E42" w:rsidRDefault="00221CD1" w:rsidP="00221CD1">
                            <w:pPr>
                              <w:spacing w:line="240" w:lineRule="auto"/>
                              <w:jc w:val="right"/>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39.22</w:t>
                            </w:r>
                          </w:p>
                        </w:tc>
                        <w:tc>
                          <w:tcPr>
                            <w:tcW w:w="1020" w:type="dxa"/>
                            <w:tcBorders>
                              <w:top w:val="nil"/>
                              <w:left w:val="nil"/>
                              <w:bottom w:val="single" w:sz="4" w:space="0" w:color="auto"/>
                              <w:right w:val="single" w:sz="4" w:space="0" w:color="auto"/>
                            </w:tcBorders>
                            <w:shd w:val="clear" w:color="auto" w:fill="auto"/>
                            <w:noWrap/>
                            <w:vAlign w:val="bottom"/>
                            <w:hideMark/>
                          </w:tcPr>
                          <w:p w14:paraId="60AB548A"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ln(SBD)</w:t>
                            </w:r>
                          </w:p>
                        </w:tc>
                        <w:tc>
                          <w:tcPr>
                            <w:tcW w:w="1460" w:type="dxa"/>
                            <w:tcBorders>
                              <w:top w:val="nil"/>
                              <w:left w:val="nil"/>
                              <w:bottom w:val="single" w:sz="4" w:space="0" w:color="auto"/>
                              <w:right w:val="single" w:sz="4" w:space="0" w:color="auto"/>
                            </w:tcBorders>
                            <w:shd w:val="clear" w:color="auto" w:fill="auto"/>
                            <w:noWrap/>
                            <w:vAlign w:val="bottom"/>
                            <w:hideMark/>
                          </w:tcPr>
                          <w:p w14:paraId="27D72A3F"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Area</w:t>
                            </w:r>
                          </w:p>
                        </w:tc>
                        <w:tc>
                          <w:tcPr>
                            <w:tcW w:w="1020" w:type="dxa"/>
                            <w:tcBorders>
                              <w:top w:val="nil"/>
                              <w:left w:val="nil"/>
                              <w:bottom w:val="single" w:sz="4" w:space="0" w:color="auto"/>
                              <w:right w:val="single" w:sz="4" w:space="0" w:color="auto"/>
                            </w:tcBorders>
                            <w:shd w:val="clear" w:color="auto" w:fill="auto"/>
                            <w:noWrap/>
                            <w:vAlign w:val="bottom"/>
                            <w:hideMark/>
                          </w:tcPr>
                          <w:p w14:paraId="047C6CE3"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ln(LOI)</w:t>
                            </w:r>
                          </w:p>
                        </w:tc>
                        <w:tc>
                          <w:tcPr>
                            <w:tcW w:w="1020" w:type="dxa"/>
                            <w:tcBorders>
                              <w:top w:val="nil"/>
                              <w:left w:val="nil"/>
                              <w:bottom w:val="single" w:sz="4" w:space="0" w:color="auto"/>
                              <w:right w:val="single" w:sz="4" w:space="0" w:color="auto"/>
                            </w:tcBorders>
                            <w:shd w:val="clear" w:color="auto" w:fill="auto"/>
                            <w:noWrap/>
                            <w:vAlign w:val="bottom"/>
                            <w:hideMark/>
                          </w:tcPr>
                          <w:p w14:paraId="3469E435"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4</w:t>
                            </w:r>
                          </w:p>
                        </w:tc>
                        <w:tc>
                          <w:tcPr>
                            <w:tcW w:w="1020" w:type="dxa"/>
                            <w:tcBorders>
                              <w:top w:val="nil"/>
                              <w:left w:val="nil"/>
                              <w:bottom w:val="single" w:sz="4" w:space="0" w:color="auto"/>
                              <w:right w:val="single" w:sz="4" w:space="0" w:color="auto"/>
                            </w:tcBorders>
                            <w:shd w:val="clear" w:color="auto" w:fill="auto"/>
                            <w:noWrap/>
                            <w:vAlign w:val="bottom"/>
                            <w:hideMark/>
                          </w:tcPr>
                          <w:p w14:paraId="5D649161" w14:textId="77777777" w:rsidR="00221CD1" w:rsidRPr="00E60E42" w:rsidRDefault="00221CD1" w:rsidP="00221CD1">
                            <w:pPr>
                              <w:spacing w:line="240" w:lineRule="auto"/>
                              <w:jc w:val="right"/>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10.34</w:t>
                            </w:r>
                          </w:p>
                        </w:tc>
                      </w:tr>
                      <w:tr w:rsidR="00221CD1" w:rsidRPr="00E60E42" w14:paraId="7FFC55EA" w14:textId="77777777" w:rsidTr="00221CD1">
                        <w:trPr>
                          <w:trHeight w:val="285"/>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49DC7CBA" w14:textId="77777777" w:rsidR="00221CD1" w:rsidRPr="00E60E42" w:rsidRDefault="00221CD1" w:rsidP="00221CD1">
                            <w:pPr>
                              <w:spacing w:line="240" w:lineRule="auto"/>
                              <w:jc w:val="center"/>
                              <w:rPr>
                                <w:rFonts w:ascii="Times New Roman" w:eastAsia="Times New Roman" w:hAnsi="Times New Roman" w:cs="Times New Roman"/>
                                <w:b/>
                                <w:bCs/>
                                <w:color w:val="000000"/>
                                <w:sz w:val="18"/>
                                <w:szCs w:val="18"/>
                                <w:lang w:val="en-US"/>
                              </w:rPr>
                            </w:pPr>
                            <w:r w:rsidRPr="00E60E42">
                              <w:rPr>
                                <w:rFonts w:ascii="Times New Roman" w:eastAsia="Times New Roman" w:hAnsi="Times New Roman" w:cs="Times New Roman"/>
                                <w:b/>
                                <w:bCs/>
                                <w:color w:val="000000"/>
                                <w:sz w:val="18"/>
                                <w:szCs w:val="18"/>
                                <w:lang w:val="en-US"/>
                              </w:rPr>
                              <w:t>ln(OC)</w:t>
                            </w:r>
                          </w:p>
                        </w:tc>
                        <w:tc>
                          <w:tcPr>
                            <w:tcW w:w="1420" w:type="dxa"/>
                            <w:tcBorders>
                              <w:top w:val="nil"/>
                              <w:left w:val="nil"/>
                              <w:bottom w:val="single" w:sz="4" w:space="0" w:color="auto"/>
                              <w:right w:val="single" w:sz="4" w:space="0" w:color="auto"/>
                            </w:tcBorders>
                            <w:shd w:val="clear" w:color="auto" w:fill="auto"/>
                            <w:noWrap/>
                            <w:vAlign w:val="bottom"/>
                            <w:hideMark/>
                          </w:tcPr>
                          <w:p w14:paraId="2AA9C21D" w14:textId="77777777" w:rsidR="00221CD1" w:rsidRPr="00E60E42" w:rsidRDefault="00221CD1" w:rsidP="00221CD1">
                            <w:pPr>
                              <w:spacing w:line="240" w:lineRule="auto"/>
                              <w:jc w:val="center"/>
                              <w:rPr>
                                <w:rFonts w:ascii="Times New Roman" w:eastAsia="Times New Roman" w:hAnsi="Times New Roman" w:cs="Times New Roman"/>
                                <w:b/>
                                <w:bCs/>
                                <w:color w:val="000000"/>
                                <w:sz w:val="18"/>
                                <w:szCs w:val="18"/>
                                <w:lang w:val="en-US"/>
                              </w:rPr>
                            </w:pPr>
                            <w:r w:rsidRPr="00E60E42">
                              <w:rPr>
                                <w:rFonts w:ascii="Times New Roman" w:eastAsia="Times New Roman" w:hAnsi="Times New Roman" w:cs="Times New Roman"/>
                                <w:b/>
                                <w:bCs/>
                                <w:color w:val="000000"/>
                                <w:sz w:val="18"/>
                                <w:szCs w:val="18"/>
                                <w:lang w:val="en-US"/>
                              </w:rPr>
                              <w:t>Stratum</w:t>
                            </w:r>
                          </w:p>
                        </w:tc>
                        <w:tc>
                          <w:tcPr>
                            <w:tcW w:w="1020" w:type="dxa"/>
                            <w:tcBorders>
                              <w:top w:val="nil"/>
                              <w:left w:val="nil"/>
                              <w:bottom w:val="single" w:sz="4" w:space="0" w:color="auto"/>
                              <w:right w:val="single" w:sz="4" w:space="0" w:color="auto"/>
                            </w:tcBorders>
                            <w:shd w:val="clear" w:color="auto" w:fill="auto"/>
                            <w:noWrap/>
                            <w:vAlign w:val="bottom"/>
                            <w:hideMark/>
                          </w:tcPr>
                          <w:p w14:paraId="4D88A482" w14:textId="77777777" w:rsidR="00221CD1" w:rsidRPr="00E60E42" w:rsidRDefault="00221CD1" w:rsidP="00221CD1">
                            <w:pPr>
                              <w:spacing w:line="240" w:lineRule="auto"/>
                              <w:jc w:val="center"/>
                              <w:rPr>
                                <w:rFonts w:ascii="Times New Roman" w:eastAsia="Times New Roman" w:hAnsi="Times New Roman" w:cs="Times New Roman"/>
                                <w:b/>
                                <w:bCs/>
                                <w:color w:val="000000"/>
                                <w:sz w:val="18"/>
                                <w:szCs w:val="18"/>
                                <w:lang w:val="en-US"/>
                              </w:rPr>
                            </w:pPr>
                            <w:r w:rsidRPr="00E60E42">
                              <w:rPr>
                                <w:rFonts w:ascii="Times New Roman" w:eastAsia="Times New Roman" w:hAnsi="Times New Roman" w:cs="Times New Roman"/>
                                <w:b/>
                                <w:bCs/>
                                <w:color w:val="000000"/>
                                <w:sz w:val="18"/>
                                <w:szCs w:val="18"/>
                                <w:lang w:val="en-US"/>
                              </w:rPr>
                              <w:t>ln(LOI)</w:t>
                            </w:r>
                          </w:p>
                        </w:tc>
                        <w:tc>
                          <w:tcPr>
                            <w:tcW w:w="1020" w:type="dxa"/>
                            <w:tcBorders>
                              <w:top w:val="nil"/>
                              <w:left w:val="nil"/>
                              <w:bottom w:val="single" w:sz="4" w:space="0" w:color="auto"/>
                              <w:right w:val="single" w:sz="4" w:space="0" w:color="auto"/>
                            </w:tcBorders>
                            <w:shd w:val="clear" w:color="auto" w:fill="auto"/>
                            <w:noWrap/>
                            <w:vAlign w:val="bottom"/>
                            <w:hideMark/>
                          </w:tcPr>
                          <w:p w14:paraId="0E1BDE21" w14:textId="77777777" w:rsidR="00221CD1" w:rsidRPr="00E60E42" w:rsidRDefault="00221CD1" w:rsidP="00221CD1">
                            <w:pPr>
                              <w:spacing w:line="240" w:lineRule="auto"/>
                              <w:jc w:val="center"/>
                              <w:rPr>
                                <w:rFonts w:ascii="Times New Roman" w:eastAsia="Times New Roman" w:hAnsi="Times New Roman" w:cs="Times New Roman"/>
                                <w:b/>
                                <w:bCs/>
                                <w:color w:val="000000"/>
                                <w:sz w:val="18"/>
                                <w:szCs w:val="18"/>
                                <w:lang w:val="en-US"/>
                              </w:rPr>
                            </w:pPr>
                            <w:r w:rsidRPr="00E60E42">
                              <w:rPr>
                                <w:rFonts w:ascii="Times New Roman" w:eastAsia="Times New Roman" w:hAnsi="Times New Roman" w:cs="Times New Roman"/>
                                <w:b/>
                                <w:bCs/>
                                <w:color w:val="000000"/>
                                <w:sz w:val="18"/>
                                <w:szCs w:val="18"/>
                                <w:lang w:val="en-US"/>
                              </w:rPr>
                              <w:t>5</w:t>
                            </w:r>
                          </w:p>
                        </w:tc>
                        <w:tc>
                          <w:tcPr>
                            <w:tcW w:w="1040" w:type="dxa"/>
                            <w:tcBorders>
                              <w:top w:val="nil"/>
                              <w:left w:val="nil"/>
                              <w:bottom w:val="single" w:sz="4" w:space="0" w:color="auto"/>
                              <w:right w:val="single" w:sz="4" w:space="0" w:color="auto"/>
                            </w:tcBorders>
                            <w:shd w:val="clear" w:color="auto" w:fill="auto"/>
                            <w:noWrap/>
                            <w:vAlign w:val="bottom"/>
                            <w:hideMark/>
                          </w:tcPr>
                          <w:p w14:paraId="5E2555BA" w14:textId="77777777" w:rsidR="00221CD1" w:rsidRPr="00E60E42" w:rsidRDefault="00221CD1" w:rsidP="00221CD1">
                            <w:pPr>
                              <w:spacing w:line="240" w:lineRule="auto"/>
                              <w:jc w:val="right"/>
                              <w:rPr>
                                <w:rFonts w:ascii="Times New Roman" w:eastAsia="Times New Roman" w:hAnsi="Times New Roman" w:cs="Times New Roman"/>
                                <w:b/>
                                <w:bCs/>
                                <w:color w:val="000000"/>
                                <w:sz w:val="18"/>
                                <w:szCs w:val="18"/>
                                <w:lang w:val="en-US"/>
                              </w:rPr>
                            </w:pPr>
                            <w:r w:rsidRPr="00E60E42">
                              <w:rPr>
                                <w:rFonts w:ascii="Times New Roman" w:eastAsia="Times New Roman" w:hAnsi="Times New Roman" w:cs="Times New Roman"/>
                                <w:b/>
                                <w:bCs/>
                                <w:color w:val="000000"/>
                                <w:sz w:val="18"/>
                                <w:szCs w:val="18"/>
                                <w:lang w:val="en-US"/>
                              </w:rPr>
                              <w:t>26.80</w:t>
                            </w:r>
                          </w:p>
                        </w:tc>
                        <w:tc>
                          <w:tcPr>
                            <w:tcW w:w="1020" w:type="dxa"/>
                            <w:tcBorders>
                              <w:top w:val="nil"/>
                              <w:left w:val="nil"/>
                              <w:bottom w:val="single" w:sz="4" w:space="0" w:color="auto"/>
                              <w:right w:val="single" w:sz="4" w:space="0" w:color="auto"/>
                            </w:tcBorders>
                            <w:shd w:val="clear" w:color="auto" w:fill="auto"/>
                            <w:noWrap/>
                            <w:vAlign w:val="bottom"/>
                            <w:hideMark/>
                          </w:tcPr>
                          <w:p w14:paraId="5956B42F"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ln(SBD)</w:t>
                            </w:r>
                          </w:p>
                        </w:tc>
                        <w:tc>
                          <w:tcPr>
                            <w:tcW w:w="1460" w:type="dxa"/>
                            <w:tcBorders>
                              <w:top w:val="nil"/>
                              <w:left w:val="nil"/>
                              <w:bottom w:val="single" w:sz="4" w:space="0" w:color="auto"/>
                              <w:right w:val="single" w:sz="4" w:space="0" w:color="auto"/>
                            </w:tcBorders>
                            <w:shd w:val="clear" w:color="auto" w:fill="auto"/>
                            <w:noWrap/>
                            <w:vAlign w:val="bottom"/>
                            <w:hideMark/>
                          </w:tcPr>
                          <w:p w14:paraId="6E4B5353"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Stratum</w:t>
                            </w:r>
                          </w:p>
                        </w:tc>
                        <w:tc>
                          <w:tcPr>
                            <w:tcW w:w="1020" w:type="dxa"/>
                            <w:tcBorders>
                              <w:top w:val="nil"/>
                              <w:left w:val="nil"/>
                              <w:bottom w:val="single" w:sz="4" w:space="0" w:color="auto"/>
                              <w:right w:val="single" w:sz="4" w:space="0" w:color="auto"/>
                            </w:tcBorders>
                            <w:shd w:val="clear" w:color="auto" w:fill="auto"/>
                            <w:noWrap/>
                            <w:vAlign w:val="bottom"/>
                            <w:hideMark/>
                          </w:tcPr>
                          <w:p w14:paraId="5AC898B4"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ln(LOI)</w:t>
                            </w:r>
                          </w:p>
                        </w:tc>
                        <w:tc>
                          <w:tcPr>
                            <w:tcW w:w="1020" w:type="dxa"/>
                            <w:tcBorders>
                              <w:top w:val="nil"/>
                              <w:left w:val="nil"/>
                              <w:bottom w:val="single" w:sz="4" w:space="0" w:color="auto"/>
                              <w:right w:val="single" w:sz="4" w:space="0" w:color="auto"/>
                            </w:tcBorders>
                            <w:shd w:val="clear" w:color="auto" w:fill="auto"/>
                            <w:noWrap/>
                            <w:vAlign w:val="bottom"/>
                            <w:hideMark/>
                          </w:tcPr>
                          <w:p w14:paraId="5C970D7A"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5</w:t>
                            </w:r>
                          </w:p>
                        </w:tc>
                        <w:tc>
                          <w:tcPr>
                            <w:tcW w:w="1020" w:type="dxa"/>
                            <w:tcBorders>
                              <w:top w:val="nil"/>
                              <w:left w:val="nil"/>
                              <w:bottom w:val="single" w:sz="4" w:space="0" w:color="auto"/>
                              <w:right w:val="single" w:sz="4" w:space="0" w:color="auto"/>
                            </w:tcBorders>
                            <w:shd w:val="clear" w:color="auto" w:fill="auto"/>
                            <w:noWrap/>
                            <w:vAlign w:val="bottom"/>
                            <w:hideMark/>
                          </w:tcPr>
                          <w:p w14:paraId="29ECE43A" w14:textId="77777777" w:rsidR="00221CD1" w:rsidRPr="00E60E42" w:rsidRDefault="00221CD1" w:rsidP="00221CD1">
                            <w:pPr>
                              <w:spacing w:line="240" w:lineRule="auto"/>
                              <w:jc w:val="right"/>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10.43</w:t>
                            </w:r>
                          </w:p>
                        </w:tc>
                      </w:tr>
                      <w:tr w:rsidR="00221CD1" w:rsidRPr="00E60E42" w14:paraId="0E8F9847" w14:textId="77777777" w:rsidTr="00221CD1">
                        <w:trPr>
                          <w:trHeight w:val="285"/>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0E78F1D7"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ln(OC)</w:t>
                            </w:r>
                          </w:p>
                        </w:tc>
                        <w:tc>
                          <w:tcPr>
                            <w:tcW w:w="1420" w:type="dxa"/>
                            <w:tcBorders>
                              <w:top w:val="nil"/>
                              <w:left w:val="nil"/>
                              <w:bottom w:val="single" w:sz="4" w:space="0" w:color="auto"/>
                              <w:right w:val="single" w:sz="4" w:space="0" w:color="auto"/>
                            </w:tcBorders>
                            <w:shd w:val="clear" w:color="auto" w:fill="auto"/>
                            <w:noWrap/>
                            <w:vAlign w:val="bottom"/>
                            <w:hideMark/>
                          </w:tcPr>
                          <w:p w14:paraId="50E27416"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Area + Stratum</w:t>
                            </w:r>
                          </w:p>
                        </w:tc>
                        <w:tc>
                          <w:tcPr>
                            <w:tcW w:w="1020" w:type="dxa"/>
                            <w:tcBorders>
                              <w:top w:val="nil"/>
                              <w:left w:val="nil"/>
                              <w:bottom w:val="single" w:sz="4" w:space="0" w:color="auto"/>
                              <w:right w:val="single" w:sz="4" w:space="0" w:color="auto"/>
                            </w:tcBorders>
                            <w:shd w:val="clear" w:color="auto" w:fill="auto"/>
                            <w:noWrap/>
                            <w:vAlign w:val="bottom"/>
                            <w:hideMark/>
                          </w:tcPr>
                          <w:p w14:paraId="1A8C4590"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ln(LOI)</w:t>
                            </w:r>
                          </w:p>
                        </w:tc>
                        <w:tc>
                          <w:tcPr>
                            <w:tcW w:w="1020" w:type="dxa"/>
                            <w:tcBorders>
                              <w:top w:val="nil"/>
                              <w:left w:val="nil"/>
                              <w:bottom w:val="single" w:sz="4" w:space="0" w:color="auto"/>
                              <w:right w:val="single" w:sz="4" w:space="0" w:color="auto"/>
                            </w:tcBorders>
                            <w:shd w:val="clear" w:color="auto" w:fill="auto"/>
                            <w:noWrap/>
                            <w:vAlign w:val="bottom"/>
                            <w:hideMark/>
                          </w:tcPr>
                          <w:p w14:paraId="1255696D"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6</w:t>
                            </w:r>
                          </w:p>
                        </w:tc>
                        <w:tc>
                          <w:tcPr>
                            <w:tcW w:w="1040" w:type="dxa"/>
                            <w:tcBorders>
                              <w:top w:val="nil"/>
                              <w:left w:val="nil"/>
                              <w:bottom w:val="single" w:sz="4" w:space="0" w:color="auto"/>
                              <w:right w:val="single" w:sz="4" w:space="0" w:color="auto"/>
                            </w:tcBorders>
                            <w:shd w:val="clear" w:color="auto" w:fill="auto"/>
                            <w:noWrap/>
                            <w:vAlign w:val="bottom"/>
                            <w:hideMark/>
                          </w:tcPr>
                          <w:p w14:paraId="71BA3257" w14:textId="77777777" w:rsidR="00221CD1" w:rsidRPr="00E60E42" w:rsidRDefault="00221CD1" w:rsidP="00221CD1">
                            <w:pPr>
                              <w:spacing w:line="240" w:lineRule="auto"/>
                              <w:jc w:val="right"/>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28.71</w:t>
                            </w:r>
                          </w:p>
                        </w:tc>
                        <w:tc>
                          <w:tcPr>
                            <w:tcW w:w="1020" w:type="dxa"/>
                            <w:tcBorders>
                              <w:top w:val="nil"/>
                              <w:left w:val="nil"/>
                              <w:bottom w:val="single" w:sz="4" w:space="0" w:color="auto"/>
                              <w:right w:val="single" w:sz="4" w:space="0" w:color="auto"/>
                            </w:tcBorders>
                            <w:shd w:val="clear" w:color="auto" w:fill="auto"/>
                            <w:noWrap/>
                            <w:vAlign w:val="bottom"/>
                            <w:hideMark/>
                          </w:tcPr>
                          <w:p w14:paraId="0F2A3935" w14:textId="77777777" w:rsidR="00221CD1" w:rsidRPr="00E60E42" w:rsidRDefault="00221CD1" w:rsidP="00221CD1">
                            <w:pPr>
                              <w:spacing w:line="240" w:lineRule="auto"/>
                              <w:jc w:val="center"/>
                              <w:rPr>
                                <w:rFonts w:ascii="Times New Roman" w:eastAsia="Times New Roman" w:hAnsi="Times New Roman" w:cs="Times New Roman"/>
                                <w:b/>
                                <w:bCs/>
                                <w:color w:val="000000"/>
                                <w:sz w:val="18"/>
                                <w:szCs w:val="18"/>
                                <w:lang w:val="en-US"/>
                              </w:rPr>
                            </w:pPr>
                            <w:r w:rsidRPr="00E60E42">
                              <w:rPr>
                                <w:rFonts w:ascii="Times New Roman" w:eastAsia="Times New Roman" w:hAnsi="Times New Roman" w:cs="Times New Roman"/>
                                <w:b/>
                                <w:bCs/>
                                <w:color w:val="000000"/>
                                <w:sz w:val="18"/>
                                <w:szCs w:val="18"/>
                                <w:lang w:val="en-US"/>
                              </w:rPr>
                              <w:t>ln(SBD)</w:t>
                            </w:r>
                          </w:p>
                        </w:tc>
                        <w:tc>
                          <w:tcPr>
                            <w:tcW w:w="1460" w:type="dxa"/>
                            <w:tcBorders>
                              <w:top w:val="nil"/>
                              <w:left w:val="nil"/>
                              <w:bottom w:val="single" w:sz="4" w:space="0" w:color="auto"/>
                              <w:right w:val="single" w:sz="4" w:space="0" w:color="auto"/>
                            </w:tcBorders>
                            <w:shd w:val="clear" w:color="auto" w:fill="auto"/>
                            <w:noWrap/>
                            <w:vAlign w:val="bottom"/>
                            <w:hideMark/>
                          </w:tcPr>
                          <w:p w14:paraId="61E154A2" w14:textId="77777777" w:rsidR="00221CD1" w:rsidRPr="00E60E42" w:rsidRDefault="00221CD1" w:rsidP="00221CD1">
                            <w:pPr>
                              <w:spacing w:line="240" w:lineRule="auto"/>
                              <w:jc w:val="center"/>
                              <w:rPr>
                                <w:rFonts w:ascii="Times New Roman" w:eastAsia="Times New Roman" w:hAnsi="Times New Roman" w:cs="Times New Roman"/>
                                <w:b/>
                                <w:bCs/>
                                <w:color w:val="000000"/>
                                <w:sz w:val="18"/>
                                <w:szCs w:val="18"/>
                                <w:lang w:val="en-US"/>
                              </w:rPr>
                            </w:pPr>
                            <w:r w:rsidRPr="00E60E42">
                              <w:rPr>
                                <w:rFonts w:ascii="Times New Roman" w:eastAsia="Times New Roman" w:hAnsi="Times New Roman" w:cs="Times New Roman"/>
                                <w:b/>
                                <w:bCs/>
                                <w:color w:val="000000"/>
                                <w:sz w:val="18"/>
                                <w:szCs w:val="18"/>
                                <w:lang w:val="en-US"/>
                              </w:rPr>
                              <w:t>Area + Stratum</w:t>
                            </w:r>
                          </w:p>
                        </w:tc>
                        <w:tc>
                          <w:tcPr>
                            <w:tcW w:w="1020" w:type="dxa"/>
                            <w:tcBorders>
                              <w:top w:val="nil"/>
                              <w:left w:val="nil"/>
                              <w:bottom w:val="single" w:sz="4" w:space="0" w:color="auto"/>
                              <w:right w:val="single" w:sz="4" w:space="0" w:color="auto"/>
                            </w:tcBorders>
                            <w:shd w:val="clear" w:color="auto" w:fill="auto"/>
                            <w:noWrap/>
                            <w:vAlign w:val="bottom"/>
                            <w:hideMark/>
                          </w:tcPr>
                          <w:p w14:paraId="1C78B567" w14:textId="77777777" w:rsidR="00221CD1" w:rsidRPr="00E60E42" w:rsidRDefault="00221CD1" w:rsidP="00221CD1">
                            <w:pPr>
                              <w:spacing w:line="240" w:lineRule="auto"/>
                              <w:jc w:val="center"/>
                              <w:rPr>
                                <w:rFonts w:ascii="Times New Roman" w:eastAsia="Times New Roman" w:hAnsi="Times New Roman" w:cs="Times New Roman"/>
                                <w:b/>
                                <w:bCs/>
                                <w:color w:val="000000"/>
                                <w:sz w:val="18"/>
                                <w:szCs w:val="18"/>
                                <w:lang w:val="en-US"/>
                              </w:rPr>
                            </w:pPr>
                            <w:r w:rsidRPr="00E60E42">
                              <w:rPr>
                                <w:rFonts w:ascii="Times New Roman" w:eastAsia="Times New Roman" w:hAnsi="Times New Roman" w:cs="Times New Roman"/>
                                <w:b/>
                                <w:bCs/>
                                <w:color w:val="000000"/>
                                <w:sz w:val="18"/>
                                <w:szCs w:val="18"/>
                                <w:lang w:val="en-US"/>
                              </w:rPr>
                              <w:t>ln(LOI)</w:t>
                            </w:r>
                          </w:p>
                        </w:tc>
                        <w:tc>
                          <w:tcPr>
                            <w:tcW w:w="1020" w:type="dxa"/>
                            <w:tcBorders>
                              <w:top w:val="nil"/>
                              <w:left w:val="nil"/>
                              <w:bottom w:val="single" w:sz="4" w:space="0" w:color="auto"/>
                              <w:right w:val="single" w:sz="4" w:space="0" w:color="auto"/>
                            </w:tcBorders>
                            <w:shd w:val="clear" w:color="auto" w:fill="auto"/>
                            <w:noWrap/>
                            <w:vAlign w:val="bottom"/>
                            <w:hideMark/>
                          </w:tcPr>
                          <w:p w14:paraId="5DD3EF22" w14:textId="77777777" w:rsidR="00221CD1" w:rsidRPr="00E60E42" w:rsidRDefault="00221CD1" w:rsidP="00221CD1">
                            <w:pPr>
                              <w:spacing w:line="240" w:lineRule="auto"/>
                              <w:jc w:val="center"/>
                              <w:rPr>
                                <w:rFonts w:ascii="Times New Roman" w:eastAsia="Times New Roman" w:hAnsi="Times New Roman" w:cs="Times New Roman"/>
                                <w:b/>
                                <w:bCs/>
                                <w:color w:val="000000"/>
                                <w:sz w:val="18"/>
                                <w:szCs w:val="18"/>
                                <w:lang w:val="en-US"/>
                              </w:rPr>
                            </w:pPr>
                            <w:r w:rsidRPr="00E60E42">
                              <w:rPr>
                                <w:rFonts w:ascii="Times New Roman" w:eastAsia="Times New Roman" w:hAnsi="Times New Roman" w:cs="Times New Roman"/>
                                <w:b/>
                                <w:bCs/>
                                <w:color w:val="000000"/>
                                <w:sz w:val="18"/>
                                <w:szCs w:val="18"/>
                                <w:lang w:val="en-US"/>
                              </w:rPr>
                              <w:t>6</w:t>
                            </w:r>
                          </w:p>
                        </w:tc>
                        <w:tc>
                          <w:tcPr>
                            <w:tcW w:w="1020" w:type="dxa"/>
                            <w:tcBorders>
                              <w:top w:val="nil"/>
                              <w:left w:val="nil"/>
                              <w:bottom w:val="single" w:sz="4" w:space="0" w:color="auto"/>
                              <w:right w:val="single" w:sz="4" w:space="0" w:color="auto"/>
                            </w:tcBorders>
                            <w:shd w:val="clear" w:color="auto" w:fill="auto"/>
                            <w:noWrap/>
                            <w:vAlign w:val="bottom"/>
                            <w:hideMark/>
                          </w:tcPr>
                          <w:p w14:paraId="2689C677" w14:textId="77777777" w:rsidR="00221CD1" w:rsidRPr="00E60E42" w:rsidRDefault="00221CD1" w:rsidP="00221CD1">
                            <w:pPr>
                              <w:spacing w:line="240" w:lineRule="auto"/>
                              <w:jc w:val="right"/>
                              <w:rPr>
                                <w:rFonts w:ascii="Times New Roman" w:eastAsia="Times New Roman" w:hAnsi="Times New Roman" w:cs="Times New Roman"/>
                                <w:b/>
                                <w:bCs/>
                                <w:color w:val="000000"/>
                                <w:sz w:val="18"/>
                                <w:szCs w:val="18"/>
                                <w:lang w:val="en-US"/>
                              </w:rPr>
                            </w:pPr>
                            <w:r w:rsidRPr="00E60E42">
                              <w:rPr>
                                <w:rFonts w:ascii="Times New Roman" w:eastAsia="Times New Roman" w:hAnsi="Times New Roman" w:cs="Times New Roman"/>
                                <w:b/>
                                <w:bCs/>
                                <w:color w:val="000000"/>
                                <w:sz w:val="18"/>
                                <w:szCs w:val="18"/>
                                <w:lang w:val="en-US"/>
                              </w:rPr>
                              <w:t>5.93</w:t>
                            </w:r>
                          </w:p>
                        </w:tc>
                      </w:tr>
                      <w:tr w:rsidR="00221CD1" w:rsidRPr="00E60E42" w14:paraId="0B988EDE" w14:textId="77777777" w:rsidTr="00221CD1">
                        <w:trPr>
                          <w:trHeight w:val="285"/>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35D1957D"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ln(OC)</w:t>
                            </w:r>
                          </w:p>
                        </w:tc>
                        <w:tc>
                          <w:tcPr>
                            <w:tcW w:w="1420" w:type="dxa"/>
                            <w:tcBorders>
                              <w:top w:val="nil"/>
                              <w:left w:val="nil"/>
                              <w:bottom w:val="single" w:sz="4" w:space="0" w:color="auto"/>
                              <w:right w:val="single" w:sz="4" w:space="0" w:color="auto"/>
                            </w:tcBorders>
                            <w:shd w:val="clear" w:color="auto" w:fill="auto"/>
                            <w:noWrap/>
                            <w:vAlign w:val="bottom"/>
                            <w:hideMark/>
                          </w:tcPr>
                          <w:p w14:paraId="4460B101"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Area x Stratum</w:t>
                            </w:r>
                          </w:p>
                        </w:tc>
                        <w:tc>
                          <w:tcPr>
                            <w:tcW w:w="1020" w:type="dxa"/>
                            <w:tcBorders>
                              <w:top w:val="nil"/>
                              <w:left w:val="nil"/>
                              <w:bottom w:val="single" w:sz="4" w:space="0" w:color="auto"/>
                              <w:right w:val="single" w:sz="4" w:space="0" w:color="auto"/>
                            </w:tcBorders>
                            <w:shd w:val="clear" w:color="auto" w:fill="auto"/>
                            <w:noWrap/>
                            <w:vAlign w:val="bottom"/>
                            <w:hideMark/>
                          </w:tcPr>
                          <w:p w14:paraId="4C734FF9"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ln(LOI)</w:t>
                            </w:r>
                          </w:p>
                        </w:tc>
                        <w:tc>
                          <w:tcPr>
                            <w:tcW w:w="1020" w:type="dxa"/>
                            <w:tcBorders>
                              <w:top w:val="nil"/>
                              <w:left w:val="nil"/>
                              <w:bottom w:val="single" w:sz="4" w:space="0" w:color="auto"/>
                              <w:right w:val="single" w:sz="4" w:space="0" w:color="auto"/>
                            </w:tcBorders>
                            <w:shd w:val="clear" w:color="auto" w:fill="auto"/>
                            <w:noWrap/>
                            <w:vAlign w:val="bottom"/>
                            <w:hideMark/>
                          </w:tcPr>
                          <w:p w14:paraId="7ECFF0C6"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7</w:t>
                            </w:r>
                          </w:p>
                        </w:tc>
                        <w:tc>
                          <w:tcPr>
                            <w:tcW w:w="1040" w:type="dxa"/>
                            <w:tcBorders>
                              <w:top w:val="nil"/>
                              <w:left w:val="nil"/>
                              <w:bottom w:val="single" w:sz="4" w:space="0" w:color="auto"/>
                              <w:right w:val="single" w:sz="4" w:space="0" w:color="auto"/>
                            </w:tcBorders>
                            <w:shd w:val="clear" w:color="auto" w:fill="auto"/>
                            <w:noWrap/>
                            <w:vAlign w:val="bottom"/>
                            <w:hideMark/>
                          </w:tcPr>
                          <w:p w14:paraId="0A54DCA9" w14:textId="77777777" w:rsidR="00221CD1" w:rsidRPr="00E60E42" w:rsidRDefault="00221CD1" w:rsidP="00221CD1">
                            <w:pPr>
                              <w:spacing w:line="240" w:lineRule="auto"/>
                              <w:jc w:val="right"/>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30.11</w:t>
                            </w:r>
                          </w:p>
                        </w:tc>
                        <w:tc>
                          <w:tcPr>
                            <w:tcW w:w="1020" w:type="dxa"/>
                            <w:tcBorders>
                              <w:top w:val="nil"/>
                              <w:left w:val="nil"/>
                              <w:bottom w:val="single" w:sz="4" w:space="0" w:color="auto"/>
                              <w:right w:val="single" w:sz="4" w:space="0" w:color="auto"/>
                            </w:tcBorders>
                            <w:shd w:val="clear" w:color="auto" w:fill="auto"/>
                            <w:noWrap/>
                            <w:vAlign w:val="bottom"/>
                            <w:hideMark/>
                          </w:tcPr>
                          <w:p w14:paraId="74A1F544"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ln(SBD)</w:t>
                            </w:r>
                          </w:p>
                        </w:tc>
                        <w:tc>
                          <w:tcPr>
                            <w:tcW w:w="1460" w:type="dxa"/>
                            <w:tcBorders>
                              <w:top w:val="nil"/>
                              <w:left w:val="nil"/>
                              <w:bottom w:val="single" w:sz="4" w:space="0" w:color="auto"/>
                              <w:right w:val="single" w:sz="4" w:space="0" w:color="auto"/>
                            </w:tcBorders>
                            <w:shd w:val="clear" w:color="auto" w:fill="auto"/>
                            <w:noWrap/>
                            <w:vAlign w:val="bottom"/>
                            <w:hideMark/>
                          </w:tcPr>
                          <w:p w14:paraId="044B228D"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Area x Stratum</w:t>
                            </w:r>
                          </w:p>
                        </w:tc>
                        <w:tc>
                          <w:tcPr>
                            <w:tcW w:w="1020" w:type="dxa"/>
                            <w:tcBorders>
                              <w:top w:val="nil"/>
                              <w:left w:val="nil"/>
                              <w:bottom w:val="single" w:sz="4" w:space="0" w:color="auto"/>
                              <w:right w:val="single" w:sz="4" w:space="0" w:color="auto"/>
                            </w:tcBorders>
                            <w:shd w:val="clear" w:color="auto" w:fill="auto"/>
                            <w:noWrap/>
                            <w:vAlign w:val="bottom"/>
                            <w:hideMark/>
                          </w:tcPr>
                          <w:p w14:paraId="51791D9D"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ln(LOI)</w:t>
                            </w:r>
                          </w:p>
                        </w:tc>
                        <w:tc>
                          <w:tcPr>
                            <w:tcW w:w="1020" w:type="dxa"/>
                            <w:tcBorders>
                              <w:top w:val="nil"/>
                              <w:left w:val="nil"/>
                              <w:bottom w:val="single" w:sz="4" w:space="0" w:color="auto"/>
                              <w:right w:val="single" w:sz="4" w:space="0" w:color="auto"/>
                            </w:tcBorders>
                            <w:shd w:val="clear" w:color="auto" w:fill="auto"/>
                            <w:noWrap/>
                            <w:vAlign w:val="bottom"/>
                            <w:hideMark/>
                          </w:tcPr>
                          <w:p w14:paraId="2E71F830" w14:textId="77777777" w:rsidR="00221CD1" w:rsidRPr="00E60E42" w:rsidRDefault="00221CD1" w:rsidP="00221CD1">
                            <w:pPr>
                              <w:spacing w:line="240" w:lineRule="auto"/>
                              <w:jc w:val="center"/>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7</w:t>
                            </w:r>
                          </w:p>
                        </w:tc>
                        <w:tc>
                          <w:tcPr>
                            <w:tcW w:w="1020" w:type="dxa"/>
                            <w:tcBorders>
                              <w:top w:val="nil"/>
                              <w:left w:val="nil"/>
                              <w:bottom w:val="single" w:sz="4" w:space="0" w:color="auto"/>
                              <w:right w:val="single" w:sz="4" w:space="0" w:color="auto"/>
                            </w:tcBorders>
                            <w:shd w:val="clear" w:color="auto" w:fill="auto"/>
                            <w:noWrap/>
                            <w:vAlign w:val="bottom"/>
                            <w:hideMark/>
                          </w:tcPr>
                          <w:p w14:paraId="654B0F58" w14:textId="77777777" w:rsidR="00221CD1" w:rsidRPr="00E60E42" w:rsidRDefault="00221CD1" w:rsidP="00221CD1">
                            <w:pPr>
                              <w:spacing w:line="240" w:lineRule="auto"/>
                              <w:jc w:val="right"/>
                              <w:rPr>
                                <w:rFonts w:ascii="Times New Roman" w:eastAsia="Times New Roman" w:hAnsi="Times New Roman" w:cs="Times New Roman"/>
                                <w:color w:val="000000"/>
                                <w:sz w:val="18"/>
                                <w:szCs w:val="18"/>
                                <w:lang w:val="en-US"/>
                              </w:rPr>
                            </w:pPr>
                            <w:r w:rsidRPr="00E60E42">
                              <w:rPr>
                                <w:rFonts w:ascii="Times New Roman" w:eastAsia="Times New Roman" w:hAnsi="Times New Roman" w:cs="Times New Roman"/>
                                <w:color w:val="000000"/>
                                <w:sz w:val="18"/>
                                <w:szCs w:val="18"/>
                                <w:lang w:val="en-US"/>
                              </w:rPr>
                              <w:t>7.85</w:t>
                            </w:r>
                          </w:p>
                        </w:tc>
                      </w:tr>
                    </w:tbl>
                    <w:p w14:paraId="76ADA3B3" w14:textId="77777777" w:rsidR="00221CD1" w:rsidRDefault="00221CD1" w:rsidP="00032304"/>
                  </w:txbxContent>
                </v:textbox>
                <w10:wrap type="square" anchorx="margin"/>
              </v:shape>
            </w:pict>
          </mc:Fallback>
        </mc:AlternateContent>
      </w:r>
      <w:r>
        <w:rPr>
          <w:rFonts w:ascii="Times New Roman" w:eastAsia="Times New Roman" w:hAnsi="Times New Roman" w:cs="Times New Roman"/>
          <w:b/>
          <w:sz w:val="24"/>
          <w:szCs w:val="24"/>
        </w:rPr>
        <w:t xml:space="preserve">Table S3: </w:t>
      </w:r>
      <w:r w:rsidRPr="00E60E42">
        <w:rPr>
          <w:rFonts w:ascii="Times New Roman" w:eastAsia="Times New Roman" w:hAnsi="Times New Roman" w:cs="Times New Roman"/>
          <w:sz w:val="24"/>
          <w:szCs w:val="24"/>
        </w:rPr>
        <w:t xml:space="preserve">Information theoretic criteria </w:t>
      </w:r>
      <w:r>
        <w:rPr>
          <w:rFonts w:ascii="Times New Roman" w:eastAsia="Times New Roman" w:hAnsi="Times New Roman" w:cs="Times New Roman"/>
          <w:sz w:val="24"/>
          <w:szCs w:val="24"/>
        </w:rPr>
        <w:t xml:space="preserve">(Akaike Information Criterion, AIC) </w:t>
      </w:r>
      <w:r w:rsidRPr="00E60E42">
        <w:rPr>
          <w:rFonts w:ascii="Times New Roman" w:eastAsia="Times New Roman" w:hAnsi="Times New Roman" w:cs="Times New Roman"/>
          <w:sz w:val="24"/>
          <w:szCs w:val="24"/>
        </w:rPr>
        <w:t xml:space="preserve">for </w:t>
      </w:r>
      <w:r>
        <w:rPr>
          <w:rFonts w:ascii="Times New Roman" w:eastAsia="Times New Roman" w:hAnsi="Times New Roman" w:cs="Times New Roman"/>
          <w:sz w:val="24"/>
          <w:szCs w:val="24"/>
        </w:rPr>
        <w:t>alternative regression</w:t>
      </w:r>
      <w:r w:rsidRPr="00E60E42">
        <w:rPr>
          <w:rFonts w:ascii="Times New Roman" w:eastAsia="Times New Roman" w:hAnsi="Times New Roman" w:cs="Times New Roman"/>
          <w:sz w:val="24"/>
          <w:szCs w:val="24"/>
        </w:rPr>
        <w:t xml:space="preserve"> relationships </w:t>
      </w:r>
      <w:r>
        <w:rPr>
          <w:rFonts w:ascii="Times New Roman" w:eastAsia="Times New Roman" w:hAnsi="Times New Roman" w:cs="Times New Roman"/>
          <w:sz w:val="24"/>
          <w:szCs w:val="24"/>
        </w:rPr>
        <w:t>in calibration dataset. Models compare</w:t>
      </w:r>
      <w:r w:rsidRPr="00E60E4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both </w:t>
      </w:r>
      <w:r w:rsidRPr="00E60E42">
        <w:rPr>
          <w:rFonts w:ascii="Times New Roman" w:eastAsia="Times New Roman" w:hAnsi="Times New Roman" w:cs="Times New Roman"/>
          <w:sz w:val="24"/>
          <w:szCs w:val="24"/>
        </w:rPr>
        <w:t>Organic Carbon (OC) and Soil Bulk Density (SBD)</w:t>
      </w:r>
      <w:r>
        <w:rPr>
          <w:rFonts w:ascii="Times New Roman" w:eastAsia="Times New Roman" w:hAnsi="Times New Roman" w:cs="Times New Roman"/>
          <w:sz w:val="24"/>
          <w:szCs w:val="24"/>
        </w:rPr>
        <w:t>, against explanatory factors, Area and Stratum, and Loss-on-Ignition (LOI). Most adequate models correspond to lowest AIC and are highlighted in bold.</w:t>
      </w:r>
    </w:p>
    <w:p w14:paraId="492DABDC" w14:textId="77777777" w:rsidR="00032304" w:rsidRDefault="00032304" w:rsidP="00032304">
      <w:pPr>
        <w:spacing w:line="480" w:lineRule="auto"/>
        <w:rPr>
          <w:rFonts w:ascii="Times New Roman" w:eastAsia="Times New Roman" w:hAnsi="Times New Roman" w:cs="Times New Roman"/>
          <w:b/>
          <w:sz w:val="24"/>
          <w:szCs w:val="24"/>
        </w:rPr>
      </w:pPr>
    </w:p>
    <w:p w14:paraId="7826EAC3" w14:textId="77777777" w:rsidR="00032304" w:rsidRDefault="00032304" w:rsidP="00032304">
      <w:pPr>
        <w:spacing w:line="480" w:lineRule="auto"/>
        <w:rPr>
          <w:rFonts w:ascii="Times New Roman" w:eastAsia="Times New Roman" w:hAnsi="Times New Roman" w:cs="Times New Roman"/>
          <w:b/>
          <w:sz w:val="24"/>
          <w:szCs w:val="24"/>
        </w:rPr>
      </w:pPr>
    </w:p>
    <w:p w14:paraId="080944DD" w14:textId="77777777" w:rsidR="00032304" w:rsidRDefault="00032304" w:rsidP="00032304">
      <w:pPr>
        <w:spacing w:line="480" w:lineRule="auto"/>
        <w:rPr>
          <w:rFonts w:ascii="Times New Roman" w:eastAsia="Times New Roman" w:hAnsi="Times New Roman" w:cs="Times New Roman"/>
          <w:b/>
          <w:sz w:val="24"/>
          <w:szCs w:val="24"/>
        </w:rPr>
      </w:pPr>
    </w:p>
    <w:p w14:paraId="66A375E0" w14:textId="77777777" w:rsidR="00032304" w:rsidRDefault="00032304" w:rsidP="00032304">
      <w:pPr>
        <w:spacing w:line="480" w:lineRule="auto"/>
        <w:rPr>
          <w:rFonts w:ascii="Times New Roman" w:eastAsia="Times New Roman" w:hAnsi="Times New Roman" w:cs="Times New Roman"/>
          <w:b/>
          <w:sz w:val="24"/>
          <w:szCs w:val="24"/>
        </w:rPr>
      </w:pPr>
    </w:p>
    <w:p w14:paraId="27EDF6EE" w14:textId="77777777" w:rsidR="00032304" w:rsidRDefault="00032304" w:rsidP="00032304">
      <w:pPr>
        <w:spacing w:line="480" w:lineRule="auto"/>
        <w:rPr>
          <w:rFonts w:ascii="Times New Roman" w:eastAsia="Times New Roman" w:hAnsi="Times New Roman" w:cs="Times New Roman"/>
          <w:b/>
          <w:sz w:val="24"/>
          <w:szCs w:val="24"/>
        </w:rPr>
      </w:pPr>
    </w:p>
    <w:p w14:paraId="6F26D928" w14:textId="77777777" w:rsidR="00032304" w:rsidRDefault="00032304" w:rsidP="00032304">
      <w:pPr>
        <w:spacing w:line="480" w:lineRule="auto"/>
        <w:rPr>
          <w:rFonts w:ascii="Times New Roman" w:eastAsia="Times New Roman" w:hAnsi="Times New Roman" w:cs="Times New Roman"/>
          <w:b/>
          <w:sz w:val="24"/>
          <w:szCs w:val="24"/>
        </w:rPr>
      </w:pPr>
    </w:p>
    <w:p w14:paraId="4065C56C" w14:textId="77777777" w:rsidR="00032304" w:rsidRDefault="00032304" w:rsidP="00032304">
      <w:pPr>
        <w:spacing w:line="480" w:lineRule="auto"/>
        <w:rPr>
          <w:rFonts w:ascii="Times New Roman" w:eastAsia="Times New Roman" w:hAnsi="Times New Roman" w:cs="Times New Roman"/>
          <w:b/>
          <w:sz w:val="24"/>
          <w:szCs w:val="24"/>
        </w:rPr>
      </w:pPr>
    </w:p>
    <w:p w14:paraId="1B539DAC" w14:textId="77777777" w:rsidR="00032304" w:rsidRDefault="00032304" w:rsidP="00032304">
      <w:pPr>
        <w:spacing w:line="480" w:lineRule="auto"/>
        <w:rPr>
          <w:rFonts w:ascii="Times New Roman" w:eastAsia="Times New Roman" w:hAnsi="Times New Roman" w:cs="Times New Roman"/>
          <w:b/>
          <w:sz w:val="24"/>
          <w:szCs w:val="24"/>
        </w:rPr>
      </w:pPr>
    </w:p>
    <w:p w14:paraId="71D4965D" w14:textId="77777777" w:rsidR="00032304" w:rsidRDefault="00032304" w:rsidP="00032304">
      <w:pPr>
        <w:spacing w:line="480" w:lineRule="auto"/>
        <w:rPr>
          <w:rFonts w:ascii="Times New Roman" w:eastAsia="Times New Roman" w:hAnsi="Times New Roman" w:cs="Times New Roman"/>
          <w:b/>
          <w:sz w:val="24"/>
          <w:szCs w:val="24"/>
        </w:rPr>
      </w:pPr>
    </w:p>
    <w:p w14:paraId="0399678C" w14:textId="77777777" w:rsidR="00032304" w:rsidRDefault="00032304" w:rsidP="00032304">
      <w:pPr>
        <w:spacing w:line="480" w:lineRule="auto"/>
        <w:rPr>
          <w:rFonts w:ascii="Times New Roman" w:eastAsia="Times New Roman" w:hAnsi="Times New Roman" w:cs="Times New Roman"/>
          <w:b/>
          <w:sz w:val="24"/>
          <w:szCs w:val="24"/>
        </w:rPr>
      </w:pPr>
    </w:p>
    <w:p w14:paraId="2F261FC8" w14:textId="77777777" w:rsidR="00032304" w:rsidRDefault="00032304" w:rsidP="00032304">
      <w:pPr>
        <w:spacing w:line="480" w:lineRule="auto"/>
        <w:rPr>
          <w:rFonts w:ascii="Times New Roman" w:eastAsia="Times New Roman" w:hAnsi="Times New Roman" w:cs="Times New Roman"/>
          <w:b/>
          <w:sz w:val="24"/>
          <w:szCs w:val="24"/>
        </w:rPr>
      </w:pPr>
    </w:p>
    <w:p w14:paraId="649DFECA" w14:textId="77777777" w:rsidR="00032304" w:rsidRDefault="00032304" w:rsidP="00032304">
      <w:pPr>
        <w:spacing w:line="480" w:lineRule="auto"/>
        <w:rPr>
          <w:rFonts w:ascii="Times New Roman" w:eastAsia="Times New Roman" w:hAnsi="Times New Roman" w:cs="Times New Roman"/>
          <w:b/>
          <w:sz w:val="24"/>
          <w:szCs w:val="24"/>
        </w:rPr>
      </w:pPr>
    </w:p>
    <w:p w14:paraId="1C4481FF" w14:textId="77777777" w:rsidR="00032304" w:rsidRDefault="00032304" w:rsidP="00032304">
      <w:pPr>
        <w:spacing w:line="480" w:lineRule="auto"/>
        <w:rPr>
          <w:rFonts w:ascii="Times New Roman" w:eastAsia="Times New Roman" w:hAnsi="Times New Roman" w:cs="Times New Roman"/>
          <w:b/>
          <w:sz w:val="24"/>
          <w:szCs w:val="24"/>
        </w:rPr>
      </w:pPr>
    </w:p>
    <w:p w14:paraId="0B3BDBB9" w14:textId="77777777" w:rsidR="00032304" w:rsidRDefault="00032304" w:rsidP="00032304">
      <w:pPr>
        <w:spacing w:line="480" w:lineRule="auto"/>
        <w:rPr>
          <w:rFonts w:ascii="Times New Roman" w:eastAsia="Times New Roman" w:hAnsi="Times New Roman" w:cs="Times New Roman"/>
          <w:b/>
          <w:sz w:val="24"/>
          <w:szCs w:val="24"/>
        </w:rPr>
      </w:pPr>
    </w:p>
    <w:p w14:paraId="1268F1A5" w14:textId="77777777" w:rsidR="00032304" w:rsidRPr="00D151E4" w:rsidRDefault="00032304" w:rsidP="00032304">
      <w:pPr>
        <w:spacing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Table S4 A: </w:t>
      </w:r>
      <w:r>
        <w:rPr>
          <w:rFonts w:ascii="Times New Roman" w:eastAsia="Times New Roman" w:hAnsi="Times New Roman" w:cs="Times New Roman"/>
          <w:sz w:val="24"/>
          <w:szCs w:val="24"/>
        </w:rPr>
        <w:t>Heat map of fungal OTU relative abundance for the most dominant taxa identified in four soil samples from UFF and two from Lawn.</w:t>
      </w:r>
    </w:p>
    <w:tbl>
      <w:tblPr>
        <w:tblW w:w="9360" w:type="dxa"/>
        <w:tblLook w:val="04A0" w:firstRow="1" w:lastRow="0" w:firstColumn="1" w:lastColumn="0" w:noHBand="0" w:noVBand="1"/>
      </w:tblPr>
      <w:tblGrid>
        <w:gridCol w:w="1530"/>
        <w:gridCol w:w="1305"/>
        <w:gridCol w:w="1305"/>
        <w:gridCol w:w="1305"/>
        <w:gridCol w:w="1305"/>
        <w:gridCol w:w="1305"/>
        <w:gridCol w:w="1305"/>
      </w:tblGrid>
      <w:tr w:rsidR="00032304" w:rsidRPr="00D151E4" w14:paraId="06A36C94" w14:textId="77777777" w:rsidTr="00221CD1">
        <w:trPr>
          <w:trHeight w:val="315"/>
        </w:trPr>
        <w:tc>
          <w:tcPr>
            <w:tcW w:w="1530" w:type="dxa"/>
            <w:tcBorders>
              <w:top w:val="nil"/>
              <w:left w:val="nil"/>
              <w:bottom w:val="nil"/>
              <w:right w:val="nil"/>
            </w:tcBorders>
            <w:shd w:val="clear" w:color="auto" w:fill="auto"/>
            <w:noWrap/>
            <w:vAlign w:val="bottom"/>
            <w:hideMark/>
          </w:tcPr>
          <w:p w14:paraId="5F0B0B93" w14:textId="77777777" w:rsidR="00032304" w:rsidRPr="00D151E4" w:rsidRDefault="00032304" w:rsidP="00221CD1">
            <w:pPr>
              <w:spacing w:line="240" w:lineRule="auto"/>
              <w:rPr>
                <w:rFonts w:eastAsia="Times New Roman"/>
                <w:color w:val="000000"/>
                <w:sz w:val="16"/>
                <w:szCs w:val="16"/>
                <w:lang w:val="en-US"/>
              </w:rPr>
            </w:pPr>
            <w:r w:rsidRPr="00D151E4">
              <w:rPr>
                <w:rFonts w:eastAsia="Times New Roman"/>
                <w:color w:val="000000"/>
                <w:sz w:val="16"/>
                <w:szCs w:val="16"/>
                <w:lang w:val="en-US"/>
              </w:rPr>
              <w:t>taxonomy</w:t>
            </w:r>
          </w:p>
        </w:tc>
        <w:tc>
          <w:tcPr>
            <w:tcW w:w="1305" w:type="dxa"/>
            <w:tcBorders>
              <w:top w:val="nil"/>
              <w:left w:val="nil"/>
              <w:bottom w:val="nil"/>
              <w:right w:val="nil"/>
            </w:tcBorders>
            <w:shd w:val="clear" w:color="auto" w:fill="auto"/>
            <w:noWrap/>
            <w:vAlign w:val="bottom"/>
            <w:hideMark/>
          </w:tcPr>
          <w:p w14:paraId="45C7EEED" w14:textId="77777777" w:rsidR="00032304" w:rsidRPr="00D151E4" w:rsidRDefault="00032304" w:rsidP="00221CD1">
            <w:pPr>
              <w:spacing w:line="240" w:lineRule="auto"/>
              <w:rPr>
                <w:rFonts w:eastAsia="Times New Roman"/>
                <w:color w:val="000000"/>
                <w:sz w:val="16"/>
                <w:szCs w:val="16"/>
                <w:lang w:val="en-US"/>
              </w:rPr>
            </w:pPr>
            <w:r>
              <w:rPr>
                <w:rFonts w:eastAsia="Times New Roman"/>
                <w:color w:val="000000"/>
                <w:sz w:val="16"/>
                <w:szCs w:val="16"/>
                <w:lang w:val="en-US"/>
              </w:rPr>
              <w:t>F1B15</w:t>
            </w:r>
          </w:p>
        </w:tc>
        <w:tc>
          <w:tcPr>
            <w:tcW w:w="1305" w:type="dxa"/>
            <w:tcBorders>
              <w:top w:val="nil"/>
              <w:left w:val="nil"/>
              <w:bottom w:val="nil"/>
              <w:right w:val="nil"/>
            </w:tcBorders>
            <w:shd w:val="clear" w:color="auto" w:fill="auto"/>
            <w:noWrap/>
            <w:vAlign w:val="bottom"/>
            <w:hideMark/>
          </w:tcPr>
          <w:p w14:paraId="2225E2D9" w14:textId="77777777" w:rsidR="00032304" w:rsidRPr="00D151E4" w:rsidRDefault="00032304" w:rsidP="00221CD1">
            <w:pPr>
              <w:spacing w:line="240" w:lineRule="auto"/>
              <w:rPr>
                <w:rFonts w:eastAsia="Times New Roman"/>
                <w:color w:val="000000"/>
                <w:sz w:val="16"/>
                <w:szCs w:val="16"/>
                <w:lang w:val="en-US"/>
              </w:rPr>
            </w:pPr>
            <w:r>
              <w:rPr>
                <w:rFonts w:eastAsia="Times New Roman"/>
                <w:color w:val="000000"/>
                <w:sz w:val="16"/>
                <w:szCs w:val="16"/>
                <w:lang w:val="en-US"/>
              </w:rPr>
              <w:t>F1B12</w:t>
            </w:r>
          </w:p>
        </w:tc>
        <w:tc>
          <w:tcPr>
            <w:tcW w:w="1305" w:type="dxa"/>
            <w:tcBorders>
              <w:top w:val="nil"/>
              <w:left w:val="nil"/>
              <w:bottom w:val="nil"/>
              <w:right w:val="nil"/>
            </w:tcBorders>
            <w:shd w:val="clear" w:color="auto" w:fill="auto"/>
            <w:noWrap/>
            <w:vAlign w:val="bottom"/>
            <w:hideMark/>
          </w:tcPr>
          <w:p w14:paraId="227C7620" w14:textId="77777777" w:rsidR="00032304" w:rsidRPr="00D151E4" w:rsidRDefault="00032304" w:rsidP="00221CD1">
            <w:pPr>
              <w:spacing w:line="240" w:lineRule="auto"/>
              <w:rPr>
                <w:rFonts w:eastAsia="Times New Roman"/>
                <w:color w:val="000000"/>
                <w:sz w:val="16"/>
                <w:szCs w:val="16"/>
                <w:lang w:val="en-US"/>
              </w:rPr>
            </w:pPr>
            <w:r>
              <w:rPr>
                <w:rFonts w:eastAsia="Times New Roman"/>
                <w:color w:val="000000"/>
                <w:sz w:val="16"/>
                <w:szCs w:val="16"/>
                <w:lang w:val="en-US"/>
              </w:rPr>
              <w:t>F3B11</w:t>
            </w:r>
          </w:p>
        </w:tc>
        <w:tc>
          <w:tcPr>
            <w:tcW w:w="1305" w:type="dxa"/>
            <w:tcBorders>
              <w:top w:val="nil"/>
              <w:left w:val="nil"/>
              <w:bottom w:val="nil"/>
              <w:right w:val="nil"/>
            </w:tcBorders>
            <w:shd w:val="clear" w:color="auto" w:fill="auto"/>
            <w:noWrap/>
            <w:vAlign w:val="bottom"/>
            <w:hideMark/>
          </w:tcPr>
          <w:p w14:paraId="1BCC748E" w14:textId="77777777" w:rsidR="00032304" w:rsidRPr="00D151E4" w:rsidRDefault="00032304" w:rsidP="00221CD1">
            <w:pPr>
              <w:spacing w:line="240" w:lineRule="auto"/>
              <w:rPr>
                <w:rFonts w:eastAsia="Times New Roman"/>
                <w:color w:val="000000"/>
                <w:sz w:val="16"/>
                <w:szCs w:val="16"/>
                <w:lang w:val="en-US"/>
              </w:rPr>
            </w:pPr>
            <w:r>
              <w:rPr>
                <w:rFonts w:eastAsia="Times New Roman"/>
                <w:color w:val="000000"/>
                <w:sz w:val="16"/>
                <w:szCs w:val="16"/>
                <w:lang w:val="en-US"/>
              </w:rPr>
              <w:t>F3B10</w:t>
            </w:r>
          </w:p>
        </w:tc>
        <w:tc>
          <w:tcPr>
            <w:tcW w:w="1305" w:type="dxa"/>
            <w:tcBorders>
              <w:top w:val="nil"/>
              <w:left w:val="nil"/>
              <w:bottom w:val="nil"/>
              <w:right w:val="nil"/>
            </w:tcBorders>
            <w:shd w:val="clear" w:color="auto" w:fill="auto"/>
            <w:noWrap/>
            <w:vAlign w:val="bottom"/>
            <w:hideMark/>
          </w:tcPr>
          <w:p w14:paraId="0DA037A4" w14:textId="77777777" w:rsidR="00032304" w:rsidRPr="00D151E4" w:rsidRDefault="00032304" w:rsidP="00221CD1">
            <w:pPr>
              <w:spacing w:line="240" w:lineRule="auto"/>
              <w:rPr>
                <w:rFonts w:eastAsia="Times New Roman"/>
                <w:color w:val="000000"/>
                <w:sz w:val="16"/>
                <w:szCs w:val="16"/>
                <w:lang w:val="en-US"/>
              </w:rPr>
            </w:pPr>
            <w:r>
              <w:rPr>
                <w:rFonts w:eastAsia="Times New Roman"/>
                <w:color w:val="000000"/>
                <w:sz w:val="16"/>
                <w:szCs w:val="16"/>
                <w:lang w:val="en-US"/>
              </w:rPr>
              <w:t>SB.L1OU12</w:t>
            </w:r>
          </w:p>
        </w:tc>
        <w:tc>
          <w:tcPr>
            <w:tcW w:w="1305" w:type="dxa"/>
            <w:tcBorders>
              <w:top w:val="nil"/>
              <w:left w:val="nil"/>
              <w:bottom w:val="nil"/>
              <w:right w:val="nil"/>
            </w:tcBorders>
            <w:shd w:val="clear" w:color="auto" w:fill="auto"/>
            <w:noWrap/>
            <w:vAlign w:val="bottom"/>
            <w:hideMark/>
          </w:tcPr>
          <w:p w14:paraId="56835010" w14:textId="77777777" w:rsidR="00032304" w:rsidRPr="00D151E4" w:rsidRDefault="00032304" w:rsidP="00221CD1">
            <w:pPr>
              <w:spacing w:line="240" w:lineRule="auto"/>
              <w:rPr>
                <w:rFonts w:eastAsia="Times New Roman"/>
                <w:color w:val="000000"/>
                <w:sz w:val="16"/>
                <w:szCs w:val="16"/>
                <w:lang w:val="en-US"/>
              </w:rPr>
            </w:pPr>
            <w:r>
              <w:rPr>
                <w:rFonts w:eastAsia="Times New Roman"/>
                <w:color w:val="000000"/>
                <w:sz w:val="16"/>
                <w:szCs w:val="16"/>
                <w:lang w:val="en-US"/>
              </w:rPr>
              <w:t>SB.L3OU10</w:t>
            </w:r>
          </w:p>
        </w:tc>
      </w:tr>
      <w:tr w:rsidR="00032304" w:rsidRPr="00D151E4" w14:paraId="2B4EC0A2" w14:textId="77777777" w:rsidTr="00221CD1">
        <w:trPr>
          <w:trHeight w:val="315"/>
        </w:trPr>
        <w:tc>
          <w:tcPr>
            <w:tcW w:w="1530" w:type="dxa"/>
            <w:tcBorders>
              <w:top w:val="nil"/>
              <w:left w:val="nil"/>
              <w:bottom w:val="nil"/>
              <w:right w:val="nil"/>
            </w:tcBorders>
            <w:shd w:val="clear" w:color="auto" w:fill="auto"/>
            <w:noWrap/>
            <w:vAlign w:val="bottom"/>
            <w:hideMark/>
          </w:tcPr>
          <w:p w14:paraId="4689196C" w14:textId="77777777" w:rsidR="00032304" w:rsidRPr="00D151E4" w:rsidRDefault="00032304" w:rsidP="00221CD1">
            <w:pPr>
              <w:spacing w:line="240" w:lineRule="auto"/>
              <w:rPr>
                <w:rFonts w:eastAsia="Times New Roman"/>
                <w:color w:val="000000"/>
                <w:sz w:val="16"/>
                <w:szCs w:val="16"/>
                <w:lang w:val="en-US"/>
              </w:rPr>
            </w:pPr>
            <w:r w:rsidRPr="00D151E4">
              <w:rPr>
                <w:rFonts w:eastAsia="Times New Roman"/>
                <w:color w:val="000000"/>
                <w:sz w:val="16"/>
                <w:szCs w:val="16"/>
                <w:lang w:val="en-US"/>
              </w:rPr>
              <w:t>trechispora</w:t>
            </w:r>
          </w:p>
        </w:tc>
        <w:tc>
          <w:tcPr>
            <w:tcW w:w="1305" w:type="dxa"/>
            <w:tcBorders>
              <w:top w:val="nil"/>
              <w:left w:val="nil"/>
              <w:bottom w:val="nil"/>
              <w:right w:val="nil"/>
            </w:tcBorders>
            <w:shd w:val="clear" w:color="000000" w:fill="FF0000"/>
            <w:noWrap/>
            <w:vAlign w:val="bottom"/>
            <w:hideMark/>
          </w:tcPr>
          <w:p w14:paraId="14A10BCB"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16.95</w:t>
            </w:r>
          </w:p>
        </w:tc>
        <w:tc>
          <w:tcPr>
            <w:tcW w:w="1305" w:type="dxa"/>
            <w:tcBorders>
              <w:top w:val="nil"/>
              <w:left w:val="nil"/>
              <w:bottom w:val="nil"/>
              <w:right w:val="nil"/>
            </w:tcBorders>
            <w:shd w:val="clear" w:color="000000" w:fill="FFC000"/>
            <w:noWrap/>
            <w:vAlign w:val="bottom"/>
            <w:hideMark/>
          </w:tcPr>
          <w:p w14:paraId="014E3022"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0.09</w:t>
            </w:r>
          </w:p>
        </w:tc>
        <w:tc>
          <w:tcPr>
            <w:tcW w:w="1305" w:type="dxa"/>
            <w:tcBorders>
              <w:top w:val="nil"/>
              <w:left w:val="nil"/>
              <w:bottom w:val="nil"/>
              <w:right w:val="nil"/>
            </w:tcBorders>
            <w:shd w:val="clear" w:color="000000" w:fill="FFC000"/>
            <w:noWrap/>
            <w:vAlign w:val="bottom"/>
            <w:hideMark/>
          </w:tcPr>
          <w:p w14:paraId="2F994379"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0.05</w:t>
            </w:r>
          </w:p>
        </w:tc>
        <w:tc>
          <w:tcPr>
            <w:tcW w:w="1305" w:type="dxa"/>
            <w:tcBorders>
              <w:top w:val="nil"/>
              <w:left w:val="nil"/>
              <w:bottom w:val="nil"/>
              <w:right w:val="nil"/>
            </w:tcBorders>
            <w:shd w:val="clear" w:color="000000" w:fill="FDC310"/>
            <w:noWrap/>
            <w:vAlign w:val="bottom"/>
            <w:hideMark/>
          </w:tcPr>
          <w:p w14:paraId="25BE3880"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0.04</w:t>
            </w:r>
          </w:p>
        </w:tc>
        <w:tc>
          <w:tcPr>
            <w:tcW w:w="1305" w:type="dxa"/>
            <w:tcBorders>
              <w:top w:val="nil"/>
              <w:left w:val="nil"/>
              <w:bottom w:val="nil"/>
              <w:right w:val="nil"/>
            </w:tcBorders>
            <w:shd w:val="clear" w:color="000000" w:fill="F9C936"/>
            <w:noWrap/>
            <w:vAlign w:val="bottom"/>
            <w:hideMark/>
          </w:tcPr>
          <w:p w14:paraId="0D8A46AE"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0.04</w:t>
            </w:r>
          </w:p>
        </w:tc>
        <w:tc>
          <w:tcPr>
            <w:tcW w:w="1305" w:type="dxa"/>
            <w:tcBorders>
              <w:top w:val="nil"/>
              <w:left w:val="nil"/>
              <w:bottom w:val="nil"/>
              <w:right w:val="nil"/>
            </w:tcBorders>
            <w:shd w:val="clear" w:color="000000" w:fill="FFC000"/>
            <w:noWrap/>
            <w:vAlign w:val="bottom"/>
            <w:hideMark/>
          </w:tcPr>
          <w:p w14:paraId="0CC63793"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0.05</w:t>
            </w:r>
          </w:p>
        </w:tc>
      </w:tr>
      <w:tr w:rsidR="00032304" w:rsidRPr="00D151E4" w14:paraId="32FC634F" w14:textId="77777777" w:rsidTr="00221CD1">
        <w:trPr>
          <w:trHeight w:val="315"/>
        </w:trPr>
        <w:tc>
          <w:tcPr>
            <w:tcW w:w="1530" w:type="dxa"/>
            <w:tcBorders>
              <w:top w:val="nil"/>
              <w:left w:val="nil"/>
              <w:bottom w:val="nil"/>
              <w:right w:val="nil"/>
            </w:tcBorders>
            <w:shd w:val="clear" w:color="auto" w:fill="auto"/>
            <w:noWrap/>
            <w:vAlign w:val="bottom"/>
            <w:hideMark/>
          </w:tcPr>
          <w:p w14:paraId="0740C7DB" w14:textId="77777777" w:rsidR="00032304" w:rsidRPr="00D151E4" w:rsidRDefault="00032304" w:rsidP="00221CD1">
            <w:pPr>
              <w:spacing w:line="240" w:lineRule="auto"/>
              <w:rPr>
                <w:rFonts w:eastAsia="Times New Roman"/>
                <w:color w:val="000000"/>
                <w:sz w:val="16"/>
                <w:szCs w:val="16"/>
                <w:lang w:val="en-US"/>
              </w:rPr>
            </w:pPr>
            <w:r w:rsidRPr="00D151E4">
              <w:rPr>
                <w:rFonts w:eastAsia="Times New Roman"/>
                <w:color w:val="000000"/>
                <w:sz w:val="16"/>
                <w:szCs w:val="16"/>
                <w:lang w:val="en-US"/>
              </w:rPr>
              <w:t>auxarthron</w:t>
            </w:r>
          </w:p>
        </w:tc>
        <w:tc>
          <w:tcPr>
            <w:tcW w:w="1305" w:type="dxa"/>
            <w:tcBorders>
              <w:top w:val="nil"/>
              <w:left w:val="nil"/>
              <w:bottom w:val="nil"/>
              <w:right w:val="nil"/>
            </w:tcBorders>
            <w:shd w:val="clear" w:color="000000" w:fill="FF2900"/>
            <w:noWrap/>
            <w:vAlign w:val="bottom"/>
            <w:hideMark/>
          </w:tcPr>
          <w:p w14:paraId="5B3FD2D8"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13.37</w:t>
            </w:r>
          </w:p>
        </w:tc>
        <w:tc>
          <w:tcPr>
            <w:tcW w:w="1305" w:type="dxa"/>
            <w:tcBorders>
              <w:top w:val="nil"/>
              <w:left w:val="nil"/>
              <w:bottom w:val="nil"/>
              <w:right w:val="nil"/>
            </w:tcBorders>
            <w:shd w:val="clear" w:color="000000" w:fill="FFC000"/>
            <w:noWrap/>
            <w:vAlign w:val="bottom"/>
            <w:hideMark/>
          </w:tcPr>
          <w:p w14:paraId="3A888618"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0.05</w:t>
            </w:r>
          </w:p>
        </w:tc>
        <w:tc>
          <w:tcPr>
            <w:tcW w:w="1305" w:type="dxa"/>
            <w:tcBorders>
              <w:top w:val="nil"/>
              <w:left w:val="nil"/>
              <w:bottom w:val="nil"/>
              <w:right w:val="nil"/>
            </w:tcBorders>
            <w:shd w:val="clear" w:color="000000" w:fill="FFC000"/>
            <w:noWrap/>
            <w:vAlign w:val="bottom"/>
            <w:hideMark/>
          </w:tcPr>
          <w:p w14:paraId="228D0BCE"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0.05</w:t>
            </w:r>
          </w:p>
        </w:tc>
        <w:tc>
          <w:tcPr>
            <w:tcW w:w="1305" w:type="dxa"/>
            <w:tcBorders>
              <w:top w:val="nil"/>
              <w:left w:val="nil"/>
              <w:bottom w:val="nil"/>
              <w:right w:val="nil"/>
            </w:tcBorders>
            <w:shd w:val="clear" w:color="000000" w:fill="EAE1C7"/>
            <w:noWrap/>
            <w:vAlign w:val="bottom"/>
            <w:hideMark/>
          </w:tcPr>
          <w:p w14:paraId="180AA372"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0.02</w:t>
            </w:r>
          </w:p>
        </w:tc>
        <w:tc>
          <w:tcPr>
            <w:tcW w:w="1305" w:type="dxa"/>
            <w:tcBorders>
              <w:top w:val="nil"/>
              <w:left w:val="nil"/>
              <w:bottom w:val="nil"/>
              <w:right w:val="nil"/>
            </w:tcBorders>
            <w:shd w:val="clear" w:color="000000" w:fill="F2D476"/>
            <w:noWrap/>
            <w:vAlign w:val="bottom"/>
            <w:hideMark/>
          </w:tcPr>
          <w:p w14:paraId="6B2D1C6F"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0.03</w:t>
            </w:r>
          </w:p>
        </w:tc>
        <w:tc>
          <w:tcPr>
            <w:tcW w:w="1305" w:type="dxa"/>
            <w:tcBorders>
              <w:top w:val="nil"/>
              <w:left w:val="nil"/>
              <w:bottom w:val="nil"/>
              <w:right w:val="nil"/>
            </w:tcBorders>
            <w:shd w:val="clear" w:color="000000" w:fill="FFC000"/>
            <w:noWrap/>
            <w:vAlign w:val="bottom"/>
            <w:hideMark/>
          </w:tcPr>
          <w:p w14:paraId="3CA8CE3A"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0.05</w:t>
            </w:r>
          </w:p>
        </w:tc>
      </w:tr>
      <w:tr w:rsidR="00032304" w:rsidRPr="00D151E4" w14:paraId="6428E85C" w14:textId="77777777" w:rsidTr="00221CD1">
        <w:trPr>
          <w:trHeight w:val="315"/>
        </w:trPr>
        <w:tc>
          <w:tcPr>
            <w:tcW w:w="1530" w:type="dxa"/>
            <w:tcBorders>
              <w:top w:val="nil"/>
              <w:left w:val="nil"/>
              <w:bottom w:val="nil"/>
              <w:right w:val="nil"/>
            </w:tcBorders>
            <w:shd w:val="clear" w:color="auto" w:fill="auto"/>
            <w:noWrap/>
            <w:vAlign w:val="bottom"/>
            <w:hideMark/>
          </w:tcPr>
          <w:p w14:paraId="177A982E" w14:textId="77777777" w:rsidR="00032304" w:rsidRPr="00D151E4" w:rsidRDefault="00032304" w:rsidP="00221CD1">
            <w:pPr>
              <w:spacing w:line="240" w:lineRule="auto"/>
              <w:rPr>
                <w:rFonts w:eastAsia="Times New Roman"/>
                <w:color w:val="000000"/>
                <w:sz w:val="16"/>
                <w:szCs w:val="16"/>
                <w:lang w:val="en-US"/>
              </w:rPr>
            </w:pPr>
            <w:r w:rsidRPr="00D151E4">
              <w:rPr>
                <w:rFonts w:eastAsia="Times New Roman"/>
                <w:color w:val="000000"/>
                <w:sz w:val="16"/>
                <w:szCs w:val="16"/>
                <w:lang w:val="en-US"/>
              </w:rPr>
              <w:t>ceratobasidium</w:t>
            </w:r>
          </w:p>
        </w:tc>
        <w:tc>
          <w:tcPr>
            <w:tcW w:w="1305" w:type="dxa"/>
            <w:tcBorders>
              <w:top w:val="nil"/>
              <w:left w:val="nil"/>
              <w:bottom w:val="nil"/>
              <w:right w:val="nil"/>
            </w:tcBorders>
            <w:shd w:val="clear" w:color="000000" w:fill="FF8000"/>
            <w:noWrap/>
            <w:vAlign w:val="bottom"/>
            <w:hideMark/>
          </w:tcPr>
          <w:p w14:paraId="552CE551"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5.69</w:t>
            </w:r>
          </w:p>
        </w:tc>
        <w:tc>
          <w:tcPr>
            <w:tcW w:w="1305" w:type="dxa"/>
            <w:tcBorders>
              <w:top w:val="nil"/>
              <w:left w:val="nil"/>
              <w:bottom w:val="nil"/>
              <w:right w:val="nil"/>
            </w:tcBorders>
            <w:shd w:val="clear" w:color="000000" w:fill="FFB800"/>
            <w:noWrap/>
            <w:vAlign w:val="bottom"/>
            <w:hideMark/>
          </w:tcPr>
          <w:p w14:paraId="36662EA4"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0.83</w:t>
            </w:r>
          </w:p>
        </w:tc>
        <w:tc>
          <w:tcPr>
            <w:tcW w:w="1305" w:type="dxa"/>
            <w:tcBorders>
              <w:top w:val="nil"/>
              <w:left w:val="nil"/>
              <w:bottom w:val="nil"/>
              <w:right w:val="nil"/>
            </w:tcBorders>
            <w:shd w:val="clear" w:color="000000" w:fill="FFC000"/>
            <w:noWrap/>
            <w:vAlign w:val="bottom"/>
            <w:hideMark/>
          </w:tcPr>
          <w:p w14:paraId="091817BB"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0.11</w:t>
            </w:r>
          </w:p>
        </w:tc>
        <w:tc>
          <w:tcPr>
            <w:tcW w:w="1305" w:type="dxa"/>
            <w:tcBorders>
              <w:top w:val="nil"/>
              <w:left w:val="nil"/>
              <w:bottom w:val="nil"/>
              <w:right w:val="nil"/>
            </w:tcBorders>
            <w:shd w:val="clear" w:color="000000" w:fill="F2D479"/>
            <w:noWrap/>
            <w:vAlign w:val="bottom"/>
            <w:hideMark/>
          </w:tcPr>
          <w:p w14:paraId="7C5325B7"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0.03</w:t>
            </w:r>
          </w:p>
        </w:tc>
        <w:tc>
          <w:tcPr>
            <w:tcW w:w="1305" w:type="dxa"/>
            <w:tcBorders>
              <w:top w:val="nil"/>
              <w:left w:val="nil"/>
              <w:bottom w:val="nil"/>
              <w:right w:val="nil"/>
            </w:tcBorders>
            <w:shd w:val="clear" w:color="000000" w:fill="EEDBA0"/>
            <w:noWrap/>
            <w:vAlign w:val="bottom"/>
            <w:hideMark/>
          </w:tcPr>
          <w:p w14:paraId="1CDAD3F2"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0.02</w:t>
            </w:r>
          </w:p>
        </w:tc>
        <w:tc>
          <w:tcPr>
            <w:tcW w:w="1305" w:type="dxa"/>
            <w:tcBorders>
              <w:top w:val="nil"/>
              <w:left w:val="nil"/>
              <w:bottom w:val="nil"/>
              <w:right w:val="nil"/>
            </w:tcBorders>
            <w:shd w:val="clear" w:color="000000" w:fill="F4D26A"/>
            <w:noWrap/>
            <w:vAlign w:val="bottom"/>
            <w:hideMark/>
          </w:tcPr>
          <w:p w14:paraId="1201A523"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0.03</w:t>
            </w:r>
          </w:p>
        </w:tc>
      </w:tr>
      <w:tr w:rsidR="00032304" w:rsidRPr="00D151E4" w14:paraId="678BAE1B" w14:textId="77777777" w:rsidTr="00221CD1">
        <w:trPr>
          <w:trHeight w:val="315"/>
        </w:trPr>
        <w:tc>
          <w:tcPr>
            <w:tcW w:w="1530" w:type="dxa"/>
            <w:tcBorders>
              <w:top w:val="nil"/>
              <w:left w:val="nil"/>
              <w:bottom w:val="nil"/>
              <w:right w:val="nil"/>
            </w:tcBorders>
            <w:shd w:val="clear" w:color="auto" w:fill="auto"/>
            <w:noWrap/>
            <w:vAlign w:val="bottom"/>
            <w:hideMark/>
          </w:tcPr>
          <w:p w14:paraId="1066F78D" w14:textId="77777777" w:rsidR="00032304" w:rsidRPr="00D151E4" w:rsidRDefault="00032304" w:rsidP="00221CD1">
            <w:pPr>
              <w:spacing w:line="240" w:lineRule="auto"/>
              <w:rPr>
                <w:rFonts w:eastAsia="Times New Roman"/>
                <w:color w:val="000000"/>
                <w:sz w:val="16"/>
                <w:szCs w:val="16"/>
                <w:lang w:val="en-US"/>
              </w:rPr>
            </w:pPr>
            <w:r w:rsidRPr="00D151E4">
              <w:rPr>
                <w:rFonts w:eastAsia="Times New Roman"/>
                <w:color w:val="000000"/>
                <w:sz w:val="16"/>
                <w:szCs w:val="16"/>
                <w:lang w:val="en-US"/>
              </w:rPr>
              <w:t>coprinopsis</w:t>
            </w:r>
          </w:p>
        </w:tc>
        <w:tc>
          <w:tcPr>
            <w:tcW w:w="1305" w:type="dxa"/>
            <w:tcBorders>
              <w:top w:val="nil"/>
              <w:left w:val="nil"/>
              <w:bottom w:val="nil"/>
              <w:right w:val="nil"/>
            </w:tcBorders>
            <w:shd w:val="clear" w:color="000000" w:fill="FF9200"/>
            <w:noWrap/>
            <w:vAlign w:val="bottom"/>
            <w:hideMark/>
          </w:tcPr>
          <w:p w14:paraId="5933A5CD"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4.11</w:t>
            </w:r>
          </w:p>
        </w:tc>
        <w:tc>
          <w:tcPr>
            <w:tcW w:w="1305" w:type="dxa"/>
            <w:tcBorders>
              <w:top w:val="nil"/>
              <w:left w:val="nil"/>
              <w:bottom w:val="nil"/>
              <w:right w:val="nil"/>
            </w:tcBorders>
            <w:shd w:val="clear" w:color="000000" w:fill="E9E2CE"/>
            <w:noWrap/>
            <w:vAlign w:val="bottom"/>
            <w:hideMark/>
          </w:tcPr>
          <w:p w14:paraId="2D6C918D"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0.02</w:t>
            </w:r>
          </w:p>
        </w:tc>
        <w:tc>
          <w:tcPr>
            <w:tcW w:w="1305" w:type="dxa"/>
            <w:tcBorders>
              <w:top w:val="nil"/>
              <w:left w:val="nil"/>
              <w:bottom w:val="nil"/>
              <w:right w:val="nil"/>
            </w:tcBorders>
            <w:shd w:val="clear" w:color="000000" w:fill="FFA100"/>
            <w:noWrap/>
            <w:vAlign w:val="bottom"/>
            <w:hideMark/>
          </w:tcPr>
          <w:p w14:paraId="39188D2A"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2.86</w:t>
            </w:r>
          </w:p>
        </w:tc>
        <w:tc>
          <w:tcPr>
            <w:tcW w:w="1305" w:type="dxa"/>
            <w:tcBorders>
              <w:top w:val="nil"/>
              <w:left w:val="nil"/>
              <w:bottom w:val="nil"/>
              <w:right w:val="nil"/>
            </w:tcBorders>
            <w:shd w:val="clear" w:color="000000" w:fill="F2D479"/>
            <w:noWrap/>
            <w:vAlign w:val="bottom"/>
            <w:hideMark/>
          </w:tcPr>
          <w:p w14:paraId="7DEC4DE9"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0.03</w:t>
            </w:r>
          </w:p>
        </w:tc>
        <w:tc>
          <w:tcPr>
            <w:tcW w:w="1305" w:type="dxa"/>
            <w:tcBorders>
              <w:top w:val="nil"/>
              <w:left w:val="nil"/>
              <w:bottom w:val="nil"/>
              <w:right w:val="nil"/>
            </w:tcBorders>
            <w:shd w:val="clear" w:color="000000" w:fill="E7E5E0"/>
            <w:noWrap/>
            <w:vAlign w:val="bottom"/>
            <w:hideMark/>
          </w:tcPr>
          <w:p w14:paraId="6D75D2B0"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0.01</w:t>
            </w:r>
          </w:p>
        </w:tc>
        <w:tc>
          <w:tcPr>
            <w:tcW w:w="1305" w:type="dxa"/>
            <w:tcBorders>
              <w:top w:val="nil"/>
              <w:left w:val="nil"/>
              <w:bottom w:val="nil"/>
              <w:right w:val="nil"/>
            </w:tcBorders>
            <w:shd w:val="clear" w:color="000000" w:fill="EEDA9C"/>
            <w:noWrap/>
            <w:vAlign w:val="bottom"/>
            <w:hideMark/>
          </w:tcPr>
          <w:p w14:paraId="5C208B45"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0.02</w:t>
            </w:r>
          </w:p>
        </w:tc>
      </w:tr>
      <w:tr w:rsidR="00032304" w:rsidRPr="00D151E4" w14:paraId="16F226DA" w14:textId="77777777" w:rsidTr="00221CD1">
        <w:trPr>
          <w:trHeight w:val="315"/>
        </w:trPr>
        <w:tc>
          <w:tcPr>
            <w:tcW w:w="1530" w:type="dxa"/>
            <w:tcBorders>
              <w:top w:val="nil"/>
              <w:left w:val="nil"/>
              <w:bottom w:val="nil"/>
              <w:right w:val="nil"/>
            </w:tcBorders>
            <w:shd w:val="clear" w:color="auto" w:fill="auto"/>
            <w:noWrap/>
            <w:vAlign w:val="bottom"/>
            <w:hideMark/>
          </w:tcPr>
          <w:p w14:paraId="74A32C0E" w14:textId="77777777" w:rsidR="00032304" w:rsidRPr="00D151E4" w:rsidRDefault="00032304" w:rsidP="00221CD1">
            <w:pPr>
              <w:spacing w:line="240" w:lineRule="auto"/>
              <w:rPr>
                <w:rFonts w:eastAsia="Times New Roman"/>
                <w:color w:val="000000"/>
                <w:sz w:val="16"/>
                <w:szCs w:val="16"/>
                <w:lang w:val="en-US"/>
              </w:rPr>
            </w:pPr>
            <w:r w:rsidRPr="00D151E4">
              <w:rPr>
                <w:rFonts w:eastAsia="Times New Roman"/>
                <w:color w:val="000000"/>
                <w:sz w:val="16"/>
                <w:szCs w:val="16"/>
                <w:lang w:val="en-US"/>
              </w:rPr>
              <w:t>ceratobasidium</w:t>
            </w:r>
          </w:p>
        </w:tc>
        <w:tc>
          <w:tcPr>
            <w:tcW w:w="1305" w:type="dxa"/>
            <w:tcBorders>
              <w:top w:val="nil"/>
              <w:left w:val="nil"/>
              <w:bottom w:val="nil"/>
              <w:right w:val="nil"/>
            </w:tcBorders>
            <w:shd w:val="clear" w:color="000000" w:fill="FF9500"/>
            <w:noWrap/>
            <w:vAlign w:val="bottom"/>
            <w:hideMark/>
          </w:tcPr>
          <w:p w14:paraId="32DE04A8"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3.86</w:t>
            </w:r>
          </w:p>
        </w:tc>
        <w:tc>
          <w:tcPr>
            <w:tcW w:w="1305" w:type="dxa"/>
            <w:tcBorders>
              <w:top w:val="nil"/>
              <w:left w:val="nil"/>
              <w:bottom w:val="nil"/>
              <w:right w:val="nil"/>
            </w:tcBorders>
            <w:shd w:val="clear" w:color="000000" w:fill="FFBF00"/>
            <w:noWrap/>
            <w:vAlign w:val="bottom"/>
            <w:hideMark/>
          </w:tcPr>
          <w:p w14:paraId="0A656658"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0.20</w:t>
            </w:r>
          </w:p>
        </w:tc>
        <w:tc>
          <w:tcPr>
            <w:tcW w:w="1305" w:type="dxa"/>
            <w:tcBorders>
              <w:top w:val="nil"/>
              <w:left w:val="nil"/>
              <w:bottom w:val="nil"/>
              <w:right w:val="nil"/>
            </w:tcBorders>
            <w:shd w:val="clear" w:color="000000" w:fill="F2D476"/>
            <w:noWrap/>
            <w:vAlign w:val="bottom"/>
            <w:hideMark/>
          </w:tcPr>
          <w:p w14:paraId="6F13F21E"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0.03</w:t>
            </w:r>
          </w:p>
        </w:tc>
        <w:tc>
          <w:tcPr>
            <w:tcW w:w="1305" w:type="dxa"/>
            <w:tcBorders>
              <w:top w:val="nil"/>
              <w:left w:val="nil"/>
              <w:bottom w:val="nil"/>
              <w:right w:val="nil"/>
            </w:tcBorders>
            <w:shd w:val="clear" w:color="000000" w:fill="F5D05F"/>
            <w:noWrap/>
            <w:vAlign w:val="bottom"/>
            <w:hideMark/>
          </w:tcPr>
          <w:p w14:paraId="6B3C52EB"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0.03</w:t>
            </w:r>
          </w:p>
        </w:tc>
        <w:tc>
          <w:tcPr>
            <w:tcW w:w="1305" w:type="dxa"/>
            <w:tcBorders>
              <w:top w:val="nil"/>
              <w:left w:val="nil"/>
              <w:bottom w:val="nil"/>
              <w:right w:val="nil"/>
            </w:tcBorders>
            <w:shd w:val="clear" w:color="000000" w:fill="E9E2CB"/>
            <w:noWrap/>
            <w:vAlign w:val="bottom"/>
            <w:hideMark/>
          </w:tcPr>
          <w:p w14:paraId="0446027A"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0.02</w:t>
            </w:r>
          </w:p>
        </w:tc>
        <w:tc>
          <w:tcPr>
            <w:tcW w:w="1305" w:type="dxa"/>
            <w:tcBorders>
              <w:top w:val="nil"/>
              <w:left w:val="nil"/>
              <w:bottom w:val="nil"/>
              <w:right w:val="nil"/>
            </w:tcBorders>
            <w:shd w:val="clear" w:color="000000" w:fill="E7E6E6"/>
            <w:noWrap/>
            <w:vAlign w:val="bottom"/>
            <w:hideMark/>
          </w:tcPr>
          <w:p w14:paraId="0CD9B49A"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0.01</w:t>
            </w:r>
          </w:p>
        </w:tc>
      </w:tr>
      <w:tr w:rsidR="00032304" w:rsidRPr="00D151E4" w14:paraId="7DAADB91" w14:textId="77777777" w:rsidTr="00221CD1">
        <w:trPr>
          <w:trHeight w:val="315"/>
        </w:trPr>
        <w:tc>
          <w:tcPr>
            <w:tcW w:w="1530" w:type="dxa"/>
            <w:tcBorders>
              <w:top w:val="nil"/>
              <w:left w:val="nil"/>
              <w:bottom w:val="nil"/>
              <w:right w:val="nil"/>
            </w:tcBorders>
            <w:shd w:val="clear" w:color="auto" w:fill="auto"/>
            <w:noWrap/>
            <w:vAlign w:val="bottom"/>
            <w:hideMark/>
          </w:tcPr>
          <w:p w14:paraId="62C947CB" w14:textId="77777777" w:rsidR="00032304" w:rsidRPr="00D151E4" w:rsidRDefault="00032304" w:rsidP="00221CD1">
            <w:pPr>
              <w:spacing w:line="240" w:lineRule="auto"/>
              <w:rPr>
                <w:rFonts w:eastAsia="Times New Roman"/>
                <w:color w:val="000000"/>
                <w:sz w:val="16"/>
                <w:szCs w:val="16"/>
                <w:lang w:val="en-US"/>
              </w:rPr>
            </w:pPr>
            <w:r w:rsidRPr="00D151E4">
              <w:rPr>
                <w:rFonts w:eastAsia="Times New Roman"/>
                <w:color w:val="000000"/>
                <w:sz w:val="16"/>
                <w:szCs w:val="16"/>
                <w:lang w:val="en-US"/>
              </w:rPr>
              <w:t>marasmius</w:t>
            </w:r>
          </w:p>
        </w:tc>
        <w:tc>
          <w:tcPr>
            <w:tcW w:w="1305" w:type="dxa"/>
            <w:tcBorders>
              <w:top w:val="nil"/>
              <w:left w:val="nil"/>
              <w:bottom w:val="nil"/>
              <w:right w:val="nil"/>
            </w:tcBorders>
            <w:shd w:val="clear" w:color="000000" w:fill="FFC000"/>
            <w:noWrap/>
            <w:vAlign w:val="bottom"/>
            <w:hideMark/>
          </w:tcPr>
          <w:p w14:paraId="5ED42557"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0.08</w:t>
            </w:r>
          </w:p>
        </w:tc>
        <w:tc>
          <w:tcPr>
            <w:tcW w:w="1305" w:type="dxa"/>
            <w:tcBorders>
              <w:top w:val="nil"/>
              <w:left w:val="nil"/>
              <w:bottom w:val="nil"/>
              <w:right w:val="nil"/>
            </w:tcBorders>
            <w:shd w:val="clear" w:color="000000" w:fill="FF0000"/>
            <w:noWrap/>
            <w:vAlign w:val="bottom"/>
            <w:hideMark/>
          </w:tcPr>
          <w:p w14:paraId="0BA95858"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15.99</w:t>
            </w:r>
          </w:p>
        </w:tc>
        <w:tc>
          <w:tcPr>
            <w:tcW w:w="1305" w:type="dxa"/>
            <w:tcBorders>
              <w:top w:val="nil"/>
              <w:left w:val="nil"/>
              <w:bottom w:val="nil"/>
              <w:right w:val="nil"/>
            </w:tcBorders>
            <w:shd w:val="clear" w:color="000000" w:fill="FFC000"/>
            <w:noWrap/>
            <w:vAlign w:val="bottom"/>
            <w:hideMark/>
          </w:tcPr>
          <w:p w14:paraId="7AAEE45C"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0.06</w:t>
            </w:r>
          </w:p>
        </w:tc>
        <w:tc>
          <w:tcPr>
            <w:tcW w:w="1305" w:type="dxa"/>
            <w:tcBorders>
              <w:top w:val="nil"/>
              <w:left w:val="nil"/>
              <w:bottom w:val="nil"/>
              <w:right w:val="nil"/>
            </w:tcBorders>
            <w:shd w:val="clear" w:color="000000" w:fill="FFC000"/>
            <w:noWrap/>
            <w:vAlign w:val="bottom"/>
            <w:hideMark/>
          </w:tcPr>
          <w:p w14:paraId="227B86B3"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0.07</w:t>
            </w:r>
          </w:p>
        </w:tc>
        <w:tc>
          <w:tcPr>
            <w:tcW w:w="1305" w:type="dxa"/>
            <w:tcBorders>
              <w:top w:val="nil"/>
              <w:left w:val="nil"/>
              <w:bottom w:val="nil"/>
              <w:right w:val="nil"/>
            </w:tcBorders>
            <w:shd w:val="clear" w:color="000000" w:fill="FFC000"/>
            <w:noWrap/>
            <w:vAlign w:val="bottom"/>
            <w:hideMark/>
          </w:tcPr>
          <w:p w14:paraId="77EB3C71"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0.06</w:t>
            </w:r>
          </w:p>
        </w:tc>
        <w:tc>
          <w:tcPr>
            <w:tcW w:w="1305" w:type="dxa"/>
            <w:tcBorders>
              <w:top w:val="nil"/>
              <w:left w:val="nil"/>
              <w:bottom w:val="nil"/>
              <w:right w:val="nil"/>
            </w:tcBorders>
            <w:shd w:val="clear" w:color="000000" w:fill="FFC000"/>
            <w:noWrap/>
            <w:vAlign w:val="bottom"/>
            <w:hideMark/>
          </w:tcPr>
          <w:p w14:paraId="167ABCD4"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0.07</w:t>
            </w:r>
          </w:p>
        </w:tc>
      </w:tr>
      <w:tr w:rsidR="00032304" w:rsidRPr="00D151E4" w14:paraId="63F6A1B4" w14:textId="77777777" w:rsidTr="00221CD1">
        <w:trPr>
          <w:trHeight w:val="315"/>
        </w:trPr>
        <w:tc>
          <w:tcPr>
            <w:tcW w:w="1530" w:type="dxa"/>
            <w:tcBorders>
              <w:top w:val="nil"/>
              <w:left w:val="nil"/>
              <w:bottom w:val="nil"/>
              <w:right w:val="nil"/>
            </w:tcBorders>
            <w:shd w:val="clear" w:color="auto" w:fill="auto"/>
            <w:noWrap/>
            <w:vAlign w:val="bottom"/>
            <w:hideMark/>
          </w:tcPr>
          <w:p w14:paraId="1EB63F9E" w14:textId="77777777" w:rsidR="00032304" w:rsidRPr="00D151E4" w:rsidRDefault="00032304" w:rsidP="00221CD1">
            <w:pPr>
              <w:spacing w:line="240" w:lineRule="auto"/>
              <w:rPr>
                <w:rFonts w:eastAsia="Times New Roman"/>
                <w:color w:val="000000"/>
                <w:sz w:val="16"/>
                <w:szCs w:val="16"/>
                <w:lang w:val="en-US"/>
              </w:rPr>
            </w:pPr>
            <w:r w:rsidRPr="00D151E4">
              <w:rPr>
                <w:rFonts w:eastAsia="Times New Roman"/>
                <w:color w:val="000000"/>
                <w:sz w:val="16"/>
                <w:szCs w:val="16"/>
                <w:lang w:val="en-US"/>
              </w:rPr>
              <w:t>marasmius</w:t>
            </w:r>
          </w:p>
        </w:tc>
        <w:tc>
          <w:tcPr>
            <w:tcW w:w="1305" w:type="dxa"/>
            <w:tcBorders>
              <w:top w:val="nil"/>
              <w:left w:val="nil"/>
              <w:bottom w:val="nil"/>
              <w:right w:val="nil"/>
            </w:tcBorders>
            <w:shd w:val="clear" w:color="000000" w:fill="EFD997"/>
            <w:noWrap/>
            <w:vAlign w:val="bottom"/>
            <w:hideMark/>
          </w:tcPr>
          <w:p w14:paraId="50B34047"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0.02</w:t>
            </w:r>
          </w:p>
        </w:tc>
        <w:tc>
          <w:tcPr>
            <w:tcW w:w="1305" w:type="dxa"/>
            <w:tcBorders>
              <w:top w:val="nil"/>
              <w:left w:val="nil"/>
              <w:bottom w:val="nil"/>
              <w:right w:val="nil"/>
            </w:tcBorders>
            <w:shd w:val="clear" w:color="000000" w:fill="FF6D00"/>
            <w:noWrap/>
            <w:vAlign w:val="bottom"/>
            <w:hideMark/>
          </w:tcPr>
          <w:p w14:paraId="07B5C042"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7.02</w:t>
            </w:r>
          </w:p>
        </w:tc>
        <w:tc>
          <w:tcPr>
            <w:tcW w:w="1305" w:type="dxa"/>
            <w:tcBorders>
              <w:top w:val="nil"/>
              <w:left w:val="nil"/>
              <w:bottom w:val="nil"/>
              <w:right w:val="nil"/>
            </w:tcBorders>
            <w:shd w:val="clear" w:color="000000" w:fill="F2D478"/>
            <w:noWrap/>
            <w:vAlign w:val="bottom"/>
            <w:hideMark/>
          </w:tcPr>
          <w:p w14:paraId="629D5CFF"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0.03</w:t>
            </w:r>
          </w:p>
        </w:tc>
        <w:tc>
          <w:tcPr>
            <w:tcW w:w="1305" w:type="dxa"/>
            <w:tcBorders>
              <w:top w:val="nil"/>
              <w:left w:val="nil"/>
              <w:bottom w:val="nil"/>
              <w:right w:val="nil"/>
            </w:tcBorders>
            <w:shd w:val="clear" w:color="000000" w:fill="FFC000"/>
            <w:noWrap/>
            <w:vAlign w:val="bottom"/>
            <w:hideMark/>
          </w:tcPr>
          <w:p w14:paraId="4A05853E"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0.06</w:t>
            </w:r>
          </w:p>
        </w:tc>
        <w:tc>
          <w:tcPr>
            <w:tcW w:w="1305" w:type="dxa"/>
            <w:tcBorders>
              <w:top w:val="nil"/>
              <w:left w:val="nil"/>
              <w:bottom w:val="nil"/>
              <w:right w:val="nil"/>
            </w:tcBorders>
            <w:shd w:val="clear" w:color="000000" w:fill="EEDBA2"/>
            <w:noWrap/>
            <w:vAlign w:val="bottom"/>
            <w:hideMark/>
          </w:tcPr>
          <w:p w14:paraId="50D576DC"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0.02</w:t>
            </w:r>
          </w:p>
        </w:tc>
        <w:tc>
          <w:tcPr>
            <w:tcW w:w="1305" w:type="dxa"/>
            <w:tcBorders>
              <w:top w:val="nil"/>
              <w:left w:val="nil"/>
              <w:bottom w:val="nil"/>
              <w:right w:val="nil"/>
            </w:tcBorders>
            <w:shd w:val="clear" w:color="000000" w:fill="EEDBA1"/>
            <w:noWrap/>
            <w:vAlign w:val="bottom"/>
            <w:hideMark/>
          </w:tcPr>
          <w:p w14:paraId="283DBFDF"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0.02</w:t>
            </w:r>
          </w:p>
        </w:tc>
      </w:tr>
      <w:tr w:rsidR="00032304" w:rsidRPr="00D151E4" w14:paraId="601EF94E" w14:textId="77777777" w:rsidTr="00221CD1">
        <w:trPr>
          <w:trHeight w:val="315"/>
        </w:trPr>
        <w:tc>
          <w:tcPr>
            <w:tcW w:w="1530" w:type="dxa"/>
            <w:tcBorders>
              <w:top w:val="nil"/>
              <w:left w:val="nil"/>
              <w:bottom w:val="nil"/>
              <w:right w:val="nil"/>
            </w:tcBorders>
            <w:shd w:val="clear" w:color="auto" w:fill="auto"/>
            <w:noWrap/>
            <w:vAlign w:val="bottom"/>
            <w:hideMark/>
          </w:tcPr>
          <w:p w14:paraId="07A6727A" w14:textId="77777777" w:rsidR="00032304" w:rsidRPr="00D151E4" w:rsidRDefault="00032304" w:rsidP="00221CD1">
            <w:pPr>
              <w:spacing w:line="240" w:lineRule="auto"/>
              <w:rPr>
                <w:rFonts w:eastAsia="Times New Roman"/>
                <w:color w:val="000000"/>
                <w:sz w:val="16"/>
                <w:szCs w:val="16"/>
                <w:lang w:val="en-US"/>
              </w:rPr>
            </w:pPr>
            <w:r w:rsidRPr="00D151E4">
              <w:rPr>
                <w:rFonts w:eastAsia="Times New Roman"/>
                <w:color w:val="000000"/>
                <w:sz w:val="16"/>
                <w:szCs w:val="16"/>
                <w:lang w:val="en-US"/>
              </w:rPr>
              <w:t>terfezia</w:t>
            </w:r>
          </w:p>
        </w:tc>
        <w:tc>
          <w:tcPr>
            <w:tcW w:w="1305" w:type="dxa"/>
            <w:tcBorders>
              <w:top w:val="nil"/>
              <w:left w:val="nil"/>
              <w:bottom w:val="nil"/>
              <w:right w:val="nil"/>
            </w:tcBorders>
            <w:shd w:val="clear" w:color="000000" w:fill="FFC000"/>
            <w:noWrap/>
            <w:vAlign w:val="bottom"/>
            <w:hideMark/>
          </w:tcPr>
          <w:p w14:paraId="17825E02"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0.06</w:t>
            </w:r>
          </w:p>
        </w:tc>
        <w:tc>
          <w:tcPr>
            <w:tcW w:w="1305" w:type="dxa"/>
            <w:tcBorders>
              <w:top w:val="nil"/>
              <w:left w:val="nil"/>
              <w:bottom w:val="nil"/>
              <w:right w:val="nil"/>
            </w:tcBorders>
            <w:shd w:val="clear" w:color="000000" w:fill="FF7D00"/>
            <w:noWrap/>
            <w:vAlign w:val="bottom"/>
            <w:hideMark/>
          </w:tcPr>
          <w:p w14:paraId="7F5D223A"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5.68</w:t>
            </w:r>
          </w:p>
        </w:tc>
        <w:tc>
          <w:tcPr>
            <w:tcW w:w="1305" w:type="dxa"/>
            <w:tcBorders>
              <w:top w:val="nil"/>
              <w:left w:val="nil"/>
              <w:bottom w:val="nil"/>
              <w:right w:val="nil"/>
            </w:tcBorders>
            <w:shd w:val="clear" w:color="000000" w:fill="FFBF00"/>
            <w:noWrap/>
            <w:vAlign w:val="bottom"/>
            <w:hideMark/>
          </w:tcPr>
          <w:p w14:paraId="32F7116B"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0.18</w:t>
            </w:r>
          </w:p>
        </w:tc>
        <w:tc>
          <w:tcPr>
            <w:tcW w:w="1305" w:type="dxa"/>
            <w:tcBorders>
              <w:top w:val="nil"/>
              <w:left w:val="nil"/>
              <w:bottom w:val="nil"/>
              <w:right w:val="nil"/>
            </w:tcBorders>
            <w:shd w:val="clear" w:color="000000" w:fill="FEC103"/>
            <w:noWrap/>
            <w:vAlign w:val="bottom"/>
            <w:hideMark/>
          </w:tcPr>
          <w:p w14:paraId="4B640392"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0.05</w:t>
            </w:r>
          </w:p>
        </w:tc>
        <w:tc>
          <w:tcPr>
            <w:tcW w:w="1305" w:type="dxa"/>
            <w:tcBorders>
              <w:top w:val="nil"/>
              <w:left w:val="nil"/>
              <w:bottom w:val="nil"/>
              <w:right w:val="nil"/>
            </w:tcBorders>
            <w:shd w:val="clear" w:color="000000" w:fill="EBE0BD"/>
            <w:noWrap/>
            <w:vAlign w:val="bottom"/>
            <w:hideMark/>
          </w:tcPr>
          <w:p w14:paraId="56E9DFBD"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0.01</w:t>
            </w:r>
          </w:p>
        </w:tc>
        <w:tc>
          <w:tcPr>
            <w:tcW w:w="1305" w:type="dxa"/>
            <w:tcBorders>
              <w:top w:val="nil"/>
              <w:left w:val="nil"/>
              <w:bottom w:val="nil"/>
              <w:right w:val="nil"/>
            </w:tcBorders>
            <w:shd w:val="clear" w:color="000000" w:fill="F8CB40"/>
            <w:noWrap/>
            <w:vAlign w:val="bottom"/>
            <w:hideMark/>
          </w:tcPr>
          <w:p w14:paraId="65393E7C"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0.04</w:t>
            </w:r>
          </w:p>
        </w:tc>
      </w:tr>
      <w:tr w:rsidR="00032304" w:rsidRPr="00D151E4" w14:paraId="2BBCAF26" w14:textId="77777777" w:rsidTr="00221CD1">
        <w:trPr>
          <w:trHeight w:val="315"/>
        </w:trPr>
        <w:tc>
          <w:tcPr>
            <w:tcW w:w="1530" w:type="dxa"/>
            <w:tcBorders>
              <w:top w:val="nil"/>
              <w:left w:val="nil"/>
              <w:bottom w:val="nil"/>
              <w:right w:val="nil"/>
            </w:tcBorders>
            <w:shd w:val="clear" w:color="auto" w:fill="auto"/>
            <w:noWrap/>
            <w:vAlign w:val="bottom"/>
            <w:hideMark/>
          </w:tcPr>
          <w:p w14:paraId="1F4F1282" w14:textId="77777777" w:rsidR="00032304" w:rsidRPr="00D151E4" w:rsidRDefault="00032304" w:rsidP="00221CD1">
            <w:pPr>
              <w:spacing w:line="240" w:lineRule="auto"/>
              <w:rPr>
                <w:rFonts w:eastAsia="Times New Roman"/>
                <w:color w:val="000000"/>
                <w:sz w:val="16"/>
                <w:szCs w:val="16"/>
                <w:lang w:val="en-US"/>
              </w:rPr>
            </w:pPr>
            <w:r w:rsidRPr="00D151E4">
              <w:rPr>
                <w:rFonts w:eastAsia="Times New Roman"/>
                <w:color w:val="000000"/>
                <w:sz w:val="16"/>
                <w:szCs w:val="16"/>
                <w:lang w:val="en-US"/>
              </w:rPr>
              <w:t>handkea</w:t>
            </w:r>
          </w:p>
        </w:tc>
        <w:tc>
          <w:tcPr>
            <w:tcW w:w="1305" w:type="dxa"/>
            <w:tcBorders>
              <w:top w:val="nil"/>
              <w:left w:val="nil"/>
              <w:bottom w:val="nil"/>
              <w:right w:val="nil"/>
            </w:tcBorders>
            <w:shd w:val="clear" w:color="000000" w:fill="FFA100"/>
            <w:noWrap/>
            <w:vAlign w:val="bottom"/>
            <w:hideMark/>
          </w:tcPr>
          <w:p w14:paraId="3785D1A7"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2.68</w:t>
            </w:r>
          </w:p>
        </w:tc>
        <w:tc>
          <w:tcPr>
            <w:tcW w:w="1305" w:type="dxa"/>
            <w:tcBorders>
              <w:top w:val="nil"/>
              <w:left w:val="nil"/>
              <w:bottom w:val="nil"/>
              <w:right w:val="nil"/>
            </w:tcBorders>
            <w:shd w:val="clear" w:color="000000" w:fill="FF8500"/>
            <w:noWrap/>
            <w:vAlign w:val="bottom"/>
            <w:hideMark/>
          </w:tcPr>
          <w:p w14:paraId="23C8D800"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5.03</w:t>
            </w:r>
          </w:p>
        </w:tc>
        <w:tc>
          <w:tcPr>
            <w:tcW w:w="1305" w:type="dxa"/>
            <w:tcBorders>
              <w:top w:val="nil"/>
              <w:left w:val="nil"/>
              <w:bottom w:val="nil"/>
              <w:right w:val="nil"/>
            </w:tcBorders>
            <w:shd w:val="clear" w:color="000000" w:fill="FFB100"/>
            <w:noWrap/>
            <w:vAlign w:val="bottom"/>
            <w:hideMark/>
          </w:tcPr>
          <w:p w14:paraId="6B1333CA"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1.31</w:t>
            </w:r>
          </w:p>
        </w:tc>
        <w:tc>
          <w:tcPr>
            <w:tcW w:w="1305" w:type="dxa"/>
            <w:tcBorders>
              <w:top w:val="nil"/>
              <w:left w:val="nil"/>
              <w:bottom w:val="nil"/>
              <w:right w:val="nil"/>
            </w:tcBorders>
            <w:shd w:val="clear" w:color="000000" w:fill="F5CF58"/>
            <w:noWrap/>
            <w:vAlign w:val="bottom"/>
            <w:hideMark/>
          </w:tcPr>
          <w:p w14:paraId="5AB6CAA3"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0.04</w:t>
            </w:r>
          </w:p>
        </w:tc>
        <w:tc>
          <w:tcPr>
            <w:tcW w:w="1305" w:type="dxa"/>
            <w:tcBorders>
              <w:top w:val="nil"/>
              <w:left w:val="nil"/>
              <w:bottom w:val="nil"/>
              <w:right w:val="nil"/>
            </w:tcBorders>
            <w:shd w:val="clear" w:color="000000" w:fill="EEDBA2"/>
            <w:noWrap/>
            <w:vAlign w:val="bottom"/>
            <w:hideMark/>
          </w:tcPr>
          <w:p w14:paraId="3188AB9A"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0.02</w:t>
            </w:r>
          </w:p>
        </w:tc>
        <w:tc>
          <w:tcPr>
            <w:tcW w:w="1305" w:type="dxa"/>
            <w:tcBorders>
              <w:top w:val="nil"/>
              <w:left w:val="nil"/>
              <w:bottom w:val="nil"/>
              <w:right w:val="nil"/>
            </w:tcBorders>
            <w:shd w:val="clear" w:color="000000" w:fill="EFD891"/>
            <w:noWrap/>
            <w:vAlign w:val="bottom"/>
            <w:hideMark/>
          </w:tcPr>
          <w:p w14:paraId="632C0B5C"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0.02</w:t>
            </w:r>
          </w:p>
        </w:tc>
      </w:tr>
      <w:tr w:rsidR="00032304" w:rsidRPr="00D151E4" w14:paraId="736B7551" w14:textId="77777777" w:rsidTr="00221CD1">
        <w:trPr>
          <w:trHeight w:val="315"/>
        </w:trPr>
        <w:tc>
          <w:tcPr>
            <w:tcW w:w="1530" w:type="dxa"/>
            <w:tcBorders>
              <w:top w:val="nil"/>
              <w:left w:val="nil"/>
              <w:bottom w:val="nil"/>
              <w:right w:val="nil"/>
            </w:tcBorders>
            <w:shd w:val="clear" w:color="auto" w:fill="auto"/>
            <w:noWrap/>
            <w:vAlign w:val="bottom"/>
            <w:hideMark/>
          </w:tcPr>
          <w:p w14:paraId="00981FC6" w14:textId="77777777" w:rsidR="00032304" w:rsidRPr="00D151E4" w:rsidRDefault="00032304" w:rsidP="00221CD1">
            <w:pPr>
              <w:spacing w:line="240" w:lineRule="auto"/>
              <w:rPr>
                <w:rFonts w:eastAsia="Times New Roman"/>
                <w:color w:val="000000"/>
                <w:sz w:val="16"/>
                <w:szCs w:val="16"/>
                <w:lang w:val="en-US"/>
              </w:rPr>
            </w:pPr>
            <w:r w:rsidRPr="00D151E4">
              <w:rPr>
                <w:rFonts w:eastAsia="Times New Roman"/>
                <w:color w:val="000000"/>
                <w:sz w:val="16"/>
                <w:szCs w:val="16"/>
                <w:lang w:val="en-US"/>
              </w:rPr>
              <w:t>gilkeya</w:t>
            </w:r>
          </w:p>
        </w:tc>
        <w:tc>
          <w:tcPr>
            <w:tcW w:w="1305" w:type="dxa"/>
            <w:tcBorders>
              <w:top w:val="nil"/>
              <w:left w:val="nil"/>
              <w:bottom w:val="nil"/>
              <w:right w:val="nil"/>
            </w:tcBorders>
            <w:shd w:val="clear" w:color="000000" w:fill="EDDCA6"/>
            <w:noWrap/>
            <w:vAlign w:val="bottom"/>
            <w:hideMark/>
          </w:tcPr>
          <w:p w14:paraId="67078FAC"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0.02</w:t>
            </w:r>
          </w:p>
        </w:tc>
        <w:tc>
          <w:tcPr>
            <w:tcW w:w="1305" w:type="dxa"/>
            <w:tcBorders>
              <w:top w:val="nil"/>
              <w:left w:val="nil"/>
              <w:bottom w:val="nil"/>
              <w:right w:val="nil"/>
            </w:tcBorders>
            <w:shd w:val="clear" w:color="000000" w:fill="FF8900"/>
            <w:noWrap/>
            <w:vAlign w:val="bottom"/>
            <w:hideMark/>
          </w:tcPr>
          <w:p w14:paraId="281FA1CA"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4.70</w:t>
            </w:r>
          </w:p>
        </w:tc>
        <w:tc>
          <w:tcPr>
            <w:tcW w:w="1305" w:type="dxa"/>
            <w:tcBorders>
              <w:top w:val="nil"/>
              <w:left w:val="nil"/>
              <w:bottom w:val="nil"/>
              <w:right w:val="nil"/>
            </w:tcBorders>
            <w:shd w:val="clear" w:color="000000" w:fill="EDDDAC"/>
            <w:noWrap/>
            <w:vAlign w:val="bottom"/>
            <w:hideMark/>
          </w:tcPr>
          <w:p w14:paraId="608E7B54"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0.02</w:t>
            </w:r>
          </w:p>
        </w:tc>
        <w:tc>
          <w:tcPr>
            <w:tcW w:w="1305" w:type="dxa"/>
            <w:tcBorders>
              <w:top w:val="nil"/>
              <w:left w:val="nil"/>
              <w:bottom w:val="nil"/>
              <w:right w:val="nil"/>
            </w:tcBorders>
            <w:shd w:val="clear" w:color="000000" w:fill="F5CF58"/>
            <w:noWrap/>
            <w:vAlign w:val="bottom"/>
            <w:hideMark/>
          </w:tcPr>
          <w:p w14:paraId="551E2127"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0.04</w:t>
            </w:r>
          </w:p>
        </w:tc>
        <w:tc>
          <w:tcPr>
            <w:tcW w:w="1305" w:type="dxa"/>
            <w:tcBorders>
              <w:top w:val="nil"/>
              <w:left w:val="nil"/>
              <w:bottom w:val="nil"/>
              <w:right w:val="nil"/>
            </w:tcBorders>
            <w:shd w:val="clear" w:color="000000" w:fill="E7E6E6"/>
            <w:noWrap/>
            <w:vAlign w:val="bottom"/>
            <w:hideMark/>
          </w:tcPr>
          <w:p w14:paraId="7FEAB49F"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0.01</w:t>
            </w:r>
          </w:p>
        </w:tc>
        <w:tc>
          <w:tcPr>
            <w:tcW w:w="1305" w:type="dxa"/>
            <w:tcBorders>
              <w:top w:val="nil"/>
              <w:left w:val="nil"/>
              <w:bottom w:val="nil"/>
              <w:right w:val="nil"/>
            </w:tcBorders>
            <w:shd w:val="clear" w:color="000000" w:fill="ECDEB1"/>
            <w:noWrap/>
            <w:vAlign w:val="bottom"/>
            <w:hideMark/>
          </w:tcPr>
          <w:p w14:paraId="6A2047B2"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0.02</w:t>
            </w:r>
          </w:p>
        </w:tc>
      </w:tr>
      <w:tr w:rsidR="00032304" w:rsidRPr="00D151E4" w14:paraId="2F2FDFF9" w14:textId="77777777" w:rsidTr="00221CD1">
        <w:trPr>
          <w:trHeight w:val="315"/>
        </w:trPr>
        <w:tc>
          <w:tcPr>
            <w:tcW w:w="1530" w:type="dxa"/>
            <w:tcBorders>
              <w:top w:val="nil"/>
              <w:left w:val="nil"/>
              <w:bottom w:val="nil"/>
              <w:right w:val="nil"/>
            </w:tcBorders>
            <w:shd w:val="clear" w:color="auto" w:fill="auto"/>
            <w:noWrap/>
            <w:vAlign w:val="bottom"/>
            <w:hideMark/>
          </w:tcPr>
          <w:p w14:paraId="7C8095B7" w14:textId="77777777" w:rsidR="00032304" w:rsidRPr="00D151E4" w:rsidRDefault="00032304" w:rsidP="00221CD1">
            <w:pPr>
              <w:spacing w:line="240" w:lineRule="auto"/>
              <w:rPr>
                <w:rFonts w:eastAsia="Times New Roman"/>
                <w:color w:val="000000"/>
                <w:sz w:val="16"/>
                <w:szCs w:val="16"/>
                <w:lang w:val="en-US"/>
              </w:rPr>
            </w:pPr>
            <w:r w:rsidRPr="00D151E4">
              <w:rPr>
                <w:rFonts w:eastAsia="Times New Roman"/>
                <w:color w:val="000000"/>
                <w:sz w:val="16"/>
                <w:szCs w:val="16"/>
                <w:lang w:val="en-US"/>
              </w:rPr>
              <w:t>chrysosporium</w:t>
            </w:r>
          </w:p>
        </w:tc>
        <w:tc>
          <w:tcPr>
            <w:tcW w:w="1305" w:type="dxa"/>
            <w:tcBorders>
              <w:top w:val="nil"/>
              <w:left w:val="nil"/>
              <w:bottom w:val="nil"/>
              <w:right w:val="nil"/>
            </w:tcBorders>
            <w:shd w:val="clear" w:color="000000" w:fill="F6CF56"/>
            <w:noWrap/>
            <w:vAlign w:val="bottom"/>
            <w:hideMark/>
          </w:tcPr>
          <w:p w14:paraId="6BFC7FE5"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0.04</w:t>
            </w:r>
          </w:p>
        </w:tc>
        <w:tc>
          <w:tcPr>
            <w:tcW w:w="1305" w:type="dxa"/>
            <w:tcBorders>
              <w:top w:val="nil"/>
              <w:left w:val="nil"/>
              <w:bottom w:val="nil"/>
              <w:right w:val="nil"/>
            </w:tcBorders>
            <w:shd w:val="clear" w:color="000000" w:fill="FAC82E"/>
            <w:noWrap/>
            <w:vAlign w:val="bottom"/>
            <w:hideMark/>
          </w:tcPr>
          <w:p w14:paraId="50C35C1E"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0.04</w:t>
            </w:r>
          </w:p>
        </w:tc>
        <w:tc>
          <w:tcPr>
            <w:tcW w:w="1305" w:type="dxa"/>
            <w:tcBorders>
              <w:top w:val="nil"/>
              <w:left w:val="nil"/>
              <w:bottom w:val="nil"/>
              <w:right w:val="nil"/>
            </w:tcBorders>
            <w:shd w:val="clear" w:color="000000" w:fill="FF0000"/>
            <w:noWrap/>
            <w:vAlign w:val="bottom"/>
            <w:hideMark/>
          </w:tcPr>
          <w:p w14:paraId="71B1C256"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16.23</w:t>
            </w:r>
          </w:p>
        </w:tc>
        <w:tc>
          <w:tcPr>
            <w:tcW w:w="1305" w:type="dxa"/>
            <w:tcBorders>
              <w:top w:val="nil"/>
              <w:left w:val="nil"/>
              <w:bottom w:val="nil"/>
              <w:right w:val="nil"/>
            </w:tcBorders>
            <w:shd w:val="clear" w:color="000000" w:fill="F7CC44"/>
            <w:noWrap/>
            <w:vAlign w:val="bottom"/>
            <w:hideMark/>
          </w:tcPr>
          <w:p w14:paraId="4B795C78"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0.04</w:t>
            </w:r>
          </w:p>
        </w:tc>
        <w:tc>
          <w:tcPr>
            <w:tcW w:w="1305" w:type="dxa"/>
            <w:tcBorders>
              <w:top w:val="nil"/>
              <w:left w:val="nil"/>
              <w:bottom w:val="nil"/>
              <w:right w:val="nil"/>
            </w:tcBorders>
            <w:shd w:val="clear" w:color="000000" w:fill="F5CF58"/>
            <w:noWrap/>
            <w:vAlign w:val="bottom"/>
            <w:hideMark/>
          </w:tcPr>
          <w:p w14:paraId="09DD51EC"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0.04</w:t>
            </w:r>
          </w:p>
        </w:tc>
        <w:tc>
          <w:tcPr>
            <w:tcW w:w="1305" w:type="dxa"/>
            <w:tcBorders>
              <w:top w:val="nil"/>
              <w:left w:val="nil"/>
              <w:bottom w:val="nil"/>
              <w:right w:val="nil"/>
            </w:tcBorders>
            <w:shd w:val="clear" w:color="000000" w:fill="F0D789"/>
            <w:noWrap/>
            <w:vAlign w:val="bottom"/>
            <w:hideMark/>
          </w:tcPr>
          <w:p w14:paraId="0A9C748C"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0.02</w:t>
            </w:r>
          </w:p>
        </w:tc>
      </w:tr>
      <w:tr w:rsidR="00032304" w:rsidRPr="00D151E4" w14:paraId="508ADBA9" w14:textId="77777777" w:rsidTr="00221CD1">
        <w:trPr>
          <w:trHeight w:val="315"/>
        </w:trPr>
        <w:tc>
          <w:tcPr>
            <w:tcW w:w="1530" w:type="dxa"/>
            <w:tcBorders>
              <w:top w:val="nil"/>
              <w:left w:val="nil"/>
              <w:bottom w:val="nil"/>
              <w:right w:val="nil"/>
            </w:tcBorders>
            <w:shd w:val="clear" w:color="auto" w:fill="auto"/>
            <w:noWrap/>
            <w:vAlign w:val="bottom"/>
            <w:hideMark/>
          </w:tcPr>
          <w:p w14:paraId="5AB02760" w14:textId="77777777" w:rsidR="00032304" w:rsidRPr="00D151E4" w:rsidRDefault="00032304" w:rsidP="00221CD1">
            <w:pPr>
              <w:spacing w:line="240" w:lineRule="auto"/>
              <w:rPr>
                <w:rFonts w:eastAsia="Times New Roman"/>
                <w:color w:val="000000"/>
                <w:sz w:val="16"/>
                <w:szCs w:val="16"/>
                <w:lang w:val="en-US"/>
              </w:rPr>
            </w:pPr>
            <w:r w:rsidRPr="00D151E4">
              <w:rPr>
                <w:rFonts w:eastAsia="Times New Roman"/>
                <w:color w:val="000000"/>
                <w:sz w:val="16"/>
                <w:szCs w:val="16"/>
                <w:lang w:val="en-US"/>
              </w:rPr>
              <w:t>fusarium</w:t>
            </w:r>
          </w:p>
        </w:tc>
        <w:tc>
          <w:tcPr>
            <w:tcW w:w="1305" w:type="dxa"/>
            <w:tcBorders>
              <w:top w:val="nil"/>
              <w:left w:val="nil"/>
              <w:bottom w:val="nil"/>
              <w:right w:val="nil"/>
            </w:tcBorders>
            <w:shd w:val="clear" w:color="000000" w:fill="FFAA00"/>
            <w:noWrap/>
            <w:vAlign w:val="bottom"/>
            <w:hideMark/>
          </w:tcPr>
          <w:p w14:paraId="32E37880"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1.98</w:t>
            </w:r>
          </w:p>
        </w:tc>
        <w:tc>
          <w:tcPr>
            <w:tcW w:w="1305" w:type="dxa"/>
            <w:tcBorders>
              <w:top w:val="nil"/>
              <w:left w:val="nil"/>
              <w:bottom w:val="nil"/>
              <w:right w:val="nil"/>
            </w:tcBorders>
            <w:shd w:val="clear" w:color="000000" w:fill="FFB100"/>
            <w:noWrap/>
            <w:vAlign w:val="bottom"/>
            <w:hideMark/>
          </w:tcPr>
          <w:p w14:paraId="5B928C2F"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1.36</w:t>
            </w:r>
          </w:p>
        </w:tc>
        <w:tc>
          <w:tcPr>
            <w:tcW w:w="1305" w:type="dxa"/>
            <w:tcBorders>
              <w:top w:val="nil"/>
              <w:left w:val="nil"/>
              <w:bottom w:val="nil"/>
              <w:right w:val="nil"/>
            </w:tcBorders>
            <w:shd w:val="clear" w:color="000000" w:fill="FF3000"/>
            <w:noWrap/>
            <w:vAlign w:val="bottom"/>
            <w:hideMark/>
          </w:tcPr>
          <w:p w14:paraId="2018BE11"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12.27</w:t>
            </w:r>
          </w:p>
        </w:tc>
        <w:tc>
          <w:tcPr>
            <w:tcW w:w="1305" w:type="dxa"/>
            <w:tcBorders>
              <w:top w:val="nil"/>
              <w:left w:val="nil"/>
              <w:bottom w:val="nil"/>
              <w:right w:val="nil"/>
            </w:tcBorders>
            <w:shd w:val="clear" w:color="000000" w:fill="FF8900"/>
            <w:noWrap/>
            <w:vAlign w:val="bottom"/>
            <w:hideMark/>
          </w:tcPr>
          <w:p w14:paraId="70406797"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4.75</w:t>
            </w:r>
          </w:p>
        </w:tc>
        <w:tc>
          <w:tcPr>
            <w:tcW w:w="1305" w:type="dxa"/>
            <w:tcBorders>
              <w:top w:val="nil"/>
              <w:left w:val="nil"/>
              <w:bottom w:val="nil"/>
              <w:right w:val="nil"/>
            </w:tcBorders>
            <w:shd w:val="clear" w:color="000000" w:fill="FFBD00"/>
            <w:noWrap/>
            <w:vAlign w:val="bottom"/>
            <w:hideMark/>
          </w:tcPr>
          <w:p w14:paraId="71D30EC1"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0.35</w:t>
            </w:r>
          </w:p>
        </w:tc>
        <w:tc>
          <w:tcPr>
            <w:tcW w:w="1305" w:type="dxa"/>
            <w:tcBorders>
              <w:top w:val="nil"/>
              <w:left w:val="nil"/>
              <w:bottom w:val="nil"/>
              <w:right w:val="nil"/>
            </w:tcBorders>
            <w:shd w:val="clear" w:color="000000" w:fill="FFAE00"/>
            <w:noWrap/>
            <w:vAlign w:val="bottom"/>
            <w:hideMark/>
          </w:tcPr>
          <w:p w14:paraId="48E9E88A"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1.64</w:t>
            </w:r>
          </w:p>
        </w:tc>
      </w:tr>
      <w:tr w:rsidR="00032304" w:rsidRPr="00D151E4" w14:paraId="4A6AB321" w14:textId="77777777" w:rsidTr="00221CD1">
        <w:trPr>
          <w:trHeight w:val="315"/>
        </w:trPr>
        <w:tc>
          <w:tcPr>
            <w:tcW w:w="1530" w:type="dxa"/>
            <w:tcBorders>
              <w:top w:val="nil"/>
              <w:left w:val="nil"/>
              <w:bottom w:val="nil"/>
              <w:right w:val="nil"/>
            </w:tcBorders>
            <w:shd w:val="clear" w:color="auto" w:fill="auto"/>
            <w:noWrap/>
            <w:vAlign w:val="bottom"/>
            <w:hideMark/>
          </w:tcPr>
          <w:p w14:paraId="7A19C0F3" w14:textId="77777777" w:rsidR="00032304" w:rsidRPr="00D151E4" w:rsidRDefault="00032304" w:rsidP="00221CD1">
            <w:pPr>
              <w:spacing w:line="240" w:lineRule="auto"/>
              <w:rPr>
                <w:rFonts w:eastAsia="Times New Roman"/>
                <w:color w:val="000000"/>
                <w:sz w:val="16"/>
                <w:szCs w:val="16"/>
                <w:lang w:val="en-US"/>
              </w:rPr>
            </w:pPr>
            <w:r w:rsidRPr="00D151E4">
              <w:rPr>
                <w:rFonts w:eastAsia="Times New Roman"/>
                <w:color w:val="000000"/>
                <w:sz w:val="16"/>
                <w:szCs w:val="16"/>
                <w:lang w:val="en-US"/>
              </w:rPr>
              <w:t>chaetomium</w:t>
            </w:r>
          </w:p>
        </w:tc>
        <w:tc>
          <w:tcPr>
            <w:tcW w:w="1305" w:type="dxa"/>
            <w:tcBorders>
              <w:top w:val="nil"/>
              <w:left w:val="nil"/>
              <w:bottom w:val="nil"/>
              <w:right w:val="nil"/>
            </w:tcBorders>
            <w:shd w:val="clear" w:color="000000" w:fill="FF9600"/>
            <w:noWrap/>
            <w:vAlign w:val="bottom"/>
            <w:hideMark/>
          </w:tcPr>
          <w:p w14:paraId="490C3352"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3.61</w:t>
            </w:r>
          </w:p>
        </w:tc>
        <w:tc>
          <w:tcPr>
            <w:tcW w:w="1305" w:type="dxa"/>
            <w:tcBorders>
              <w:top w:val="nil"/>
              <w:left w:val="nil"/>
              <w:bottom w:val="nil"/>
              <w:right w:val="nil"/>
            </w:tcBorders>
            <w:shd w:val="clear" w:color="000000" w:fill="FFC000"/>
            <w:noWrap/>
            <w:vAlign w:val="bottom"/>
            <w:hideMark/>
          </w:tcPr>
          <w:p w14:paraId="7419B32B"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0.06</w:t>
            </w:r>
          </w:p>
        </w:tc>
        <w:tc>
          <w:tcPr>
            <w:tcW w:w="1305" w:type="dxa"/>
            <w:tcBorders>
              <w:top w:val="nil"/>
              <w:left w:val="nil"/>
              <w:bottom w:val="nil"/>
              <w:right w:val="nil"/>
            </w:tcBorders>
            <w:shd w:val="clear" w:color="000000" w:fill="FF8900"/>
            <w:noWrap/>
            <w:vAlign w:val="bottom"/>
            <w:hideMark/>
          </w:tcPr>
          <w:p w14:paraId="18FB656B"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4.70</w:t>
            </w:r>
          </w:p>
        </w:tc>
        <w:tc>
          <w:tcPr>
            <w:tcW w:w="1305" w:type="dxa"/>
            <w:tcBorders>
              <w:top w:val="nil"/>
              <w:left w:val="nil"/>
              <w:bottom w:val="nil"/>
              <w:right w:val="nil"/>
            </w:tcBorders>
            <w:shd w:val="clear" w:color="000000" w:fill="FFB300"/>
            <w:noWrap/>
            <w:vAlign w:val="bottom"/>
            <w:hideMark/>
          </w:tcPr>
          <w:p w14:paraId="7F6E89D1"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1.23</w:t>
            </w:r>
          </w:p>
        </w:tc>
        <w:tc>
          <w:tcPr>
            <w:tcW w:w="1305" w:type="dxa"/>
            <w:tcBorders>
              <w:top w:val="nil"/>
              <w:left w:val="nil"/>
              <w:bottom w:val="nil"/>
              <w:right w:val="nil"/>
            </w:tcBorders>
            <w:shd w:val="clear" w:color="000000" w:fill="F1D57F"/>
            <w:noWrap/>
            <w:vAlign w:val="bottom"/>
            <w:hideMark/>
          </w:tcPr>
          <w:p w14:paraId="4EAA0FDC"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0.03</w:t>
            </w:r>
          </w:p>
        </w:tc>
        <w:tc>
          <w:tcPr>
            <w:tcW w:w="1305" w:type="dxa"/>
            <w:tcBorders>
              <w:top w:val="nil"/>
              <w:left w:val="nil"/>
              <w:bottom w:val="nil"/>
              <w:right w:val="nil"/>
            </w:tcBorders>
            <w:shd w:val="clear" w:color="000000" w:fill="FBC51F"/>
            <w:noWrap/>
            <w:vAlign w:val="bottom"/>
            <w:hideMark/>
          </w:tcPr>
          <w:p w14:paraId="6D2F4B5A"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0.05</w:t>
            </w:r>
          </w:p>
        </w:tc>
      </w:tr>
      <w:tr w:rsidR="00032304" w:rsidRPr="00D151E4" w14:paraId="7B21D962" w14:textId="77777777" w:rsidTr="00221CD1">
        <w:trPr>
          <w:trHeight w:val="315"/>
        </w:trPr>
        <w:tc>
          <w:tcPr>
            <w:tcW w:w="1530" w:type="dxa"/>
            <w:tcBorders>
              <w:top w:val="nil"/>
              <w:left w:val="nil"/>
              <w:bottom w:val="nil"/>
              <w:right w:val="nil"/>
            </w:tcBorders>
            <w:shd w:val="clear" w:color="auto" w:fill="auto"/>
            <w:noWrap/>
            <w:vAlign w:val="bottom"/>
            <w:hideMark/>
          </w:tcPr>
          <w:p w14:paraId="7A66E781" w14:textId="77777777" w:rsidR="00032304" w:rsidRPr="00D151E4" w:rsidRDefault="00032304" w:rsidP="00221CD1">
            <w:pPr>
              <w:spacing w:line="240" w:lineRule="auto"/>
              <w:rPr>
                <w:rFonts w:eastAsia="Times New Roman"/>
                <w:color w:val="000000"/>
                <w:sz w:val="16"/>
                <w:szCs w:val="16"/>
                <w:lang w:val="en-US"/>
              </w:rPr>
            </w:pPr>
            <w:r w:rsidRPr="00D151E4">
              <w:rPr>
                <w:rFonts w:eastAsia="Times New Roman"/>
                <w:color w:val="000000"/>
                <w:sz w:val="16"/>
                <w:szCs w:val="16"/>
                <w:lang w:val="en-US"/>
              </w:rPr>
              <w:t>rhizophlyctis</w:t>
            </w:r>
          </w:p>
        </w:tc>
        <w:tc>
          <w:tcPr>
            <w:tcW w:w="1305" w:type="dxa"/>
            <w:tcBorders>
              <w:top w:val="nil"/>
              <w:left w:val="nil"/>
              <w:bottom w:val="nil"/>
              <w:right w:val="nil"/>
            </w:tcBorders>
            <w:shd w:val="clear" w:color="000000" w:fill="EAE2C8"/>
            <w:noWrap/>
            <w:vAlign w:val="bottom"/>
            <w:hideMark/>
          </w:tcPr>
          <w:p w14:paraId="58CC3CFE"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0.01</w:t>
            </w:r>
          </w:p>
        </w:tc>
        <w:tc>
          <w:tcPr>
            <w:tcW w:w="1305" w:type="dxa"/>
            <w:tcBorders>
              <w:top w:val="nil"/>
              <w:left w:val="nil"/>
              <w:bottom w:val="nil"/>
              <w:right w:val="nil"/>
            </w:tcBorders>
            <w:shd w:val="clear" w:color="000000" w:fill="E8E4D5"/>
            <w:noWrap/>
            <w:vAlign w:val="bottom"/>
            <w:hideMark/>
          </w:tcPr>
          <w:p w14:paraId="2E4CC34D"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0.01</w:t>
            </w:r>
          </w:p>
        </w:tc>
        <w:tc>
          <w:tcPr>
            <w:tcW w:w="1305" w:type="dxa"/>
            <w:tcBorders>
              <w:top w:val="nil"/>
              <w:left w:val="nil"/>
              <w:bottom w:val="nil"/>
              <w:right w:val="nil"/>
            </w:tcBorders>
            <w:shd w:val="clear" w:color="000000" w:fill="FFA000"/>
            <w:noWrap/>
            <w:vAlign w:val="bottom"/>
            <w:hideMark/>
          </w:tcPr>
          <w:p w14:paraId="51ED3172"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2.78</w:t>
            </w:r>
          </w:p>
        </w:tc>
        <w:tc>
          <w:tcPr>
            <w:tcW w:w="1305" w:type="dxa"/>
            <w:tcBorders>
              <w:top w:val="nil"/>
              <w:left w:val="nil"/>
              <w:bottom w:val="nil"/>
              <w:right w:val="nil"/>
            </w:tcBorders>
            <w:shd w:val="clear" w:color="000000" w:fill="ECDEB4"/>
            <w:noWrap/>
            <w:vAlign w:val="bottom"/>
            <w:hideMark/>
          </w:tcPr>
          <w:p w14:paraId="138EBF67"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0.01</w:t>
            </w:r>
          </w:p>
        </w:tc>
        <w:tc>
          <w:tcPr>
            <w:tcW w:w="1305" w:type="dxa"/>
            <w:tcBorders>
              <w:top w:val="nil"/>
              <w:left w:val="nil"/>
              <w:bottom w:val="nil"/>
              <w:right w:val="nil"/>
            </w:tcBorders>
            <w:shd w:val="clear" w:color="000000" w:fill="E7E6E6"/>
            <w:noWrap/>
            <w:vAlign w:val="bottom"/>
            <w:hideMark/>
          </w:tcPr>
          <w:p w14:paraId="665195DA"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0.00</w:t>
            </w:r>
          </w:p>
        </w:tc>
        <w:tc>
          <w:tcPr>
            <w:tcW w:w="1305" w:type="dxa"/>
            <w:tcBorders>
              <w:top w:val="nil"/>
              <w:left w:val="nil"/>
              <w:bottom w:val="nil"/>
              <w:right w:val="nil"/>
            </w:tcBorders>
            <w:shd w:val="clear" w:color="000000" w:fill="E8E4D5"/>
            <w:noWrap/>
            <w:vAlign w:val="bottom"/>
            <w:hideMark/>
          </w:tcPr>
          <w:p w14:paraId="62EEB851"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0.01</w:t>
            </w:r>
          </w:p>
        </w:tc>
      </w:tr>
      <w:tr w:rsidR="00032304" w:rsidRPr="00D151E4" w14:paraId="01F4431A" w14:textId="77777777" w:rsidTr="00221CD1">
        <w:trPr>
          <w:trHeight w:val="315"/>
        </w:trPr>
        <w:tc>
          <w:tcPr>
            <w:tcW w:w="1530" w:type="dxa"/>
            <w:tcBorders>
              <w:top w:val="nil"/>
              <w:left w:val="nil"/>
              <w:bottom w:val="nil"/>
              <w:right w:val="nil"/>
            </w:tcBorders>
            <w:shd w:val="clear" w:color="auto" w:fill="auto"/>
            <w:noWrap/>
            <w:vAlign w:val="bottom"/>
            <w:hideMark/>
          </w:tcPr>
          <w:p w14:paraId="5C9D7C43" w14:textId="77777777" w:rsidR="00032304" w:rsidRPr="00D151E4" w:rsidRDefault="00032304" w:rsidP="00221CD1">
            <w:pPr>
              <w:spacing w:line="240" w:lineRule="auto"/>
              <w:rPr>
                <w:rFonts w:eastAsia="Times New Roman"/>
                <w:color w:val="000000"/>
                <w:sz w:val="16"/>
                <w:szCs w:val="16"/>
                <w:lang w:val="en-US"/>
              </w:rPr>
            </w:pPr>
            <w:r w:rsidRPr="00D151E4">
              <w:rPr>
                <w:rFonts w:eastAsia="Times New Roman"/>
                <w:color w:val="000000"/>
                <w:sz w:val="16"/>
                <w:szCs w:val="16"/>
                <w:lang w:val="en-US"/>
              </w:rPr>
              <w:t>leucoagaricus</w:t>
            </w:r>
          </w:p>
        </w:tc>
        <w:tc>
          <w:tcPr>
            <w:tcW w:w="1305" w:type="dxa"/>
            <w:tcBorders>
              <w:top w:val="nil"/>
              <w:left w:val="nil"/>
              <w:bottom w:val="nil"/>
              <w:right w:val="nil"/>
            </w:tcBorders>
            <w:shd w:val="clear" w:color="000000" w:fill="FFC000"/>
            <w:noWrap/>
            <w:vAlign w:val="bottom"/>
            <w:hideMark/>
          </w:tcPr>
          <w:p w14:paraId="20B4F354"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0.31</w:t>
            </w:r>
          </w:p>
        </w:tc>
        <w:tc>
          <w:tcPr>
            <w:tcW w:w="1305" w:type="dxa"/>
            <w:tcBorders>
              <w:top w:val="nil"/>
              <w:left w:val="nil"/>
              <w:bottom w:val="nil"/>
              <w:right w:val="nil"/>
            </w:tcBorders>
            <w:shd w:val="clear" w:color="000000" w:fill="FFBC00"/>
            <w:noWrap/>
            <w:vAlign w:val="bottom"/>
            <w:hideMark/>
          </w:tcPr>
          <w:p w14:paraId="58E7A0F3"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0.52</w:t>
            </w:r>
          </w:p>
        </w:tc>
        <w:tc>
          <w:tcPr>
            <w:tcW w:w="1305" w:type="dxa"/>
            <w:tcBorders>
              <w:top w:val="nil"/>
              <w:left w:val="nil"/>
              <w:bottom w:val="nil"/>
              <w:right w:val="nil"/>
            </w:tcBorders>
            <w:shd w:val="clear" w:color="000000" w:fill="FFC000"/>
            <w:noWrap/>
            <w:vAlign w:val="bottom"/>
            <w:hideMark/>
          </w:tcPr>
          <w:p w14:paraId="49167666"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0.27</w:t>
            </w:r>
          </w:p>
        </w:tc>
        <w:tc>
          <w:tcPr>
            <w:tcW w:w="1305" w:type="dxa"/>
            <w:tcBorders>
              <w:top w:val="nil"/>
              <w:left w:val="nil"/>
              <w:bottom w:val="nil"/>
              <w:right w:val="nil"/>
            </w:tcBorders>
            <w:shd w:val="clear" w:color="000000" w:fill="FF0000"/>
            <w:noWrap/>
            <w:vAlign w:val="bottom"/>
            <w:hideMark/>
          </w:tcPr>
          <w:p w14:paraId="7DC90503"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10.12</w:t>
            </w:r>
          </w:p>
        </w:tc>
        <w:tc>
          <w:tcPr>
            <w:tcW w:w="1305" w:type="dxa"/>
            <w:tcBorders>
              <w:top w:val="nil"/>
              <w:left w:val="nil"/>
              <w:bottom w:val="nil"/>
              <w:right w:val="nil"/>
            </w:tcBorders>
            <w:shd w:val="clear" w:color="000000" w:fill="E9E3D2"/>
            <w:noWrap/>
            <w:vAlign w:val="bottom"/>
            <w:hideMark/>
          </w:tcPr>
          <w:p w14:paraId="23D23BC1"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0.03</w:t>
            </w:r>
          </w:p>
        </w:tc>
        <w:tc>
          <w:tcPr>
            <w:tcW w:w="1305" w:type="dxa"/>
            <w:tcBorders>
              <w:top w:val="nil"/>
              <w:left w:val="nil"/>
              <w:bottom w:val="nil"/>
              <w:right w:val="nil"/>
            </w:tcBorders>
            <w:shd w:val="clear" w:color="000000" w:fill="EBE0C0"/>
            <w:noWrap/>
            <w:vAlign w:val="bottom"/>
            <w:hideMark/>
          </w:tcPr>
          <w:p w14:paraId="534B11BC"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0.05</w:t>
            </w:r>
          </w:p>
        </w:tc>
      </w:tr>
      <w:tr w:rsidR="00032304" w:rsidRPr="00D151E4" w14:paraId="4FDCE4A6" w14:textId="77777777" w:rsidTr="00221CD1">
        <w:trPr>
          <w:trHeight w:val="315"/>
        </w:trPr>
        <w:tc>
          <w:tcPr>
            <w:tcW w:w="1530" w:type="dxa"/>
            <w:tcBorders>
              <w:top w:val="nil"/>
              <w:left w:val="nil"/>
              <w:bottom w:val="nil"/>
              <w:right w:val="nil"/>
            </w:tcBorders>
            <w:shd w:val="clear" w:color="auto" w:fill="auto"/>
            <w:noWrap/>
            <w:vAlign w:val="bottom"/>
            <w:hideMark/>
          </w:tcPr>
          <w:p w14:paraId="12BEDBD8" w14:textId="77777777" w:rsidR="00032304" w:rsidRPr="00D151E4" w:rsidRDefault="00032304" w:rsidP="00221CD1">
            <w:pPr>
              <w:spacing w:line="240" w:lineRule="auto"/>
              <w:rPr>
                <w:rFonts w:eastAsia="Times New Roman"/>
                <w:color w:val="000000"/>
                <w:sz w:val="16"/>
                <w:szCs w:val="16"/>
                <w:lang w:val="en-US"/>
              </w:rPr>
            </w:pPr>
            <w:r w:rsidRPr="00D151E4">
              <w:rPr>
                <w:rFonts w:eastAsia="Times New Roman"/>
                <w:color w:val="000000"/>
                <w:sz w:val="16"/>
                <w:szCs w:val="16"/>
                <w:lang w:val="en-US"/>
              </w:rPr>
              <w:t>leucoagaricus</w:t>
            </w:r>
          </w:p>
        </w:tc>
        <w:tc>
          <w:tcPr>
            <w:tcW w:w="1305" w:type="dxa"/>
            <w:tcBorders>
              <w:top w:val="nil"/>
              <w:left w:val="nil"/>
              <w:bottom w:val="nil"/>
              <w:right w:val="nil"/>
            </w:tcBorders>
            <w:shd w:val="clear" w:color="000000" w:fill="FEC103"/>
            <w:noWrap/>
            <w:vAlign w:val="bottom"/>
            <w:hideMark/>
          </w:tcPr>
          <w:p w14:paraId="3F04A511"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0.27</w:t>
            </w:r>
          </w:p>
        </w:tc>
        <w:tc>
          <w:tcPr>
            <w:tcW w:w="1305" w:type="dxa"/>
            <w:tcBorders>
              <w:top w:val="nil"/>
              <w:left w:val="nil"/>
              <w:bottom w:val="nil"/>
              <w:right w:val="nil"/>
            </w:tcBorders>
            <w:shd w:val="clear" w:color="000000" w:fill="F3D26B"/>
            <w:noWrap/>
            <w:vAlign w:val="bottom"/>
            <w:hideMark/>
          </w:tcPr>
          <w:p w14:paraId="303D657A"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0.15</w:t>
            </w:r>
          </w:p>
        </w:tc>
        <w:tc>
          <w:tcPr>
            <w:tcW w:w="1305" w:type="dxa"/>
            <w:tcBorders>
              <w:top w:val="nil"/>
              <w:left w:val="nil"/>
              <w:bottom w:val="nil"/>
              <w:right w:val="nil"/>
            </w:tcBorders>
            <w:shd w:val="clear" w:color="000000" w:fill="F3D26C"/>
            <w:noWrap/>
            <w:vAlign w:val="bottom"/>
            <w:hideMark/>
          </w:tcPr>
          <w:p w14:paraId="3E6ACD2A"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0.15</w:t>
            </w:r>
          </w:p>
        </w:tc>
        <w:tc>
          <w:tcPr>
            <w:tcW w:w="1305" w:type="dxa"/>
            <w:tcBorders>
              <w:top w:val="nil"/>
              <w:left w:val="nil"/>
              <w:bottom w:val="nil"/>
              <w:right w:val="nil"/>
            </w:tcBorders>
            <w:shd w:val="clear" w:color="000000" w:fill="FF2200"/>
            <w:noWrap/>
            <w:vAlign w:val="bottom"/>
            <w:hideMark/>
          </w:tcPr>
          <w:p w14:paraId="224DA7EA"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8.41</w:t>
            </w:r>
          </w:p>
        </w:tc>
        <w:tc>
          <w:tcPr>
            <w:tcW w:w="1305" w:type="dxa"/>
            <w:tcBorders>
              <w:top w:val="nil"/>
              <w:left w:val="nil"/>
              <w:bottom w:val="nil"/>
              <w:right w:val="nil"/>
            </w:tcBorders>
            <w:shd w:val="clear" w:color="000000" w:fill="E8E4D5"/>
            <w:noWrap/>
            <w:vAlign w:val="bottom"/>
            <w:hideMark/>
          </w:tcPr>
          <w:p w14:paraId="182F85D1"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0.02</w:t>
            </w:r>
          </w:p>
        </w:tc>
        <w:tc>
          <w:tcPr>
            <w:tcW w:w="1305" w:type="dxa"/>
            <w:tcBorders>
              <w:top w:val="nil"/>
              <w:left w:val="nil"/>
              <w:bottom w:val="nil"/>
              <w:right w:val="nil"/>
            </w:tcBorders>
            <w:shd w:val="clear" w:color="000000" w:fill="E9E2CC"/>
            <w:noWrap/>
            <w:vAlign w:val="bottom"/>
            <w:hideMark/>
          </w:tcPr>
          <w:p w14:paraId="722D532D"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0.03</w:t>
            </w:r>
          </w:p>
        </w:tc>
      </w:tr>
      <w:tr w:rsidR="00032304" w:rsidRPr="00D151E4" w14:paraId="1803B8B2" w14:textId="77777777" w:rsidTr="00221CD1">
        <w:trPr>
          <w:trHeight w:val="315"/>
        </w:trPr>
        <w:tc>
          <w:tcPr>
            <w:tcW w:w="1530" w:type="dxa"/>
            <w:tcBorders>
              <w:top w:val="nil"/>
              <w:left w:val="nil"/>
              <w:bottom w:val="nil"/>
              <w:right w:val="nil"/>
            </w:tcBorders>
            <w:shd w:val="clear" w:color="auto" w:fill="auto"/>
            <w:noWrap/>
            <w:vAlign w:val="bottom"/>
            <w:hideMark/>
          </w:tcPr>
          <w:p w14:paraId="683CA585" w14:textId="77777777" w:rsidR="00032304" w:rsidRPr="00D151E4" w:rsidRDefault="00032304" w:rsidP="00221CD1">
            <w:pPr>
              <w:spacing w:line="240" w:lineRule="auto"/>
              <w:rPr>
                <w:rFonts w:eastAsia="Times New Roman"/>
                <w:color w:val="000000"/>
                <w:sz w:val="16"/>
                <w:szCs w:val="16"/>
                <w:lang w:val="en-US"/>
              </w:rPr>
            </w:pPr>
            <w:r w:rsidRPr="00D151E4">
              <w:rPr>
                <w:rFonts w:eastAsia="Times New Roman"/>
                <w:color w:val="000000"/>
                <w:sz w:val="16"/>
                <w:szCs w:val="16"/>
                <w:lang w:val="en-US"/>
              </w:rPr>
              <w:t>phellodon</w:t>
            </w:r>
          </w:p>
        </w:tc>
        <w:tc>
          <w:tcPr>
            <w:tcW w:w="1305" w:type="dxa"/>
            <w:tcBorders>
              <w:top w:val="nil"/>
              <w:left w:val="nil"/>
              <w:bottom w:val="nil"/>
              <w:right w:val="nil"/>
            </w:tcBorders>
            <w:shd w:val="clear" w:color="000000" w:fill="F2D477"/>
            <w:noWrap/>
            <w:vAlign w:val="bottom"/>
            <w:hideMark/>
          </w:tcPr>
          <w:p w14:paraId="79A6CAC3"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0.13</w:t>
            </w:r>
          </w:p>
        </w:tc>
        <w:tc>
          <w:tcPr>
            <w:tcW w:w="1305" w:type="dxa"/>
            <w:tcBorders>
              <w:top w:val="nil"/>
              <w:left w:val="nil"/>
              <w:bottom w:val="nil"/>
              <w:right w:val="nil"/>
            </w:tcBorders>
            <w:shd w:val="clear" w:color="000000" w:fill="E8E4D7"/>
            <w:noWrap/>
            <w:vAlign w:val="bottom"/>
            <w:hideMark/>
          </w:tcPr>
          <w:p w14:paraId="0EBD86D1"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0.02</w:t>
            </w:r>
          </w:p>
        </w:tc>
        <w:tc>
          <w:tcPr>
            <w:tcW w:w="1305" w:type="dxa"/>
            <w:tcBorders>
              <w:top w:val="nil"/>
              <w:left w:val="nil"/>
              <w:bottom w:val="nil"/>
              <w:right w:val="nil"/>
            </w:tcBorders>
            <w:shd w:val="clear" w:color="000000" w:fill="EFD998"/>
            <w:noWrap/>
            <w:vAlign w:val="bottom"/>
            <w:hideMark/>
          </w:tcPr>
          <w:p w14:paraId="17E9A9AA"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0.09</w:t>
            </w:r>
          </w:p>
        </w:tc>
        <w:tc>
          <w:tcPr>
            <w:tcW w:w="1305" w:type="dxa"/>
            <w:tcBorders>
              <w:top w:val="nil"/>
              <w:left w:val="nil"/>
              <w:bottom w:val="nil"/>
              <w:right w:val="nil"/>
            </w:tcBorders>
            <w:shd w:val="clear" w:color="000000" w:fill="FF3000"/>
            <w:noWrap/>
            <w:vAlign w:val="bottom"/>
            <w:hideMark/>
          </w:tcPr>
          <w:p w14:paraId="7A1E98E6"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7.66</w:t>
            </w:r>
          </w:p>
        </w:tc>
        <w:tc>
          <w:tcPr>
            <w:tcW w:w="1305" w:type="dxa"/>
            <w:tcBorders>
              <w:top w:val="nil"/>
              <w:left w:val="nil"/>
              <w:bottom w:val="nil"/>
              <w:right w:val="nil"/>
            </w:tcBorders>
            <w:shd w:val="clear" w:color="000000" w:fill="E7E6E6"/>
            <w:noWrap/>
            <w:vAlign w:val="bottom"/>
            <w:hideMark/>
          </w:tcPr>
          <w:p w14:paraId="02DCADF6"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0.00</w:t>
            </w:r>
          </w:p>
        </w:tc>
        <w:tc>
          <w:tcPr>
            <w:tcW w:w="1305" w:type="dxa"/>
            <w:tcBorders>
              <w:top w:val="nil"/>
              <w:left w:val="nil"/>
              <w:bottom w:val="nil"/>
              <w:right w:val="nil"/>
            </w:tcBorders>
            <w:shd w:val="clear" w:color="000000" w:fill="E9E3D1"/>
            <w:noWrap/>
            <w:vAlign w:val="bottom"/>
            <w:hideMark/>
          </w:tcPr>
          <w:p w14:paraId="670A7A53"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0.03</w:t>
            </w:r>
          </w:p>
        </w:tc>
      </w:tr>
      <w:tr w:rsidR="00032304" w:rsidRPr="00D151E4" w14:paraId="08045B22" w14:textId="77777777" w:rsidTr="00221CD1">
        <w:trPr>
          <w:trHeight w:val="315"/>
        </w:trPr>
        <w:tc>
          <w:tcPr>
            <w:tcW w:w="1530" w:type="dxa"/>
            <w:tcBorders>
              <w:top w:val="nil"/>
              <w:left w:val="nil"/>
              <w:bottom w:val="nil"/>
              <w:right w:val="nil"/>
            </w:tcBorders>
            <w:shd w:val="clear" w:color="auto" w:fill="auto"/>
            <w:noWrap/>
            <w:vAlign w:val="bottom"/>
            <w:hideMark/>
          </w:tcPr>
          <w:p w14:paraId="61D1366A" w14:textId="77777777" w:rsidR="00032304" w:rsidRPr="00D151E4" w:rsidRDefault="00032304" w:rsidP="00221CD1">
            <w:pPr>
              <w:spacing w:line="240" w:lineRule="auto"/>
              <w:rPr>
                <w:rFonts w:eastAsia="Times New Roman"/>
                <w:color w:val="000000"/>
                <w:sz w:val="16"/>
                <w:szCs w:val="16"/>
                <w:lang w:val="en-US"/>
              </w:rPr>
            </w:pPr>
            <w:r w:rsidRPr="00D151E4">
              <w:rPr>
                <w:rFonts w:eastAsia="Times New Roman"/>
                <w:color w:val="000000"/>
                <w:sz w:val="16"/>
                <w:szCs w:val="16"/>
                <w:lang w:val="en-US"/>
              </w:rPr>
              <w:t>mortierella</w:t>
            </w:r>
          </w:p>
        </w:tc>
        <w:tc>
          <w:tcPr>
            <w:tcW w:w="1305" w:type="dxa"/>
            <w:tcBorders>
              <w:top w:val="nil"/>
              <w:left w:val="nil"/>
              <w:bottom w:val="nil"/>
              <w:right w:val="nil"/>
            </w:tcBorders>
            <w:shd w:val="clear" w:color="000000" w:fill="FF8900"/>
            <w:noWrap/>
            <w:vAlign w:val="bottom"/>
            <w:hideMark/>
          </w:tcPr>
          <w:p w14:paraId="322171BA"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3.14</w:t>
            </w:r>
          </w:p>
        </w:tc>
        <w:tc>
          <w:tcPr>
            <w:tcW w:w="1305" w:type="dxa"/>
            <w:tcBorders>
              <w:top w:val="nil"/>
              <w:left w:val="nil"/>
              <w:bottom w:val="nil"/>
              <w:right w:val="nil"/>
            </w:tcBorders>
            <w:shd w:val="clear" w:color="000000" w:fill="FFA300"/>
            <w:noWrap/>
            <w:vAlign w:val="bottom"/>
            <w:hideMark/>
          </w:tcPr>
          <w:p w14:paraId="4814B1A7"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1.79</w:t>
            </w:r>
          </w:p>
        </w:tc>
        <w:tc>
          <w:tcPr>
            <w:tcW w:w="1305" w:type="dxa"/>
            <w:tcBorders>
              <w:top w:val="nil"/>
              <w:left w:val="nil"/>
              <w:bottom w:val="nil"/>
              <w:right w:val="nil"/>
            </w:tcBorders>
            <w:shd w:val="clear" w:color="000000" w:fill="FF9F00"/>
            <w:noWrap/>
            <w:vAlign w:val="bottom"/>
            <w:hideMark/>
          </w:tcPr>
          <w:p w14:paraId="5CF03FA3"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2.02</w:t>
            </w:r>
          </w:p>
        </w:tc>
        <w:tc>
          <w:tcPr>
            <w:tcW w:w="1305" w:type="dxa"/>
            <w:tcBorders>
              <w:top w:val="nil"/>
              <w:left w:val="nil"/>
              <w:bottom w:val="nil"/>
              <w:right w:val="nil"/>
            </w:tcBorders>
            <w:shd w:val="clear" w:color="000000" w:fill="FF4C00"/>
            <w:noWrap/>
            <w:vAlign w:val="bottom"/>
            <w:hideMark/>
          </w:tcPr>
          <w:p w14:paraId="07C6469B"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6.23</w:t>
            </w:r>
          </w:p>
        </w:tc>
        <w:tc>
          <w:tcPr>
            <w:tcW w:w="1305" w:type="dxa"/>
            <w:tcBorders>
              <w:top w:val="nil"/>
              <w:left w:val="nil"/>
              <w:bottom w:val="nil"/>
              <w:right w:val="nil"/>
            </w:tcBorders>
            <w:shd w:val="clear" w:color="000000" w:fill="ECDEB4"/>
            <w:noWrap/>
            <w:vAlign w:val="bottom"/>
            <w:hideMark/>
          </w:tcPr>
          <w:p w14:paraId="5C8F5B7C"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0.06</w:t>
            </w:r>
          </w:p>
        </w:tc>
        <w:tc>
          <w:tcPr>
            <w:tcW w:w="1305" w:type="dxa"/>
            <w:tcBorders>
              <w:top w:val="nil"/>
              <w:left w:val="nil"/>
              <w:bottom w:val="nil"/>
              <w:right w:val="nil"/>
            </w:tcBorders>
            <w:shd w:val="clear" w:color="000000" w:fill="FFC000"/>
            <w:noWrap/>
            <w:vAlign w:val="bottom"/>
            <w:hideMark/>
          </w:tcPr>
          <w:p w14:paraId="02B58036"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0.27</w:t>
            </w:r>
          </w:p>
        </w:tc>
      </w:tr>
      <w:tr w:rsidR="00032304" w:rsidRPr="00D151E4" w14:paraId="6FF762B3" w14:textId="77777777" w:rsidTr="00221CD1">
        <w:trPr>
          <w:trHeight w:val="315"/>
        </w:trPr>
        <w:tc>
          <w:tcPr>
            <w:tcW w:w="1530" w:type="dxa"/>
            <w:tcBorders>
              <w:top w:val="nil"/>
              <w:left w:val="nil"/>
              <w:bottom w:val="nil"/>
              <w:right w:val="nil"/>
            </w:tcBorders>
            <w:shd w:val="clear" w:color="auto" w:fill="auto"/>
            <w:noWrap/>
            <w:vAlign w:val="bottom"/>
            <w:hideMark/>
          </w:tcPr>
          <w:p w14:paraId="2A28CDB8" w14:textId="77777777" w:rsidR="00032304" w:rsidRPr="00D151E4" w:rsidRDefault="00032304" w:rsidP="00221CD1">
            <w:pPr>
              <w:spacing w:line="240" w:lineRule="auto"/>
              <w:rPr>
                <w:rFonts w:eastAsia="Times New Roman"/>
                <w:color w:val="000000"/>
                <w:sz w:val="16"/>
                <w:szCs w:val="16"/>
                <w:lang w:val="en-US"/>
              </w:rPr>
            </w:pPr>
            <w:r w:rsidRPr="00D151E4">
              <w:rPr>
                <w:rFonts w:eastAsia="Times New Roman"/>
                <w:color w:val="000000"/>
                <w:sz w:val="16"/>
                <w:szCs w:val="16"/>
                <w:lang w:val="en-US"/>
              </w:rPr>
              <w:t>mortierella</w:t>
            </w:r>
          </w:p>
        </w:tc>
        <w:tc>
          <w:tcPr>
            <w:tcW w:w="1305" w:type="dxa"/>
            <w:tcBorders>
              <w:top w:val="nil"/>
              <w:left w:val="nil"/>
              <w:bottom w:val="nil"/>
              <w:right w:val="nil"/>
            </w:tcBorders>
            <w:shd w:val="clear" w:color="000000" w:fill="FFB100"/>
            <w:noWrap/>
            <w:vAlign w:val="bottom"/>
            <w:hideMark/>
          </w:tcPr>
          <w:p w14:paraId="7A68D64F"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1.08</w:t>
            </w:r>
          </w:p>
        </w:tc>
        <w:tc>
          <w:tcPr>
            <w:tcW w:w="1305" w:type="dxa"/>
            <w:tcBorders>
              <w:top w:val="nil"/>
              <w:left w:val="nil"/>
              <w:bottom w:val="nil"/>
              <w:right w:val="nil"/>
            </w:tcBorders>
            <w:shd w:val="clear" w:color="000000" w:fill="FFB100"/>
            <w:noWrap/>
            <w:vAlign w:val="bottom"/>
            <w:hideMark/>
          </w:tcPr>
          <w:p w14:paraId="22F29AC9"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1.06</w:t>
            </w:r>
          </w:p>
        </w:tc>
        <w:tc>
          <w:tcPr>
            <w:tcW w:w="1305" w:type="dxa"/>
            <w:tcBorders>
              <w:top w:val="nil"/>
              <w:left w:val="nil"/>
              <w:bottom w:val="nil"/>
              <w:right w:val="nil"/>
            </w:tcBorders>
            <w:shd w:val="clear" w:color="000000" w:fill="FFA800"/>
            <w:noWrap/>
            <w:vAlign w:val="bottom"/>
            <w:hideMark/>
          </w:tcPr>
          <w:p w14:paraId="5028D979"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1.53</w:t>
            </w:r>
          </w:p>
        </w:tc>
        <w:tc>
          <w:tcPr>
            <w:tcW w:w="1305" w:type="dxa"/>
            <w:tcBorders>
              <w:top w:val="nil"/>
              <w:left w:val="nil"/>
              <w:bottom w:val="nil"/>
              <w:right w:val="nil"/>
            </w:tcBorders>
            <w:shd w:val="clear" w:color="000000" w:fill="FF5000"/>
            <w:noWrap/>
            <w:vAlign w:val="bottom"/>
            <w:hideMark/>
          </w:tcPr>
          <w:p w14:paraId="4A2BE999"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6.04</w:t>
            </w:r>
          </w:p>
        </w:tc>
        <w:tc>
          <w:tcPr>
            <w:tcW w:w="1305" w:type="dxa"/>
            <w:tcBorders>
              <w:top w:val="nil"/>
              <w:left w:val="nil"/>
              <w:bottom w:val="nil"/>
              <w:right w:val="nil"/>
            </w:tcBorders>
            <w:shd w:val="clear" w:color="000000" w:fill="EAE2C8"/>
            <w:noWrap/>
            <w:vAlign w:val="bottom"/>
            <w:hideMark/>
          </w:tcPr>
          <w:p w14:paraId="11AD68FA"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0.04</w:t>
            </w:r>
          </w:p>
        </w:tc>
        <w:tc>
          <w:tcPr>
            <w:tcW w:w="1305" w:type="dxa"/>
            <w:tcBorders>
              <w:top w:val="nil"/>
              <w:left w:val="nil"/>
              <w:bottom w:val="nil"/>
              <w:right w:val="nil"/>
            </w:tcBorders>
            <w:shd w:val="clear" w:color="000000" w:fill="F2D476"/>
            <w:noWrap/>
            <w:vAlign w:val="bottom"/>
            <w:hideMark/>
          </w:tcPr>
          <w:p w14:paraId="44A102DB"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0.13</w:t>
            </w:r>
          </w:p>
        </w:tc>
      </w:tr>
      <w:tr w:rsidR="00032304" w:rsidRPr="00D151E4" w14:paraId="6A53213E" w14:textId="77777777" w:rsidTr="00221CD1">
        <w:trPr>
          <w:trHeight w:val="315"/>
        </w:trPr>
        <w:tc>
          <w:tcPr>
            <w:tcW w:w="1530" w:type="dxa"/>
            <w:tcBorders>
              <w:top w:val="nil"/>
              <w:left w:val="nil"/>
              <w:bottom w:val="nil"/>
              <w:right w:val="nil"/>
            </w:tcBorders>
            <w:shd w:val="clear" w:color="auto" w:fill="auto"/>
            <w:noWrap/>
            <w:vAlign w:val="bottom"/>
            <w:hideMark/>
          </w:tcPr>
          <w:p w14:paraId="00925063" w14:textId="77777777" w:rsidR="00032304" w:rsidRPr="00D151E4" w:rsidRDefault="00032304" w:rsidP="00221CD1">
            <w:pPr>
              <w:spacing w:line="240" w:lineRule="auto"/>
              <w:rPr>
                <w:rFonts w:eastAsia="Times New Roman"/>
                <w:color w:val="000000"/>
                <w:sz w:val="16"/>
                <w:szCs w:val="16"/>
                <w:lang w:val="en-US"/>
              </w:rPr>
            </w:pPr>
            <w:r w:rsidRPr="00D151E4">
              <w:rPr>
                <w:rFonts w:eastAsia="Times New Roman"/>
                <w:color w:val="000000"/>
                <w:sz w:val="16"/>
                <w:szCs w:val="16"/>
                <w:lang w:val="en-US"/>
              </w:rPr>
              <w:t>pisolithus</w:t>
            </w:r>
          </w:p>
        </w:tc>
        <w:tc>
          <w:tcPr>
            <w:tcW w:w="1305" w:type="dxa"/>
            <w:tcBorders>
              <w:top w:val="nil"/>
              <w:left w:val="nil"/>
              <w:bottom w:val="nil"/>
              <w:right w:val="nil"/>
            </w:tcBorders>
            <w:shd w:val="clear" w:color="000000" w:fill="FFC000"/>
            <w:noWrap/>
            <w:vAlign w:val="bottom"/>
            <w:hideMark/>
          </w:tcPr>
          <w:p w14:paraId="0822940D"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0.08</w:t>
            </w:r>
          </w:p>
        </w:tc>
        <w:tc>
          <w:tcPr>
            <w:tcW w:w="1305" w:type="dxa"/>
            <w:tcBorders>
              <w:top w:val="nil"/>
              <w:left w:val="nil"/>
              <w:bottom w:val="nil"/>
              <w:right w:val="nil"/>
            </w:tcBorders>
            <w:shd w:val="clear" w:color="000000" w:fill="FFC000"/>
            <w:noWrap/>
            <w:vAlign w:val="bottom"/>
            <w:hideMark/>
          </w:tcPr>
          <w:p w14:paraId="31965F09"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0.08</w:t>
            </w:r>
          </w:p>
        </w:tc>
        <w:tc>
          <w:tcPr>
            <w:tcW w:w="1305" w:type="dxa"/>
            <w:tcBorders>
              <w:top w:val="nil"/>
              <w:left w:val="nil"/>
              <w:bottom w:val="nil"/>
              <w:right w:val="nil"/>
            </w:tcBorders>
            <w:shd w:val="clear" w:color="000000" w:fill="FFC000"/>
            <w:noWrap/>
            <w:vAlign w:val="bottom"/>
            <w:hideMark/>
          </w:tcPr>
          <w:p w14:paraId="70C8B6F8"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0.13</w:t>
            </w:r>
          </w:p>
        </w:tc>
        <w:tc>
          <w:tcPr>
            <w:tcW w:w="1305" w:type="dxa"/>
            <w:tcBorders>
              <w:top w:val="nil"/>
              <w:left w:val="nil"/>
              <w:bottom w:val="nil"/>
              <w:right w:val="nil"/>
            </w:tcBorders>
            <w:shd w:val="clear" w:color="000000" w:fill="FFC000"/>
            <w:noWrap/>
            <w:vAlign w:val="bottom"/>
            <w:hideMark/>
          </w:tcPr>
          <w:p w14:paraId="5F20305B"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0.11</w:t>
            </w:r>
          </w:p>
        </w:tc>
        <w:tc>
          <w:tcPr>
            <w:tcW w:w="1305" w:type="dxa"/>
            <w:tcBorders>
              <w:top w:val="nil"/>
              <w:left w:val="nil"/>
              <w:bottom w:val="nil"/>
              <w:right w:val="nil"/>
            </w:tcBorders>
            <w:shd w:val="clear" w:color="000000" w:fill="FF0000"/>
            <w:noWrap/>
            <w:vAlign w:val="bottom"/>
            <w:hideMark/>
          </w:tcPr>
          <w:p w14:paraId="70EBF6A3"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29.82</w:t>
            </w:r>
          </w:p>
        </w:tc>
        <w:tc>
          <w:tcPr>
            <w:tcW w:w="1305" w:type="dxa"/>
            <w:tcBorders>
              <w:top w:val="nil"/>
              <w:left w:val="nil"/>
              <w:bottom w:val="nil"/>
              <w:right w:val="nil"/>
            </w:tcBorders>
            <w:shd w:val="clear" w:color="000000" w:fill="FFC000"/>
            <w:noWrap/>
            <w:vAlign w:val="bottom"/>
            <w:hideMark/>
          </w:tcPr>
          <w:p w14:paraId="2761B46A"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0.08</w:t>
            </w:r>
          </w:p>
        </w:tc>
      </w:tr>
      <w:tr w:rsidR="00032304" w:rsidRPr="00D151E4" w14:paraId="19E8F9F9" w14:textId="77777777" w:rsidTr="00221CD1">
        <w:trPr>
          <w:trHeight w:val="315"/>
        </w:trPr>
        <w:tc>
          <w:tcPr>
            <w:tcW w:w="1530" w:type="dxa"/>
            <w:tcBorders>
              <w:top w:val="nil"/>
              <w:left w:val="nil"/>
              <w:bottom w:val="nil"/>
              <w:right w:val="nil"/>
            </w:tcBorders>
            <w:shd w:val="clear" w:color="auto" w:fill="auto"/>
            <w:noWrap/>
            <w:vAlign w:val="bottom"/>
            <w:hideMark/>
          </w:tcPr>
          <w:p w14:paraId="122F4675" w14:textId="77777777" w:rsidR="00032304" w:rsidRPr="00D151E4" w:rsidRDefault="00032304" w:rsidP="00221CD1">
            <w:pPr>
              <w:spacing w:line="240" w:lineRule="auto"/>
              <w:rPr>
                <w:rFonts w:eastAsia="Times New Roman"/>
                <w:color w:val="000000"/>
                <w:sz w:val="16"/>
                <w:szCs w:val="16"/>
                <w:lang w:val="en-US"/>
              </w:rPr>
            </w:pPr>
            <w:r w:rsidRPr="00D151E4">
              <w:rPr>
                <w:rFonts w:eastAsia="Times New Roman"/>
                <w:color w:val="000000"/>
                <w:sz w:val="16"/>
                <w:szCs w:val="16"/>
                <w:lang w:val="en-US"/>
              </w:rPr>
              <w:t>scleroderma</w:t>
            </w:r>
          </w:p>
        </w:tc>
        <w:tc>
          <w:tcPr>
            <w:tcW w:w="1305" w:type="dxa"/>
            <w:tcBorders>
              <w:top w:val="nil"/>
              <w:left w:val="nil"/>
              <w:bottom w:val="nil"/>
              <w:right w:val="nil"/>
            </w:tcBorders>
            <w:shd w:val="clear" w:color="000000" w:fill="EFDA9A"/>
            <w:noWrap/>
            <w:vAlign w:val="bottom"/>
            <w:hideMark/>
          </w:tcPr>
          <w:p w14:paraId="3AAE9E71"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0.01</w:t>
            </w:r>
          </w:p>
        </w:tc>
        <w:tc>
          <w:tcPr>
            <w:tcW w:w="1305" w:type="dxa"/>
            <w:tcBorders>
              <w:top w:val="nil"/>
              <w:left w:val="nil"/>
              <w:bottom w:val="nil"/>
              <w:right w:val="nil"/>
            </w:tcBorders>
            <w:shd w:val="clear" w:color="000000" w:fill="FFC000"/>
            <w:noWrap/>
            <w:vAlign w:val="bottom"/>
            <w:hideMark/>
          </w:tcPr>
          <w:p w14:paraId="580127C5"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0.17</w:t>
            </w:r>
          </w:p>
        </w:tc>
        <w:tc>
          <w:tcPr>
            <w:tcW w:w="1305" w:type="dxa"/>
            <w:tcBorders>
              <w:top w:val="nil"/>
              <w:left w:val="nil"/>
              <w:bottom w:val="nil"/>
              <w:right w:val="nil"/>
            </w:tcBorders>
            <w:shd w:val="clear" w:color="000000" w:fill="FDC30E"/>
            <w:noWrap/>
            <w:vAlign w:val="bottom"/>
            <w:hideMark/>
          </w:tcPr>
          <w:p w14:paraId="3F5F9EC9"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0.02</w:t>
            </w:r>
          </w:p>
        </w:tc>
        <w:tc>
          <w:tcPr>
            <w:tcW w:w="1305" w:type="dxa"/>
            <w:tcBorders>
              <w:top w:val="nil"/>
              <w:left w:val="nil"/>
              <w:bottom w:val="nil"/>
              <w:right w:val="nil"/>
            </w:tcBorders>
            <w:shd w:val="clear" w:color="000000" w:fill="FDC311"/>
            <w:noWrap/>
            <w:vAlign w:val="bottom"/>
            <w:hideMark/>
          </w:tcPr>
          <w:p w14:paraId="525B6647"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0.02</w:t>
            </w:r>
          </w:p>
        </w:tc>
        <w:tc>
          <w:tcPr>
            <w:tcW w:w="1305" w:type="dxa"/>
            <w:tcBorders>
              <w:top w:val="nil"/>
              <w:left w:val="nil"/>
              <w:bottom w:val="nil"/>
              <w:right w:val="nil"/>
            </w:tcBorders>
            <w:shd w:val="clear" w:color="000000" w:fill="FF6F00"/>
            <w:noWrap/>
            <w:vAlign w:val="bottom"/>
            <w:hideMark/>
          </w:tcPr>
          <w:p w14:paraId="176F82CB"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12.68</w:t>
            </w:r>
          </w:p>
        </w:tc>
        <w:tc>
          <w:tcPr>
            <w:tcW w:w="1305" w:type="dxa"/>
            <w:tcBorders>
              <w:top w:val="nil"/>
              <w:left w:val="nil"/>
              <w:bottom w:val="nil"/>
              <w:right w:val="nil"/>
            </w:tcBorders>
            <w:shd w:val="clear" w:color="000000" w:fill="F7CC44"/>
            <w:noWrap/>
            <w:vAlign w:val="bottom"/>
            <w:hideMark/>
          </w:tcPr>
          <w:p w14:paraId="2BF966C9"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0.01</w:t>
            </w:r>
          </w:p>
        </w:tc>
      </w:tr>
      <w:tr w:rsidR="00032304" w:rsidRPr="00D151E4" w14:paraId="5C002356" w14:textId="77777777" w:rsidTr="00221CD1">
        <w:trPr>
          <w:trHeight w:val="315"/>
        </w:trPr>
        <w:tc>
          <w:tcPr>
            <w:tcW w:w="1530" w:type="dxa"/>
            <w:tcBorders>
              <w:top w:val="nil"/>
              <w:left w:val="nil"/>
              <w:bottom w:val="nil"/>
              <w:right w:val="nil"/>
            </w:tcBorders>
            <w:shd w:val="clear" w:color="auto" w:fill="auto"/>
            <w:noWrap/>
            <w:vAlign w:val="bottom"/>
            <w:hideMark/>
          </w:tcPr>
          <w:p w14:paraId="19CA8DD7" w14:textId="77777777" w:rsidR="00032304" w:rsidRPr="00D151E4" w:rsidRDefault="00032304" w:rsidP="00221CD1">
            <w:pPr>
              <w:spacing w:line="240" w:lineRule="auto"/>
              <w:rPr>
                <w:rFonts w:eastAsia="Times New Roman"/>
                <w:color w:val="000000"/>
                <w:sz w:val="16"/>
                <w:szCs w:val="16"/>
                <w:lang w:val="en-US"/>
              </w:rPr>
            </w:pPr>
            <w:r w:rsidRPr="00D151E4">
              <w:rPr>
                <w:rFonts w:eastAsia="Times New Roman"/>
                <w:color w:val="000000"/>
                <w:sz w:val="16"/>
                <w:szCs w:val="16"/>
                <w:lang w:val="en-US"/>
              </w:rPr>
              <w:t>pisolithus</w:t>
            </w:r>
          </w:p>
        </w:tc>
        <w:tc>
          <w:tcPr>
            <w:tcW w:w="1305" w:type="dxa"/>
            <w:tcBorders>
              <w:top w:val="nil"/>
              <w:left w:val="nil"/>
              <w:bottom w:val="nil"/>
              <w:right w:val="nil"/>
            </w:tcBorders>
            <w:shd w:val="clear" w:color="000000" w:fill="FFC000"/>
            <w:noWrap/>
            <w:vAlign w:val="bottom"/>
            <w:hideMark/>
          </w:tcPr>
          <w:p w14:paraId="0AB0366B"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0.04</w:t>
            </w:r>
          </w:p>
        </w:tc>
        <w:tc>
          <w:tcPr>
            <w:tcW w:w="1305" w:type="dxa"/>
            <w:tcBorders>
              <w:top w:val="nil"/>
              <w:left w:val="nil"/>
              <w:bottom w:val="nil"/>
              <w:right w:val="nil"/>
            </w:tcBorders>
            <w:shd w:val="clear" w:color="000000" w:fill="FFC000"/>
            <w:noWrap/>
            <w:vAlign w:val="bottom"/>
            <w:hideMark/>
          </w:tcPr>
          <w:p w14:paraId="25245B06"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0.03</w:t>
            </w:r>
          </w:p>
        </w:tc>
        <w:tc>
          <w:tcPr>
            <w:tcW w:w="1305" w:type="dxa"/>
            <w:tcBorders>
              <w:top w:val="nil"/>
              <w:left w:val="nil"/>
              <w:bottom w:val="nil"/>
              <w:right w:val="nil"/>
            </w:tcBorders>
            <w:shd w:val="clear" w:color="000000" w:fill="FFC000"/>
            <w:noWrap/>
            <w:vAlign w:val="bottom"/>
            <w:hideMark/>
          </w:tcPr>
          <w:p w14:paraId="7EC4B8D6"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0.04</w:t>
            </w:r>
          </w:p>
        </w:tc>
        <w:tc>
          <w:tcPr>
            <w:tcW w:w="1305" w:type="dxa"/>
            <w:tcBorders>
              <w:top w:val="nil"/>
              <w:left w:val="nil"/>
              <w:bottom w:val="nil"/>
              <w:right w:val="nil"/>
            </w:tcBorders>
            <w:shd w:val="clear" w:color="000000" w:fill="FFC000"/>
            <w:noWrap/>
            <w:vAlign w:val="bottom"/>
            <w:hideMark/>
          </w:tcPr>
          <w:p w14:paraId="5BF3EAC4"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0.03</w:t>
            </w:r>
          </w:p>
        </w:tc>
        <w:tc>
          <w:tcPr>
            <w:tcW w:w="1305" w:type="dxa"/>
            <w:tcBorders>
              <w:top w:val="nil"/>
              <w:left w:val="nil"/>
              <w:bottom w:val="nil"/>
              <w:right w:val="nil"/>
            </w:tcBorders>
            <w:shd w:val="clear" w:color="000000" w:fill="FF7A00"/>
            <w:noWrap/>
            <w:vAlign w:val="bottom"/>
            <w:hideMark/>
          </w:tcPr>
          <w:p w14:paraId="37825950"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10.91</w:t>
            </w:r>
          </w:p>
        </w:tc>
        <w:tc>
          <w:tcPr>
            <w:tcW w:w="1305" w:type="dxa"/>
            <w:tcBorders>
              <w:top w:val="nil"/>
              <w:left w:val="nil"/>
              <w:bottom w:val="nil"/>
              <w:right w:val="nil"/>
            </w:tcBorders>
            <w:shd w:val="clear" w:color="000000" w:fill="FFC000"/>
            <w:noWrap/>
            <w:vAlign w:val="bottom"/>
            <w:hideMark/>
          </w:tcPr>
          <w:p w14:paraId="1EA9326C"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0.02</w:t>
            </w:r>
          </w:p>
        </w:tc>
      </w:tr>
      <w:tr w:rsidR="00032304" w:rsidRPr="00D151E4" w14:paraId="07A969D5" w14:textId="77777777" w:rsidTr="00221CD1">
        <w:trPr>
          <w:trHeight w:val="315"/>
        </w:trPr>
        <w:tc>
          <w:tcPr>
            <w:tcW w:w="1530" w:type="dxa"/>
            <w:tcBorders>
              <w:top w:val="nil"/>
              <w:left w:val="nil"/>
              <w:bottom w:val="nil"/>
              <w:right w:val="nil"/>
            </w:tcBorders>
            <w:shd w:val="clear" w:color="auto" w:fill="auto"/>
            <w:noWrap/>
            <w:vAlign w:val="bottom"/>
            <w:hideMark/>
          </w:tcPr>
          <w:p w14:paraId="0C588CBC" w14:textId="77777777" w:rsidR="00032304" w:rsidRPr="00D151E4" w:rsidRDefault="00032304" w:rsidP="00221CD1">
            <w:pPr>
              <w:spacing w:line="240" w:lineRule="auto"/>
              <w:rPr>
                <w:rFonts w:eastAsia="Times New Roman"/>
                <w:color w:val="000000"/>
                <w:sz w:val="16"/>
                <w:szCs w:val="16"/>
                <w:lang w:val="en-US"/>
              </w:rPr>
            </w:pPr>
            <w:r w:rsidRPr="00D151E4">
              <w:rPr>
                <w:rFonts w:eastAsia="Times New Roman"/>
                <w:color w:val="000000"/>
                <w:sz w:val="16"/>
                <w:szCs w:val="16"/>
                <w:lang w:val="en-US"/>
              </w:rPr>
              <w:t>scleroderma</w:t>
            </w:r>
          </w:p>
        </w:tc>
        <w:tc>
          <w:tcPr>
            <w:tcW w:w="1305" w:type="dxa"/>
            <w:tcBorders>
              <w:top w:val="nil"/>
              <w:left w:val="nil"/>
              <w:bottom w:val="nil"/>
              <w:right w:val="nil"/>
            </w:tcBorders>
            <w:shd w:val="clear" w:color="000000" w:fill="FFC000"/>
            <w:noWrap/>
            <w:vAlign w:val="bottom"/>
            <w:hideMark/>
          </w:tcPr>
          <w:p w14:paraId="3C1BD0C1"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0.03</w:t>
            </w:r>
          </w:p>
        </w:tc>
        <w:tc>
          <w:tcPr>
            <w:tcW w:w="1305" w:type="dxa"/>
            <w:tcBorders>
              <w:top w:val="nil"/>
              <w:left w:val="nil"/>
              <w:bottom w:val="nil"/>
              <w:right w:val="nil"/>
            </w:tcBorders>
            <w:shd w:val="clear" w:color="000000" w:fill="FFC000"/>
            <w:noWrap/>
            <w:vAlign w:val="bottom"/>
            <w:hideMark/>
          </w:tcPr>
          <w:p w14:paraId="12244865"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0.07</w:t>
            </w:r>
          </w:p>
        </w:tc>
        <w:tc>
          <w:tcPr>
            <w:tcW w:w="1305" w:type="dxa"/>
            <w:tcBorders>
              <w:top w:val="nil"/>
              <w:left w:val="nil"/>
              <w:bottom w:val="nil"/>
              <w:right w:val="nil"/>
            </w:tcBorders>
            <w:shd w:val="clear" w:color="000000" w:fill="FFC000"/>
            <w:noWrap/>
            <w:vAlign w:val="bottom"/>
            <w:hideMark/>
          </w:tcPr>
          <w:p w14:paraId="14F9FAB9"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0.04</w:t>
            </w:r>
          </w:p>
        </w:tc>
        <w:tc>
          <w:tcPr>
            <w:tcW w:w="1305" w:type="dxa"/>
            <w:tcBorders>
              <w:top w:val="nil"/>
              <w:left w:val="nil"/>
              <w:bottom w:val="nil"/>
              <w:right w:val="nil"/>
            </w:tcBorders>
            <w:shd w:val="clear" w:color="000000" w:fill="FFC000"/>
            <w:noWrap/>
            <w:vAlign w:val="bottom"/>
            <w:hideMark/>
          </w:tcPr>
          <w:p w14:paraId="55144F3E"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0.03</w:t>
            </w:r>
          </w:p>
        </w:tc>
        <w:tc>
          <w:tcPr>
            <w:tcW w:w="1305" w:type="dxa"/>
            <w:tcBorders>
              <w:top w:val="nil"/>
              <w:left w:val="nil"/>
              <w:bottom w:val="nil"/>
              <w:right w:val="nil"/>
            </w:tcBorders>
            <w:shd w:val="clear" w:color="000000" w:fill="FF7F00"/>
            <w:noWrap/>
            <w:vAlign w:val="bottom"/>
            <w:hideMark/>
          </w:tcPr>
          <w:p w14:paraId="0730D4AB"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10.16</w:t>
            </w:r>
          </w:p>
        </w:tc>
        <w:tc>
          <w:tcPr>
            <w:tcW w:w="1305" w:type="dxa"/>
            <w:tcBorders>
              <w:top w:val="nil"/>
              <w:left w:val="nil"/>
              <w:bottom w:val="nil"/>
              <w:right w:val="nil"/>
            </w:tcBorders>
            <w:shd w:val="clear" w:color="000000" w:fill="FFC000"/>
            <w:noWrap/>
            <w:vAlign w:val="bottom"/>
            <w:hideMark/>
          </w:tcPr>
          <w:p w14:paraId="775B611C"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0.02</w:t>
            </w:r>
          </w:p>
        </w:tc>
      </w:tr>
      <w:tr w:rsidR="00032304" w:rsidRPr="00D151E4" w14:paraId="4E280FAF" w14:textId="77777777" w:rsidTr="00221CD1">
        <w:trPr>
          <w:trHeight w:val="315"/>
        </w:trPr>
        <w:tc>
          <w:tcPr>
            <w:tcW w:w="1530" w:type="dxa"/>
            <w:tcBorders>
              <w:top w:val="nil"/>
              <w:left w:val="nil"/>
              <w:bottom w:val="nil"/>
              <w:right w:val="nil"/>
            </w:tcBorders>
            <w:shd w:val="clear" w:color="auto" w:fill="auto"/>
            <w:noWrap/>
            <w:vAlign w:val="bottom"/>
            <w:hideMark/>
          </w:tcPr>
          <w:p w14:paraId="094DD132" w14:textId="77777777" w:rsidR="00032304" w:rsidRPr="00D151E4" w:rsidRDefault="00032304" w:rsidP="00221CD1">
            <w:pPr>
              <w:spacing w:line="240" w:lineRule="auto"/>
              <w:rPr>
                <w:rFonts w:eastAsia="Times New Roman"/>
                <w:color w:val="000000"/>
                <w:sz w:val="16"/>
                <w:szCs w:val="16"/>
                <w:lang w:val="en-US"/>
              </w:rPr>
            </w:pPr>
            <w:r w:rsidRPr="00D151E4">
              <w:rPr>
                <w:rFonts w:eastAsia="Times New Roman"/>
                <w:color w:val="000000"/>
                <w:sz w:val="16"/>
                <w:szCs w:val="16"/>
                <w:lang w:val="en-US"/>
              </w:rPr>
              <w:t>pisolithus</w:t>
            </w:r>
          </w:p>
        </w:tc>
        <w:tc>
          <w:tcPr>
            <w:tcW w:w="1305" w:type="dxa"/>
            <w:tcBorders>
              <w:top w:val="nil"/>
              <w:left w:val="nil"/>
              <w:bottom w:val="nil"/>
              <w:right w:val="nil"/>
            </w:tcBorders>
            <w:shd w:val="clear" w:color="000000" w:fill="F3D373"/>
            <w:noWrap/>
            <w:vAlign w:val="bottom"/>
            <w:hideMark/>
          </w:tcPr>
          <w:p w14:paraId="095F2337"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0.01</w:t>
            </w:r>
          </w:p>
        </w:tc>
        <w:tc>
          <w:tcPr>
            <w:tcW w:w="1305" w:type="dxa"/>
            <w:tcBorders>
              <w:top w:val="nil"/>
              <w:left w:val="nil"/>
              <w:bottom w:val="nil"/>
              <w:right w:val="nil"/>
            </w:tcBorders>
            <w:shd w:val="clear" w:color="000000" w:fill="FFC000"/>
            <w:noWrap/>
            <w:vAlign w:val="bottom"/>
            <w:hideMark/>
          </w:tcPr>
          <w:p w14:paraId="21D6A35D"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0.02</w:t>
            </w:r>
          </w:p>
        </w:tc>
        <w:tc>
          <w:tcPr>
            <w:tcW w:w="1305" w:type="dxa"/>
            <w:tcBorders>
              <w:top w:val="nil"/>
              <w:left w:val="nil"/>
              <w:bottom w:val="nil"/>
              <w:right w:val="nil"/>
            </w:tcBorders>
            <w:shd w:val="clear" w:color="000000" w:fill="FFC000"/>
            <w:noWrap/>
            <w:vAlign w:val="bottom"/>
            <w:hideMark/>
          </w:tcPr>
          <w:p w14:paraId="4245EAF8"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0.03</w:t>
            </w:r>
          </w:p>
        </w:tc>
        <w:tc>
          <w:tcPr>
            <w:tcW w:w="1305" w:type="dxa"/>
            <w:tcBorders>
              <w:top w:val="nil"/>
              <w:left w:val="nil"/>
              <w:bottom w:val="nil"/>
              <w:right w:val="nil"/>
            </w:tcBorders>
            <w:shd w:val="clear" w:color="000000" w:fill="F8CA3C"/>
            <w:noWrap/>
            <w:vAlign w:val="bottom"/>
            <w:hideMark/>
          </w:tcPr>
          <w:p w14:paraId="0F54112D"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0.01</w:t>
            </w:r>
          </w:p>
        </w:tc>
        <w:tc>
          <w:tcPr>
            <w:tcW w:w="1305" w:type="dxa"/>
            <w:tcBorders>
              <w:top w:val="nil"/>
              <w:left w:val="nil"/>
              <w:bottom w:val="nil"/>
              <w:right w:val="nil"/>
            </w:tcBorders>
            <w:shd w:val="clear" w:color="000000" w:fill="FF8100"/>
            <w:noWrap/>
            <w:vAlign w:val="bottom"/>
            <w:hideMark/>
          </w:tcPr>
          <w:p w14:paraId="2723A019"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9.86</w:t>
            </w:r>
          </w:p>
        </w:tc>
        <w:tc>
          <w:tcPr>
            <w:tcW w:w="1305" w:type="dxa"/>
            <w:tcBorders>
              <w:top w:val="nil"/>
              <w:left w:val="nil"/>
              <w:bottom w:val="nil"/>
              <w:right w:val="nil"/>
            </w:tcBorders>
            <w:shd w:val="clear" w:color="000000" w:fill="F3D26C"/>
            <w:noWrap/>
            <w:vAlign w:val="bottom"/>
            <w:hideMark/>
          </w:tcPr>
          <w:p w14:paraId="1CC1B421"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0.01</w:t>
            </w:r>
          </w:p>
        </w:tc>
      </w:tr>
      <w:tr w:rsidR="00032304" w:rsidRPr="00D151E4" w14:paraId="76B2A18E" w14:textId="77777777" w:rsidTr="00221CD1">
        <w:trPr>
          <w:trHeight w:val="315"/>
        </w:trPr>
        <w:tc>
          <w:tcPr>
            <w:tcW w:w="1530" w:type="dxa"/>
            <w:tcBorders>
              <w:top w:val="nil"/>
              <w:left w:val="nil"/>
              <w:bottom w:val="nil"/>
              <w:right w:val="nil"/>
            </w:tcBorders>
            <w:shd w:val="clear" w:color="auto" w:fill="auto"/>
            <w:noWrap/>
            <w:vAlign w:val="bottom"/>
            <w:hideMark/>
          </w:tcPr>
          <w:p w14:paraId="71EE812A" w14:textId="77777777" w:rsidR="00032304" w:rsidRPr="00D151E4" w:rsidRDefault="00032304" w:rsidP="00221CD1">
            <w:pPr>
              <w:spacing w:line="240" w:lineRule="auto"/>
              <w:rPr>
                <w:rFonts w:eastAsia="Times New Roman"/>
                <w:color w:val="000000"/>
                <w:sz w:val="16"/>
                <w:szCs w:val="16"/>
                <w:lang w:val="en-US"/>
              </w:rPr>
            </w:pPr>
            <w:r w:rsidRPr="00D151E4">
              <w:rPr>
                <w:rFonts w:eastAsia="Times New Roman"/>
                <w:color w:val="000000"/>
                <w:sz w:val="16"/>
                <w:szCs w:val="16"/>
                <w:lang w:val="en-US"/>
              </w:rPr>
              <w:t>scleroderma</w:t>
            </w:r>
          </w:p>
        </w:tc>
        <w:tc>
          <w:tcPr>
            <w:tcW w:w="1305" w:type="dxa"/>
            <w:tcBorders>
              <w:top w:val="nil"/>
              <w:left w:val="nil"/>
              <w:bottom w:val="nil"/>
              <w:right w:val="nil"/>
            </w:tcBorders>
            <w:shd w:val="clear" w:color="000000" w:fill="E7E6E6"/>
            <w:noWrap/>
            <w:vAlign w:val="bottom"/>
            <w:hideMark/>
          </w:tcPr>
          <w:p w14:paraId="65DE2B3B"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0.00</w:t>
            </w:r>
          </w:p>
        </w:tc>
        <w:tc>
          <w:tcPr>
            <w:tcW w:w="1305" w:type="dxa"/>
            <w:tcBorders>
              <w:top w:val="nil"/>
              <w:left w:val="nil"/>
              <w:bottom w:val="nil"/>
              <w:right w:val="nil"/>
            </w:tcBorders>
            <w:shd w:val="clear" w:color="000000" w:fill="FFC000"/>
            <w:noWrap/>
            <w:vAlign w:val="bottom"/>
            <w:hideMark/>
          </w:tcPr>
          <w:p w14:paraId="172D63C2"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0.03</w:t>
            </w:r>
          </w:p>
        </w:tc>
        <w:tc>
          <w:tcPr>
            <w:tcW w:w="1305" w:type="dxa"/>
            <w:tcBorders>
              <w:top w:val="nil"/>
              <w:left w:val="nil"/>
              <w:bottom w:val="nil"/>
              <w:right w:val="nil"/>
            </w:tcBorders>
            <w:shd w:val="clear" w:color="000000" w:fill="F0D890"/>
            <w:noWrap/>
            <w:vAlign w:val="bottom"/>
            <w:hideMark/>
          </w:tcPr>
          <w:p w14:paraId="4358BD7A"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0.01</w:t>
            </w:r>
          </w:p>
        </w:tc>
        <w:tc>
          <w:tcPr>
            <w:tcW w:w="1305" w:type="dxa"/>
            <w:tcBorders>
              <w:top w:val="nil"/>
              <w:left w:val="nil"/>
              <w:bottom w:val="nil"/>
              <w:right w:val="nil"/>
            </w:tcBorders>
            <w:shd w:val="clear" w:color="000000" w:fill="E7E6E6"/>
            <w:noWrap/>
            <w:vAlign w:val="bottom"/>
            <w:hideMark/>
          </w:tcPr>
          <w:p w14:paraId="3E69CD68"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0.00</w:t>
            </w:r>
          </w:p>
        </w:tc>
        <w:tc>
          <w:tcPr>
            <w:tcW w:w="1305" w:type="dxa"/>
            <w:tcBorders>
              <w:top w:val="nil"/>
              <w:left w:val="nil"/>
              <w:bottom w:val="nil"/>
              <w:right w:val="nil"/>
            </w:tcBorders>
            <w:shd w:val="clear" w:color="000000" w:fill="FFA400"/>
            <w:noWrap/>
            <w:vAlign w:val="bottom"/>
            <w:hideMark/>
          </w:tcPr>
          <w:p w14:paraId="7BF9F1AF"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4.49</w:t>
            </w:r>
          </w:p>
        </w:tc>
        <w:tc>
          <w:tcPr>
            <w:tcW w:w="1305" w:type="dxa"/>
            <w:tcBorders>
              <w:top w:val="nil"/>
              <w:left w:val="nil"/>
              <w:bottom w:val="nil"/>
              <w:right w:val="nil"/>
            </w:tcBorders>
            <w:shd w:val="clear" w:color="000000" w:fill="EBE0BE"/>
            <w:noWrap/>
            <w:vAlign w:val="bottom"/>
            <w:hideMark/>
          </w:tcPr>
          <w:p w14:paraId="3EB9BDC9"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0.00</w:t>
            </w:r>
          </w:p>
        </w:tc>
      </w:tr>
      <w:tr w:rsidR="00032304" w:rsidRPr="00D151E4" w14:paraId="4B26190D" w14:textId="77777777" w:rsidTr="00221CD1">
        <w:trPr>
          <w:trHeight w:val="315"/>
        </w:trPr>
        <w:tc>
          <w:tcPr>
            <w:tcW w:w="1530" w:type="dxa"/>
            <w:tcBorders>
              <w:top w:val="nil"/>
              <w:left w:val="nil"/>
              <w:bottom w:val="nil"/>
              <w:right w:val="nil"/>
            </w:tcBorders>
            <w:shd w:val="clear" w:color="auto" w:fill="auto"/>
            <w:noWrap/>
            <w:vAlign w:val="bottom"/>
            <w:hideMark/>
          </w:tcPr>
          <w:p w14:paraId="3DECC71D" w14:textId="77777777" w:rsidR="00032304" w:rsidRPr="00D151E4" w:rsidRDefault="00032304" w:rsidP="00221CD1">
            <w:pPr>
              <w:spacing w:line="240" w:lineRule="auto"/>
              <w:rPr>
                <w:rFonts w:eastAsia="Times New Roman"/>
                <w:color w:val="000000"/>
                <w:sz w:val="16"/>
                <w:szCs w:val="16"/>
                <w:lang w:val="en-US"/>
              </w:rPr>
            </w:pPr>
            <w:r w:rsidRPr="00D151E4">
              <w:rPr>
                <w:rFonts w:eastAsia="Times New Roman"/>
                <w:color w:val="000000"/>
                <w:sz w:val="16"/>
                <w:szCs w:val="16"/>
                <w:lang w:val="en-US"/>
              </w:rPr>
              <w:t>pisolithus</w:t>
            </w:r>
          </w:p>
        </w:tc>
        <w:tc>
          <w:tcPr>
            <w:tcW w:w="1305" w:type="dxa"/>
            <w:tcBorders>
              <w:top w:val="nil"/>
              <w:left w:val="nil"/>
              <w:bottom w:val="nil"/>
              <w:right w:val="nil"/>
            </w:tcBorders>
            <w:shd w:val="clear" w:color="000000" w:fill="EBE0C0"/>
            <w:noWrap/>
            <w:vAlign w:val="bottom"/>
            <w:hideMark/>
          </w:tcPr>
          <w:p w14:paraId="3F9F6732"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0.00</w:t>
            </w:r>
          </w:p>
        </w:tc>
        <w:tc>
          <w:tcPr>
            <w:tcW w:w="1305" w:type="dxa"/>
            <w:tcBorders>
              <w:top w:val="nil"/>
              <w:left w:val="nil"/>
              <w:bottom w:val="nil"/>
              <w:right w:val="nil"/>
            </w:tcBorders>
            <w:shd w:val="clear" w:color="000000" w:fill="E7E6E6"/>
            <w:noWrap/>
            <w:vAlign w:val="bottom"/>
            <w:hideMark/>
          </w:tcPr>
          <w:p w14:paraId="6146C3D3"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0.00</w:t>
            </w:r>
          </w:p>
        </w:tc>
        <w:tc>
          <w:tcPr>
            <w:tcW w:w="1305" w:type="dxa"/>
            <w:tcBorders>
              <w:top w:val="nil"/>
              <w:left w:val="nil"/>
              <w:bottom w:val="nil"/>
              <w:right w:val="nil"/>
            </w:tcBorders>
            <w:shd w:val="clear" w:color="000000" w:fill="F9CA39"/>
            <w:noWrap/>
            <w:vAlign w:val="bottom"/>
            <w:hideMark/>
          </w:tcPr>
          <w:p w14:paraId="72D36D9C"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0.01</w:t>
            </w:r>
          </w:p>
        </w:tc>
        <w:tc>
          <w:tcPr>
            <w:tcW w:w="1305" w:type="dxa"/>
            <w:tcBorders>
              <w:top w:val="nil"/>
              <w:left w:val="nil"/>
              <w:bottom w:val="nil"/>
              <w:right w:val="nil"/>
            </w:tcBorders>
            <w:shd w:val="clear" w:color="000000" w:fill="EBDFBC"/>
            <w:noWrap/>
            <w:vAlign w:val="bottom"/>
            <w:hideMark/>
          </w:tcPr>
          <w:p w14:paraId="3420F275"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0.00</w:t>
            </w:r>
          </w:p>
        </w:tc>
        <w:tc>
          <w:tcPr>
            <w:tcW w:w="1305" w:type="dxa"/>
            <w:tcBorders>
              <w:top w:val="nil"/>
              <w:left w:val="nil"/>
              <w:bottom w:val="nil"/>
              <w:right w:val="nil"/>
            </w:tcBorders>
            <w:shd w:val="clear" w:color="000000" w:fill="FFAA00"/>
            <w:noWrap/>
            <w:vAlign w:val="bottom"/>
            <w:hideMark/>
          </w:tcPr>
          <w:p w14:paraId="6F0244D9"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3.53</w:t>
            </w:r>
          </w:p>
        </w:tc>
        <w:tc>
          <w:tcPr>
            <w:tcW w:w="1305" w:type="dxa"/>
            <w:tcBorders>
              <w:top w:val="nil"/>
              <w:left w:val="nil"/>
              <w:bottom w:val="nil"/>
              <w:right w:val="nil"/>
            </w:tcBorders>
            <w:shd w:val="clear" w:color="000000" w:fill="EBE0BE"/>
            <w:noWrap/>
            <w:vAlign w:val="bottom"/>
            <w:hideMark/>
          </w:tcPr>
          <w:p w14:paraId="45182A93"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0.00</w:t>
            </w:r>
          </w:p>
        </w:tc>
      </w:tr>
      <w:tr w:rsidR="00032304" w:rsidRPr="00D151E4" w14:paraId="2FF729EA" w14:textId="77777777" w:rsidTr="00221CD1">
        <w:trPr>
          <w:trHeight w:val="315"/>
        </w:trPr>
        <w:tc>
          <w:tcPr>
            <w:tcW w:w="1530" w:type="dxa"/>
            <w:tcBorders>
              <w:top w:val="nil"/>
              <w:left w:val="nil"/>
              <w:bottom w:val="nil"/>
              <w:right w:val="nil"/>
            </w:tcBorders>
            <w:shd w:val="clear" w:color="auto" w:fill="auto"/>
            <w:noWrap/>
            <w:vAlign w:val="bottom"/>
            <w:hideMark/>
          </w:tcPr>
          <w:p w14:paraId="0F9BE4C9" w14:textId="77777777" w:rsidR="00032304" w:rsidRPr="00D151E4" w:rsidRDefault="00032304" w:rsidP="00221CD1">
            <w:pPr>
              <w:spacing w:line="240" w:lineRule="auto"/>
              <w:rPr>
                <w:rFonts w:eastAsia="Times New Roman"/>
                <w:color w:val="000000"/>
                <w:sz w:val="16"/>
                <w:szCs w:val="16"/>
                <w:lang w:val="en-US"/>
              </w:rPr>
            </w:pPr>
            <w:r w:rsidRPr="00D151E4">
              <w:rPr>
                <w:rFonts w:eastAsia="Times New Roman"/>
                <w:color w:val="000000"/>
                <w:sz w:val="16"/>
                <w:szCs w:val="16"/>
                <w:lang w:val="en-US"/>
              </w:rPr>
              <w:t>scleroderma</w:t>
            </w:r>
          </w:p>
        </w:tc>
        <w:tc>
          <w:tcPr>
            <w:tcW w:w="1305" w:type="dxa"/>
            <w:tcBorders>
              <w:top w:val="nil"/>
              <w:left w:val="nil"/>
              <w:bottom w:val="nil"/>
              <w:right w:val="nil"/>
            </w:tcBorders>
            <w:shd w:val="clear" w:color="000000" w:fill="E7E6E6"/>
            <w:noWrap/>
            <w:vAlign w:val="bottom"/>
            <w:hideMark/>
          </w:tcPr>
          <w:p w14:paraId="6AA4BD6C"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0.00</w:t>
            </w:r>
          </w:p>
        </w:tc>
        <w:tc>
          <w:tcPr>
            <w:tcW w:w="1305" w:type="dxa"/>
            <w:tcBorders>
              <w:top w:val="nil"/>
              <w:left w:val="nil"/>
              <w:bottom w:val="nil"/>
              <w:right w:val="nil"/>
            </w:tcBorders>
            <w:shd w:val="clear" w:color="000000" w:fill="FFC000"/>
            <w:noWrap/>
            <w:vAlign w:val="bottom"/>
            <w:hideMark/>
          </w:tcPr>
          <w:p w14:paraId="4D03C03C"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0.04</w:t>
            </w:r>
          </w:p>
        </w:tc>
        <w:tc>
          <w:tcPr>
            <w:tcW w:w="1305" w:type="dxa"/>
            <w:tcBorders>
              <w:top w:val="nil"/>
              <w:left w:val="nil"/>
              <w:bottom w:val="nil"/>
              <w:right w:val="nil"/>
            </w:tcBorders>
            <w:shd w:val="clear" w:color="000000" w:fill="E7E6E6"/>
            <w:noWrap/>
            <w:vAlign w:val="bottom"/>
            <w:hideMark/>
          </w:tcPr>
          <w:p w14:paraId="23F29C22"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0.00</w:t>
            </w:r>
          </w:p>
        </w:tc>
        <w:tc>
          <w:tcPr>
            <w:tcW w:w="1305" w:type="dxa"/>
            <w:tcBorders>
              <w:top w:val="nil"/>
              <w:left w:val="nil"/>
              <w:bottom w:val="nil"/>
              <w:right w:val="nil"/>
            </w:tcBorders>
            <w:shd w:val="clear" w:color="000000" w:fill="F4D166"/>
            <w:noWrap/>
            <w:vAlign w:val="bottom"/>
            <w:hideMark/>
          </w:tcPr>
          <w:p w14:paraId="2D5C9221"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0.01</w:t>
            </w:r>
          </w:p>
        </w:tc>
        <w:tc>
          <w:tcPr>
            <w:tcW w:w="1305" w:type="dxa"/>
            <w:tcBorders>
              <w:top w:val="nil"/>
              <w:left w:val="nil"/>
              <w:bottom w:val="nil"/>
              <w:right w:val="nil"/>
            </w:tcBorders>
            <w:shd w:val="clear" w:color="000000" w:fill="FFAA00"/>
            <w:noWrap/>
            <w:vAlign w:val="bottom"/>
            <w:hideMark/>
          </w:tcPr>
          <w:p w14:paraId="535EC44B"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3.46</w:t>
            </w:r>
          </w:p>
        </w:tc>
        <w:tc>
          <w:tcPr>
            <w:tcW w:w="1305" w:type="dxa"/>
            <w:tcBorders>
              <w:top w:val="nil"/>
              <w:left w:val="nil"/>
              <w:bottom w:val="nil"/>
              <w:right w:val="nil"/>
            </w:tcBorders>
            <w:shd w:val="clear" w:color="000000" w:fill="F7CC44"/>
            <w:noWrap/>
            <w:vAlign w:val="bottom"/>
            <w:hideMark/>
          </w:tcPr>
          <w:p w14:paraId="759D55F2"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0.01</w:t>
            </w:r>
          </w:p>
        </w:tc>
      </w:tr>
      <w:tr w:rsidR="00032304" w:rsidRPr="00D151E4" w14:paraId="0B818C47" w14:textId="77777777" w:rsidTr="00221CD1">
        <w:trPr>
          <w:trHeight w:val="315"/>
        </w:trPr>
        <w:tc>
          <w:tcPr>
            <w:tcW w:w="1530" w:type="dxa"/>
            <w:tcBorders>
              <w:top w:val="nil"/>
              <w:left w:val="nil"/>
              <w:bottom w:val="nil"/>
              <w:right w:val="nil"/>
            </w:tcBorders>
            <w:shd w:val="clear" w:color="auto" w:fill="auto"/>
            <w:noWrap/>
            <w:vAlign w:val="bottom"/>
            <w:hideMark/>
          </w:tcPr>
          <w:p w14:paraId="380FB95F" w14:textId="77777777" w:rsidR="00032304" w:rsidRPr="00D151E4" w:rsidRDefault="00032304" w:rsidP="00221CD1">
            <w:pPr>
              <w:spacing w:line="240" w:lineRule="auto"/>
              <w:rPr>
                <w:rFonts w:eastAsia="Times New Roman"/>
                <w:color w:val="000000"/>
                <w:sz w:val="16"/>
                <w:szCs w:val="16"/>
                <w:lang w:val="en-US"/>
              </w:rPr>
            </w:pPr>
            <w:r w:rsidRPr="00D151E4">
              <w:rPr>
                <w:rFonts w:eastAsia="Times New Roman"/>
                <w:color w:val="000000"/>
                <w:sz w:val="16"/>
                <w:szCs w:val="16"/>
                <w:lang w:val="en-US"/>
              </w:rPr>
              <w:t>thelephora</w:t>
            </w:r>
          </w:p>
        </w:tc>
        <w:tc>
          <w:tcPr>
            <w:tcW w:w="1305" w:type="dxa"/>
            <w:tcBorders>
              <w:top w:val="nil"/>
              <w:left w:val="nil"/>
              <w:bottom w:val="nil"/>
              <w:right w:val="nil"/>
            </w:tcBorders>
            <w:shd w:val="clear" w:color="000000" w:fill="F3D373"/>
            <w:noWrap/>
            <w:vAlign w:val="bottom"/>
            <w:hideMark/>
          </w:tcPr>
          <w:p w14:paraId="4E47304D"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0.01</w:t>
            </w:r>
          </w:p>
        </w:tc>
        <w:tc>
          <w:tcPr>
            <w:tcW w:w="1305" w:type="dxa"/>
            <w:tcBorders>
              <w:top w:val="nil"/>
              <w:left w:val="nil"/>
              <w:bottom w:val="nil"/>
              <w:right w:val="nil"/>
            </w:tcBorders>
            <w:shd w:val="clear" w:color="000000" w:fill="EBE0BE"/>
            <w:noWrap/>
            <w:vAlign w:val="bottom"/>
            <w:hideMark/>
          </w:tcPr>
          <w:p w14:paraId="1C14DC0E"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0.00</w:t>
            </w:r>
          </w:p>
        </w:tc>
        <w:tc>
          <w:tcPr>
            <w:tcW w:w="1305" w:type="dxa"/>
            <w:tcBorders>
              <w:top w:val="nil"/>
              <w:left w:val="nil"/>
              <w:bottom w:val="nil"/>
              <w:right w:val="nil"/>
            </w:tcBorders>
            <w:shd w:val="clear" w:color="000000" w:fill="F9CA39"/>
            <w:noWrap/>
            <w:vAlign w:val="bottom"/>
            <w:hideMark/>
          </w:tcPr>
          <w:p w14:paraId="674AD602"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0.01</w:t>
            </w:r>
          </w:p>
        </w:tc>
        <w:tc>
          <w:tcPr>
            <w:tcW w:w="1305" w:type="dxa"/>
            <w:tcBorders>
              <w:top w:val="nil"/>
              <w:left w:val="nil"/>
              <w:bottom w:val="nil"/>
              <w:right w:val="nil"/>
            </w:tcBorders>
            <w:shd w:val="clear" w:color="000000" w:fill="EBDFBC"/>
            <w:noWrap/>
            <w:vAlign w:val="bottom"/>
            <w:hideMark/>
          </w:tcPr>
          <w:p w14:paraId="3D00EB29"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0.00</w:t>
            </w:r>
          </w:p>
        </w:tc>
        <w:tc>
          <w:tcPr>
            <w:tcW w:w="1305" w:type="dxa"/>
            <w:tcBorders>
              <w:top w:val="nil"/>
              <w:left w:val="nil"/>
              <w:bottom w:val="nil"/>
              <w:right w:val="nil"/>
            </w:tcBorders>
            <w:shd w:val="clear" w:color="000000" w:fill="FFAF00"/>
            <w:noWrap/>
            <w:vAlign w:val="bottom"/>
            <w:hideMark/>
          </w:tcPr>
          <w:p w14:paraId="674A54F7"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2.80</w:t>
            </w:r>
          </w:p>
        </w:tc>
        <w:tc>
          <w:tcPr>
            <w:tcW w:w="1305" w:type="dxa"/>
            <w:tcBorders>
              <w:top w:val="nil"/>
              <w:left w:val="nil"/>
              <w:bottom w:val="nil"/>
              <w:right w:val="nil"/>
            </w:tcBorders>
            <w:shd w:val="clear" w:color="000000" w:fill="EFD995"/>
            <w:noWrap/>
            <w:vAlign w:val="bottom"/>
            <w:hideMark/>
          </w:tcPr>
          <w:p w14:paraId="29AA761A"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0.01</w:t>
            </w:r>
          </w:p>
        </w:tc>
      </w:tr>
      <w:tr w:rsidR="00032304" w:rsidRPr="00D151E4" w14:paraId="608ECCFD" w14:textId="77777777" w:rsidTr="00221CD1">
        <w:trPr>
          <w:trHeight w:val="315"/>
        </w:trPr>
        <w:tc>
          <w:tcPr>
            <w:tcW w:w="1530" w:type="dxa"/>
            <w:tcBorders>
              <w:top w:val="nil"/>
              <w:left w:val="nil"/>
              <w:bottom w:val="nil"/>
              <w:right w:val="nil"/>
            </w:tcBorders>
            <w:shd w:val="clear" w:color="auto" w:fill="auto"/>
            <w:noWrap/>
            <w:vAlign w:val="bottom"/>
            <w:hideMark/>
          </w:tcPr>
          <w:p w14:paraId="03EF488D" w14:textId="77777777" w:rsidR="00032304" w:rsidRPr="00D151E4" w:rsidRDefault="00032304" w:rsidP="00221CD1">
            <w:pPr>
              <w:spacing w:line="240" w:lineRule="auto"/>
              <w:rPr>
                <w:rFonts w:eastAsia="Times New Roman"/>
                <w:color w:val="000000"/>
                <w:sz w:val="16"/>
                <w:szCs w:val="16"/>
                <w:lang w:val="en-US"/>
              </w:rPr>
            </w:pPr>
            <w:r w:rsidRPr="00D151E4">
              <w:rPr>
                <w:rFonts w:eastAsia="Times New Roman"/>
                <w:color w:val="000000"/>
                <w:sz w:val="16"/>
                <w:szCs w:val="16"/>
                <w:lang w:val="en-US"/>
              </w:rPr>
              <w:t>thelephora</w:t>
            </w:r>
          </w:p>
        </w:tc>
        <w:tc>
          <w:tcPr>
            <w:tcW w:w="1305" w:type="dxa"/>
            <w:tcBorders>
              <w:top w:val="nil"/>
              <w:left w:val="nil"/>
              <w:bottom w:val="nil"/>
              <w:right w:val="nil"/>
            </w:tcBorders>
            <w:shd w:val="clear" w:color="000000" w:fill="F7CD4D"/>
            <w:noWrap/>
            <w:vAlign w:val="bottom"/>
            <w:hideMark/>
          </w:tcPr>
          <w:p w14:paraId="0DBF0B03"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0.01</w:t>
            </w:r>
          </w:p>
        </w:tc>
        <w:tc>
          <w:tcPr>
            <w:tcW w:w="1305" w:type="dxa"/>
            <w:tcBorders>
              <w:top w:val="nil"/>
              <w:left w:val="nil"/>
              <w:bottom w:val="nil"/>
              <w:right w:val="nil"/>
            </w:tcBorders>
            <w:shd w:val="clear" w:color="000000" w:fill="EFD995"/>
            <w:noWrap/>
            <w:vAlign w:val="bottom"/>
            <w:hideMark/>
          </w:tcPr>
          <w:p w14:paraId="751637FF"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0.01</w:t>
            </w:r>
          </w:p>
        </w:tc>
        <w:tc>
          <w:tcPr>
            <w:tcW w:w="1305" w:type="dxa"/>
            <w:tcBorders>
              <w:top w:val="nil"/>
              <w:left w:val="nil"/>
              <w:bottom w:val="nil"/>
              <w:right w:val="nil"/>
            </w:tcBorders>
            <w:shd w:val="clear" w:color="000000" w:fill="F0D890"/>
            <w:noWrap/>
            <w:vAlign w:val="bottom"/>
            <w:hideMark/>
          </w:tcPr>
          <w:p w14:paraId="706F1D88"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0.01</w:t>
            </w:r>
          </w:p>
        </w:tc>
        <w:tc>
          <w:tcPr>
            <w:tcW w:w="1305" w:type="dxa"/>
            <w:tcBorders>
              <w:top w:val="nil"/>
              <w:left w:val="nil"/>
              <w:bottom w:val="nil"/>
              <w:right w:val="nil"/>
            </w:tcBorders>
            <w:shd w:val="clear" w:color="000000" w:fill="EBDFBC"/>
            <w:noWrap/>
            <w:vAlign w:val="bottom"/>
            <w:hideMark/>
          </w:tcPr>
          <w:p w14:paraId="71CCD9D2"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0.00</w:t>
            </w:r>
          </w:p>
        </w:tc>
        <w:tc>
          <w:tcPr>
            <w:tcW w:w="1305" w:type="dxa"/>
            <w:tcBorders>
              <w:top w:val="nil"/>
              <w:left w:val="nil"/>
              <w:bottom w:val="nil"/>
              <w:right w:val="nil"/>
            </w:tcBorders>
            <w:shd w:val="clear" w:color="000000" w:fill="FFB200"/>
            <w:noWrap/>
            <w:vAlign w:val="bottom"/>
            <w:hideMark/>
          </w:tcPr>
          <w:p w14:paraId="5ACD5163"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2.24</w:t>
            </w:r>
          </w:p>
        </w:tc>
        <w:tc>
          <w:tcPr>
            <w:tcW w:w="1305" w:type="dxa"/>
            <w:tcBorders>
              <w:top w:val="nil"/>
              <w:left w:val="nil"/>
              <w:bottom w:val="nil"/>
              <w:right w:val="nil"/>
            </w:tcBorders>
            <w:shd w:val="clear" w:color="000000" w:fill="EFD995"/>
            <w:noWrap/>
            <w:vAlign w:val="bottom"/>
            <w:hideMark/>
          </w:tcPr>
          <w:p w14:paraId="11B825CC"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0.01</w:t>
            </w:r>
          </w:p>
        </w:tc>
      </w:tr>
      <w:tr w:rsidR="00032304" w:rsidRPr="00D151E4" w14:paraId="312165AE" w14:textId="77777777" w:rsidTr="00221CD1">
        <w:trPr>
          <w:trHeight w:val="315"/>
        </w:trPr>
        <w:tc>
          <w:tcPr>
            <w:tcW w:w="1530" w:type="dxa"/>
            <w:tcBorders>
              <w:top w:val="nil"/>
              <w:left w:val="nil"/>
              <w:bottom w:val="nil"/>
              <w:right w:val="nil"/>
            </w:tcBorders>
            <w:shd w:val="clear" w:color="auto" w:fill="auto"/>
            <w:noWrap/>
            <w:vAlign w:val="bottom"/>
            <w:hideMark/>
          </w:tcPr>
          <w:p w14:paraId="615AE37E" w14:textId="77777777" w:rsidR="00032304" w:rsidRPr="00D151E4" w:rsidRDefault="00032304" w:rsidP="00221CD1">
            <w:pPr>
              <w:spacing w:line="240" w:lineRule="auto"/>
              <w:rPr>
                <w:rFonts w:eastAsia="Times New Roman"/>
                <w:color w:val="000000"/>
                <w:sz w:val="16"/>
                <w:szCs w:val="16"/>
                <w:lang w:val="en-US"/>
              </w:rPr>
            </w:pPr>
            <w:r w:rsidRPr="00D151E4">
              <w:rPr>
                <w:rFonts w:eastAsia="Times New Roman"/>
                <w:color w:val="000000"/>
                <w:sz w:val="16"/>
                <w:szCs w:val="16"/>
                <w:lang w:val="en-US"/>
              </w:rPr>
              <w:t>rhinocladiella</w:t>
            </w:r>
          </w:p>
        </w:tc>
        <w:tc>
          <w:tcPr>
            <w:tcW w:w="1305" w:type="dxa"/>
            <w:tcBorders>
              <w:top w:val="nil"/>
              <w:left w:val="nil"/>
              <w:bottom w:val="nil"/>
              <w:right w:val="nil"/>
            </w:tcBorders>
            <w:shd w:val="clear" w:color="000000" w:fill="FFC000"/>
            <w:noWrap/>
            <w:vAlign w:val="bottom"/>
            <w:hideMark/>
          </w:tcPr>
          <w:p w14:paraId="76D653F4"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0.05</w:t>
            </w:r>
          </w:p>
        </w:tc>
        <w:tc>
          <w:tcPr>
            <w:tcW w:w="1305" w:type="dxa"/>
            <w:tcBorders>
              <w:top w:val="nil"/>
              <w:left w:val="nil"/>
              <w:bottom w:val="nil"/>
              <w:right w:val="nil"/>
            </w:tcBorders>
            <w:shd w:val="clear" w:color="000000" w:fill="FFC000"/>
            <w:noWrap/>
            <w:vAlign w:val="bottom"/>
            <w:hideMark/>
          </w:tcPr>
          <w:p w14:paraId="175FA929"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0.14</w:t>
            </w:r>
          </w:p>
        </w:tc>
        <w:tc>
          <w:tcPr>
            <w:tcW w:w="1305" w:type="dxa"/>
            <w:tcBorders>
              <w:top w:val="nil"/>
              <w:left w:val="nil"/>
              <w:bottom w:val="nil"/>
              <w:right w:val="nil"/>
            </w:tcBorders>
            <w:shd w:val="clear" w:color="000000" w:fill="FFC000"/>
            <w:noWrap/>
            <w:vAlign w:val="bottom"/>
            <w:hideMark/>
          </w:tcPr>
          <w:p w14:paraId="4BE94490"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0.04</w:t>
            </w:r>
          </w:p>
        </w:tc>
        <w:tc>
          <w:tcPr>
            <w:tcW w:w="1305" w:type="dxa"/>
            <w:tcBorders>
              <w:top w:val="nil"/>
              <w:left w:val="nil"/>
              <w:bottom w:val="nil"/>
              <w:right w:val="nil"/>
            </w:tcBorders>
            <w:shd w:val="clear" w:color="000000" w:fill="FFC000"/>
            <w:noWrap/>
            <w:vAlign w:val="bottom"/>
            <w:hideMark/>
          </w:tcPr>
          <w:p w14:paraId="4EF82AC5"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0.04</w:t>
            </w:r>
          </w:p>
        </w:tc>
        <w:tc>
          <w:tcPr>
            <w:tcW w:w="1305" w:type="dxa"/>
            <w:tcBorders>
              <w:top w:val="nil"/>
              <w:left w:val="nil"/>
              <w:bottom w:val="nil"/>
              <w:right w:val="nil"/>
            </w:tcBorders>
            <w:shd w:val="clear" w:color="000000" w:fill="FCC51B"/>
            <w:noWrap/>
            <w:vAlign w:val="bottom"/>
            <w:hideMark/>
          </w:tcPr>
          <w:p w14:paraId="218D94F8"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0.02</w:t>
            </w:r>
          </w:p>
        </w:tc>
        <w:tc>
          <w:tcPr>
            <w:tcW w:w="1305" w:type="dxa"/>
            <w:tcBorders>
              <w:top w:val="nil"/>
              <w:left w:val="nil"/>
              <w:bottom w:val="nil"/>
              <w:right w:val="nil"/>
            </w:tcBorders>
            <w:shd w:val="clear" w:color="000000" w:fill="FF0000"/>
            <w:noWrap/>
            <w:vAlign w:val="bottom"/>
            <w:hideMark/>
          </w:tcPr>
          <w:p w14:paraId="4F98B9EC"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24.87</w:t>
            </w:r>
          </w:p>
        </w:tc>
      </w:tr>
      <w:tr w:rsidR="00032304" w:rsidRPr="00D151E4" w14:paraId="2EF43334" w14:textId="77777777" w:rsidTr="00221CD1">
        <w:trPr>
          <w:trHeight w:val="315"/>
        </w:trPr>
        <w:tc>
          <w:tcPr>
            <w:tcW w:w="1530" w:type="dxa"/>
            <w:tcBorders>
              <w:top w:val="nil"/>
              <w:left w:val="nil"/>
              <w:bottom w:val="nil"/>
              <w:right w:val="nil"/>
            </w:tcBorders>
            <w:shd w:val="clear" w:color="auto" w:fill="auto"/>
            <w:noWrap/>
            <w:vAlign w:val="bottom"/>
            <w:hideMark/>
          </w:tcPr>
          <w:p w14:paraId="6946A0F8" w14:textId="77777777" w:rsidR="00032304" w:rsidRPr="00D151E4" w:rsidRDefault="00032304" w:rsidP="00221CD1">
            <w:pPr>
              <w:spacing w:line="240" w:lineRule="auto"/>
              <w:rPr>
                <w:rFonts w:eastAsia="Times New Roman"/>
                <w:color w:val="000000"/>
                <w:sz w:val="16"/>
                <w:szCs w:val="16"/>
                <w:lang w:val="en-US"/>
              </w:rPr>
            </w:pPr>
            <w:r w:rsidRPr="00D151E4">
              <w:rPr>
                <w:rFonts w:eastAsia="Times New Roman"/>
                <w:color w:val="000000"/>
                <w:sz w:val="16"/>
                <w:szCs w:val="16"/>
                <w:lang w:val="en-US"/>
              </w:rPr>
              <w:t>rhinocladiella</w:t>
            </w:r>
          </w:p>
        </w:tc>
        <w:tc>
          <w:tcPr>
            <w:tcW w:w="1305" w:type="dxa"/>
            <w:tcBorders>
              <w:top w:val="nil"/>
              <w:left w:val="nil"/>
              <w:bottom w:val="nil"/>
              <w:right w:val="nil"/>
            </w:tcBorders>
            <w:shd w:val="clear" w:color="000000" w:fill="FFC000"/>
            <w:noWrap/>
            <w:vAlign w:val="bottom"/>
            <w:hideMark/>
          </w:tcPr>
          <w:p w14:paraId="559A455A"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0.04</w:t>
            </w:r>
          </w:p>
        </w:tc>
        <w:tc>
          <w:tcPr>
            <w:tcW w:w="1305" w:type="dxa"/>
            <w:tcBorders>
              <w:top w:val="nil"/>
              <w:left w:val="nil"/>
              <w:bottom w:val="nil"/>
              <w:right w:val="nil"/>
            </w:tcBorders>
            <w:shd w:val="clear" w:color="000000" w:fill="FFC000"/>
            <w:noWrap/>
            <w:vAlign w:val="bottom"/>
            <w:hideMark/>
          </w:tcPr>
          <w:p w14:paraId="1A635FD2"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0.06</w:t>
            </w:r>
          </w:p>
        </w:tc>
        <w:tc>
          <w:tcPr>
            <w:tcW w:w="1305" w:type="dxa"/>
            <w:tcBorders>
              <w:top w:val="nil"/>
              <w:left w:val="nil"/>
              <w:bottom w:val="nil"/>
              <w:right w:val="nil"/>
            </w:tcBorders>
            <w:shd w:val="clear" w:color="000000" w:fill="FFC000"/>
            <w:noWrap/>
            <w:vAlign w:val="bottom"/>
            <w:hideMark/>
          </w:tcPr>
          <w:p w14:paraId="715FB1C2"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0.04</w:t>
            </w:r>
          </w:p>
        </w:tc>
        <w:tc>
          <w:tcPr>
            <w:tcW w:w="1305" w:type="dxa"/>
            <w:tcBorders>
              <w:top w:val="nil"/>
              <w:left w:val="nil"/>
              <w:bottom w:val="nil"/>
              <w:right w:val="nil"/>
            </w:tcBorders>
            <w:shd w:val="clear" w:color="000000" w:fill="FFC000"/>
            <w:noWrap/>
            <w:vAlign w:val="bottom"/>
            <w:hideMark/>
          </w:tcPr>
          <w:p w14:paraId="7F3361B3"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0.05</w:t>
            </w:r>
          </w:p>
        </w:tc>
        <w:tc>
          <w:tcPr>
            <w:tcW w:w="1305" w:type="dxa"/>
            <w:tcBorders>
              <w:top w:val="nil"/>
              <w:left w:val="nil"/>
              <w:bottom w:val="nil"/>
              <w:right w:val="nil"/>
            </w:tcBorders>
            <w:shd w:val="clear" w:color="000000" w:fill="FCC51B"/>
            <w:noWrap/>
            <w:vAlign w:val="bottom"/>
            <w:hideMark/>
          </w:tcPr>
          <w:p w14:paraId="7138048A"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0.02</w:t>
            </w:r>
          </w:p>
        </w:tc>
        <w:tc>
          <w:tcPr>
            <w:tcW w:w="1305" w:type="dxa"/>
            <w:tcBorders>
              <w:top w:val="nil"/>
              <w:left w:val="nil"/>
              <w:bottom w:val="nil"/>
              <w:right w:val="nil"/>
            </w:tcBorders>
            <w:shd w:val="clear" w:color="000000" w:fill="FF3D00"/>
            <w:noWrap/>
            <w:vAlign w:val="bottom"/>
            <w:hideMark/>
          </w:tcPr>
          <w:p w14:paraId="0D130D5C"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17.04</w:t>
            </w:r>
          </w:p>
        </w:tc>
      </w:tr>
      <w:tr w:rsidR="00032304" w:rsidRPr="00D151E4" w14:paraId="2D00695A" w14:textId="77777777" w:rsidTr="00221CD1">
        <w:trPr>
          <w:trHeight w:val="315"/>
        </w:trPr>
        <w:tc>
          <w:tcPr>
            <w:tcW w:w="1530" w:type="dxa"/>
            <w:tcBorders>
              <w:top w:val="nil"/>
              <w:left w:val="nil"/>
              <w:bottom w:val="nil"/>
              <w:right w:val="nil"/>
            </w:tcBorders>
            <w:shd w:val="clear" w:color="auto" w:fill="auto"/>
            <w:noWrap/>
            <w:vAlign w:val="bottom"/>
            <w:hideMark/>
          </w:tcPr>
          <w:p w14:paraId="695D0EE1" w14:textId="77777777" w:rsidR="00032304" w:rsidRPr="00D151E4" w:rsidRDefault="00032304" w:rsidP="00221CD1">
            <w:pPr>
              <w:spacing w:line="240" w:lineRule="auto"/>
              <w:rPr>
                <w:rFonts w:eastAsia="Times New Roman"/>
                <w:color w:val="000000"/>
                <w:sz w:val="16"/>
                <w:szCs w:val="16"/>
                <w:lang w:val="en-US"/>
              </w:rPr>
            </w:pPr>
            <w:r w:rsidRPr="00D151E4">
              <w:rPr>
                <w:rFonts w:eastAsia="Times New Roman"/>
                <w:color w:val="000000"/>
                <w:sz w:val="16"/>
                <w:szCs w:val="16"/>
                <w:lang w:val="en-US"/>
              </w:rPr>
              <w:t>helicoma</w:t>
            </w:r>
          </w:p>
        </w:tc>
        <w:tc>
          <w:tcPr>
            <w:tcW w:w="1305" w:type="dxa"/>
            <w:tcBorders>
              <w:top w:val="nil"/>
              <w:left w:val="nil"/>
              <w:bottom w:val="nil"/>
              <w:right w:val="nil"/>
            </w:tcBorders>
            <w:shd w:val="clear" w:color="000000" w:fill="FBC621"/>
            <w:noWrap/>
            <w:vAlign w:val="bottom"/>
            <w:hideMark/>
          </w:tcPr>
          <w:p w14:paraId="3210C866"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0.02</w:t>
            </w:r>
          </w:p>
        </w:tc>
        <w:tc>
          <w:tcPr>
            <w:tcW w:w="1305" w:type="dxa"/>
            <w:tcBorders>
              <w:top w:val="nil"/>
              <w:left w:val="nil"/>
              <w:bottom w:val="nil"/>
              <w:right w:val="nil"/>
            </w:tcBorders>
            <w:shd w:val="clear" w:color="000000" w:fill="FFBF00"/>
            <w:noWrap/>
            <w:vAlign w:val="bottom"/>
            <w:hideMark/>
          </w:tcPr>
          <w:p w14:paraId="48E4B1CB"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0.18</w:t>
            </w:r>
          </w:p>
        </w:tc>
        <w:tc>
          <w:tcPr>
            <w:tcW w:w="1305" w:type="dxa"/>
            <w:tcBorders>
              <w:top w:val="nil"/>
              <w:left w:val="nil"/>
              <w:bottom w:val="nil"/>
              <w:right w:val="nil"/>
            </w:tcBorders>
            <w:shd w:val="clear" w:color="000000" w:fill="FFC000"/>
            <w:noWrap/>
            <w:vAlign w:val="bottom"/>
            <w:hideMark/>
          </w:tcPr>
          <w:p w14:paraId="08859031"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0.05</w:t>
            </w:r>
          </w:p>
        </w:tc>
        <w:tc>
          <w:tcPr>
            <w:tcW w:w="1305" w:type="dxa"/>
            <w:tcBorders>
              <w:top w:val="nil"/>
              <w:left w:val="nil"/>
              <w:bottom w:val="nil"/>
              <w:right w:val="nil"/>
            </w:tcBorders>
            <w:shd w:val="clear" w:color="000000" w:fill="FFC000"/>
            <w:noWrap/>
            <w:vAlign w:val="bottom"/>
            <w:hideMark/>
          </w:tcPr>
          <w:p w14:paraId="06F95A4E"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0.04</w:t>
            </w:r>
          </w:p>
        </w:tc>
        <w:tc>
          <w:tcPr>
            <w:tcW w:w="1305" w:type="dxa"/>
            <w:tcBorders>
              <w:top w:val="nil"/>
              <w:left w:val="nil"/>
              <w:bottom w:val="nil"/>
              <w:right w:val="nil"/>
            </w:tcBorders>
            <w:shd w:val="clear" w:color="000000" w:fill="FFC000"/>
            <w:noWrap/>
            <w:vAlign w:val="bottom"/>
            <w:hideMark/>
          </w:tcPr>
          <w:p w14:paraId="270A2626"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0.04</w:t>
            </w:r>
          </w:p>
        </w:tc>
        <w:tc>
          <w:tcPr>
            <w:tcW w:w="1305" w:type="dxa"/>
            <w:tcBorders>
              <w:top w:val="nil"/>
              <w:left w:val="nil"/>
              <w:bottom w:val="nil"/>
              <w:right w:val="nil"/>
            </w:tcBorders>
            <w:shd w:val="clear" w:color="000000" w:fill="FF5E00"/>
            <w:noWrap/>
            <w:vAlign w:val="bottom"/>
            <w:hideMark/>
          </w:tcPr>
          <w:p w14:paraId="4B66420A"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12.73</w:t>
            </w:r>
          </w:p>
        </w:tc>
      </w:tr>
      <w:tr w:rsidR="00032304" w:rsidRPr="00D151E4" w14:paraId="77B4787D" w14:textId="77777777" w:rsidTr="00221CD1">
        <w:trPr>
          <w:trHeight w:val="315"/>
        </w:trPr>
        <w:tc>
          <w:tcPr>
            <w:tcW w:w="1530" w:type="dxa"/>
            <w:tcBorders>
              <w:top w:val="nil"/>
              <w:left w:val="nil"/>
              <w:bottom w:val="nil"/>
              <w:right w:val="nil"/>
            </w:tcBorders>
            <w:shd w:val="clear" w:color="auto" w:fill="auto"/>
            <w:noWrap/>
            <w:vAlign w:val="bottom"/>
            <w:hideMark/>
          </w:tcPr>
          <w:p w14:paraId="03D674DF" w14:textId="77777777" w:rsidR="00032304" w:rsidRPr="00D151E4" w:rsidRDefault="00032304" w:rsidP="00221CD1">
            <w:pPr>
              <w:spacing w:line="240" w:lineRule="auto"/>
              <w:rPr>
                <w:rFonts w:eastAsia="Times New Roman"/>
                <w:color w:val="000000"/>
                <w:sz w:val="16"/>
                <w:szCs w:val="16"/>
                <w:lang w:val="en-US"/>
              </w:rPr>
            </w:pPr>
            <w:r w:rsidRPr="00D151E4">
              <w:rPr>
                <w:rFonts w:eastAsia="Times New Roman"/>
                <w:color w:val="000000"/>
                <w:sz w:val="16"/>
                <w:szCs w:val="16"/>
                <w:lang w:val="en-US"/>
              </w:rPr>
              <w:t>exophiala</w:t>
            </w:r>
          </w:p>
        </w:tc>
        <w:tc>
          <w:tcPr>
            <w:tcW w:w="1305" w:type="dxa"/>
            <w:tcBorders>
              <w:top w:val="nil"/>
              <w:left w:val="nil"/>
              <w:bottom w:val="nil"/>
              <w:right w:val="nil"/>
            </w:tcBorders>
            <w:shd w:val="clear" w:color="000000" w:fill="F2D476"/>
            <w:noWrap/>
            <w:vAlign w:val="bottom"/>
            <w:hideMark/>
          </w:tcPr>
          <w:p w14:paraId="554E33F3"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0.01</w:t>
            </w:r>
          </w:p>
        </w:tc>
        <w:tc>
          <w:tcPr>
            <w:tcW w:w="1305" w:type="dxa"/>
            <w:tcBorders>
              <w:top w:val="nil"/>
              <w:left w:val="nil"/>
              <w:bottom w:val="nil"/>
              <w:right w:val="nil"/>
            </w:tcBorders>
            <w:shd w:val="clear" w:color="000000" w:fill="FCC416"/>
            <w:noWrap/>
            <w:vAlign w:val="bottom"/>
            <w:hideMark/>
          </w:tcPr>
          <w:p w14:paraId="342BE02C"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0.02</w:t>
            </w:r>
          </w:p>
        </w:tc>
        <w:tc>
          <w:tcPr>
            <w:tcW w:w="1305" w:type="dxa"/>
            <w:tcBorders>
              <w:top w:val="nil"/>
              <w:left w:val="nil"/>
              <w:bottom w:val="nil"/>
              <w:right w:val="nil"/>
            </w:tcBorders>
            <w:shd w:val="clear" w:color="000000" w:fill="EAE1C7"/>
            <w:noWrap/>
            <w:vAlign w:val="bottom"/>
            <w:hideMark/>
          </w:tcPr>
          <w:p w14:paraId="1243CB3C"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0.00</w:t>
            </w:r>
          </w:p>
        </w:tc>
        <w:tc>
          <w:tcPr>
            <w:tcW w:w="1305" w:type="dxa"/>
            <w:tcBorders>
              <w:top w:val="nil"/>
              <w:left w:val="nil"/>
              <w:bottom w:val="nil"/>
              <w:right w:val="nil"/>
            </w:tcBorders>
            <w:shd w:val="clear" w:color="000000" w:fill="F0D788"/>
            <w:noWrap/>
            <w:vAlign w:val="bottom"/>
            <w:hideMark/>
          </w:tcPr>
          <w:p w14:paraId="4DD868B4"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0.01</w:t>
            </w:r>
          </w:p>
        </w:tc>
        <w:tc>
          <w:tcPr>
            <w:tcW w:w="1305" w:type="dxa"/>
            <w:tcBorders>
              <w:top w:val="nil"/>
              <w:left w:val="nil"/>
              <w:bottom w:val="nil"/>
              <w:right w:val="nil"/>
            </w:tcBorders>
            <w:shd w:val="clear" w:color="000000" w:fill="E7E6E6"/>
            <w:noWrap/>
            <w:vAlign w:val="bottom"/>
            <w:hideMark/>
          </w:tcPr>
          <w:p w14:paraId="0235AC2B"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0.00</w:t>
            </w:r>
          </w:p>
        </w:tc>
        <w:tc>
          <w:tcPr>
            <w:tcW w:w="1305" w:type="dxa"/>
            <w:tcBorders>
              <w:top w:val="nil"/>
              <w:left w:val="nil"/>
              <w:bottom w:val="nil"/>
              <w:right w:val="nil"/>
            </w:tcBorders>
            <w:shd w:val="clear" w:color="000000" w:fill="FFAA00"/>
            <w:noWrap/>
            <w:vAlign w:val="bottom"/>
            <w:hideMark/>
          </w:tcPr>
          <w:p w14:paraId="601A9AE0"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2.94</w:t>
            </w:r>
          </w:p>
        </w:tc>
      </w:tr>
      <w:tr w:rsidR="00032304" w:rsidRPr="00D151E4" w14:paraId="1C82FA2D" w14:textId="77777777" w:rsidTr="00221CD1">
        <w:trPr>
          <w:trHeight w:val="315"/>
        </w:trPr>
        <w:tc>
          <w:tcPr>
            <w:tcW w:w="1530" w:type="dxa"/>
            <w:tcBorders>
              <w:top w:val="nil"/>
              <w:left w:val="nil"/>
              <w:bottom w:val="nil"/>
              <w:right w:val="nil"/>
            </w:tcBorders>
            <w:shd w:val="clear" w:color="auto" w:fill="auto"/>
            <w:noWrap/>
            <w:vAlign w:val="bottom"/>
            <w:hideMark/>
          </w:tcPr>
          <w:p w14:paraId="617F4094" w14:textId="77777777" w:rsidR="00032304" w:rsidRPr="00D151E4" w:rsidRDefault="00032304" w:rsidP="00221CD1">
            <w:pPr>
              <w:spacing w:line="240" w:lineRule="auto"/>
              <w:rPr>
                <w:rFonts w:eastAsia="Times New Roman"/>
                <w:color w:val="000000"/>
                <w:sz w:val="16"/>
                <w:szCs w:val="16"/>
                <w:lang w:val="en-US"/>
              </w:rPr>
            </w:pPr>
            <w:r w:rsidRPr="00D151E4">
              <w:rPr>
                <w:rFonts w:eastAsia="Times New Roman"/>
                <w:color w:val="000000"/>
                <w:sz w:val="16"/>
                <w:szCs w:val="16"/>
                <w:lang w:val="en-US"/>
              </w:rPr>
              <w:t>coniosporium</w:t>
            </w:r>
          </w:p>
        </w:tc>
        <w:tc>
          <w:tcPr>
            <w:tcW w:w="1305" w:type="dxa"/>
            <w:tcBorders>
              <w:top w:val="nil"/>
              <w:left w:val="nil"/>
              <w:bottom w:val="nil"/>
              <w:right w:val="nil"/>
            </w:tcBorders>
            <w:shd w:val="clear" w:color="000000" w:fill="E7E6E6"/>
            <w:noWrap/>
            <w:vAlign w:val="bottom"/>
            <w:hideMark/>
          </w:tcPr>
          <w:p w14:paraId="69DD60A1"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0.00</w:t>
            </w:r>
          </w:p>
        </w:tc>
        <w:tc>
          <w:tcPr>
            <w:tcW w:w="1305" w:type="dxa"/>
            <w:tcBorders>
              <w:top w:val="nil"/>
              <w:left w:val="nil"/>
              <w:bottom w:val="nil"/>
              <w:right w:val="nil"/>
            </w:tcBorders>
            <w:shd w:val="clear" w:color="000000" w:fill="EAE2C9"/>
            <w:noWrap/>
            <w:vAlign w:val="bottom"/>
            <w:hideMark/>
          </w:tcPr>
          <w:p w14:paraId="6CD0EBC8"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0.00</w:t>
            </w:r>
          </w:p>
        </w:tc>
        <w:tc>
          <w:tcPr>
            <w:tcW w:w="1305" w:type="dxa"/>
            <w:tcBorders>
              <w:top w:val="nil"/>
              <w:left w:val="nil"/>
              <w:bottom w:val="nil"/>
              <w:right w:val="nil"/>
            </w:tcBorders>
            <w:shd w:val="clear" w:color="000000" w:fill="FAC728"/>
            <w:noWrap/>
            <w:vAlign w:val="bottom"/>
            <w:hideMark/>
          </w:tcPr>
          <w:p w14:paraId="25F25C0E"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0.02</w:t>
            </w:r>
          </w:p>
        </w:tc>
        <w:tc>
          <w:tcPr>
            <w:tcW w:w="1305" w:type="dxa"/>
            <w:tcBorders>
              <w:top w:val="nil"/>
              <w:left w:val="nil"/>
              <w:bottom w:val="nil"/>
              <w:right w:val="nil"/>
            </w:tcBorders>
            <w:shd w:val="clear" w:color="000000" w:fill="F4D269"/>
            <w:noWrap/>
            <w:vAlign w:val="bottom"/>
            <w:hideMark/>
          </w:tcPr>
          <w:p w14:paraId="5DC25D6D"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0.01</w:t>
            </w:r>
          </w:p>
        </w:tc>
        <w:tc>
          <w:tcPr>
            <w:tcW w:w="1305" w:type="dxa"/>
            <w:tcBorders>
              <w:top w:val="nil"/>
              <w:left w:val="nil"/>
              <w:bottom w:val="nil"/>
              <w:right w:val="nil"/>
            </w:tcBorders>
            <w:shd w:val="clear" w:color="000000" w:fill="EEDA9A"/>
            <w:noWrap/>
            <w:vAlign w:val="bottom"/>
            <w:hideMark/>
          </w:tcPr>
          <w:p w14:paraId="0486FE5C"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0.01</w:t>
            </w:r>
          </w:p>
        </w:tc>
        <w:tc>
          <w:tcPr>
            <w:tcW w:w="1305" w:type="dxa"/>
            <w:tcBorders>
              <w:top w:val="nil"/>
              <w:left w:val="nil"/>
              <w:bottom w:val="nil"/>
              <w:right w:val="nil"/>
            </w:tcBorders>
            <w:shd w:val="clear" w:color="000000" w:fill="FFAB00"/>
            <w:noWrap/>
            <w:vAlign w:val="bottom"/>
            <w:hideMark/>
          </w:tcPr>
          <w:p w14:paraId="49D8C824"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2.87</w:t>
            </w:r>
          </w:p>
        </w:tc>
      </w:tr>
      <w:tr w:rsidR="00032304" w:rsidRPr="00D151E4" w14:paraId="07CACFA2" w14:textId="77777777" w:rsidTr="00221CD1">
        <w:trPr>
          <w:trHeight w:val="315"/>
        </w:trPr>
        <w:tc>
          <w:tcPr>
            <w:tcW w:w="1530" w:type="dxa"/>
            <w:tcBorders>
              <w:top w:val="nil"/>
              <w:left w:val="nil"/>
              <w:bottom w:val="nil"/>
              <w:right w:val="nil"/>
            </w:tcBorders>
            <w:shd w:val="clear" w:color="auto" w:fill="auto"/>
            <w:noWrap/>
            <w:vAlign w:val="bottom"/>
            <w:hideMark/>
          </w:tcPr>
          <w:p w14:paraId="67C455CE" w14:textId="77777777" w:rsidR="00032304" w:rsidRPr="00D151E4" w:rsidRDefault="00032304" w:rsidP="00221CD1">
            <w:pPr>
              <w:spacing w:line="240" w:lineRule="auto"/>
              <w:rPr>
                <w:rFonts w:eastAsia="Times New Roman"/>
                <w:color w:val="000000"/>
                <w:sz w:val="16"/>
                <w:szCs w:val="16"/>
                <w:lang w:val="en-US"/>
              </w:rPr>
            </w:pPr>
            <w:r w:rsidRPr="00D151E4">
              <w:rPr>
                <w:rFonts w:eastAsia="Times New Roman"/>
                <w:color w:val="000000"/>
                <w:sz w:val="16"/>
                <w:szCs w:val="16"/>
                <w:lang w:val="en-US"/>
              </w:rPr>
              <w:t>tomentella</w:t>
            </w:r>
          </w:p>
        </w:tc>
        <w:tc>
          <w:tcPr>
            <w:tcW w:w="1305" w:type="dxa"/>
            <w:tcBorders>
              <w:top w:val="nil"/>
              <w:left w:val="nil"/>
              <w:bottom w:val="nil"/>
              <w:right w:val="nil"/>
            </w:tcBorders>
            <w:shd w:val="clear" w:color="000000" w:fill="ECDDAE"/>
            <w:noWrap/>
            <w:vAlign w:val="bottom"/>
            <w:hideMark/>
          </w:tcPr>
          <w:p w14:paraId="721CA849"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0.01</w:t>
            </w:r>
          </w:p>
        </w:tc>
        <w:tc>
          <w:tcPr>
            <w:tcW w:w="1305" w:type="dxa"/>
            <w:tcBorders>
              <w:top w:val="nil"/>
              <w:left w:val="nil"/>
              <w:bottom w:val="nil"/>
              <w:right w:val="nil"/>
            </w:tcBorders>
            <w:shd w:val="clear" w:color="000000" w:fill="EDDDAB"/>
            <w:noWrap/>
            <w:vAlign w:val="bottom"/>
            <w:hideMark/>
          </w:tcPr>
          <w:p w14:paraId="5070DA4D"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0.01</w:t>
            </w:r>
          </w:p>
        </w:tc>
        <w:tc>
          <w:tcPr>
            <w:tcW w:w="1305" w:type="dxa"/>
            <w:tcBorders>
              <w:top w:val="nil"/>
              <w:left w:val="nil"/>
              <w:bottom w:val="nil"/>
              <w:right w:val="nil"/>
            </w:tcBorders>
            <w:shd w:val="clear" w:color="000000" w:fill="EDDCA7"/>
            <w:noWrap/>
            <w:vAlign w:val="bottom"/>
            <w:hideMark/>
          </w:tcPr>
          <w:p w14:paraId="14739777"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0.01</w:t>
            </w:r>
          </w:p>
        </w:tc>
        <w:tc>
          <w:tcPr>
            <w:tcW w:w="1305" w:type="dxa"/>
            <w:tcBorders>
              <w:top w:val="nil"/>
              <w:left w:val="nil"/>
              <w:bottom w:val="nil"/>
              <w:right w:val="nil"/>
            </w:tcBorders>
            <w:shd w:val="clear" w:color="000000" w:fill="EAE1C7"/>
            <w:noWrap/>
            <w:vAlign w:val="bottom"/>
            <w:hideMark/>
          </w:tcPr>
          <w:p w14:paraId="31865B64"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0.00</w:t>
            </w:r>
          </w:p>
        </w:tc>
        <w:tc>
          <w:tcPr>
            <w:tcW w:w="1305" w:type="dxa"/>
            <w:tcBorders>
              <w:top w:val="nil"/>
              <w:left w:val="nil"/>
              <w:bottom w:val="nil"/>
              <w:right w:val="nil"/>
            </w:tcBorders>
            <w:shd w:val="clear" w:color="000000" w:fill="E7E6E6"/>
            <w:noWrap/>
            <w:vAlign w:val="bottom"/>
            <w:hideMark/>
          </w:tcPr>
          <w:p w14:paraId="0A6CD6C9"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0.00</w:t>
            </w:r>
          </w:p>
        </w:tc>
        <w:tc>
          <w:tcPr>
            <w:tcW w:w="1305" w:type="dxa"/>
            <w:tcBorders>
              <w:top w:val="nil"/>
              <w:left w:val="nil"/>
              <w:bottom w:val="nil"/>
              <w:right w:val="nil"/>
            </w:tcBorders>
            <w:shd w:val="clear" w:color="000000" w:fill="FFAD00"/>
            <w:noWrap/>
            <w:vAlign w:val="bottom"/>
            <w:hideMark/>
          </w:tcPr>
          <w:p w14:paraId="0C788D21"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2.61</w:t>
            </w:r>
          </w:p>
        </w:tc>
      </w:tr>
      <w:tr w:rsidR="00032304" w:rsidRPr="00D151E4" w14:paraId="68DD393D" w14:textId="77777777" w:rsidTr="00221CD1">
        <w:trPr>
          <w:trHeight w:val="315"/>
        </w:trPr>
        <w:tc>
          <w:tcPr>
            <w:tcW w:w="1530" w:type="dxa"/>
            <w:tcBorders>
              <w:top w:val="nil"/>
              <w:left w:val="nil"/>
              <w:bottom w:val="nil"/>
              <w:right w:val="nil"/>
            </w:tcBorders>
            <w:shd w:val="clear" w:color="auto" w:fill="auto"/>
            <w:noWrap/>
            <w:vAlign w:val="bottom"/>
            <w:hideMark/>
          </w:tcPr>
          <w:p w14:paraId="0A8C2683" w14:textId="77777777" w:rsidR="00032304" w:rsidRPr="00D151E4" w:rsidRDefault="00032304" w:rsidP="00221CD1">
            <w:pPr>
              <w:spacing w:line="240" w:lineRule="auto"/>
              <w:rPr>
                <w:rFonts w:eastAsia="Times New Roman"/>
                <w:color w:val="000000"/>
                <w:sz w:val="16"/>
                <w:szCs w:val="16"/>
                <w:lang w:val="en-US"/>
              </w:rPr>
            </w:pPr>
            <w:r w:rsidRPr="00D151E4">
              <w:rPr>
                <w:rFonts w:eastAsia="Times New Roman"/>
                <w:color w:val="000000"/>
                <w:sz w:val="16"/>
                <w:szCs w:val="16"/>
                <w:lang w:val="en-US"/>
              </w:rPr>
              <w:t>exophiala</w:t>
            </w:r>
          </w:p>
        </w:tc>
        <w:tc>
          <w:tcPr>
            <w:tcW w:w="1305" w:type="dxa"/>
            <w:tcBorders>
              <w:top w:val="nil"/>
              <w:left w:val="nil"/>
              <w:bottom w:val="nil"/>
              <w:right w:val="nil"/>
            </w:tcBorders>
            <w:shd w:val="clear" w:color="000000" w:fill="F8CB3D"/>
            <w:noWrap/>
            <w:vAlign w:val="bottom"/>
            <w:hideMark/>
          </w:tcPr>
          <w:p w14:paraId="3DAE2CF5"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0.02</w:t>
            </w:r>
          </w:p>
        </w:tc>
        <w:tc>
          <w:tcPr>
            <w:tcW w:w="1305" w:type="dxa"/>
            <w:tcBorders>
              <w:top w:val="nil"/>
              <w:left w:val="nil"/>
              <w:bottom w:val="nil"/>
              <w:right w:val="nil"/>
            </w:tcBorders>
            <w:shd w:val="clear" w:color="000000" w:fill="EDDDAB"/>
            <w:noWrap/>
            <w:vAlign w:val="bottom"/>
            <w:hideMark/>
          </w:tcPr>
          <w:p w14:paraId="5DFF83C6"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0.01</w:t>
            </w:r>
          </w:p>
        </w:tc>
        <w:tc>
          <w:tcPr>
            <w:tcW w:w="1305" w:type="dxa"/>
            <w:tcBorders>
              <w:top w:val="nil"/>
              <w:left w:val="nil"/>
              <w:bottom w:val="nil"/>
              <w:right w:val="nil"/>
            </w:tcBorders>
            <w:shd w:val="clear" w:color="000000" w:fill="F0D787"/>
            <w:noWrap/>
            <w:vAlign w:val="bottom"/>
            <w:hideMark/>
          </w:tcPr>
          <w:p w14:paraId="2E6F3BCA"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0.01</w:t>
            </w:r>
          </w:p>
        </w:tc>
        <w:tc>
          <w:tcPr>
            <w:tcW w:w="1305" w:type="dxa"/>
            <w:tcBorders>
              <w:top w:val="nil"/>
              <w:left w:val="nil"/>
              <w:bottom w:val="nil"/>
              <w:right w:val="nil"/>
            </w:tcBorders>
            <w:shd w:val="clear" w:color="000000" w:fill="EDDCA8"/>
            <w:noWrap/>
            <w:vAlign w:val="bottom"/>
            <w:hideMark/>
          </w:tcPr>
          <w:p w14:paraId="7C558DB2"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0.01</w:t>
            </w:r>
          </w:p>
        </w:tc>
        <w:tc>
          <w:tcPr>
            <w:tcW w:w="1305" w:type="dxa"/>
            <w:tcBorders>
              <w:top w:val="nil"/>
              <w:left w:val="nil"/>
              <w:bottom w:val="nil"/>
              <w:right w:val="nil"/>
            </w:tcBorders>
            <w:shd w:val="clear" w:color="000000" w:fill="EEDA9A"/>
            <w:noWrap/>
            <w:vAlign w:val="bottom"/>
            <w:hideMark/>
          </w:tcPr>
          <w:p w14:paraId="7929D348"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0.01</w:t>
            </w:r>
          </w:p>
        </w:tc>
        <w:tc>
          <w:tcPr>
            <w:tcW w:w="1305" w:type="dxa"/>
            <w:tcBorders>
              <w:top w:val="nil"/>
              <w:left w:val="nil"/>
              <w:bottom w:val="nil"/>
              <w:right w:val="nil"/>
            </w:tcBorders>
            <w:shd w:val="clear" w:color="000000" w:fill="FFB200"/>
            <w:noWrap/>
            <w:vAlign w:val="bottom"/>
            <w:hideMark/>
          </w:tcPr>
          <w:p w14:paraId="549B6778"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1.96</w:t>
            </w:r>
          </w:p>
        </w:tc>
      </w:tr>
      <w:tr w:rsidR="00032304" w:rsidRPr="00D151E4" w14:paraId="20DB9993" w14:textId="77777777" w:rsidTr="00221CD1">
        <w:trPr>
          <w:trHeight w:val="315"/>
        </w:trPr>
        <w:tc>
          <w:tcPr>
            <w:tcW w:w="1530" w:type="dxa"/>
            <w:tcBorders>
              <w:top w:val="nil"/>
              <w:left w:val="nil"/>
              <w:bottom w:val="nil"/>
              <w:right w:val="nil"/>
            </w:tcBorders>
            <w:shd w:val="clear" w:color="auto" w:fill="auto"/>
            <w:noWrap/>
            <w:vAlign w:val="bottom"/>
            <w:hideMark/>
          </w:tcPr>
          <w:p w14:paraId="09E9C06A" w14:textId="77777777" w:rsidR="00032304" w:rsidRPr="00D151E4" w:rsidRDefault="00032304" w:rsidP="00221CD1">
            <w:pPr>
              <w:spacing w:line="240" w:lineRule="auto"/>
              <w:rPr>
                <w:rFonts w:eastAsia="Times New Roman"/>
                <w:color w:val="000000"/>
                <w:sz w:val="16"/>
                <w:szCs w:val="16"/>
                <w:lang w:val="en-US"/>
              </w:rPr>
            </w:pPr>
            <w:r w:rsidRPr="00D151E4">
              <w:rPr>
                <w:rFonts w:eastAsia="Times New Roman"/>
                <w:color w:val="000000"/>
                <w:sz w:val="16"/>
                <w:szCs w:val="16"/>
                <w:lang w:val="en-US"/>
              </w:rPr>
              <w:t>cladosporium</w:t>
            </w:r>
          </w:p>
        </w:tc>
        <w:tc>
          <w:tcPr>
            <w:tcW w:w="1305" w:type="dxa"/>
            <w:tcBorders>
              <w:top w:val="nil"/>
              <w:left w:val="nil"/>
              <w:bottom w:val="nil"/>
              <w:right w:val="nil"/>
            </w:tcBorders>
            <w:shd w:val="clear" w:color="000000" w:fill="FFC000"/>
            <w:noWrap/>
            <w:vAlign w:val="bottom"/>
            <w:hideMark/>
          </w:tcPr>
          <w:p w14:paraId="67876185"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0.10</w:t>
            </w:r>
          </w:p>
        </w:tc>
        <w:tc>
          <w:tcPr>
            <w:tcW w:w="1305" w:type="dxa"/>
            <w:tcBorders>
              <w:top w:val="nil"/>
              <w:left w:val="nil"/>
              <w:bottom w:val="nil"/>
              <w:right w:val="nil"/>
            </w:tcBorders>
            <w:shd w:val="clear" w:color="000000" w:fill="FFBD00"/>
            <w:noWrap/>
            <w:vAlign w:val="bottom"/>
            <w:hideMark/>
          </w:tcPr>
          <w:p w14:paraId="4FB5224D"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0.42</w:t>
            </w:r>
          </w:p>
        </w:tc>
        <w:tc>
          <w:tcPr>
            <w:tcW w:w="1305" w:type="dxa"/>
            <w:tcBorders>
              <w:top w:val="nil"/>
              <w:left w:val="nil"/>
              <w:bottom w:val="nil"/>
              <w:right w:val="nil"/>
            </w:tcBorders>
            <w:shd w:val="clear" w:color="000000" w:fill="FFC000"/>
            <w:noWrap/>
            <w:vAlign w:val="bottom"/>
            <w:hideMark/>
          </w:tcPr>
          <w:p w14:paraId="72F1CEE4"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0.14</w:t>
            </w:r>
          </w:p>
        </w:tc>
        <w:tc>
          <w:tcPr>
            <w:tcW w:w="1305" w:type="dxa"/>
            <w:tcBorders>
              <w:top w:val="nil"/>
              <w:left w:val="nil"/>
              <w:bottom w:val="nil"/>
              <w:right w:val="nil"/>
            </w:tcBorders>
            <w:shd w:val="clear" w:color="000000" w:fill="F4D269"/>
            <w:noWrap/>
            <w:vAlign w:val="bottom"/>
            <w:hideMark/>
          </w:tcPr>
          <w:p w14:paraId="419B08C0"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0.01</w:t>
            </w:r>
          </w:p>
        </w:tc>
        <w:tc>
          <w:tcPr>
            <w:tcW w:w="1305" w:type="dxa"/>
            <w:tcBorders>
              <w:top w:val="nil"/>
              <w:left w:val="nil"/>
              <w:bottom w:val="nil"/>
              <w:right w:val="nil"/>
            </w:tcBorders>
            <w:shd w:val="clear" w:color="000000" w:fill="E9E2CD"/>
            <w:noWrap/>
            <w:vAlign w:val="bottom"/>
            <w:hideMark/>
          </w:tcPr>
          <w:p w14:paraId="73AB7468"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0.00</w:t>
            </w:r>
          </w:p>
        </w:tc>
        <w:tc>
          <w:tcPr>
            <w:tcW w:w="1305" w:type="dxa"/>
            <w:tcBorders>
              <w:top w:val="nil"/>
              <w:left w:val="nil"/>
              <w:bottom w:val="nil"/>
              <w:right w:val="nil"/>
            </w:tcBorders>
            <w:shd w:val="clear" w:color="000000" w:fill="FFB300"/>
            <w:noWrap/>
            <w:vAlign w:val="bottom"/>
            <w:hideMark/>
          </w:tcPr>
          <w:p w14:paraId="139D9EA3"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1.81</w:t>
            </w:r>
          </w:p>
        </w:tc>
      </w:tr>
      <w:tr w:rsidR="00032304" w:rsidRPr="00D151E4" w14:paraId="0FBB06CC" w14:textId="77777777" w:rsidTr="00221CD1">
        <w:trPr>
          <w:trHeight w:val="315"/>
        </w:trPr>
        <w:tc>
          <w:tcPr>
            <w:tcW w:w="1530" w:type="dxa"/>
            <w:tcBorders>
              <w:top w:val="nil"/>
              <w:left w:val="nil"/>
              <w:bottom w:val="nil"/>
              <w:right w:val="nil"/>
            </w:tcBorders>
            <w:shd w:val="clear" w:color="auto" w:fill="auto"/>
            <w:noWrap/>
            <w:vAlign w:val="bottom"/>
            <w:hideMark/>
          </w:tcPr>
          <w:p w14:paraId="239F6562" w14:textId="77777777" w:rsidR="00032304" w:rsidRPr="00D151E4" w:rsidRDefault="00032304" w:rsidP="00221CD1">
            <w:pPr>
              <w:spacing w:line="240" w:lineRule="auto"/>
              <w:rPr>
                <w:rFonts w:eastAsia="Times New Roman"/>
                <w:color w:val="000000"/>
                <w:sz w:val="16"/>
                <w:szCs w:val="16"/>
                <w:lang w:val="en-US"/>
              </w:rPr>
            </w:pPr>
            <w:r w:rsidRPr="00D151E4">
              <w:rPr>
                <w:rFonts w:eastAsia="Times New Roman"/>
                <w:color w:val="000000"/>
                <w:sz w:val="16"/>
                <w:szCs w:val="16"/>
                <w:lang w:val="en-US"/>
              </w:rPr>
              <w:t>phoma</w:t>
            </w:r>
          </w:p>
        </w:tc>
        <w:tc>
          <w:tcPr>
            <w:tcW w:w="1305" w:type="dxa"/>
            <w:tcBorders>
              <w:top w:val="nil"/>
              <w:left w:val="nil"/>
              <w:bottom w:val="nil"/>
              <w:right w:val="nil"/>
            </w:tcBorders>
            <w:shd w:val="clear" w:color="000000" w:fill="FBC621"/>
            <w:noWrap/>
            <w:vAlign w:val="bottom"/>
            <w:hideMark/>
          </w:tcPr>
          <w:p w14:paraId="3501374B"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0.02</w:t>
            </w:r>
          </w:p>
        </w:tc>
        <w:tc>
          <w:tcPr>
            <w:tcW w:w="1305" w:type="dxa"/>
            <w:tcBorders>
              <w:top w:val="nil"/>
              <w:left w:val="nil"/>
              <w:bottom w:val="nil"/>
              <w:right w:val="nil"/>
            </w:tcBorders>
            <w:shd w:val="clear" w:color="000000" w:fill="FFC000"/>
            <w:noWrap/>
            <w:vAlign w:val="bottom"/>
            <w:hideMark/>
          </w:tcPr>
          <w:p w14:paraId="0AB31828"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0.06</w:t>
            </w:r>
          </w:p>
        </w:tc>
        <w:tc>
          <w:tcPr>
            <w:tcW w:w="1305" w:type="dxa"/>
            <w:tcBorders>
              <w:top w:val="nil"/>
              <w:left w:val="nil"/>
              <w:bottom w:val="nil"/>
              <w:right w:val="nil"/>
            </w:tcBorders>
            <w:shd w:val="clear" w:color="000000" w:fill="FFC000"/>
            <w:noWrap/>
            <w:vAlign w:val="bottom"/>
            <w:hideMark/>
          </w:tcPr>
          <w:p w14:paraId="13B27D31"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0.07</w:t>
            </w:r>
          </w:p>
        </w:tc>
        <w:tc>
          <w:tcPr>
            <w:tcW w:w="1305" w:type="dxa"/>
            <w:tcBorders>
              <w:top w:val="nil"/>
              <w:left w:val="nil"/>
              <w:bottom w:val="nil"/>
              <w:right w:val="nil"/>
            </w:tcBorders>
            <w:shd w:val="clear" w:color="000000" w:fill="FFC000"/>
            <w:noWrap/>
            <w:vAlign w:val="bottom"/>
            <w:hideMark/>
          </w:tcPr>
          <w:p w14:paraId="41797F4B"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0.03</w:t>
            </w:r>
          </w:p>
        </w:tc>
        <w:tc>
          <w:tcPr>
            <w:tcW w:w="1305" w:type="dxa"/>
            <w:tcBorders>
              <w:top w:val="nil"/>
              <w:left w:val="nil"/>
              <w:bottom w:val="nil"/>
              <w:right w:val="nil"/>
            </w:tcBorders>
            <w:shd w:val="clear" w:color="000000" w:fill="F9C934"/>
            <w:noWrap/>
            <w:vAlign w:val="bottom"/>
            <w:hideMark/>
          </w:tcPr>
          <w:p w14:paraId="6D152674"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0.02</w:t>
            </w:r>
          </w:p>
        </w:tc>
        <w:tc>
          <w:tcPr>
            <w:tcW w:w="1305" w:type="dxa"/>
            <w:tcBorders>
              <w:top w:val="nil"/>
              <w:left w:val="nil"/>
              <w:bottom w:val="nil"/>
              <w:right w:val="nil"/>
            </w:tcBorders>
            <w:shd w:val="clear" w:color="000000" w:fill="FFB300"/>
            <w:noWrap/>
            <w:vAlign w:val="bottom"/>
            <w:hideMark/>
          </w:tcPr>
          <w:p w14:paraId="5F71118C"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1.74</w:t>
            </w:r>
          </w:p>
        </w:tc>
      </w:tr>
    </w:tbl>
    <w:p w14:paraId="150078E8" w14:textId="77777777" w:rsidR="00032304" w:rsidRPr="00D151E4" w:rsidRDefault="00032304" w:rsidP="00032304">
      <w:pPr>
        <w:spacing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Table S4 B: </w:t>
      </w:r>
      <w:r>
        <w:rPr>
          <w:rFonts w:ascii="Times New Roman" w:eastAsia="Times New Roman" w:hAnsi="Times New Roman" w:cs="Times New Roman"/>
          <w:sz w:val="24"/>
          <w:szCs w:val="24"/>
        </w:rPr>
        <w:t xml:space="preserve">Heat map of bacterial OTU relative abundance for the most dominant taxa identified in four soil samples from UFF and two from Lawn. </w:t>
      </w:r>
    </w:p>
    <w:tbl>
      <w:tblPr>
        <w:tblW w:w="9360" w:type="dxa"/>
        <w:tblLook w:val="04A0" w:firstRow="1" w:lastRow="0" w:firstColumn="1" w:lastColumn="0" w:noHBand="0" w:noVBand="1"/>
      </w:tblPr>
      <w:tblGrid>
        <w:gridCol w:w="1998"/>
        <w:gridCol w:w="1227"/>
        <w:gridCol w:w="1227"/>
        <w:gridCol w:w="1227"/>
        <w:gridCol w:w="1227"/>
        <w:gridCol w:w="1227"/>
        <w:gridCol w:w="1227"/>
      </w:tblGrid>
      <w:tr w:rsidR="00032304" w:rsidRPr="00D151E4" w14:paraId="1FC3C169" w14:textId="77777777" w:rsidTr="00221CD1">
        <w:trPr>
          <w:trHeight w:val="315"/>
        </w:trPr>
        <w:tc>
          <w:tcPr>
            <w:tcW w:w="1998" w:type="dxa"/>
            <w:tcBorders>
              <w:top w:val="nil"/>
              <w:left w:val="nil"/>
              <w:bottom w:val="nil"/>
              <w:right w:val="nil"/>
            </w:tcBorders>
            <w:shd w:val="clear" w:color="auto" w:fill="auto"/>
            <w:noWrap/>
            <w:vAlign w:val="bottom"/>
            <w:hideMark/>
          </w:tcPr>
          <w:p w14:paraId="4E2B29FB" w14:textId="77777777" w:rsidR="00032304" w:rsidRPr="00D151E4" w:rsidRDefault="00032304" w:rsidP="00221CD1">
            <w:pPr>
              <w:spacing w:line="240" w:lineRule="auto"/>
              <w:rPr>
                <w:rFonts w:eastAsia="Times New Roman"/>
                <w:color w:val="000000"/>
                <w:sz w:val="16"/>
                <w:szCs w:val="16"/>
                <w:lang w:val="en-US"/>
              </w:rPr>
            </w:pPr>
            <w:r w:rsidRPr="00D151E4">
              <w:rPr>
                <w:rFonts w:eastAsia="Times New Roman"/>
                <w:color w:val="000000"/>
                <w:sz w:val="16"/>
                <w:szCs w:val="16"/>
                <w:lang w:val="en-US"/>
              </w:rPr>
              <w:t>taxonomy</w:t>
            </w:r>
          </w:p>
        </w:tc>
        <w:tc>
          <w:tcPr>
            <w:tcW w:w="1227" w:type="dxa"/>
            <w:tcBorders>
              <w:top w:val="nil"/>
              <w:left w:val="nil"/>
              <w:bottom w:val="nil"/>
              <w:right w:val="nil"/>
            </w:tcBorders>
            <w:shd w:val="clear" w:color="auto" w:fill="auto"/>
            <w:noWrap/>
            <w:vAlign w:val="bottom"/>
            <w:hideMark/>
          </w:tcPr>
          <w:p w14:paraId="68F669E2" w14:textId="77777777" w:rsidR="00032304" w:rsidRPr="00D151E4" w:rsidRDefault="00032304" w:rsidP="00221CD1">
            <w:pPr>
              <w:spacing w:line="240" w:lineRule="auto"/>
              <w:rPr>
                <w:rFonts w:eastAsia="Times New Roman"/>
                <w:color w:val="000000"/>
                <w:sz w:val="16"/>
                <w:szCs w:val="16"/>
                <w:lang w:val="en-US"/>
              </w:rPr>
            </w:pPr>
            <w:r>
              <w:rPr>
                <w:rFonts w:eastAsia="Times New Roman"/>
                <w:color w:val="000000"/>
                <w:sz w:val="16"/>
                <w:szCs w:val="16"/>
                <w:lang w:val="en-US"/>
              </w:rPr>
              <w:t>F1B15</w:t>
            </w:r>
          </w:p>
        </w:tc>
        <w:tc>
          <w:tcPr>
            <w:tcW w:w="1227" w:type="dxa"/>
            <w:tcBorders>
              <w:top w:val="nil"/>
              <w:left w:val="nil"/>
              <w:bottom w:val="nil"/>
              <w:right w:val="nil"/>
            </w:tcBorders>
            <w:shd w:val="clear" w:color="auto" w:fill="auto"/>
            <w:noWrap/>
            <w:vAlign w:val="bottom"/>
            <w:hideMark/>
          </w:tcPr>
          <w:p w14:paraId="5048EBED" w14:textId="77777777" w:rsidR="00032304" w:rsidRPr="00D151E4" w:rsidRDefault="00032304" w:rsidP="00221CD1">
            <w:pPr>
              <w:spacing w:line="240" w:lineRule="auto"/>
              <w:rPr>
                <w:rFonts w:eastAsia="Times New Roman"/>
                <w:color w:val="000000"/>
                <w:sz w:val="16"/>
                <w:szCs w:val="16"/>
                <w:lang w:val="en-US"/>
              </w:rPr>
            </w:pPr>
            <w:r>
              <w:rPr>
                <w:rFonts w:eastAsia="Times New Roman"/>
                <w:color w:val="000000"/>
                <w:sz w:val="16"/>
                <w:szCs w:val="16"/>
                <w:lang w:val="en-US"/>
              </w:rPr>
              <w:t>F1B12</w:t>
            </w:r>
          </w:p>
        </w:tc>
        <w:tc>
          <w:tcPr>
            <w:tcW w:w="1227" w:type="dxa"/>
            <w:tcBorders>
              <w:top w:val="nil"/>
              <w:left w:val="nil"/>
              <w:bottom w:val="nil"/>
              <w:right w:val="nil"/>
            </w:tcBorders>
            <w:shd w:val="clear" w:color="auto" w:fill="auto"/>
            <w:noWrap/>
            <w:vAlign w:val="bottom"/>
            <w:hideMark/>
          </w:tcPr>
          <w:p w14:paraId="188FC15C" w14:textId="77777777" w:rsidR="00032304" w:rsidRPr="00D151E4" w:rsidRDefault="00032304" w:rsidP="00221CD1">
            <w:pPr>
              <w:spacing w:line="240" w:lineRule="auto"/>
              <w:rPr>
                <w:rFonts w:eastAsia="Times New Roman"/>
                <w:color w:val="000000"/>
                <w:sz w:val="16"/>
                <w:szCs w:val="16"/>
                <w:lang w:val="en-US"/>
              </w:rPr>
            </w:pPr>
            <w:r>
              <w:rPr>
                <w:rFonts w:eastAsia="Times New Roman"/>
                <w:color w:val="000000"/>
                <w:sz w:val="16"/>
                <w:szCs w:val="16"/>
                <w:lang w:val="en-US"/>
              </w:rPr>
              <w:t>F3B11</w:t>
            </w:r>
          </w:p>
        </w:tc>
        <w:tc>
          <w:tcPr>
            <w:tcW w:w="1227" w:type="dxa"/>
            <w:tcBorders>
              <w:top w:val="nil"/>
              <w:left w:val="nil"/>
              <w:bottom w:val="nil"/>
              <w:right w:val="nil"/>
            </w:tcBorders>
            <w:shd w:val="clear" w:color="auto" w:fill="auto"/>
            <w:noWrap/>
            <w:vAlign w:val="bottom"/>
            <w:hideMark/>
          </w:tcPr>
          <w:p w14:paraId="5DF9AD3A" w14:textId="77777777" w:rsidR="00032304" w:rsidRPr="00D151E4" w:rsidRDefault="00032304" w:rsidP="00221CD1">
            <w:pPr>
              <w:spacing w:line="240" w:lineRule="auto"/>
              <w:rPr>
                <w:rFonts w:eastAsia="Times New Roman"/>
                <w:color w:val="000000"/>
                <w:sz w:val="16"/>
                <w:szCs w:val="16"/>
                <w:lang w:val="en-US"/>
              </w:rPr>
            </w:pPr>
            <w:r>
              <w:rPr>
                <w:rFonts w:eastAsia="Times New Roman"/>
                <w:color w:val="000000"/>
                <w:sz w:val="16"/>
                <w:szCs w:val="16"/>
                <w:lang w:val="en-US"/>
              </w:rPr>
              <w:t>F3B10</w:t>
            </w:r>
          </w:p>
        </w:tc>
        <w:tc>
          <w:tcPr>
            <w:tcW w:w="1227" w:type="dxa"/>
            <w:tcBorders>
              <w:top w:val="nil"/>
              <w:left w:val="nil"/>
              <w:bottom w:val="nil"/>
              <w:right w:val="nil"/>
            </w:tcBorders>
            <w:shd w:val="clear" w:color="auto" w:fill="auto"/>
            <w:noWrap/>
            <w:vAlign w:val="bottom"/>
            <w:hideMark/>
          </w:tcPr>
          <w:p w14:paraId="4E777CDC" w14:textId="77777777" w:rsidR="00032304" w:rsidRPr="00D151E4" w:rsidRDefault="00032304" w:rsidP="00221CD1">
            <w:pPr>
              <w:spacing w:line="240" w:lineRule="auto"/>
              <w:rPr>
                <w:rFonts w:eastAsia="Times New Roman"/>
                <w:color w:val="000000"/>
                <w:sz w:val="16"/>
                <w:szCs w:val="16"/>
                <w:lang w:val="en-US"/>
              </w:rPr>
            </w:pPr>
            <w:r>
              <w:rPr>
                <w:rFonts w:eastAsia="Times New Roman"/>
                <w:color w:val="000000"/>
                <w:sz w:val="16"/>
                <w:szCs w:val="16"/>
                <w:lang w:val="en-US"/>
              </w:rPr>
              <w:t>L3OU10</w:t>
            </w:r>
          </w:p>
        </w:tc>
        <w:tc>
          <w:tcPr>
            <w:tcW w:w="1227" w:type="dxa"/>
            <w:tcBorders>
              <w:top w:val="nil"/>
              <w:left w:val="nil"/>
              <w:bottom w:val="nil"/>
              <w:right w:val="nil"/>
            </w:tcBorders>
            <w:shd w:val="clear" w:color="auto" w:fill="auto"/>
            <w:noWrap/>
            <w:vAlign w:val="bottom"/>
            <w:hideMark/>
          </w:tcPr>
          <w:p w14:paraId="58FDE840" w14:textId="77777777" w:rsidR="00032304" w:rsidRPr="00D151E4" w:rsidRDefault="00032304" w:rsidP="00221CD1">
            <w:pPr>
              <w:spacing w:line="240" w:lineRule="auto"/>
              <w:rPr>
                <w:rFonts w:eastAsia="Times New Roman"/>
                <w:color w:val="000000"/>
                <w:sz w:val="16"/>
                <w:szCs w:val="16"/>
                <w:lang w:val="en-US"/>
              </w:rPr>
            </w:pPr>
            <w:r>
              <w:rPr>
                <w:rFonts w:eastAsia="Times New Roman"/>
                <w:color w:val="000000"/>
                <w:sz w:val="16"/>
                <w:szCs w:val="16"/>
                <w:lang w:val="en-US"/>
              </w:rPr>
              <w:t>L1OU12</w:t>
            </w:r>
          </w:p>
        </w:tc>
      </w:tr>
      <w:tr w:rsidR="00032304" w:rsidRPr="00D151E4" w14:paraId="452CD7DB" w14:textId="77777777" w:rsidTr="00221CD1">
        <w:trPr>
          <w:trHeight w:val="315"/>
        </w:trPr>
        <w:tc>
          <w:tcPr>
            <w:tcW w:w="1998" w:type="dxa"/>
            <w:tcBorders>
              <w:top w:val="nil"/>
              <w:left w:val="nil"/>
              <w:bottom w:val="nil"/>
              <w:right w:val="nil"/>
            </w:tcBorders>
            <w:shd w:val="clear" w:color="auto" w:fill="auto"/>
            <w:noWrap/>
            <w:vAlign w:val="bottom"/>
            <w:hideMark/>
          </w:tcPr>
          <w:p w14:paraId="33DF8AAC" w14:textId="77777777" w:rsidR="00032304" w:rsidRPr="00D151E4" w:rsidRDefault="00032304" w:rsidP="00221CD1">
            <w:pPr>
              <w:spacing w:line="240" w:lineRule="auto"/>
              <w:rPr>
                <w:rFonts w:eastAsia="Times New Roman"/>
                <w:color w:val="000000"/>
                <w:sz w:val="16"/>
                <w:szCs w:val="16"/>
                <w:lang w:val="en-US"/>
              </w:rPr>
            </w:pPr>
            <w:r w:rsidRPr="00D151E4">
              <w:rPr>
                <w:rFonts w:eastAsia="Times New Roman"/>
                <w:color w:val="000000"/>
                <w:sz w:val="16"/>
                <w:szCs w:val="16"/>
                <w:lang w:val="en-US"/>
              </w:rPr>
              <w:t>steroidobacter</w:t>
            </w:r>
          </w:p>
        </w:tc>
        <w:tc>
          <w:tcPr>
            <w:tcW w:w="1227" w:type="dxa"/>
            <w:tcBorders>
              <w:top w:val="nil"/>
              <w:left w:val="nil"/>
              <w:bottom w:val="nil"/>
              <w:right w:val="nil"/>
            </w:tcBorders>
            <w:shd w:val="clear" w:color="000000" w:fill="FF5600"/>
            <w:noWrap/>
            <w:vAlign w:val="bottom"/>
            <w:hideMark/>
          </w:tcPr>
          <w:p w14:paraId="21D7C4CC"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2.81</w:t>
            </w:r>
          </w:p>
        </w:tc>
        <w:tc>
          <w:tcPr>
            <w:tcW w:w="1227" w:type="dxa"/>
            <w:tcBorders>
              <w:top w:val="nil"/>
              <w:left w:val="nil"/>
              <w:bottom w:val="nil"/>
              <w:right w:val="nil"/>
            </w:tcBorders>
            <w:shd w:val="clear" w:color="000000" w:fill="FF9000"/>
            <w:noWrap/>
            <w:vAlign w:val="bottom"/>
            <w:hideMark/>
          </w:tcPr>
          <w:p w14:paraId="6DA5978E"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1.40</w:t>
            </w:r>
          </w:p>
        </w:tc>
        <w:tc>
          <w:tcPr>
            <w:tcW w:w="1227" w:type="dxa"/>
            <w:tcBorders>
              <w:top w:val="nil"/>
              <w:left w:val="nil"/>
              <w:bottom w:val="nil"/>
              <w:right w:val="nil"/>
            </w:tcBorders>
            <w:shd w:val="clear" w:color="000000" w:fill="FF5000"/>
            <w:noWrap/>
            <w:vAlign w:val="bottom"/>
            <w:hideMark/>
          </w:tcPr>
          <w:p w14:paraId="04B40D70"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2.97</w:t>
            </w:r>
          </w:p>
        </w:tc>
        <w:tc>
          <w:tcPr>
            <w:tcW w:w="1227" w:type="dxa"/>
            <w:tcBorders>
              <w:top w:val="nil"/>
              <w:left w:val="nil"/>
              <w:bottom w:val="nil"/>
              <w:right w:val="nil"/>
            </w:tcBorders>
            <w:shd w:val="clear" w:color="000000" w:fill="FF0000"/>
            <w:noWrap/>
            <w:vAlign w:val="bottom"/>
            <w:hideMark/>
          </w:tcPr>
          <w:p w14:paraId="0A743611"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4.91</w:t>
            </w:r>
          </w:p>
        </w:tc>
        <w:tc>
          <w:tcPr>
            <w:tcW w:w="1227" w:type="dxa"/>
            <w:tcBorders>
              <w:top w:val="nil"/>
              <w:left w:val="nil"/>
              <w:bottom w:val="nil"/>
              <w:right w:val="nil"/>
            </w:tcBorders>
            <w:shd w:val="clear" w:color="000000" w:fill="FF9600"/>
            <w:noWrap/>
            <w:vAlign w:val="bottom"/>
            <w:hideMark/>
          </w:tcPr>
          <w:p w14:paraId="274ADC61"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1.24</w:t>
            </w:r>
          </w:p>
        </w:tc>
        <w:tc>
          <w:tcPr>
            <w:tcW w:w="1227" w:type="dxa"/>
            <w:tcBorders>
              <w:top w:val="nil"/>
              <w:left w:val="nil"/>
              <w:bottom w:val="nil"/>
              <w:right w:val="nil"/>
            </w:tcBorders>
            <w:shd w:val="clear" w:color="000000" w:fill="F7C321"/>
            <w:noWrap/>
            <w:vAlign w:val="bottom"/>
            <w:hideMark/>
          </w:tcPr>
          <w:p w14:paraId="7DF54389"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0.17</w:t>
            </w:r>
          </w:p>
        </w:tc>
      </w:tr>
      <w:tr w:rsidR="00032304" w:rsidRPr="00D151E4" w14:paraId="6C7CD04D" w14:textId="77777777" w:rsidTr="00221CD1">
        <w:trPr>
          <w:trHeight w:val="315"/>
        </w:trPr>
        <w:tc>
          <w:tcPr>
            <w:tcW w:w="1998" w:type="dxa"/>
            <w:tcBorders>
              <w:top w:val="nil"/>
              <w:left w:val="nil"/>
              <w:bottom w:val="nil"/>
              <w:right w:val="nil"/>
            </w:tcBorders>
            <w:shd w:val="clear" w:color="auto" w:fill="auto"/>
            <w:noWrap/>
            <w:vAlign w:val="bottom"/>
            <w:hideMark/>
          </w:tcPr>
          <w:p w14:paraId="6461B46A" w14:textId="77777777" w:rsidR="00032304" w:rsidRPr="00D151E4" w:rsidRDefault="00032304" w:rsidP="00221CD1">
            <w:pPr>
              <w:spacing w:line="240" w:lineRule="auto"/>
              <w:rPr>
                <w:rFonts w:eastAsia="Times New Roman"/>
                <w:color w:val="000000"/>
                <w:sz w:val="16"/>
                <w:szCs w:val="16"/>
                <w:lang w:val="en-US"/>
              </w:rPr>
            </w:pPr>
            <w:r w:rsidRPr="00D151E4">
              <w:rPr>
                <w:rFonts w:eastAsia="Times New Roman"/>
                <w:color w:val="000000"/>
                <w:sz w:val="16"/>
                <w:szCs w:val="16"/>
                <w:lang w:val="en-US"/>
              </w:rPr>
              <w:t>holophaga</w:t>
            </w:r>
          </w:p>
        </w:tc>
        <w:tc>
          <w:tcPr>
            <w:tcW w:w="1227" w:type="dxa"/>
            <w:tcBorders>
              <w:top w:val="nil"/>
              <w:left w:val="nil"/>
              <w:bottom w:val="nil"/>
              <w:right w:val="nil"/>
            </w:tcBorders>
            <w:shd w:val="clear" w:color="000000" w:fill="FF7100"/>
            <w:noWrap/>
            <w:vAlign w:val="bottom"/>
            <w:hideMark/>
          </w:tcPr>
          <w:p w14:paraId="135327C5"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2.16</w:t>
            </w:r>
          </w:p>
        </w:tc>
        <w:tc>
          <w:tcPr>
            <w:tcW w:w="1227" w:type="dxa"/>
            <w:tcBorders>
              <w:top w:val="nil"/>
              <w:left w:val="nil"/>
              <w:bottom w:val="nil"/>
              <w:right w:val="nil"/>
            </w:tcBorders>
            <w:shd w:val="clear" w:color="000000" w:fill="FF9900"/>
            <w:noWrap/>
            <w:vAlign w:val="bottom"/>
            <w:hideMark/>
          </w:tcPr>
          <w:p w14:paraId="78295B33"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1.18</w:t>
            </w:r>
          </w:p>
        </w:tc>
        <w:tc>
          <w:tcPr>
            <w:tcW w:w="1227" w:type="dxa"/>
            <w:tcBorders>
              <w:top w:val="nil"/>
              <w:left w:val="nil"/>
              <w:bottom w:val="nil"/>
              <w:right w:val="nil"/>
            </w:tcBorders>
            <w:shd w:val="clear" w:color="000000" w:fill="FF5300"/>
            <w:noWrap/>
            <w:vAlign w:val="bottom"/>
            <w:hideMark/>
          </w:tcPr>
          <w:p w14:paraId="659C9AED"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2.89</w:t>
            </w:r>
          </w:p>
        </w:tc>
        <w:tc>
          <w:tcPr>
            <w:tcW w:w="1227" w:type="dxa"/>
            <w:tcBorders>
              <w:top w:val="nil"/>
              <w:left w:val="nil"/>
              <w:bottom w:val="nil"/>
              <w:right w:val="nil"/>
            </w:tcBorders>
            <w:shd w:val="clear" w:color="000000" w:fill="FF8300"/>
            <w:noWrap/>
            <w:vAlign w:val="bottom"/>
            <w:hideMark/>
          </w:tcPr>
          <w:p w14:paraId="43F0696A"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1.70</w:t>
            </w:r>
          </w:p>
        </w:tc>
        <w:tc>
          <w:tcPr>
            <w:tcW w:w="1227" w:type="dxa"/>
            <w:tcBorders>
              <w:top w:val="nil"/>
              <w:left w:val="nil"/>
              <w:bottom w:val="nil"/>
              <w:right w:val="nil"/>
            </w:tcBorders>
            <w:shd w:val="clear" w:color="000000" w:fill="FFB800"/>
            <w:noWrap/>
            <w:vAlign w:val="bottom"/>
            <w:hideMark/>
          </w:tcPr>
          <w:p w14:paraId="7908CFE3"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0.42</w:t>
            </w:r>
          </w:p>
        </w:tc>
        <w:tc>
          <w:tcPr>
            <w:tcW w:w="1227" w:type="dxa"/>
            <w:tcBorders>
              <w:top w:val="nil"/>
              <w:left w:val="nil"/>
              <w:bottom w:val="nil"/>
              <w:right w:val="nil"/>
            </w:tcBorders>
            <w:shd w:val="clear" w:color="000000" w:fill="DDCA94"/>
            <w:noWrap/>
            <w:vAlign w:val="bottom"/>
            <w:hideMark/>
          </w:tcPr>
          <w:p w14:paraId="621C2323"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0.06</w:t>
            </w:r>
          </w:p>
        </w:tc>
      </w:tr>
      <w:tr w:rsidR="00032304" w:rsidRPr="00D151E4" w14:paraId="45A816DB" w14:textId="77777777" w:rsidTr="00221CD1">
        <w:trPr>
          <w:trHeight w:val="315"/>
        </w:trPr>
        <w:tc>
          <w:tcPr>
            <w:tcW w:w="1998" w:type="dxa"/>
            <w:tcBorders>
              <w:top w:val="nil"/>
              <w:left w:val="nil"/>
              <w:bottom w:val="nil"/>
              <w:right w:val="nil"/>
            </w:tcBorders>
            <w:shd w:val="clear" w:color="auto" w:fill="auto"/>
            <w:noWrap/>
            <w:vAlign w:val="bottom"/>
            <w:hideMark/>
          </w:tcPr>
          <w:p w14:paraId="0B500AF8" w14:textId="77777777" w:rsidR="00032304" w:rsidRPr="00D151E4" w:rsidRDefault="00032304" w:rsidP="00221CD1">
            <w:pPr>
              <w:spacing w:line="240" w:lineRule="auto"/>
              <w:rPr>
                <w:rFonts w:eastAsia="Times New Roman"/>
                <w:color w:val="000000"/>
                <w:sz w:val="16"/>
                <w:szCs w:val="16"/>
                <w:lang w:val="en-US"/>
              </w:rPr>
            </w:pPr>
            <w:r w:rsidRPr="00D151E4">
              <w:rPr>
                <w:rFonts w:eastAsia="Times New Roman"/>
                <w:color w:val="000000"/>
                <w:sz w:val="16"/>
                <w:szCs w:val="16"/>
                <w:lang w:val="en-US"/>
              </w:rPr>
              <w:t>thiorhodospira</w:t>
            </w:r>
          </w:p>
        </w:tc>
        <w:tc>
          <w:tcPr>
            <w:tcW w:w="1227" w:type="dxa"/>
            <w:tcBorders>
              <w:top w:val="nil"/>
              <w:left w:val="nil"/>
              <w:bottom w:val="nil"/>
              <w:right w:val="nil"/>
            </w:tcBorders>
            <w:shd w:val="clear" w:color="000000" w:fill="FF9100"/>
            <w:noWrap/>
            <w:vAlign w:val="bottom"/>
            <w:hideMark/>
          </w:tcPr>
          <w:p w14:paraId="18C17C46"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1.38</w:t>
            </w:r>
          </w:p>
        </w:tc>
        <w:tc>
          <w:tcPr>
            <w:tcW w:w="1227" w:type="dxa"/>
            <w:tcBorders>
              <w:top w:val="nil"/>
              <w:left w:val="nil"/>
              <w:bottom w:val="nil"/>
              <w:right w:val="nil"/>
            </w:tcBorders>
            <w:shd w:val="clear" w:color="000000" w:fill="FFB200"/>
            <w:noWrap/>
            <w:vAlign w:val="bottom"/>
            <w:hideMark/>
          </w:tcPr>
          <w:p w14:paraId="51C95B67"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0.55</w:t>
            </w:r>
          </w:p>
        </w:tc>
        <w:tc>
          <w:tcPr>
            <w:tcW w:w="1227" w:type="dxa"/>
            <w:tcBorders>
              <w:top w:val="nil"/>
              <w:left w:val="nil"/>
              <w:bottom w:val="nil"/>
              <w:right w:val="nil"/>
            </w:tcBorders>
            <w:shd w:val="clear" w:color="000000" w:fill="FF8300"/>
            <w:noWrap/>
            <w:vAlign w:val="bottom"/>
            <w:hideMark/>
          </w:tcPr>
          <w:p w14:paraId="34C44D52"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1.71</w:t>
            </w:r>
          </w:p>
        </w:tc>
        <w:tc>
          <w:tcPr>
            <w:tcW w:w="1227" w:type="dxa"/>
            <w:tcBorders>
              <w:top w:val="nil"/>
              <w:left w:val="nil"/>
              <w:bottom w:val="nil"/>
              <w:right w:val="nil"/>
            </w:tcBorders>
            <w:shd w:val="clear" w:color="000000" w:fill="FF7E00"/>
            <w:noWrap/>
            <w:vAlign w:val="bottom"/>
            <w:hideMark/>
          </w:tcPr>
          <w:p w14:paraId="69D70087"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1.82</w:t>
            </w:r>
          </w:p>
        </w:tc>
        <w:tc>
          <w:tcPr>
            <w:tcW w:w="1227" w:type="dxa"/>
            <w:tcBorders>
              <w:top w:val="nil"/>
              <w:left w:val="nil"/>
              <w:bottom w:val="nil"/>
              <w:right w:val="nil"/>
            </w:tcBorders>
            <w:shd w:val="clear" w:color="000000" w:fill="FFC000"/>
            <w:noWrap/>
            <w:vAlign w:val="bottom"/>
            <w:hideMark/>
          </w:tcPr>
          <w:p w14:paraId="783C2EA7"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0.23</w:t>
            </w:r>
          </w:p>
        </w:tc>
        <w:tc>
          <w:tcPr>
            <w:tcW w:w="1227" w:type="dxa"/>
            <w:tcBorders>
              <w:top w:val="nil"/>
              <w:left w:val="nil"/>
              <w:bottom w:val="nil"/>
              <w:right w:val="nil"/>
            </w:tcBorders>
            <w:shd w:val="clear" w:color="000000" w:fill="D5CDB8"/>
            <w:noWrap/>
            <w:vAlign w:val="bottom"/>
            <w:hideMark/>
          </w:tcPr>
          <w:p w14:paraId="37D6C749"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0.02</w:t>
            </w:r>
          </w:p>
        </w:tc>
      </w:tr>
      <w:tr w:rsidR="00032304" w:rsidRPr="00D151E4" w14:paraId="0703C73E" w14:textId="77777777" w:rsidTr="00221CD1">
        <w:trPr>
          <w:trHeight w:val="315"/>
        </w:trPr>
        <w:tc>
          <w:tcPr>
            <w:tcW w:w="1998" w:type="dxa"/>
            <w:tcBorders>
              <w:top w:val="nil"/>
              <w:left w:val="nil"/>
              <w:bottom w:val="nil"/>
              <w:right w:val="nil"/>
            </w:tcBorders>
            <w:shd w:val="clear" w:color="auto" w:fill="auto"/>
            <w:noWrap/>
            <w:vAlign w:val="bottom"/>
            <w:hideMark/>
          </w:tcPr>
          <w:p w14:paraId="5C81B981" w14:textId="77777777" w:rsidR="00032304" w:rsidRPr="00D151E4" w:rsidRDefault="00032304" w:rsidP="00221CD1">
            <w:pPr>
              <w:spacing w:line="240" w:lineRule="auto"/>
              <w:rPr>
                <w:rFonts w:eastAsia="Times New Roman"/>
                <w:color w:val="000000"/>
                <w:sz w:val="16"/>
                <w:szCs w:val="16"/>
                <w:lang w:val="en-US"/>
              </w:rPr>
            </w:pPr>
            <w:r w:rsidRPr="00D151E4">
              <w:rPr>
                <w:rFonts w:eastAsia="Times New Roman"/>
                <w:color w:val="000000"/>
                <w:sz w:val="16"/>
                <w:szCs w:val="16"/>
                <w:lang w:val="en-US"/>
              </w:rPr>
              <w:t>anaeromyxobacter</w:t>
            </w:r>
          </w:p>
        </w:tc>
        <w:tc>
          <w:tcPr>
            <w:tcW w:w="1227" w:type="dxa"/>
            <w:tcBorders>
              <w:top w:val="nil"/>
              <w:left w:val="nil"/>
              <w:bottom w:val="nil"/>
              <w:right w:val="nil"/>
            </w:tcBorders>
            <w:shd w:val="clear" w:color="000000" w:fill="FF9600"/>
            <w:noWrap/>
            <w:vAlign w:val="bottom"/>
            <w:hideMark/>
          </w:tcPr>
          <w:p w14:paraId="77B683EB"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1.25</w:t>
            </w:r>
          </w:p>
        </w:tc>
        <w:tc>
          <w:tcPr>
            <w:tcW w:w="1227" w:type="dxa"/>
            <w:tcBorders>
              <w:top w:val="nil"/>
              <w:left w:val="nil"/>
              <w:bottom w:val="nil"/>
              <w:right w:val="nil"/>
            </w:tcBorders>
            <w:shd w:val="clear" w:color="000000" w:fill="FFBF00"/>
            <w:noWrap/>
            <w:vAlign w:val="bottom"/>
            <w:hideMark/>
          </w:tcPr>
          <w:p w14:paraId="2FEFCA74"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0.23</w:t>
            </w:r>
          </w:p>
        </w:tc>
        <w:tc>
          <w:tcPr>
            <w:tcW w:w="1227" w:type="dxa"/>
            <w:tcBorders>
              <w:top w:val="nil"/>
              <w:left w:val="nil"/>
              <w:bottom w:val="nil"/>
              <w:right w:val="nil"/>
            </w:tcBorders>
            <w:shd w:val="clear" w:color="000000" w:fill="FF9800"/>
            <w:noWrap/>
            <w:vAlign w:val="bottom"/>
            <w:hideMark/>
          </w:tcPr>
          <w:p w14:paraId="1D369631"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1.20</w:t>
            </w:r>
          </w:p>
        </w:tc>
        <w:tc>
          <w:tcPr>
            <w:tcW w:w="1227" w:type="dxa"/>
            <w:tcBorders>
              <w:top w:val="nil"/>
              <w:left w:val="nil"/>
              <w:bottom w:val="nil"/>
              <w:right w:val="nil"/>
            </w:tcBorders>
            <w:shd w:val="clear" w:color="000000" w:fill="FF9200"/>
            <w:noWrap/>
            <w:vAlign w:val="bottom"/>
            <w:hideMark/>
          </w:tcPr>
          <w:p w14:paraId="522C854E"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1.34</w:t>
            </w:r>
          </w:p>
        </w:tc>
        <w:tc>
          <w:tcPr>
            <w:tcW w:w="1227" w:type="dxa"/>
            <w:tcBorders>
              <w:top w:val="nil"/>
              <w:left w:val="nil"/>
              <w:bottom w:val="nil"/>
              <w:right w:val="nil"/>
            </w:tcBorders>
            <w:shd w:val="clear" w:color="000000" w:fill="F3C432"/>
            <w:noWrap/>
            <w:vAlign w:val="bottom"/>
            <w:hideMark/>
          </w:tcPr>
          <w:p w14:paraId="1102E153"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0.15</w:t>
            </w:r>
          </w:p>
        </w:tc>
        <w:tc>
          <w:tcPr>
            <w:tcW w:w="1227" w:type="dxa"/>
            <w:tcBorders>
              <w:top w:val="nil"/>
              <w:left w:val="nil"/>
              <w:bottom w:val="nil"/>
              <w:right w:val="nil"/>
            </w:tcBorders>
            <w:shd w:val="clear" w:color="000000" w:fill="D7CCAD"/>
            <w:noWrap/>
            <w:vAlign w:val="bottom"/>
            <w:hideMark/>
          </w:tcPr>
          <w:p w14:paraId="368AD46A"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0.03</w:t>
            </w:r>
          </w:p>
        </w:tc>
      </w:tr>
      <w:tr w:rsidR="00032304" w:rsidRPr="00D151E4" w14:paraId="690849BE" w14:textId="77777777" w:rsidTr="00221CD1">
        <w:trPr>
          <w:trHeight w:val="315"/>
        </w:trPr>
        <w:tc>
          <w:tcPr>
            <w:tcW w:w="1998" w:type="dxa"/>
            <w:tcBorders>
              <w:top w:val="nil"/>
              <w:left w:val="nil"/>
              <w:bottom w:val="nil"/>
              <w:right w:val="nil"/>
            </w:tcBorders>
            <w:shd w:val="clear" w:color="auto" w:fill="auto"/>
            <w:noWrap/>
            <w:vAlign w:val="bottom"/>
            <w:hideMark/>
          </w:tcPr>
          <w:p w14:paraId="36FF5C1B" w14:textId="77777777" w:rsidR="00032304" w:rsidRPr="00D151E4" w:rsidRDefault="00032304" w:rsidP="00221CD1">
            <w:pPr>
              <w:spacing w:line="240" w:lineRule="auto"/>
              <w:rPr>
                <w:rFonts w:eastAsia="Times New Roman"/>
                <w:color w:val="000000"/>
                <w:sz w:val="16"/>
                <w:szCs w:val="16"/>
                <w:lang w:val="en-US"/>
              </w:rPr>
            </w:pPr>
            <w:r w:rsidRPr="00D151E4">
              <w:rPr>
                <w:rFonts w:eastAsia="Times New Roman"/>
                <w:color w:val="000000"/>
                <w:sz w:val="16"/>
                <w:szCs w:val="16"/>
                <w:lang w:val="en-US"/>
              </w:rPr>
              <w:t>anaeromyxobacter</w:t>
            </w:r>
          </w:p>
        </w:tc>
        <w:tc>
          <w:tcPr>
            <w:tcW w:w="1227" w:type="dxa"/>
            <w:tcBorders>
              <w:top w:val="nil"/>
              <w:left w:val="nil"/>
              <w:bottom w:val="nil"/>
              <w:right w:val="nil"/>
            </w:tcBorders>
            <w:shd w:val="clear" w:color="000000" w:fill="FF9700"/>
            <w:noWrap/>
            <w:vAlign w:val="bottom"/>
            <w:hideMark/>
          </w:tcPr>
          <w:p w14:paraId="7D7D55B1"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1.22</w:t>
            </w:r>
          </w:p>
        </w:tc>
        <w:tc>
          <w:tcPr>
            <w:tcW w:w="1227" w:type="dxa"/>
            <w:tcBorders>
              <w:top w:val="nil"/>
              <w:left w:val="nil"/>
              <w:bottom w:val="nil"/>
              <w:right w:val="nil"/>
            </w:tcBorders>
            <w:shd w:val="clear" w:color="000000" w:fill="FFB700"/>
            <w:noWrap/>
            <w:vAlign w:val="bottom"/>
            <w:hideMark/>
          </w:tcPr>
          <w:p w14:paraId="4C4D57FE"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0.44</w:t>
            </w:r>
          </w:p>
        </w:tc>
        <w:tc>
          <w:tcPr>
            <w:tcW w:w="1227" w:type="dxa"/>
            <w:tcBorders>
              <w:top w:val="nil"/>
              <w:left w:val="nil"/>
              <w:bottom w:val="nil"/>
              <w:right w:val="nil"/>
            </w:tcBorders>
            <w:shd w:val="clear" w:color="000000" w:fill="FFA100"/>
            <w:noWrap/>
            <w:vAlign w:val="bottom"/>
            <w:hideMark/>
          </w:tcPr>
          <w:p w14:paraId="4E358C4E"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0.97</w:t>
            </w:r>
          </w:p>
        </w:tc>
        <w:tc>
          <w:tcPr>
            <w:tcW w:w="1227" w:type="dxa"/>
            <w:tcBorders>
              <w:top w:val="nil"/>
              <w:left w:val="nil"/>
              <w:bottom w:val="nil"/>
              <w:right w:val="nil"/>
            </w:tcBorders>
            <w:shd w:val="clear" w:color="000000" w:fill="FF9900"/>
            <w:noWrap/>
            <w:vAlign w:val="bottom"/>
            <w:hideMark/>
          </w:tcPr>
          <w:p w14:paraId="77546ECA"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1.17</w:t>
            </w:r>
          </w:p>
        </w:tc>
        <w:tc>
          <w:tcPr>
            <w:tcW w:w="1227" w:type="dxa"/>
            <w:tcBorders>
              <w:top w:val="nil"/>
              <w:left w:val="nil"/>
              <w:bottom w:val="nil"/>
              <w:right w:val="nil"/>
            </w:tcBorders>
            <w:shd w:val="clear" w:color="000000" w:fill="FFBF00"/>
            <w:noWrap/>
            <w:vAlign w:val="bottom"/>
            <w:hideMark/>
          </w:tcPr>
          <w:p w14:paraId="7D2B2F25"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0.23</w:t>
            </w:r>
          </w:p>
        </w:tc>
        <w:tc>
          <w:tcPr>
            <w:tcW w:w="1227" w:type="dxa"/>
            <w:tcBorders>
              <w:top w:val="nil"/>
              <w:left w:val="nil"/>
              <w:bottom w:val="nil"/>
              <w:right w:val="nil"/>
            </w:tcBorders>
            <w:shd w:val="clear" w:color="000000" w:fill="D5CDB8"/>
            <w:noWrap/>
            <w:vAlign w:val="bottom"/>
            <w:hideMark/>
          </w:tcPr>
          <w:p w14:paraId="7CBC90B4"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0.02</w:t>
            </w:r>
          </w:p>
        </w:tc>
      </w:tr>
      <w:tr w:rsidR="00032304" w:rsidRPr="00D151E4" w14:paraId="73FAC589" w14:textId="77777777" w:rsidTr="00221CD1">
        <w:trPr>
          <w:trHeight w:val="315"/>
        </w:trPr>
        <w:tc>
          <w:tcPr>
            <w:tcW w:w="1998" w:type="dxa"/>
            <w:tcBorders>
              <w:top w:val="nil"/>
              <w:left w:val="nil"/>
              <w:bottom w:val="nil"/>
              <w:right w:val="nil"/>
            </w:tcBorders>
            <w:shd w:val="clear" w:color="auto" w:fill="auto"/>
            <w:noWrap/>
            <w:vAlign w:val="bottom"/>
            <w:hideMark/>
          </w:tcPr>
          <w:p w14:paraId="7E01DDB4" w14:textId="77777777" w:rsidR="00032304" w:rsidRPr="00D151E4" w:rsidRDefault="00032304" w:rsidP="00221CD1">
            <w:pPr>
              <w:spacing w:line="240" w:lineRule="auto"/>
              <w:rPr>
                <w:rFonts w:eastAsia="Times New Roman"/>
                <w:color w:val="000000"/>
                <w:sz w:val="16"/>
                <w:szCs w:val="16"/>
                <w:lang w:val="en-US"/>
              </w:rPr>
            </w:pPr>
            <w:r w:rsidRPr="00D151E4">
              <w:rPr>
                <w:rFonts w:eastAsia="Times New Roman"/>
                <w:color w:val="000000"/>
                <w:sz w:val="16"/>
                <w:szCs w:val="16"/>
                <w:lang w:val="en-US"/>
              </w:rPr>
              <w:t>acidovorax</w:t>
            </w:r>
          </w:p>
        </w:tc>
        <w:tc>
          <w:tcPr>
            <w:tcW w:w="1227" w:type="dxa"/>
            <w:tcBorders>
              <w:top w:val="nil"/>
              <w:left w:val="nil"/>
              <w:bottom w:val="nil"/>
              <w:right w:val="nil"/>
            </w:tcBorders>
            <w:shd w:val="clear" w:color="000000" w:fill="FF9E00"/>
            <w:noWrap/>
            <w:vAlign w:val="bottom"/>
            <w:hideMark/>
          </w:tcPr>
          <w:p w14:paraId="28A340DF"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1.05</w:t>
            </w:r>
          </w:p>
        </w:tc>
        <w:tc>
          <w:tcPr>
            <w:tcW w:w="1227" w:type="dxa"/>
            <w:tcBorders>
              <w:top w:val="nil"/>
              <w:left w:val="nil"/>
              <w:bottom w:val="nil"/>
              <w:right w:val="nil"/>
            </w:tcBorders>
            <w:shd w:val="clear" w:color="000000" w:fill="D8CCAA"/>
            <w:noWrap/>
            <w:vAlign w:val="bottom"/>
            <w:hideMark/>
          </w:tcPr>
          <w:p w14:paraId="19FC75DE"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0.04</w:t>
            </w:r>
          </w:p>
        </w:tc>
        <w:tc>
          <w:tcPr>
            <w:tcW w:w="1227" w:type="dxa"/>
            <w:tcBorders>
              <w:top w:val="nil"/>
              <w:left w:val="nil"/>
              <w:bottom w:val="nil"/>
              <w:right w:val="nil"/>
            </w:tcBorders>
            <w:shd w:val="clear" w:color="000000" w:fill="FFAC00"/>
            <w:noWrap/>
            <w:vAlign w:val="bottom"/>
            <w:hideMark/>
          </w:tcPr>
          <w:p w14:paraId="05428ABC"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0.69</w:t>
            </w:r>
          </w:p>
        </w:tc>
        <w:tc>
          <w:tcPr>
            <w:tcW w:w="1227" w:type="dxa"/>
            <w:tcBorders>
              <w:top w:val="nil"/>
              <w:left w:val="nil"/>
              <w:bottom w:val="nil"/>
              <w:right w:val="nil"/>
            </w:tcBorders>
            <w:shd w:val="clear" w:color="000000" w:fill="FFBA00"/>
            <w:noWrap/>
            <w:vAlign w:val="bottom"/>
            <w:hideMark/>
          </w:tcPr>
          <w:p w14:paraId="64D113E7"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0.35</w:t>
            </w:r>
          </w:p>
        </w:tc>
        <w:tc>
          <w:tcPr>
            <w:tcW w:w="1227" w:type="dxa"/>
            <w:tcBorders>
              <w:top w:val="nil"/>
              <w:left w:val="nil"/>
              <w:bottom w:val="nil"/>
              <w:right w:val="nil"/>
            </w:tcBorders>
            <w:shd w:val="clear" w:color="000000" w:fill="D6CDB2"/>
            <w:noWrap/>
            <w:vAlign w:val="bottom"/>
            <w:hideMark/>
          </w:tcPr>
          <w:p w14:paraId="43F57B4E"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0.03</w:t>
            </w:r>
          </w:p>
        </w:tc>
        <w:tc>
          <w:tcPr>
            <w:tcW w:w="1227" w:type="dxa"/>
            <w:tcBorders>
              <w:top w:val="nil"/>
              <w:left w:val="nil"/>
              <w:bottom w:val="nil"/>
              <w:right w:val="nil"/>
            </w:tcBorders>
            <w:shd w:val="clear" w:color="000000" w:fill="D0CECB"/>
            <w:noWrap/>
            <w:vAlign w:val="bottom"/>
            <w:hideMark/>
          </w:tcPr>
          <w:p w14:paraId="3B8838E0"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0.00</w:t>
            </w:r>
          </w:p>
        </w:tc>
      </w:tr>
      <w:tr w:rsidR="00032304" w:rsidRPr="00D151E4" w14:paraId="314FC8E2" w14:textId="77777777" w:rsidTr="00221CD1">
        <w:trPr>
          <w:trHeight w:val="315"/>
        </w:trPr>
        <w:tc>
          <w:tcPr>
            <w:tcW w:w="1998" w:type="dxa"/>
            <w:tcBorders>
              <w:top w:val="nil"/>
              <w:left w:val="nil"/>
              <w:bottom w:val="nil"/>
              <w:right w:val="nil"/>
            </w:tcBorders>
            <w:shd w:val="clear" w:color="auto" w:fill="auto"/>
            <w:noWrap/>
            <w:vAlign w:val="bottom"/>
            <w:hideMark/>
          </w:tcPr>
          <w:p w14:paraId="767902A4" w14:textId="77777777" w:rsidR="00032304" w:rsidRPr="00D151E4" w:rsidRDefault="00032304" w:rsidP="00221CD1">
            <w:pPr>
              <w:spacing w:line="240" w:lineRule="auto"/>
              <w:rPr>
                <w:rFonts w:eastAsia="Times New Roman"/>
                <w:color w:val="000000"/>
                <w:sz w:val="16"/>
                <w:szCs w:val="16"/>
                <w:lang w:val="en-US"/>
              </w:rPr>
            </w:pPr>
            <w:r w:rsidRPr="00D151E4">
              <w:rPr>
                <w:rFonts w:eastAsia="Times New Roman"/>
                <w:color w:val="000000"/>
                <w:sz w:val="16"/>
                <w:szCs w:val="16"/>
                <w:lang w:val="en-US"/>
              </w:rPr>
              <w:t>pelobacter</w:t>
            </w:r>
          </w:p>
        </w:tc>
        <w:tc>
          <w:tcPr>
            <w:tcW w:w="1227" w:type="dxa"/>
            <w:tcBorders>
              <w:top w:val="nil"/>
              <w:left w:val="nil"/>
              <w:bottom w:val="nil"/>
              <w:right w:val="nil"/>
            </w:tcBorders>
            <w:shd w:val="clear" w:color="000000" w:fill="FF9F00"/>
            <w:noWrap/>
            <w:vAlign w:val="bottom"/>
            <w:hideMark/>
          </w:tcPr>
          <w:p w14:paraId="1B6740BF"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1.03</w:t>
            </w:r>
          </w:p>
        </w:tc>
        <w:tc>
          <w:tcPr>
            <w:tcW w:w="1227" w:type="dxa"/>
            <w:tcBorders>
              <w:top w:val="nil"/>
              <w:left w:val="nil"/>
              <w:bottom w:val="nil"/>
              <w:right w:val="nil"/>
            </w:tcBorders>
            <w:shd w:val="clear" w:color="000000" w:fill="FF9700"/>
            <w:noWrap/>
            <w:vAlign w:val="bottom"/>
            <w:hideMark/>
          </w:tcPr>
          <w:p w14:paraId="632B99E7"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1.21</w:t>
            </w:r>
          </w:p>
        </w:tc>
        <w:tc>
          <w:tcPr>
            <w:tcW w:w="1227" w:type="dxa"/>
            <w:tcBorders>
              <w:top w:val="nil"/>
              <w:left w:val="nil"/>
              <w:bottom w:val="nil"/>
              <w:right w:val="nil"/>
            </w:tcBorders>
            <w:shd w:val="clear" w:color="000000" w:fill="FFA700"/>
            <w:noWrap/>
            <w:vAlign w:val="bottom"/>
            <w:hideMark/>
          </w:tcPr>
          <w:p w14:paraId="1ABC2DCE"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0.84</w:t>
            </w:r>
          </w:p>
        </w:tc>
        <w:tc>
          <w:tcPr>
            <w:tcW w:w="1227" w:type="dxa"/>
            <w:tcBorders>
              <w:top w:val="nil"/>
              <w:left w:val="nil"/>
              <w:bottom w:val="nil"/>
              <w:right w:val="nil"/>
            </w:tcBorders>
            <w:shd w:val="clear" w:color="000000" w:fill="FFA700"/>
            <w:noWrap/>
            <w:vAlign w:val="bottom"/>
            <w:hideMark/>
          </w:tcPr>
          <w:p w14:paraId="4035E71E"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0.83</w:t>
            </w:r>
          </w:p>
        </w:tc>
        <w:tc>
          <w:tcPr>
            <w:tcW w:w="1227" w:type="dxa"/>
            <w:tcBorders>
              <w:top w:val="nil"/>
              <w:left w:val="nil"/>
              <w:bottom w:val="nil"/>
              <w:right w:val="nil"/>
            </w:tcBorders>
            <w:shd w:val="clear" w:color="000000" w:fill="FFA900"/>
            <w:noWrap/>
            <w:vAlign w:val="bottom"/>
            <w:hideMark/>
          </w:tcPr>
          <w:p w14:paraId="6EF034F9"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0.78</w:t>
            </w:r>
          </w:p>
        </w:tc>
        <w:tc>
          <w:tcPr>
            <w:tcW w:w="1227" w:type="dxa"/>
            <w:tcBorders>
              <w:top w:val="nil"/>
              <w:left w:val="nil"/>
              <w:bottom w:val="nil"/>
              <w:right w:val="nil"/>
            </w:tcBorders>
            <w:shd w:val="clear" w:color="000000" w:fill="DDCA94"/>
            <w:noWrap/>
            <w:vAlign w:val="bottom"/>
            <w:hideMark/>
          </w:tcPr>
          <w:p w14:paraId="102D34D0"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0.06</w:t>
            </w:r>
          </w:p>
        </w:tc>
      </w:tr>
      <w:tr w:rsidR="00032304" w:rsidRPr="00D151E4" w14:paraId="2E8CE1F2" w14:textId="77777777" w:rsidTr="00221CD1">
        <w:trPr>
          <w:trHeight w:val="315"/>
        </w:trPr>
        <w:tc>
          <w:tcPr>
            <w:tcW w:w="1998" w:type="dxa"/>
            <w:tcBorders>
              <w:top w:val="nil"/>
              <w:left w:val="nil"/>
              <w:bottom w:val="nil"/>
              <w:right w:val="nil"/>
            </w:tcBorders>
            <w:shd w:val="clear" w:color="auto" w:fill="auto"/>
            <w:noWrap/>
            <w:vAlign w:val="bottom"/>
            <w:hideMark/>
          </w:tcPr>
          <w:p w14:paraId="5CDA5E37" w14:textId="77777777" w:rsidR="00032304" w:rsidRPr="00D151E4" w:rsidRDefault="00032304" w:rsidP="00221CD1">
            <w:pPr>
              <w:spacing w:line="240" w:lineRule="auto"/>
              <w:rPr>
                <w:rFonts w:eastAsia="Times New Roman"/>
                <w:color w:val="000000"/>
                <w:sz w:val="16"/>
                <w:szCs w:val="16"/>
                <w:lang w:val="en-US"/>
              </w:rPr>
            </w:pPr>
            <w:r w:rsidRPr="00D151E4">
              <w:rPr>
                <w:rFonts w:eastAsia="Times New Roman"/>
                <w:color w:val="000000"/>
                <w:sz w:val="16"/>
                <w:szCs w:val="16"/>
                <w:lang w:val="en-US"/>
              </w:rPr>
              <w:t>nitrospira</w:t>
            </w:r>
          </w:p>
        </w:tc>
        <w:tc>
          <w:tcPr>
            <w:tcW w:w="1227" w:type="dxa"/>
            <w:tcBorders>
              <w:top w:val="nil"/>
              <w:left w:val="nil"/>
              <w:bottom w:val="nil"/>
              <w:right w:val="nil"/>
            </w:tcBorders>
            <w:shd w:val="clear" w:color="000000" w:fill="FFA000"/>
            <w:noWrap/>
            <w:vAlign w:val="bottom"/>
            <w:hideMark/>
          </w:tcPr>
          <w:p w14:paraId="405D5533"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1.00</w:t>
            </w:r>
          </w:p>
        </w:tc>
        <w:tc>
          <w:tcPr>
            <w:tcW w:w="1227" w:type="dxa"/>
            <w:tcBorders>
              <w:top w:val="nil"/>
              <w:left w:val="nil"/>
              <w:bottom w:val="nil"/>
              <w:right w:val="nil"/>
            </w:tcBorders>
            <w:shd w:val="clear" w:color="000000" w:fill="FFA400"/>
            <w:noWrap/>
            <w:vAlign w:val="bottom"/>
            <w:hideMark/>
          </w:tcPr>
          <w:p w14:paraId="579A4A9C"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0.90</w:t>
            </w:r>
          </w:p>
        </w:tc>
        <w:tc>
          <w:tcPr>
            <w:tcW w:w="1227" w:type="dxa"/>
            <w:tcBorders>
              <w:top w:val="nil"/>
              <w:left w:val="nil"/>
              <w:bottom w:val="nil"/>
              <w:right w:val="nil"/>
            </w:tcBorders>
            <w:shd w:val="clear" w:color="000000" w:fill="FFA500"/>
            <w:noWrap/>
            <w:vAlign w:val="bottom"/>
            <w:hideMark/>
          </w:tcPr>
          <w:p w14:paraId="552D2EA4"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0.88</w:t>
            </w:r>
          </w:p>
        </w:tc>
        <w:tc>
          <w:tcPr>
            <w:tcW w:w="1227" w:type="dxa"/>
            <w:tcBorders>
              <w:top w:val="nil"/>
              <w:left w:val="nil"/>
              <w:bottom w:val="nil"/>
              <w:right w:val="nil"/>
            </w:tcBorders>
            <w:shd w:val="clear" w:color="000000" w:fill="FFA700"/>
            <w:noWrap/>
            <w:vAlign w:val="bottom"/>
            <w:hideMark/>
          </w:tcPr>
          <w:p w14:paraId="41633FF7"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0.83</w:t>
            </w:r>
          </w:p>
        </w:tc>
        <w:tc>
          <w:tcPr>
            <w:tcW w:w="1227" w:type="dxa"/>
            <w:tcBorders>
              <w:top w:val="nil"/>
              <w:left w:val="nil"/>
              <w:bottom w:val="nil"/>
              <w:right w:val="nil"/>
            </w:tcBorders>
            <w:shd w:val="clear" w:color="000000" w:fill="FFB000"/>
            <w:noWrap/>
            <w:vAlign w:val="bottom"/>
            <w:hideMark/>
          </w:tcPr>
          <w:p w14:paraId="1799C046"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0.60</w:t>
            </w:r>
          </w:p>
        </w:tc>
        <w:tc>
          <w:tcPr>
            <w:tcW w:w="1227" w:type="dxa"/>
            <w:tcBorders>
              <w:top w:val="nil"/>
              <w:left w:val="nil"/>
              <w:bottom w:val="nil"/>
              <w:right w:val="nil"/>
            </w:tcBorders>
            <w:shd w:val="clear" w:color="000000" w:fill="F3C434"/>
            <w:noWrap/>
            <w:vAlign w:val="bottom"/>
            <w:hideMark/>
          </w:tcPr>
          <w:p w14:paraId="0071F33B"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0.15</w:t>
            </w:r>
          </w:p>
        </w:tc>
      </w:tr>
      <w:tr w:rsidR="00032304" w:rsidRPr="00D151E4" w14:paraId="42CA1F36" w14:textId="77777777" w:rsidTr="00221CD1">
        <w:trPr>
          <w:trHeight w:val="315"/>
        </w:trPr>
        <w:tc>
          <w:tcPr>
            <w:tcW w:w="1998" w:type="dxa"/>
            <w:tcBorders>
              <w:top w:val="nil"/>
              <w:left w:val="nil"/>
              <w:bottom w:val="nil"/>
              <w:right w:val="nil"/>
            </w:tcBorders>
            <w:shd w:val="clear" w:color="auto" w:fill="auto"/>
            <w:noWrap/>
            <w:vAlign w:val="bottom"/>
            <w:hideMark/>
          </w:tcPr>
          <w:p w14:paraId="6DC4CDA4" w14:textId="77777777" w:rsidR="00032304" w:rsidRPr="00D151E4" w:rsidRDefault="00032304" w:rsidP="00221CD1">
            <w:pPr>
              <w:spacing w:line="240" w:lineRule="auto"/>
              <w:rPr>
                <w:rFonts w:eastAsia="Times New Roman"/>
                <w:color w:val="000000"/>
                <w:sz w:val="16"/>
                <w:szCs w:val="16"/>
                <w:lang w:val="en-US"/>
              </w:rPr>
            </w:pPr>
            <w:r w:rsidRPr="00D151E4">
              <w:rPr>
                <w:rFonts w:eastAsia="Times New Roman"/>
                <w:color w:val="000000"/>
                <w:sz w:val="16"/>
                <w:szCs w:val="16"/>
                <w:lang w:val="en-US"/>
              </w:rPr>
              <w:t>verrucomicrobium</w:t>
            </w:r>
          </w:p>
        </w:tc>
        <w:tc>
          <w:tcPr>
            <w:tcW w:w="1227" w:type="dxa"/>
            <w:tcBorders>
              <w:top w:val="nil"/>
              <w:left w:val="nil"/>
              <w:bottom w:val="nil"/>
              <w:right w:val="nil"/>
            </w:tcBorders>
            <w:shd w:val="clear" w:color="000000" w:fill="FFA100"/>
            <w:noWrap/>
            <w:vAlign w:val="bottom"/>
            <w:hideMark/>
          </w:tcPr>
          <w:p w14:paraId="3211F1EB"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0.97</w:t>
            </w:r>
          </w:p>
        </w:tc>
        <w:tc>
          <w:tcPr>
            <w:tcW w:w="1227" w:type="dxa"/>
            <w:tcBorders>
              <w:top w:val="nil"/>
              <w:left w:val="nil"/>
              <w:bottom w:val="nil"/>
              <w:right w:val="nil"/>
            </w:tcBorders>
            <w:shd w:val="clear" w:color="000000" w:fill="F7C320"/>
            <w:noWrap/>
            <w:vAlign w:val="bottom"/>
            <w:hideMark/>
          </w:tcPr>
          <w:p w14:paraId="757AA4CD"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0.17</w:t>
            </w:r>
          </w:p>
        </w:tc>
        <w:tc>
          <w:tcPr>
            <w:tcW w:w="1227" w:type="dxa"/>
            <w:tcBorders>
              <w:top w:val="nil"/>
              <w:left w:val="nil"/>
              <w:bottom w:val="nil"/>
              <w:right w:val="nil"/>
            </w:tcBorders>
            <w:shd w:val="clear" w:color="000000" w:fill="FFB000"/>
            <w:noWrap/>
            <w:vAlign w:val="bottom"/>
            <w:hideMark/>
          </w:tcPr>
          <w:p w14:paraId="7D1143E8"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0.61</w:t>
            </w:r>
          </w:p>
        </w:tc>
        <w:tc>
          <w:tcPr>
            <w:tcW w:w="1227" w:type="dxa"/>
            <w:tcBorders>
              <w:top w:val="nil"/>
              <w:left w:val="nil"/>
              <w:bottom w:val="nil"/>
              <w:right w:val="nil"/>
            </w:tcBorders>
            <w:shd w:val="clear" w:color="000000" w:fill="FFBC00"/>
            <w:noWrap/>
            <w:vAlign w:val="bottom"/>
            <w:hideMark/>
          </w:tcPr>
          <w:p w14:paraId="1A6709CE"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0.31</w:t>
            </w:r>
          </w:p>
        </w:tc>
        <w:tc>
          <w:tcPr>
            <w:tcW w:w="1227" w:type="dxa"/>
            <w:tcBorders>
              <w:top w:val="nil"/>
              <w:left w:val="nil"/>
              <w:bottom w:val="nil"/>
              <w:right w:val="nil"/>
            </w:tcBorders>
            <w:shd w:val="clear" w:color="000000" w:fill="FFBF00"/>
            <w:noWrap/>
            <w:vAlign w:val="bottom"/>
            <w:hideMark/>
          </w:tcPr>
          <w:p w14:paraId="7DEFD450"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0.24</w:t>
            </w:r>
          </w:p>
        </w:tc>
        <w:tc>
          <w:tcPr>
            <w:tcW w:w="1227" w:type="dxa"/>
            <w:tcBorders>
              <w:top w:val="nil"/>
              <w:left w:val="nil"/>
              <w:bottom w:val="nil"/>
              <w:right w:val="nil"/>
            </w:tcBorders>
            <w:shd w:val="clear" w:color="000000" w:fill="DFCA89"/>
            <w:noWrap/>
            <w:vAlign w:val="bottom"/>
            <w:hideMark/>
          </w:tcPr>
          <w:p w14:paraId="74B0EEE8"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0.07</w:t>
            </w:r>
          </w:p>
        </w:tc>
      </w:tr>
      <w:tr w:rsidR="00032304" w:rsidRPr="00D151E4" w14:paraId="10A71B00" w14:textId="77777777" w:rsidTr="00221CD1">
        <w:trPr>
          <w:trHeight w:val="315"/>
        </w:trPr>
        <w:tc>
          <w:tcPr>
            <w:tcW w:w="1998" w:type="dxa"/>
            <w:tcBorders>
              <w:top w:val="nil"/>
              <w:left w:val="nil"/>
              <w:bottom w:val="nil"/>
              <w:right w:val="nil"/>
            </w:tcBorders>
            <w:shd w:val="clear" w:color="auto" w:fill="auto"/>
            <w:noWrap/>
            <w:vAlign w:val="bottom"/>
            <w:hideMark/>
          </w:tcPr>
          <w:p w14:paraId="5F1C27DE" w14:textId="77777777" w:rsidR="00032304" w:rsidRPr="00D151E4" w:rsidRDefault="00032304" w:rsidP="00221CD1">
            <w:pPr>
              <w:spacing w:line="240" w:lineRule="auto"/>
              <w:rPr>
                <w:rFonts w:eastAsia="Times New Roman"/>
                <w:color w:val="000000"/>
                <w:sz w:val="16"/>
                <w:szCs w:val="16"/>
                <w:lang w:val="en-US"/>
              </w:rPr>
            </w:pPr>
            <w:r w:rsidRPr="00D151E4">
              <w:rPr>
                <w:rFonts w:eastAsia="Times New Roman"/>
                <w:color w:val="000000"/>
                <w:sz w:val="16"/>
                <w:szCs w:val="16"/>
                <w:lang w:val="en-US"/>
              </w:rPr>
              <w:t>dongia</w:t>
            </w:r>
          </w:p>
        </w:tc>
        <w:tc>
          <w:tcPr>
            <w:tcW w:w="1227" w:type="dxa"/>
            <w:tcBorders>
              <w:top w:val="nil"/>
              <w:left w:val="nil"/>
              <w:bottom w:val="nil"/>
              <w:right w:val="nil"/>
            </w:tcBorders>
            <w:shd w:val="clear" w:color="000000" w:fill="FFA200"/>
            <w:noWrap/>
            <w:vAlign w:val="bottom"/>
            <w:hideMark/>
          </w:tcPr>
          <w:p w14:paraId="563253E7"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0.95</w:t>
            </w:r>
          </w:p>
        </w:tc>
        <w:tc>
          <w:tcPr>
            <w:tcW w:w="1227" w:type="dxa"/>
            <w:tcBorders>
              <w:top w:val="nil"/>
              <w:left w:val="nil"/>
              <w:bottom w:val="nil"/>
              <w:right w:val="nil"/>
            </w:tcBorders>
            <w:shd w:val="clear" w:color="000000" w:fill="E2C97D"/>
            <w:noWrap/>
            <w:vAlign w:val="bottom"/>
            <w:hideMark/>
          </w:tcPr>
          <w:p w14:paraId="63C9A01B"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0.08</w:t>
            </w:r>
          </w:p>
        </w:tc>
        <w:tc>
          <w:tcPr>
            <w:tcW w:w="1227" w:type="dxa"/>
            <w:tcBorders>
              <w:top w:val="nil"/>
              <w:left w:val="nil"/>
              <w:bottom w:val="nil"/>
              <w:right w:val="nil"/>
            </w:tcBorders>
            <w:shd w:val="clear" w:color="000000" w:fill="FF9600"/>
            <w:noWrap/>
            <w:vAlign w:val="bottom"/>
            <w:hideMark/>
          </w:tcPr>
          <w:p w14:paraId="491007D2"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1.25</w:t>
            </w:r>
          </w:p>
        </w:tc>
        <w:tc>
          <w:tcPr>
            <w:tcW w:w="1227" w:type="dxa"/>
            <w:tcBorders>
              <w:top w:val="nil"/>
              <w:left w:val="nil"/>
              <w:bottom w:val="nil"/>
              <w:right w:val="nil"/>
            </w:tcBorders>
            <w:shd w:val="clear" w:color="000000" w:fill="FFA300"/>
            <w:noWrap/>
            <w:vAlign w:val="bottom"/>
            <w:hideMark/>
          </w:tcPr>
          <w:p w14:paraId="0708DF3B"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0.93</w:t>
            </w:r>
          </w:p>
        </w:tc>
        <w:tc>
          <w:tcPr>
            <w:tcW w:w="1227" w:type="dxa"/>
            <w:tcBorders>
              <w:top w:val="nil"/>
              <w:left w:val="nil"/>
              <w:bottom w:val="nil"/>
              <w:right w:val="nil"/>
            </w:tcBorders>
            <w:shd w:val="clear" w:color="000000" w:fill="E5C870"/>
            <w:noWrap/>
            <w:vAlign w:val="bottom"/>
            <w:hideMark/>
          </w:tcPr>
          <w:p w14:paraId="7A688909"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0.09</w:t>
            </w:r>
          </w:p>
        </w:tc>
        <w:tc>
          <w:tcPr>
            <w:tcW w:w="1227" w:type="dxa"/>
            <w:tcBorders>
              <w:top w:val="nil"/>
              <w:left w:val="nil"/>
              <w:bottom w:val="nil"/>
              <w:right w:val="nil"/>
            </w:tcBorders>
            <w:shd w:val="clear" w:color="000000" w:fill="DBCB9B"/>
            <w:noWrap/>
            <w:vAlign w:val="bottom"/>
            <w:hideMark/>
          </w:tcPr>
          <w:p w14:paraId="175E1DBA"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0.05</w:t>
            </w:r>
          </w:p>
        </w:tc>
      </w:tr>
      <w:tr w:rsidR="00032304" w:rsidRPr="00D151E4" w14:paraId="0E4B39C9" w14:textId="77777777" w:rsidTr="00221CD1">
        <w:trPr>
          <w:trHeight w:val="315"/>
        </w:trPr>
        <w:tc>
          <w:tcPr>
            <w:tcW w:w="1998" w:type="dxa"/>
            <w:tcBorders>
              <w:top w:val="nil"/>
              <w:left w:val="nil"/>
              <w:bottom w:val="nil"/>
              <w:right w:val="nil"/>
            </w:tcBorders>
            <w:shd w:val="clear" w:color="auto" w:fill="auto"/>
            <w:noWrap/>
            <w:vAlign w:val="bottom"/>
            <w:hideMark/>
          </w:tcPr>
          <w:p w14:paraId="75C38BD7" w14:textId="77777777" w:rsidR="00032304" w:rsidRPr="00D151E4" w:rsidRDefault="00032304" w:rsidP="00221CD1">
            <w:pPr>
              <w:spacing w:line="240" w:lineRule="auto"/>
              <w:rPr>
                <w:rFonts w:eastAsia="Times New Roman"/>
                <w:color w:val="000000"/>
                <w:sz w:val="16"/>
                <w:szCs w:val="16"/>
                <w:lang w:val="en-US"/>
              </w:rPr>
            </w:pPr>
            <w:r w:rsidRPr="00D151E4">
              <w:rPr>
                <w:rFonts w:eastAsia="Times New Roman"/>
                <w:color w:val="000000"/>
                <w:sz w:val="16"/>
                <w:szCs w:val="16"/>
                <w:lang w:val="en-US"/>
              </w:rPr>
              <w:t>holophaga</w:t>
            </w:r>
          </w:p>
        </w:tc>
        <w:tc>
          <w:tcPr>
            <w:tcW w:w="1227" w:type="dxa"/>
            <w:tcBorders>
              <w:top w:val="nil"/>
              <w:left w:val="nil"/>
              <w:bottom w:val="nil"/>
              <w:right w:val="nil"/>
            </w:tcBorders>
            <w:shd w:val="clear" w:color="000000" w:fill="FFA400"/>
            <w:noWrap/>
            <w:vAlign w:val="bottom"/>
            <w:hideMark/>
          </w:tcPr>
          <w:p w14:paraId="69D8A3D3"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0.90</w:t>
            </w:r>
          </w:p>
        </w:tc>
        <w:tc>
          <w:tcPr>
            <w:tcW w:w="1227" w:type="dxa"/>
            <w:tcBorders>
              <w:top w:val="nil"/>
              <w:left w:val="nil"/>
              <w:bottom w:val="nil"/>
              <w:right w:val="nil"/>
            </w:tcBorders>
            <w:shd w:val="clear" w:color="000000" w:fill="FFB700"/>
            <w:noWrap/>
            <w:vAlign w:val="bottom"/>
            <w:hideMark/>
          </w:tcPr>
          <w:p w14:paraId="3711C512"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0.44</w:t>
            </w:r>
          </w:p>
        </w:tc>
        <w:tc>
          <w:tcPr>
            <w:tcW w:w="1227" w:type="dxa"/>
            <w:tcBorders>
              <w:top w:val="nil"/>
              <w:left w:val="nil"/>
              <w:bottom w:val="nil"/>
              <w:right w:val="nil"/>
            </w:tcBorders>
            <w:shd w:val="clear" w:color="000000" w:fill="FFA800"/>
            <w:noWrap/>
            <w:vAlign w:val="bottom"/>
            <w:hideMark/>
          </w:tcPr>
          <w:p w14:paraId="3FC22133"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0.81</w:t>
            </w:r>
          </w:p>
        </w:tc>
        <w:tc>
          <w:tcPr>
            <w:tcW w:w="1227" w:type="dxa"/>
            <w:tcBorders>
              <w:top w:val="nil"/>
              <w:left w:val="nil"/>
              <w:bottom w:val="nil"/>
              <w:right w:val="nil"/>
            </w:tcBorders>
            <w:shd w:val="clear" w:color="000000" w:fill="FFA400"/>
            <w:noWrap/>
            <w:vAlign w:val="bottom"/>
            <w:hideMark/>
          </w:tcPr>
          <w:p w14:paraId="15807D51"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0.90</w:t>
            </w:r>
          </w:p>
        </w:tc>
        <w:tc>
          <w:tcPr>
            <w:tcW w:w="1227" w:type="dxa"/>
            <w:tcBorders>
              <w:top w:val="nil"/>
              <w:left w:val="nil"/>
              <w:bottom w:val="nil"/>
              <w:right w:val="nil"/>
            </w:tcBorders>
            <w:shd w:val="clear" w:color="000000" w:fill="F2C437"/>
            <w:noWrap/>
            <w:vAlign w:val="bottom"/>
            <w:hideMark/>
          </w:tcPr>
          <w:p w14:paraId="7D545374"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0.15</w:t>
            </w:r>
          </w:p>
        </w:tc>
        <w:tc>
          <w:tcPr>
            <w:tcW w:w="1227" w:type="dxa"/>
            <w:tcBorders>
              <w:top w:val="nil"/>
              <w:left w:val="nil"/>
              <w:bottom w:val="nil"/>
              <w:right w:val="nil"/>
            </w:tcBorders>
            <w:shd w:val="clear" w:color="000000" w:fill="D8CCAA"/>
            <w:noWrap/>
            <w:vAlign w:val="bottom"/>
            <w:hideMark/>
          </w:tcPr>
          <w:p w14:paraId="271290D6"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0.04</w:t>
            </w:r>
          </w:p>
        </w:tc>
      </w:tr>
      <w:tr w:rsidR="00032304" w:rsidRPr="00D151E4" w14:paraId="271EACE4" w14:textId="77777777" w:rsidTr="00221CD1">
        <w:trPr>
          <w:trHeight w:val="315"/>
        </w:trPr>
        <w:tc>
          <w:tcPr>
            <w:tcW w:w="1998" w:type="dxa"/>
            <w:tcBorders>
              <w:top w:val="nil"/>
              <w:left w:val="nil"/>
              <w:bottom w:val="nil"/>
              <w:right w:val="nil"/>
            </w:tcBorders>
            <w:shd w:val="clear" w:color="auto" w:fill="auto"/>
            <w:noWrap/>
            <w:vAlign w:val="bottom"/>
            <w:hideMark/>
          </w:tcPr>
          <w:p w14:paraId="76F497E7" w14:textId="77777777" w:rsidR="00032304" w:rsidRPr="00D151E4" w:rsidRDefault="00032304" w:rsidP="00221CD1">
            <w:pPr>
              <w:spacing w:line="240" w:lineRule="auto"/>
              <w:rPr>
                <w:rFonts w:eastAsia="Times New Roman"/>
                <w:color w:val="000000"/>
                <w:sz w:val="16"/>
                <w:szCs w:val="16"/>
                <w:lang w:val="en-US"/>
              </w:rPr>
            </w:pPr>
            <w:r w:rsidRPr="00D151E4">
              <w:rPr>
                <w:rFonts w:eastAsia="Times New Roman"/>
                <w:color w:val="000000"/>
                <w:sz w:val="16"/>
                <w:szCs w:val="16"/>
                <w:lang w:val="en-US"/>
              </w:rPr>
              <w:t>mesorhizobium</w:t>
            </w:r>
          </w:p>
        </w:tc>
        <w:tc>
          <w:tcPr>
            <w:tcW w:w="1227" w:type="dxa"/>
            <w:tcBorders>
              <w:top w:val="nil"/>
              <w:left w:val="nil"/>
              <w:bottom w:val="nil"/>
              <w:right w:val="nil"/>
            </w:tcBorders>
            <w:shd w:val="clear" w:color="000000" w:fill="E7C767"/>
            <w:noWrap/>
            <w:vAlign w:val="bottom"/>
            <w:hideMark/>
          </w:tcPr>
          <w:p w14:paraId="2074687D"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0.10</w:t>
            </w:r>
          </w:p>
        </w:tc>
        <w:tc>
          <w:tcPr>
            <w:tcW w:w="1227" w:type="dxa"/>
            <w:tcBorders>
              <w:top w:val="nil"/>
              <w:left w:val="nil"/>
              <w:bottom w:val="nil"/>
              <w:right w:val="nil"/>
            </w:tcBorders>
            <w:shd w:val="clear" w:color="000000" w:fill="FFA500"/>
            <w:noWrap/>
            <w:vAlign w:val="bottom"/>
            <w:hideMark/>
          </w:tcPr>
          <w:p w14:paraId="2CD948B8"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0.87</w:t>
            </w:r>
          </w:p>
        </w:tc>
        <w:tc>
          <w:tcPr>
            <w:tcW w:w="1227" w:type="dxa"/>
            <w:tcBorders>
              <w:top w:val="nil"/>
              <w:left w:val="nil"/>
              <w:bottom w:val="nil"/>
              <w:right w:val="nil"/>
            </w:tcBorders>
            <w:shd w:val="clear" w:color="000000" w:fill="DACB9F"/>
            <w:noWrap/>
            <w:vAlign w:val="bottom"/>
            <w:hideMark/>
          </w:tcPr>
          <w:p w14:paraId="26C7955C"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0.05</w:t>
            </w:r>
          </w:p>
        </w:tc>
        <w:tc>
          <w:tcPr>
            <w:tcW w:w="1227" w:type="dxa"/>
            <w:tcBorders>
              <w:top w:val="nil"/>
              <w:left w:val="nil"/>
              <w:bottom w:val="nil"/>
              <w:right w:val="nil"/>
            </w:tcBorders>
            <w:shd w:val="clear" w:color="000000" w:fill="DECA8F"/>
            <w:noWrap/>
            <w:vAlign w:val="bottom"/>
            <w:hideMark/>
          </w:tcPr>
          <w:p w14:paraId="51B9AE15"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0.06</w:t>
            </w:r>
          </w:p>
        </w:tc>
        <w:tc>
          <w:tcPr>
            <w:tcW w:w="1227" w:type="dxa"/>
            <w:tcBorders>
              <w:top w:val="nil"/>
              <w:left w:val="nil"/>
              <w:bottom w:val="nil"/>
              <w:right w:val="nil"/>
            </w:tcBorders>
            <w:shd w:val="clear" w:color="000000" w:fill="FF9100"/>
            <w:noWrap/>
            <w:vAlign w:val="bottom"/>
            <w:hideMark/>
          </w:tcPr>
          <w:p w14:paraId="5B58364A"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1.36</w:t>
            </w:r>
          </w:p>
        </w:tc>
        <w:tc>
          <w:tcPr>
            <w:tcW w:w="1227" w:type="dxa"/>
            <w:tcBorders>
              <w:top w:val="nil"/>
              <w:left w:val="nil"/>
              <w:bottom w:val="nil"/>
              <w:right w:val="nil"/>
            </w:tcBorders>
            <w:shd w:val="clear" w:color="000000" w:fill="D8CCAA"/>
            <w:noWrap/>
            <w:vAlign w:val="bottom"/>
            <w:hideMark/>
          </w:tcPr>
          <w:p w14:paraId="6227ACD7"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0.04</w:t>
            </w:r>
          </w:p>
        </w:tc>
      </w:tr>
      <w:tr w:rsidR="00032304" w:rsidRPr="00D151E4" w14:paraId="334D5E2A" w14:textId="77777777" w:rsidTr="00221CD1">
        <w:trPr>
          <w:trHeight w:val="315"/>
        </w:trPr>
        <w:tc>
          <w:tcPr>
            <w:tcW w:w="1998" w:type="dxa"/>
            <w:tcBorders>
              <w:top w:val="nil"/>
              <w:left w:val="nil"/>
              <w:bottom w:val="nil"/>
              <w:right w:val="nil"/>
            </w:tcBorders>
            <w:shd w:val="clear" w:color="auto" w:fill="auto"/>
            <w:noWrap/>
            <w:vAlign w:val="bottom"/>
            <w:hideMark/>
          </w:tcPr>
          <w:p w14:paraId="5EDB792C" w14:textId="77777777" w:rsidR="00032304" w:rsidRPr="00D151E4" w:rsidRDefault="00032304" w:rsidP="00221CD1">
            <w:pPr>
              <w:spacing w:line="240" w:lineRule="auto"/>
              <w:rPr>
                <w:rFonts w:eastAsia="Times New Roman"/>
                <w:color w:val="000000"/>
                <w:sz w:val="16"/>
                <w:szCs w:val="16"/>
                <w:lang w:val="en-US"/>
              </w:rPr>
            </w:pPr>
            <w:r w:rsidRPr="00D151E4">
              <w:rPr>
                <w:rFonts w:eastAsia="Times New Roman"/>
                <w:color w:val="000000"/>
                <w:sz w:val="16"/>
                <w:szCs w:val="16"/>
                <w:lang w:val="en-US"/>
              </w:rPr>
              <w:t>rhodobium</w:t>
            </w:r>
          </w:p>
        </w:tc>
        <w:tc>
          <w:tcPr>
            <w:tcW w:w="1227" w:type="dxa"/>
            <w:tcBorders>
              <w:top w:val="nil"/>
              <w:left w:val="nil"/>
              <w:bottom w:val="nil"/>
              <w:right w:val="nil"/>
            </w:tcBorders>
            <w:shd w:val="clear" w:color="000000" w:fill="FFBB00"/>
            <w:noWrap/>
            <w:vAlign w:val="bottom"/>
            <w:hideMark/>
          </w:tcPr>
          <w:p w14:paraId="24C47EBA"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0.33</w:t>
            </w:r>
          </w:p>
        </w:tc>
        <w:tc>
          <w:tcPr>
            <w:tcW w:w="1227" w:type="dxa"/>
            <w:tcBorders>
              <w:top w:val="nil"/>
              <w:left w:val="nil"/>
              <w:bottom w:val="nil"/>
              <w:right w:val="nil"/>
            </w:tcBorders>
            <w:shd w:val="clear" w:color="000000" w:fill="FFA500"/>
            <w:noWrap/>
            <w:vAlign w:val="bottom"/>
            <w:hideMark/>
          </w:tcPr>
          <w:p w14:paraId="213E7512"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0.87</w:t>
            </w:r>
          </w:p>
        </w:tc>
        <w:tc>
          <w:tcPr>
            <w:tcW w:w="1227" w:type="dxa"/>
            <w:tcBorders>
              <w:top w:val="nil"/>
              <w:left w:val="nil"/>
              <w:bottom w:val="nil"/>
              <w:right w:val="nil"/>
            </w:tcBorders>
            <w:shd w:val="clear" w:color="000000" w:fill="FFC000"/>
            <w:noWrap/>
            <w:vAlign w:val="bottom"/>
            <w:hideMark/>
          </w:tcPr>
          <w:p w14:paraId="741E02A9"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0.20</w:t>
            </w:r>
          </w:p>
        </w:tc>
        <w:tc>
          <w:tcPr>
            <w:tcW w:w="1227" w:type="dxa"/>
            <w:tcBorders>
              <w:top w:val="nil"/>
              <w:left w:val="nil"/>
              <w:bottom w:val="nil"/>
              <w:right w:val="nil"/>
            </w:tcBorders>
            <w:shd w:val="clear" w:color="000000" w:fill="F9C218"/>
            <w:noWrap/>
            <w:vAlign w:val="bottom"/>
            <w:hideMark/>
          </w:tcPr>
          <w:p w14:paraId="3E590667"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0.18</w:t>
            </w:r>
          </w:p>
        </w:tc>
        <w:tc>
          <w:tcPr>
            <w:tcW w:w="1227" w:type="dxa"/>
            <w:tcBorders>
              <w:top w:val="nil"/>
              <w:left w:val="nil"/>
              <w:bottom w:val="nil"/>
              <w:right w:val="nil"/>
            </w:tcBorders>
            <w:shd w:val="clear" w:color="000000" w:fill="FFB000"/>
            <w:noWrap/>
            <w:vAlign w:val="bottom"/>
            <w:hideMark/>
          </w:tcPr>
          <w:p w14:paraId="785784BE"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0.60</w:t>
            </w:r>
          </w:p>
        </w:tc>
        <w:tc>
          <w:tcPr>
            <w:tcW w:w="1227" w:type="dxa"/>
            <w:tcBorders>
              <w:top w:val="nil"/>
              <w:left w:val="nil"/>
              <w:bottom w:val="nil"/>
              <w:right w:val="nil"/>
            </w:tcBorders>
            <w:shd w:val="clear" w:color="000000" w:fill="D8CCAA"/>
            <w:noWrap/>
            <w:vAlign w:val="bottom"/>
            <w:hideMark/>
          </w:tcPr>
          <w:p w14:paraId="508C595E"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0.04</w:t>
            </w:r>
          </w:p>
        </w:tc>
      </w:tr>
      <w:tr w:rsidR="00032304" w:rsidRPr="00D151E4" w14:paraId="7CBB3B9B" w14:textId="77777777" w:rsidTr="00221CD1">
        <w:trPr>
          <w:trHeight w:val="315"/>
        </w:trPr>
        <w:tc>
          <w:tcPr>
            <w:tcW w:w="1998" w:type="dxa"/>
            <w:tcBorders>
              <w:top w:val="nil"/>
              <w:left w:val="nil"/>
              <w:bottom w:val="nil"/>
              <w:right w:val="nil"/>
            </w:tcBorders>
            <w:shd w:val="clear" w:color="auto" w:fill="auto"/>
            <w:noWrap/>
            <w:vAlign w:val="bottom"/>
            <w:hideMark/>
          </w:tcPr>
          <w:p w14:paraId="3A224421" w14:textId="77777777" w:rsidR="00032304" w:rsidRPr="00D151E4" w:rsidRDefault="00032304" w:rsidP="00221CD1">
            <w:pPr>
              <w:spacing w:line="240" w:lineRule="auto"/>
              <w:rPr>
                <w:rFonts w:eastAsia="Times New Roman"/>
                <w:color w:val="000000"/>
                <w:sz w:val="16"/>
                <w:szCs w:val="16"/>
                <w:lang w:val="en-US"/>
              </w:rPr>
            </w:pPr>
            <w:r w:rsidRPr="00D151E4">
              <w:rPr>
                <w:rFonts w:eastAsia="Times New Roman"/>
                <w:color w:val="000000"/>
                <w:sz w:val="16"/>
                <w:szCs w:val="16"/>
                <w:lang w:val="en-US"/>
              </w:rPr>
              <w:t>hyphomicrobium</w:t>
            </w:r>
          </w:p>
        </w:tc>
        <w:tc>
          <w:tcPr>
            <w:tcW w:w="1227" w:type="dxa"/>
            <w:tcBorders>
              <w:top w:val="nil"/>
              <w:left w:val="nil"/>
              <w:bottom w:val="nil"/>
              <w:right w:val="nil"/>
            </w:tcBorders>
            <w:shd w:val="clear" w:color="000000" w:fill="FFAE00"/>
            <w:noWrap/>
            <w:vAlign w:val="bottom"/>
            <w:hideMark/>
          </w:tcPr>
          <w:p w14:paraId="4F9C7BC8"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0.65</w:t>
            </w:r>
          </w:p>
        </w:tc>
        <w:tc>
          <w:tcPr>
            <w:tcW w:w="1227" w:type="dxa"/>
            <w:tcBorders>
              <w:top w:val="nil"/>
              <w:left w:val="nil"/>
              <w:bottom w:val="nil"/>
              <w:right w:val="nil"/>
            </w:tcBorders>
            <w:shd w:val="clear" w:color="000000" w:fill="FFA900"/>
            <w:noWrap/>
            <w:vAlign w:val="bottom"/>
            <w:hideMark/>
          </w:tcPr>
          <w:p w14:paraId="414580AC"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0.79</w:t>
            </w:r>
          </w:p>
        </w:tc>
        <w:tc>
          <w:tcPr>
            <w:tcW w:w="1227" w:type="dxa"/>
            <w:tcBorders>
              <w:top w:val="nil"/>
              <w:left w:val="nil"/>
              <w:bottom w:val="nil"/>
              <w:right w:val="nil"/>
            </w:tcBorders>
            <w:shd w:val="clear" w:color="000000" w:fill="FFB100"/>
            <w:noWrap/>
            <w:vAlign w:val="bottom"/>
            <w:hideMark/>
          </w:tcPr>
          <w:p w14:paraId="2266183C"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0.58</w:t>
            </w:r>
          </w:p>
        </w:tc>
        <w:tc>
          <w:tcPr>
            <w:tcW w:w="1227" w:type="dxa"/>
            <w:tcBorders>
              <w:top w:val="nil"/>
              <w:left w:val="nil"/>
              <w:bottom w:val="nil"/>
              <w:right w:val="nil"/>
            </w:tcBorders>
            <w:shd w:val="clear" w:color="000000" w:fill="FFB800"/>
            <w:noWrap/>
            <w:vAlign w:val="bottom"/>
            <w:hideMark/>
          </w:tcPr>
          <w:p w14:paraId="41BC6FCB"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0.42</w:t>
            </w:r>
          </w:p>
        </w:tc>
        <w:tc>
          <w:tcPr>
            <w:tcW w:w="1227" w:type="dxa"/>
            <w:tcBorders>
              <w:top w:val="nil"/>
              <w:left w:val="nil"/>
              <w:bottom w:val="nil"/>
              <w:right w:val="nil"/>
            </w:tcBorders>
            <w:shd w:val="clear" w:color="000000" w:fill="FF9B00"/>
            <w:noWrap/>
            <w:vAlign w:val="bottom"/>
            <w:hideMark/>
          </w:tcPr>
          <w:p w14:paraId="751988D9"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1.12</w:t>
            </w:r>
          </w:p>
        </w:tc>
        <w:tc>
          <w:tcPr>
            <w:tcW w:w="1227" w:type="dxa"/>
            <w:tcBorders>
              <w:top w:val="nil"/>
              <w:left w:val="nil"/>
              <w:bottom w:val="nil"/>
              <w:right w:val="nil"/>
            </w:tcBorders>
            <w:shd w:val="clear" w:color="000000" w:fill="D7CCAD"/>
            <w:noWrap/>
            <w:vAlign w:val="bottom"/>
            <w:hideMark/>
          </w:tcPr>
          <w:p w14:paraId="6FA3DF52"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0.03</w:t>
            </w:r>
          </w:p>
        </w:tc>
      </w:tr>
      <w:tr w:rsidR="00032304" w:rsidRPr="00D151E4" w14:paraId="210EAC26" w14:textId="77777777" w:rsidTr="00221CD1">
        <w:trPr>
          <w:trHeight w:val="315"/>
        </w:trPr>
        <w:tc>
          <w:tcPr>
            <w:tcW w:w="1998" w:type="dxa"/>
            <w:tcBorders>
              <w:top w:val="nil"/>
              <w:left w:val="nil"/>
              <w:bottom w:val="nil"/>
              <w:right w:val="nil"/>
            </w:tcBorders>
            <w:shd w:val="clear" w:color="auto" w:fill="auto"/>
            <w:noWrap/>
            <w:vAlign w:val="bottom"/>
            <w:hideMark/>
          </w:tcPr>
          <w:p w14:paraId="35EA9C06" w14:textId="77777777" w:rsidR="00032304" w:rsidRPr="00D151E4" w:rsidRDefault="00032304" w:rsidP="00221CD1">
            <w:pPr>
              <w:spacing w:line="240" w:lineRule="auto"/>
              <w:rPr>
                <w:rFonts w:eastAsia="Times New Roman"/>
                <w:color w:val="000000"/>
                <w:sz w:val="16"/>
                <w:szCs w:val="16"/>
                <w:lang w:val="en-US"/>
              </w:rPr>
            </w:pPr>
            <w:r w:rsidRPr="00D151E4">
              <w:rPr>
                <w:rFonts w:eastAsia="Times New Roman"/>
                <w:color w:val="000000"/>
                <w:sz w:val="16"/>
                <w:szCs w:val="16"/>
                <w:lang w:val="en-US"/>
              </w:rPr>
              <w:t>dongia</w:t>
            </w:r>
          </w:p>
        </w:tc>
        <w:tc>
          <w:tcPr>
            <w:tcW w:w="1227" w:type="dxa"/>
            <w:tcBorders>
              <w:top w:val="nil"/>
              <w:left w:val="nil"/>
              <w:bottom w:val="nil"/>
              <w:right w:val="nil"/>
            </w:tcBorders>
            <w:shd w:val="clear" w:color="000000" w:fill="FFAC00"/>
            <w:noWrap/>
            <w:vAlign w:val="bottom"/>
            <w:hideMark/>
          </w:tcPr>
          <w:p w14:paraId="04706F9F"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0.70</w:t>
            </w:r>
          </w:p>
        </w:tc>
        <w:tc>
          <w:tcPr>
            <w:tcW w:w="1227" w:type="dxa"/>
            <w:tcBorders>
              <w:top w:val="nil"/>
              <w:left w:val="nil"/>
              <w:bottom w:val="nil"/>
              <w:right w:val="nil"/>
            </w:tcBorders>
            <w:shd w:val="clear" w:color="000000" w:fill="FFAE00"/>
            <w:noWrap/>
            <w:vAlign w:val="bottom"/>
            <w:hideMark/>
          </w:tcPr>
          <w:p w14:paraId="6876C747"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0.66</w:t>
            </w:r>
          </w:p>
        </w:tc>
        <w:tc>
          <w:tcPr>
            <w:tcW w:w="1227" w:type="dxa"/>
            <w:tcBorders>
              <w:top w:val="nil"/>
              <w:left w:val="nil"/>
              <w:bottom w:val="nil"/>
              <w:right w:val="nil"/>
            </w:tcBorders>
            <w:shd w:val="clear" w:color="000000" w:fill="FFA500"/>
            <w:noWrap/>
            <w:vAlign w:val="bottom"/>
            <w:hideMark/>
          </w:tcPr>
          <w:p w14:paraId="2FC7E88E"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0.88</w:t>
            </w:r>
          </w:p>
        </w:tc>
        <w:tc>
          <w:tcPr>
            <w:tcW w:w="1227" w:type="dxa"/>
            <w:tcBorders>
              <w:top w:val="nil"/>
              <w:left w:val="nil"/>
              <w:bottom w:val="nil"/>
              <w:right w:val="nil"/>
            </w:tcBorders>
            <w:shd w:val="clear" w:color="000000" w:fill="FF9600"/>
            <w:noWrap/>
            <w:vAlign w:val="bottom"/>
            <w:hideMark/>
          </w:tcPr>
          <w:p w14:paraId="2331496F"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1.24</w:t>
            </w:r>
          </w:p>
        </w:tc>
        <w:tc>
          <w:tcPr>
            <w:tcW w:w="1227" w:type="dxa"/>
            <w:tcBorders>
              <w:top w:val="nil"/>
              <w:left w:val="nil"/>
              <w:bottom w:val="nil"/>
              <w:right w:val="nil"/>
            </w:tcBorders>
            <w:shd w:val="clear" w:color="000000" w:fill="FFA200"/>
            <w:noWrap/>
            <w:vAlign w:val="bottom"/>
            <w:hideMark/>
          </w:tcPr>
          <w:p w14:paraId="34DAE37E"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0.95</w:t>
            </w:r>
          </w:p>
        </w:tc>
        <w:tc>
          <w:tcPr>
            <w:tcW w:w="1227" w:type="dxa"/>
            <w:tcBorders>
              <w:top w:val="nil"/>
              <w:left w:val="nil"/>
              <w:bottom w:val="nil"/>
              <w:right w:val="nil"/>
            </w:tcBorders>
            <w:shd w:val="clear" w:color="000000" w:fill="DFCA89"/>
            <w:noWrap/>
            <w:vAlign w:val="bottom"/>
            <w:hideMark/>
          </w:tcPr>
          <w:p w14:paraId="4C562D24"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0.07</w:t>
            </w:r>
          </w:p>
        </w:tc>
      </w:tr>
      <w:tr w:rsidR="00032304" w:rsidRPr="00D151E4" w14:paraId="0016D482" w14:textId="77777777" w:rsidTr="00221CD1">
        <w:trPr>
          <w:trHeight w:val="315"/>
        </w:trPr>
        <w:tc>
          <w:tcPr>
            <w:tcW w:w="1998" w:type="dxa"/>
            <w:tcBorders>
              <w:top w:val="nil"/>
              <w:left w:val="nil"/>
              <w:bottom w:val="nil"/>
              <w:right w:val="nil"/>
            </w:tcBorders>
            <w:shd w:val="clear" w:color="auto" w:fill="auto"/>
            <w:noWrap/>
            <w:vAlign w:val="bottom"/>
            <w:hideMark/>
          </w:tcPr>
          <w:p w14:paraId="4AEF0120" w14:textId="77777777" w:rsidR="00032304" w:rsidRPr="00D151E4" w:rsidRDefault="00032304" w:rsidP="00221CD1">
            <w:pPr>
              <w:spacing w:line="240" w:lineRule="auto"/>
              <w:rPr>
                <w:rFonts w:eastAsia="Times New Roman"/>
                <w:color w:val="000000"/>
                <w:sz w:val="16"/>
                <w:szCs w:val="16"/>
                <w:lang w:val="en-US"/>
              </w:rPr>
            </w:pPr>
            <w:r w:rsidRPr="00D151E4">
              <w:rPr>
                <w:rFonts w:eastAsia="Times New Roman"/>
                <w:color w:val="000000"/>
                <w:sz w:val="16"/>
                <w:szCs w:val="16"/>
                <w:lang w:val="en-US"/>
              </w:rPr>
              <w:t>thiobacter</w:t>
            </w:r>
          </w:p>
        </w:tc>
        <w:tc>
          <w:tcPr>
            <w:tcW w:w="1227" w:type="dxa"/>
            <w:tcBorders>
              <w:top w:val="nil"/>
              <w:left w:val="nil"/>
              <w:bottom w:val="nil"/>
              <w:right w:val="nil"/>
            </w:tcBorders>
            <w:shd w:val="clear" w:color="000000" w:fill="E0CA86"/>
            <w:noWrap/>
            <w:vAlign w:val="bottom"/>
            <w:hideMark/>
          </w:tcPr>
          <w:p w14:paraId="4E0B01DD"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0.07</w:t>
            </w:r>
          </w:p>
        </w:tc>
        <w:tc>
          <w:tcPr>
            <w:tcW w:w="1227" w:type="dxa"/>
            <w:tcBorders>
              <w:top w:val="nil"/>
              <w:left w:val="nil"/>
              <w:bottom w:val="nil"/>
              <w:right w:val="nil"/>
            </w:tcBorders>
            <w:shd w:val="clear" w:color="000000" w:fill="FFAE00"/>
            <w:noWrap/>
            <w:vAlign w:val="bottom"/>
            <w:hideMark/>
          </w:tcPr>
          <w:p w14:paraId="175361F1"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0.65</w:t>
            </w:r>
          </w:p>
        </w:tc>
        <w:tc>
          <w:tcPr>
            <w:tcW w:w="1227" w:type="dxa"/>
            <w:tcBorders>
              <w:top w:val="nil"/>
              <w:left w:val="nil"/>
              <w:bottom w:val="nil"/>
              <w:right w:val="nil"/>
            </w:tcBorders>
            <w:shd w:val="clear" w:color="000000" w:fill="DACB9F"/>
            <w:noWrap/>
            <w:vAlign w:val="bottom"/>
            <w:hideMark/>
          </w:tcPr>
          <w:p w14:paraId="74E1082E"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0.05</w:t>
            </w:r>
          </w:p>
        </w:tc>
        <w:tc>
          <w:tcPr>
            <w:tcW w:w="1227" w:type="dxa"/>
            <w:tcBorders>
              <w:top w:val="nil"/>
              <w:left w:val="nil"/>
              <w:bottom w:val="nil"/>
              <w:right w:val="nil"/>
            </w:tcBorders>
            <w:shd w:val="clear" w:color="000000" w:fill="E4C875"/>
            <w:noWrap/>
            <w:vAlign w:val="bottom"/>
            <w:hideMark/>
          </w:tcPr>
          <w:p w14:paraId="7803BE4D"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0.09</w:t>
            </w:r>
          </w:p>
        </w:tc>
        <w:tc>
          <w:tcPr>
            <w:tcW w:w="1227" w:type="dxa"/>
            <w:tcBorders>
              <w:top w:val="nil"/>
              <w:left w:val="nil"/>
              <w:bottom w:val="nil"/>
              <w:right w:val="nil"/>
            </w:tcBorders>
            <w:shd w:val="clear" w:color="000000" w:fill="EEC547"/>
            <w:noWrap/>
            <w:vAlign w:val="bottom"/>
            <w:hideMark/>
          </w:tcPr>
          <w:p w14:paraId="42A877E6"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0.13</w:t>
            </w:r>
          </w:p>
        </w:tc>
        <w:tc>
          <w:tcPr>
            <w:tcW w:w="1227" w:type="dxa"/>
            <w:tcBorders>
              <w:top w:val="nil"/>
              <w:left w:val="nil"/>
              <w:bottom w:val="nil"/>
              <w:right w:val="nil"/>
            </w:tcBorders>
            <w:shd w:val="clear" w:color="000000" w:fill="D1CEC7"/>
            <w:noWrap/>
            <w:vAlign w:val="bottom"/>
            <w:hideMark/>
          </w:tcPr>
          <w:p w14:paraId="540C89FF"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0.01</w:t>
            </w:r>
          </w:p>
        </w:tc>
      </w:tr>
      <w:tr w:rsidR="00032304" w:rsidRPr="00D151E4" w14:paraId="66EA0A91" w14:textId="77777777" w:rsidTr="00221CD1">
        <w:trPr>
          <w:trHeight w:val="315"/>
        </w:trPr>
        <w:tc>
          <w:tcPr>
            <w:tcW w:w="1998" w:type="dxa"/>
            <w:tcBorders>
              <w:top w:val="nil"/>
              <w:left w:val="nil"/>
              <w:bottom w:val="nil"/>
              <w:right w:val="nil"/>
            </w:tcBorders>
            <w:shd w:val="clear" w:color="auto" w:fill="auto"/>
            <w:noWrap/>
            <w:vAlign w:val="bottom"/>
            <w:hideMark/>
          </w:tcPr>
          <w:p w14:paraId="06E31CAD" w14:textId="77777777" w:rsidR="00032304" w:rsidRPr="00D151E4" w:rsidRDefault="00032304" w:rsidP="00221CD1">
            <w:pPr>
              <w:spacing w:line="240" w:lineRule="auto"/>
              <w:rPr>
                <w:rFonts w:eastAsia="Times New Roman"/>
                <w:color w:val="000000"/>
                <w:sz w:val="16"/>
                <w:szCs w:val="16"/>
                <w:lang w:val="en-US"/>
              </w:rPr>
            </w:pPr>
            <w:r w:rsidRPr="00D151E4">
              <w:rPr>
                <w:rFonts w:eastAsia="Times New Roman"/>
                <w:color w:val="000000"/>
                <w:sz w:val="16"/>
                <w:szCs w:val="16"/>
                <w:lang w:val="en-US"/>
              </w:rPr>
              <w:t>gemmatimonas</w:t>
            </w:r>
          </w:p>
        </w:tc>
        <w:tc>
          <w:tcPr>
            <w:tcW w:w="1227" w:type="dxa"/>
            <w:tcBorders>
              <w:top w:val="nil"/>
              <w:left w:val="nil"/>
              <w:bottom w:val="nil"/>
              <w:right w:val="nil"/>
            </w:tcBorders>
            <w:shd w:val="clear" w:color="000000" w:fill="F7C322"/>
            <w:noWrap/>
            <w:vAlign w:val="bottom"/>
            <w:hideMark/>
          </w:tcPr>
          <w:p w14:paraId="51CFDB16"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0.17</w:t>
            </w:r>
          </w:p>
        </w:tc>
        <w:tc>
          <w:tcPr>
            <w:tcW w:w="1227" w:type="dxa"/>
            <w:tcBorders>
              <w:top w:val="nil"/>
              <w:left w:val="nil"/>
              <w:bottom w:val="nil"/>
              <w:right w:val="nil"/>
            </w:tcBorders>
            <w:shd w:val="clear" w:color="000000" w:fill="FFAF00"/>
            <w:noWrap/>
            <w:vAlign w:val="bottom"/>
            <w:hideMark/>
          </w:tcPr>
          <w:p w14:paraId="2E14B201"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0.64</w:t>
            </w:r>
          </w:p>
        </w:tc>
        <w:tc>
          <w:tcPr>
            <w:tcW w:w="1227" w:type="dxa"/>
            <w:tcBorders>
              <w:top w:val="nil"/>
              <w:left w:val="nil"/>
              <w:bottom w:val="nil"/>
              <w:right w:val="nil"/>
            </w:tcBorders>
            <w:shd w:val="clear" w:color="000000" w:fill="F6C324"/>
            <w:noWrap/>
            <w:vAlign w:val="bottom"/>
            <w:hideMark/>
          </w:tcPr>
          <w:p w14:paraId="6AFD9DE9"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0.17</w:t>
            </w:r>
          </w:p>
        </w:tc>
        <w:tc>
          <w:tcPr>
            <w:tcW w:w="1227" w:type="dxa"/>
            <w:tcBorders>
              <w:top w:val="nil"/>
              <w:left w:val="nil"/>
              <w:bottom w:val="nil"/>
              <w:right w:val="nil"/>
            </w:tcBorders>
            <w:shd w:val="clear" w:color="000000" w:fill="F6C327"/>
            <w:noWrap/>
            <w:vAlign w:val="bottom"/>
            <w:hideMark/>
          </w:tcPr>
          <w:p w14:paraId="1E9FF3C6"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0.17</w:t>
            </w:r>
          </w:p>
        </w:tc>
        <w:tc>
          <w:tcPr>
            <w:tcW w:w="1227" w:type="dxa"/>
            <w:tcBorders>
              <w:top w:val="nil"/>
              <w:left w:val="nil"/>
              <w:bottom w:val="nil"/>
              <w:right w:val="nil"/>
            </w:tcBorders>
            <w:shd w:val="clear" w:color="000000" w:fill="FF9200"/>
            <w:noWrap/>
            <w:vAlign w:val="bottom"/>
            <w:hideMark/>
          </w:tcPr>
          <w:p w14:paraId="7957BDC8"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1.34</w:t>
            </w:r>
          </w:p>
        </w:tc>
        <w:tc>
          <w:tcPr>
            <w:tcW w:w="1227" w:type="dxa"/>
            <w:tcBorders>
              <w:top w:val="nil"/>
              <w:left w:val="nil"/>
              <w:bottom w:val="nil"/>
              <w:right w:val="nil"/>
            </w:tcBorders>
            <w:shd w:val="clear" w:color="000000" w:fill="D5CDB8"/>
            <w:noWrap/>
            <w:vAlign w:val="bottom"/>
            <w:hideMark/>
          </w:tcPr>
          <w:p w14:paraId="36188D1B"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0.02</w:t>
            </w:r>
          </w:p>
        </w:tc>
      </w:tr>
      <w:tr w:rsidR="00032304" w:rsidRPr="00D151E4" w14:paraId="71998900" w14:textId="77777777" w:rsidTr="00221CD1">
        <w:trPr>
          <w:trHeight w:val="315"/>
        </w:trPr>
        <w:tc>
          <w:tcPr>
            <w:tcW w:w="1998" w:type="dxa"/>
            <w:tcBorders>
              <w:top w:val="nil"/>
              <w:left w:val="nil"/>
              <w:bottom w:val="nil"/>
              <w:right w:val="nil"/>
            </w:tcBorders>
            <w:shd w:val="clear" w:color="auto" w:fill="auto"/>
            <w:noWrap/>
            <w:vAlign w:val="bottom"/>
            <w:hideMark/>
          </w:tcPr>
          <w:p w14:paraId="3BA43AA3" w14:textId="77777777" w:rsidR="00032304" w:rsidRPr="00D151E4" w:rsidRDefault="00032304" w:rsidP="00221CD1">
            <w:pPr>
              <w:spacing w:line="240" w:lineRule="auto"/>
              <w:rPr>
                <w:rFonts w:eastAsia="Times New Roman"/>
                <w:color w:val="000000"/>
                <w:sz w:val="16"/>
                <w:szCs w:val="16"/>
                <w:lang w:val="en-US"/>
              </w:rPr>
            </w:pPr>
            <w:r w:rsidRPr="00D151E4">
              <w:rPr>
                <w:rFonts w:eastAsia="Times New Roman"/>
                <w:color w:val="000000"/>
                <w:sz w:val="16"/>
                <w:szCs w:val="16"/>
                <w:lang w:val="en-US"/>
              </w:rPr>
              <w:t>holophaga</w:t>
            </w:r>
          </w:p>
        </w:tc>
        <w:tc>
          <w:tcPr>
            <w:tcW w:w="1227" w:type="dxa"/>
            <w:tcBorders>
              <w:top w:val="nil"/>
              <w:left w:val="nil"/>
              <w:bottom w:val="nil"/>
              <w:right w:val="nil"/>
            </w:tcBorders>
            <w:shd w:val="clear" w:color="000000" w:fill="E2C97E"/>
            <w:noWrap/>
            <w:vAlign w:val="bottom"/>
            <w:hideMark/>
          </w:tcPr>
          <w:p w14:paraId="266A5084"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0.08</w:t>
            </w:r>
          </w:p>
        </w:tc>
        <w:tc>
          <w:tcPr>
            <w:tcW w:w="1227" w:type="dxa"/>
            <w:tcBorders>
              <w:top w:val="nil"/>
              <w:left w:val="nil"/>
              <w:bottom w:val="nil"/>
              <w:right w:val="nil"/>
            </w:tcBorders>
            <w:shd w:val="clear" w:color="000000" w:fill="FFAF00"/>
            <w:noWrap/>
            <w:vAlign w:val="bottom"/>
            <w:hideMark/>
          </w:tcPr>
          <w:p w14:paraId="579F8E80"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0.64</w:t>
            </w:r>
          </w:p>
        </w:tc>
        <w:tc>
          <w:tcPr>
            <w:tcW w:w="1227" w:type="dxa"/>
            <w:tcBorders>
              <w:top w:val="nil"/>
              <w:left w:val="nil"/>
              <w:bottom w:val="nil"/>
              <w:right w:val="nil"/>
            </w:tcBorders>
            <w:shd w:val="clear" w:color="000000" w:fill="ECC654"/>
            <w:noWrap/>
            <w:vAlign w:val="bottom"/>
            <w:hideMark/>
          </w:tcPr>
          <w:p w14:paraId="1F2AA755"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0.12</w:t>
            </w:r>
          </w:p>
        </w:tc>
        <w:tc>
          <w:tcPr>
            <w:tcW w:w="1227" w:type="dxa"/>
            <w:tcBorders>
              <w:top w:val="nil"/>
              <w:left w:val="nil"/>
              <w:bottom w:val="nil"/>
              <w:right w:val="nil"/>
            </w:tcBorders>
            <w:shd w:val="clear" w:color="000000" w:fill="DCCB97"/>
            <w:noWrap/>
            <w:vAlign w:val="bottom"/>
            <w:hideMark/>
          </w:tcPr>
          <w:p w14:paraId="426231C2"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0.06</w:t>
            </w:r>
          </w:p>
        </w:tc>
        <w:tc>
          <w:tcPr>
            <w:tcW w:w="1227" w:type="dxa"/>
            <w:tcBorders>
              <w:top w:val="nil"/>
              <w:left w:val="nil"/>
              <w:bottom w:val="nil"/>
              <w:right w:val="nil"/>
            </w:tcBorders>
            <w:shd w:val="clear" w:color="000000" w:fill="DACBA1"/>
            <w:noWrap/>
            <w:vAlign w:val="bottom"/>
            <w:hideMark/>
          </w:tcPr>
          <w:p w14:paraId="4C1BBD10"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0.04</w:t>
            </w:r>
          </w:p>
        </w:tc>
        <w:tc>
          <w:tcPr>
            <w:tcW w:w="1227" w:type="dxa"/>
            <w:tcBorders>
              <w:top w:val="nil"/>
              <w:left w:val="nil"/>
              <w:bottom w:val="nil"/>
              <w:right w:val="nil"/>
            </w:tcBorders>
            <w:shd w:val="clear" w:color="000000" w:fill="D0CECE"/>
            <w:noWrap/>
            <w:vAlign w:val="bottom"/>
            <w:hideMark/>
          </w:tcPr>
          <w:p w14:paraId="5F30E3A1"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0.00</w:t>
            </w:r>
          </w:p>
        </w:tc>
      </w:tr>
      <w:tr w:rsidR="00032304" w:rsidRPr="00D151E4" w14:paraId="7235F28B" w14:textId="77777777" w:rsidTr="00221CD1">
        <w:trPr>
          <w:trHeight w:val="315"/>
        </w:trPr>
        <w:tc>
          <w:tcPr>
            <w:tcW w:w="1998" w:type="dxa"/>
            <w:tcBorders>
              <w:top w:val="nil"/>
              <w:left w:val="nil"/>
              <w:bottom w:val="nil"/>
              <w:right w:val="nil"/>
            </w:tcBorders>
            <w:shd w:val="clear" w:color="auto" w:fill="auto"/>
            <w:noWrap/>
            <w:vAlign w:val="bottom"/>
            <w:hideMark/>
          </w:tcPr>
          <w:p w14:paraId="2A29CC52" w14:textId="77777777" w:rsidR="00032304" w:rsidRPr="00D151E4" w:rsidRDefault="00032304" w:rsidP="00221CD1">
            <w:pPr>
              <w:spacing w:line="240" w:lineRule="auto"/>
              <w:rPr>
                <w:rFonts w:eastAsia="Times New Roman"/>
                <w:color w:val="000000"/>
                <w:sz w:val="16"/>
                <w:szCs w:val="16"/>
                <w:lang w:val="en-US"/>
              </w:rPr>
            </w:pPr>
            <w:r w:rsidRPr="00D151E4">
              <w:rPr>
                <w:rFonts w:eastAsia="Times New Roman"/>
                <w:color w:val="000000"/>
                <w:sz w:val="16"/>
                <w:szCs w:val="16"/>
                <w:lang w:val="en-US"/>
              </w:rPr>
              <w:t>thermomonas</w:t>
            </w:r>
          </w:p>
        </w:tc>
        <w:tc>
          <w:tcPr>
            <w:tcW w:w="1227" w:type="dxa"/>
            <w:tcBorders>
              <w:top w:val="nil"/>
              <w:left w:val="nil"/>
              <w:bottom w:val="nil"/>
              <w:right w:val="nil"/>
            </w:tcBorders>
            <w:shd w:val="clear" w:color="000000" w:fill="FFAE00"/>
            <w:noWrap/>
            <w:vAlign w:val="bottom"/>
            <w:hideMark/>
          </w:tcPr>
          <w:p w14:paraId="2090416E"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0.67</w:t>
            </w:r>
          </w:p>
        </w:tc>
        <w:tc>
          <w:tcPr>
            <w:tcW w:w="1227" w:type="dxa"/>
            <w:tcBorders>
              <w:top w:val="nil"/>
              <w:left w:val="nil"/>
              <w:bottom w:val="nil"/>
              <w:right w:val="nil"/>
            </w:tcBorders>
            <w:shd w:val="clear" w:color="000000" w:fill="FFBC00"/>
            <w:noWrap/>
            <w:vAlign w:val="bottom"/>
            <w:hideMark/>
          </w:tcPr>
          <w:p w14:paraId="592AD20E"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0.31</w:t>
            </w:r>
          </w:p>
        </w:tc>
        <w:tc>
          <w:tcPr>
            <w:tcW w:w="1227" w:type="dxa"/>
            <w:tcBorders>
              <w:top w:val="nil"/>
              <w:left w:val="nil"/>
              <w:bottom w:val="nil"/>
              <w:right w:val="nil"/>
            </w:tcBorders>
            <w:shd w:val="clear" w:color="000000" w:fill="FFA600"/>
            <w:noWrap/>
            <w:vAlign w:val="bottom"/>
            <w:hideMark/>
          </w:tcPr>
          <w:p w14:paraId="5AC94CA9"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0.86</w:t>
            </w:r>
          </w:p>
        </w:tc>
        <w:tc>
          <w:tcPr>
            <w:tcW w:w="1227" w:type="dxa"/>
            <w:tcBorders>
              <w:top w:val="nil"/>
              <w:left w:val="nil"/>
              <w:bottom w:val="nil"/>
              <w:right w:val="nil"/>
            </w:tcBorders>
            <w:shd w:val="clear" w:color="000000" w:fill="FFA200"/>
            <w:noWrap/>
            <w:vAlign w:val="bottom"/>
            <w:hideMark/>
          </w:tcPr>
          <w:p w14:paraId="778EC69C"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0.94</w:t>
            </w:r>
          </w:p>
        </w:tc>
        <w:tc>
          <w:tcPr>
            <w:tcW w:w="1227" w:type="dxa"/>
            <w:tcBorders>
              <w:top w:val="nil"/>
              <w:left w:val="nil"/>
              <w:bottom w:val="nil"/>
              <w:right w:val="nil"/>
            </w:tcBorders>
            <w:shd w:val="clear" w:color="000000" w:fill="EDC64B"/>
            <w:noWrap/>
            <w:vAlign w:val="bottom"/>
            <w:hideMark/>
          </w:tcPr>
          <w:p w14:paraId="3B6638FF"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0.13</w:t>
            </w:r>
          </w:p>
        </w:tc>
        <w:tc>
          <w:tcPr>
            <w:tcW w:w="1227" w:type="dxa"/>
            <w:tcBorders>
              <w:top w:val="nil"/>
              <w:left w:val="nil"/>
              <w:bottom w:val="nil"/>
              <w:right w:val="nil"/>
            </w:tcBorders>
            <w:shd w:val="clear" w:color="000000" w:fill="E3C97A"/>
            <w:noWrap/>
            <w:vAlign w:val="bottom"/>
            <w:hideMark/>
          </w:tcPr>
          <w:p w14:paraId="5BA55EE2"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0.08</w:t>
            </w:r>
          </w:p>
        </w:tc>
      </w:tr>
      <w:tr w:rsidR="00032304" w:rsidRPr="00D151E4" w14:paraId="37295B7E" w14:textId="77777777" w:rsidTr="00221CD1">
        <w:trPr>
          <w:trHeight w:val="315"/>
        </w:trPr>
        <w:tc>
          <w:tcPr>
            <w:tcW w:w="1998" w:type="dxa"/>
            <w:tcBorders>
              <w:top w:val="nil"/>
              <w:left w:val="nil"/>
              <w:bottom w:val="nil"/>
              <w:right w:val="nil"/>
            </w:tcBorders>
            <w:shd w:val="clear" w:color="auto" w:fill="auto"/>
            <w:noWrap/>
            <w:vAlign w:val="bottom"/>
            <w:hideMark/>
          </w:tcPr>
          <w:p w14:paraId="1AA6B4A9" w14:textId="77777777" w:rsidR="00032304" w:rsidRPr="00D151E4" w:rsidRDefault="00032304" w:rsidP="00221CD1">
            <w:pPr>
              <w:spacing w:line="240" w:lineRule="auto"/>
              <w:rPr>
                <w:rFonts w:eastAsia="Times New Roman"/>
                <w:color w:val="000000"/>
                <w:sz w:val="16"/>
                <w:szCs w:val="16"/>
                <w:lang w:val="en-US"/>
              </w:rPr>
            </w:pPr>
            <w:r w:rsidRPr="00D151E4">
              <w:rPr>
                <w:rFonts w:eastAsia="Times New Roman"/>
                <w:color w:val="000000"/>
                <w:sz w:val="16"/>
                <w:szCs w:val="16"/>
                <w:lang w:val="en-US"/>
              </w:rPr>
              <w:t>mesorhizobium</w:t>
            </w:r>
          </w:p>
        </w:tc>
        <w:tc>
          <w:tcPr>
            <w:tcW w:w="1227" w:type="dxa"/>
            <w:tcBorders>
              <w:top w:val="nil"/>
              <w:left w:val="nil"/>
              <w:bottom w:val="nil"/>
              <w:right w:val="nil"/>
            </w:tcBorders>
            <w:shd w:val="clear" w:color="000000" w:fill="E7C767"/>
            <w:noWrap/>
            <w:vAlign w:val="bottom"/>
            <w:hideMark/>
          </w:tcPr>
          <w:p w14:paraId="086D7C1C"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0.10</w:t>
            </w:r>
          </w:p>
        </w:tc>
        <w:tc>
          <w:tcPr>
            <w:tcW w:w="1227" w:type="dxa"/>
            <w:tcBorders>
              <w:top w:val="nil"/>
              <w:left w:val="nil"/>
              <w:bottom w:val="nil"/>
              <w:right w:val="nil"/>
            </w:tcBorders>
            <w:shd w:val="clear" w:color="000000" w:fill="FFA500"/>
            <w:noWrap/>
            <w:vAlign w:val="bottom"/>
            <w:hideMark/>
          </w:tcPr>
          <w:p w14:paraId="6B3EE0F0"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0.87</w:t>
            </w:r>
          </w:p>
        </w:tc>
        <w:tc>
          <w:tcPr>
            <w:tcW w:w="1227" w:type="dxa"/>
            <w:tcBorders>
              <w:top w:val="nil"/>
              <w:left w:val="nil"/>
              <w:bottom w:val="nil"/>
              <w:right w:val="nil"/>
            </w:tcBorders>
            <w:shd w:val="clear" w:color="000000" w:fill="DACB9F"/>
            <w:noWrap/>
            <w:vAlign w:val="bottom"/>
            <w:hideMark/>
          </w:tcPr>
          <w:p w14:paraId="66483BD0"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0.05</w:t>
            </w:r>
          </w:p>
        </w:tc>
        <w:tc>
          <w:tcPr>
            <w:tcW w:w="1227" w:type="dxa"/>
            <w:tcBorders>
              <w:top w:val="nil"/>
              <w:left w:val="nil"/>
              <w:bottom w:val="nil"/>
              <w:right w:val="nil"/>
            </w:tcBorders>
            <w:shd w:val="clear" w:color="000000" w:fill="DECA8F"/>
            <w:noWrap/>
            <w:vAlign w:val="bottom"/>
            <w:hideMark/>
          </w:tcPr>
          <w:p w14:paraId="7C2B98AA"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0.06</w:t>
            </w:r>
          </w:p>
        </w:tc>
        <w:tc>
          <w:tcPr>
            <w:tcW w:w="1227" w:type="dxa"/>
            <w:tcBorders>
              <w:top w:val="nil"/>
              <w:left w:val="nil"/>
              <w:bottom w:val="nil"/>
              <w:right w:val="nil"/>
            </w:tcBorders>
            <w:shd w:val="clear" w:color="000000" w:fill="FF9100"/>
            <w:noWrap/>
            <w:vAlign w:val="bottom"/>
            <w:hideMark/>
          </w:tcPr>
          <w:p w14:paraId="2F8CA67F"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1.36</w:t>
            </w:r>
          </w:p>
        </w:tc>
        <w:tc>
          <w:tcPr>
            <w:tcW w:w="1227" w:type="dxa"/>
            <w:tcBorders>
              <w:top w:val="nil"/>
              <w:left w:val="nil"/>
              <w:bottom w:val="nil"/>
              <w:right w:val="nil"/>
            </w:tcBorders>
            <w:shd w:val="clear" w:color="000000" w:fill="D8CCAA"/>
            <w:noWrap/>
            <w:vAlign w:val="bottom"/>
            <w:hideMark/>
          </w:tcPr>
          <w:p w14:paraId="41DC2FFA"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0.04</w:t>
            </w:r>
          </w:p>
        </w:tc>
      </w:tr>
      <w:tr w:rsidR="00032304" w:rsidRPr="00D151E4" w14:paraId="485C31BF" w14:textId="77777777" w:rsidTr="00221CD1">
        <w:trPr>
          <w:trHeight w:val="315"/>
        </w:trPr>
        <w:tc>
          <w:tcPr>
            <w:tcW w:w="1998" w:type="dxa"/>
            <w:tcBorders>
              <w:top w:val="nil"/>
              <w:left w:val="nil"/>
              <w:bottom w:val="nil"/>
              <w:right w:val="nil"/>
            </w:tcBorders>
            <w:shd w:val="clear" w:color="auto" w:fill="auto"/>
            <w:noWrap/>
            <w:vAlign w:val="bottom"/>
            <w:hideMark/>
          </w:tcPr>
          <w:p w14:paraId="48A7CA2A" w14:textId="77777777" w:rsidR="00032304" w:rsidRPr="00D151E4" w:rsidRDefault="00032304" w:rsidP="00221CD1">
            <w:pPr>
              <w:spacing w:line="240" w:lineRule="auto"/>
              <w:rPr>
                <w:rFonts w:eastAsia="Times New Roman"/>
                <w:color w:val="000000"/>
                <w:sz w:val="16"/>
                <w:szCs w:val="16"/>
                <w:lang w:val="en-US"/>
              </w:rPr>
            </w:pPr>
            <w:r w:rsidRPr="00D151E4">
              <w:rPr>
                <w:rFonts w:eastAsia="Times New Roman"/>
                <w:color w:val="000000"/>
                <w:sz w:val="16"/>
                <w:szCs w:val="16"/>
                <w:lang w:val="en-US"/>
              </w:rPr>
              <w:t>gemmatimonas</w:t>
            </w:r>
          </w:p>
        </w:tc>
        <w:tc>
          <w:tcPr>
            <w:tcW w:w="1227" w:type="dxa"/>
            <w:tcBorders>
              <w:top w:val="nil"/>
              <w:left w:val="nil"/>
              <w:bottom w:val="nil"/>
              <w:right w:val="nil"/>
            </w:tcBorders>
            <w:shd w:val="clear" w:color="000000" w:fill="F7C322"/>
            <w:noWrap/>
            <w:vAlign w:val="bottom"/>
            <w:hideMark/>
          </w:tcPr>
          <w:p w14:paraId="68037B7B"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0.17</w:t>
            </w:r>
          </w:p>
        </w:tc>
        <w:tc>
          <w:tcPr>
            <w:tcW w:w="1227" w:type="dxa"/>
            <w:tcBorders>
              <w:top w:val="nil"/>
              <w:left w:val="nil"/>
              <w:bottom w:val="nil"/>
              <w:right w:val="nil"/>
            </w:tcBorders>
            <w:shd w:val="clear" w:color="000000" w:fill="FFAF00"/>
            <w:noWrap/>
            <w:vAlign w:val="bottom"/>
            <w:hideMark/>
          </w:tcPr>
          <w:p w14:paraId="68A50FCC"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0.64</w:t>
            </w:r>
          </w:p>
        </w:tc>
        <w:tc>
          <w:tcPr>
            <w:tcW w:w="1227" w:type="dxa"/>
            <w:tcBorders>
              <w:top w:val="nil"/>
              <w:left w:val="nil"/>
              <w:bottom w:val="nil"/>
              <w:right w:val="nil"/>
            </w:tcBorders>
            <w:shd w:val="clear" w:color="000000" w:fill="F6C324"/>
            <w:noWrap/>
            <w:vAlign w:val="bottom"/>
            <w:hideMark/>
          </w:tcPr>
          <w:p w14:paraId="1F5BF774"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0.17</w:t>
            </w:r>
          </w:p>
        </w:tc>
        <w:tc>
          <w:tcPr>
            <w:tcW w:w="1227" w:type="dxa"/>
            <w:tcBorders>
              <w:top w:val="nil"/>
              <w:left w:val="nil"/>
              <w:bottom w:val="nil"/>
              <w:right w:val="nil"/>
            </w:tcBorders>
            <w:shd w:val="clear" w:color="000000" w:fill="F6C327"/>
            <w:noWrap/>
            <w:vAlign w:val="bottom"/>
            <w:hideMark/>
          </w:tcPr>
          <w:p w14:paraId="2630D7A9"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0.17</w:t>
            </w:r>
          </w:p>
        </w:tc>
        <w:tc>
          <w:tcPr>
            <w:tcW w:w="1227" w:type="dxa"/>
            <w:tcBorders>
              <w:top w:val="nil"/>
              <w:left w:val="nil"/>
              <w:bottom w:val="nil"/>
              <w:right w:val="nil"/>
            </w:tcBorders>
            <w:shd w:val="clear" w:color="000000" w:fill="FF9200"/>
            <w:noWrap/>
            <w:vAlign w:val="bottom"/>
            <w:hideMark/>
          </w:tcPr>
          <w:p w14:paraId="3ACE42EA"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1.34</w:t>
            </w:r>
          </w:p>
        </w:tc>
        <w:tc>
          <w:tcPr>
            <w:tcW w:w="1227" w:type="dxa"/>
            <w:tcBorders>
              <w:top w:val="nil"/>
              <w:left w:val="nil"/>
              <w:bottom w:val="nil"/>
              <w:right w:val="nil"/>
            </w:tcBorders>
            <w:shd w:val="clear" w:color="000000" w:fill="D5CDB8"/>
            <w:noWrap/>
            <w:vAlign w:val="bottom"/>
            <w:hideMark/>
          </w:tcPr>
          <w:p w14:paraId="15E9E0A7"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0.02</w:t>
            </w:r>
          </w:p>
        </w:tc>
      </w:tr>
      <w:tr w:rsidR="00032304" w:rsidRPr="00D151E4" w14:paraId="32323003" w14:textId="77777777" w:rsidTr="00221CD1">
        <w:trPr>
          <w:trHeight w:val="315"/>
        </w:trPr>
        <w:tc>
          <w:tcPr>
            <w:tcW w:w="1998" w:type="dxa"/>
            <w:tcBorders>
              <w:top w:val="nil"/>
              <w:left w:val="nil"/>
              <w:bottom w:val="nil"/>
              <w:right w:val="nil"/>
            </w:tcBorders>
            <w:shd w:val="clear" w:color="auto" w:fill="auto"/>
            <w:noWrap/>
            <w:vAlign w:val="bottom"/>
            <w:hideMark/>
          </w:tcPr>
          <w:p w14:paraId="13ED4661" w14:textId="77777777" w:rsidR="00032304" w:rsidRPr="00D151E4" w:rsidRDefault="00032304" w:rsidP="00221CD1">
            <w:pPr>
              <w:spacing w:line="240" w:lineRule="auto"/>
              <w:rPr>
                <w:rFonts w:eastAsia="Times New Roman"/>
                <w:color w:val="000000"/>
                <w:sz w:val="16"/>
                <w:szCs w:val="16"/>
                <w:lang w:val="en-US"/>
              </w:rPr>
            </w:pPr>
            <w:r w:rsidRPr="00D151E4">
              <w:rPr>
                <w:rFonts w:eastAsia="Times New Roman"/>
                <w:color w:val="000000"/>
                <w:sz w:val="16"/>
                <w:szCs w:val="16"/>
                <w:lang w:val="en-US"/>
              </w:rPr>
              <w:t>hyphomicrobium</w:t>
            </w:r>
          </w:p>
        </w:tc>
        <w:tc>
          <w:tcPr>
            <w:tcW w:w="1227" w:type="dxa"/>
            <w:tcBorders>
              <w:top w:val="nil"/>
              <w:left w:val="nil"/>
              <w:bottom w:val="nil"/>
              <w:right w:val="nil"/>
            </w:tcBorders>
            <w:shd w:val="clear" w:color="000000" w:fill="FFAE00"/>
            <w:noWrap/>
            <w:vAlign w:val="bottom"/>
            <w:hideMark/>
          </w:tcPr>
          <w:p w14:paraId="10B1B07D"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0.65</w:t>
            </w:r>
          </w:p>
        </w:tc>
        <w:tc>
          <w:tcPr>
            <w:tcW w:w="1227" w:type="dxa"/>
            <w:tcBorders>
              <w:top w:val="nil"/>
              <w:left w:val="nil"/>
              <w:bottom w:val="nil"/>
              <w:right w:val="nil"/>
            </w:tcBorders>
            <w:shd w:val="clear" w:color="000000" w:fill="FFA900"/>
            <w:noWrap/>
            <w:vAlign w:val="bottom"/>
            <w:hideMark/>
          </w:tcPr>
          <w:p w14:paraId="0BCC5633"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0.79</w:t>
            </w:r>
          </w:p>
        </w:tc>
        <w:tc>
          <w:tcPr>
            <w:tcW w:w="1227" w:type="dxa"/>
            <w:tcBorders>
              <w:top w:val="nil"/>
              <w:left w:val="nil"/>
              <w:bottom w:val="nil"/>
              <w:right w:val="nil"/>
            </w:tcBorders>
            <w:shd w:val="clear" w:color="000000" w:fill="FFB100"/>
            <w:noWrap/>
            <w:vAlign w:val="bottom"/>
            <w:hideMark/>
          </w:tcPr>
          <w:p w14:paraId="39138B24"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0.58</w:t>
            </w:r>
          </w:p>
        </w:tc>
        <w:tc>
          <w:tcPr>
            <w:tcW w:w="1227" w:type="dxa"/>
            <w:tcBorders>
              <w:top w:val="nil"/>
              <w:left w:val="nil"/>
              <w:bottom w:val="nil"/>
              <w:right w:val="nil"/>
            </w:tcBorders>
            <w:shd w:val="clear" w:color="000000" w:fill="FFB800"/>
            <w:noWrap/>
            <w:vAlign w:val="bottom"/>
            <w:hideMark/>
          </w:tcPr>
          <w:p w14:paraId="3DCDA8CA"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0.42</w:t>
            </w:r>
          </w:p>
        </w:tc>
        <w:tc>
          <w:tcPr>
            <w:tcW w:w="1227" w:type="dxa"/>
            <w:tcBorders>
              <w:top w:val="nil"/>
              <w:left w:val="nil"/>
              <w:bottom w:val="nil"/>
              <w:right w:val="nil"/>
            </w:tcBorders>
            <w:shd w:val="clear" w:color="000000" w:fill="FF9B00"/>
            <w:noWrap/>
            <w:vAlign w:val="bottom"/>
            <w:hideMark/>
          </w:tcPr>
          <w:p w14:paraId="15D11684"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1.12</w:t>
            </w:r>
          </w:p>
        </w:tc>
        <w:tc>
          <w:tcPr>
            <w:tcW w:w="1227" w:type="dxa"/>
            <w:tcBorders>
              <w:top w:val="nil"/>
              <w:left w:val="nil"/>
              <w:bottom w:val="nil"/>
              <w:right w:val="nil"/>
            </w:tcBorders>
            <w:shd w:val="clear" w:color="000000" w:fill="D7CCAD"/>
            <w:noWrap/>
            <w:vAlign w:val="bottom"/>
            <w:hideMark/>
          </w:tcPr>
          <w:p w14:paraId="11598439"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0.03</w:t>
            </w:r>
          </w:p>
        </w:tc>
      </w:tr>
      <w:tr w:rsidR="00032304" w:rsidRPr="00D151E4" w14:paraId="3AC4F3EC" w14:textId="77777777" w:rsidTr="00221CD1">
        <w:trPr>
          <w:trHeight w:val="315"/>
        </w:trPr>
        <w:tc>
          <w:tcPr>
            <w:tcW w:w="1998" w:type="dxa"/>
            <w:tcBorders>
              <w:top w:val="nil"/>
              <w:left w:val="nil"/>
              <w:bottom w:val="nil"/>
              <w:right w:val="nil"/>
            </w:tcBorders>
            <w:shd w:val="clear" w:color="auto" w:fill="auto"/>
            <w:noWrap/>
            <w:vAlign w:val="bottom"/>
            <w:hideMark/>
          </w:tcPr>
          <w:p w14:paraId="4A68AA7F" w14:textId="77777777" w:rsidR="00032304" w:rsidRPr="00D151E4" w:rsidRDefault="00032304" w:rsidP="00221CD1">
            <w:pPr>
              <w:spacing w:line="240" w:lineRule="auto"/>
              <w:rPr>
                <w:rFonts w:eastAsia="Times New Roman"/>
                <w:color w:val="000000"/>
                <w:sz w:val="16"/>
                <w:szCs w:val="16"/>
                <w:lang w:val="en-US"/>
              </w:rPr>
            </w:pPr>
            <w:r w:rsidRPr="00D151E4">
              <w:rPr>
                <w:rFonts w:eastAsia="Times New Roman"/>
                <w:color w:val="000000"/>
                <w:sz w:val="16"/>
                <w:szCs w:val="16"/>
                <w:lang w:val="en-US"/>
              </w:rPr>
              <w:t>dongia</w:t>
            </w:r>
          </w:p>
        </w:tc>
        <w:tc>
          <w:tcPr>
            <w:tcW w:w="1227" w:type="dxa"/>
            <w:tcBorders>
              <w:top w:val="nil"/>
              <w:left w:val="nil"/>
              <w:bottom w:val="nil"/>
              <w:right w:val="nil"/>
            </w:tcBorders>
            <w:shd w:val="clear" w:color="000000" w:fill="FFAC00"/>
            <w:noWrap/>
            <w:vAlign w:val="bottom"/>
            <w:hideMark/>
          </w:tcPr>
          <w:p w14:paraId="2C61A7F3"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0.70</w:t>
            </w:r>
          </w:p>
        </w:tc>
        <w:tc>
          <w:tcPr>
            <w:tcW w:w="1227" w:type="dxa"/>
            <w:tcBorders>
              <w:top w:val="nil"/>
              <w:left w:val="nil"/>
              <w:bottom w:val="nil"/>
              <w:right w:val="nil"/>
            </w:tcBorders>
            <w:shd w:val="clear" w:color="000000" w:fill="FFAE00"/>
            <w:noWrap/>
            <w:vAlign w:val="bottom"/>
            <w:hideMark/>
          </w:tcPr>
          <w:p w14:paraId="3974D8A3"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0.66</w:t>
            </w:r>
          </w:p>
        </w:tc>
        <w:tc>
          <w:tcPr>
            <w:tcW w:w="1227" w:type="dxa"/>
            <w:tcBorders>
              <w:top w:val="nil"/>
              <w:left w:val="nil"/>
              <w:bottom w:val="nil"/>
              <w:right w:val="nil"/>
            </w:tcBorders>
            <w:shd w:val="clear" w:color="000000" w:fill="FFA500"/>
            <w:noWrap/>
            <w:vAlign w:val="bottom"/>
            <w:hideMark/>
          </w:tcPr>
          <w:p w14:paraId="52A7CA5E"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0.88</w:t>
            </w:r>
          </w:p>
        </w:tc>
        <w:tc>
          <w:tcPr>
            <w:tcW w:w="1227" w:type="dxa"/>
            <w:tcBorders>
              <w:top w:val="nil"/>
              <w:left w:val="nil"/>
              <w:bottom w:val="nil"/>
              <w:right w:val="nil"/>
            </w:tcBorders>
            <w:shd w:val="clear" w:color="000000" w:fill="FF9600"/>
            <w:noWrap/>
            <w:vAlign w:val="bottom"/>
            <w:hideMark/>
          </w:tcPr>
          <w:p w14:paraId="0A0B5A3C"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1.24</w:t>
            </w:r>
          </w:p>
        </w:tc>
        <w:tc>
          <w:tcPr>
            <w:tcW w:w="1227" w:type="dxa"/>
            <w:tcBorders>
              <w:top w:val="nil"/>
              <w:left w:val="nil"/>
              <w:bottom w:val="nil"/>
              <w:right w:val="nil"/>
            </w:tcBorders>
            <w:shd w:val="clear" w:color="000000" w:fill="FFA200"/>
            <w:noWrap/>
            <w:vAlign w:val="bottom"/>
            <w:hideMark/>
          </w:tcPr>
          <w:p w14:paraId="70915A5A"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0.95</w:t>
            </w:r>
          </w:p>
        </w:tc>
        <w:tc>
          <w:tcPr>
            <w:tcW w:w="1227" w:type="dxa"/>
            <w:tcBorders>
              <w:top w:val="nil"/>
              <w:left w:val="nil"/>
              <w:bottom w:val="nil"/>
              <w:right w:val="nil"/>
            </w:tcBorders>
            <w:shd w:val="clear" w:color="000000" w:fill="DFCA89"/>
            <w:noWrap/>
            <w:vAlign w:val="bottom"/>
            <w:hideMark/>
          </w:tcPr>
          <w:p w14:paraId="1344357F"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0.07</w:t>
            </w:r>
          </w:p>
        </w:tc>
      </w:tr>
      <w:tr w:rsidR="00032304" w:rsidRPr="00D151E4" w14:paraId="5621B4B5" w14:textId="77777777" w:rsidTr="00221CD1">
        <w:trPr>
          <w:trHeight w:val="315"/>
        </w:trPr>
        <w:tc>
          <w:tcPr>
            <w:tcW w:w="1998" w:type="dxa"/>
            <w:tcBorders>
              <w:top w:val="nil"/>
              <w:left w:val="nil"/>
              <w:bottom w:val="nil"/>
              <w:right w:val="nil"/>
            </w:tcBorders>
            <w:shd w:val="clear" w:color="auto" w:fill="auto"/>
            <w:noWrap/>
            <w:vAlign w:val="bottom"/>
            <w:hideMark/>
          </w:tcPr>
          <w:p w14:paraId="30CE73B6" w14:textId="77777777" w:rsidR="00032304" w:rsidRPr="00D151E4" w:rsidRDefault="00032304" w:rsidP="00221CD1">
            <w:pPr>
              <w:spacing w:line="240" w:lineRule="auto"/>
              <w:rPr>
                <w:rFonts w:eastAsia="Times New Roman"/>
                <w:color w:val="000000"/>
                <w:sz w:val="16"/>
                <w:szCs w:val="16"/>
                <w:lang w:val="en-US"/>
              </w:rPr>
            </w:pPr>
            <w:r w:rsidRPr="00D151E4">
              <w:rPr>
                <w:rFonts w:eastAsia="Times New Roman"/>
                <w:color w:val="000000"/>
                <w:sz w:val="16"/>
                <w:szCs w:val="16"/>
                <w:lang w:val="en-US"/>
              </w:rPr>
              <w:t>prosthecobacter</w:t>
            </w:r>
          </w:p>
        </w:tc>
        <w:tc>
          <w:tcPr>
            <w:tcW w:w="1227" w:type="dxa"/>
            <w:tcBorders>
              <w:top w:val="nil"/>
              <w:left w:val="nil"/>
              <w:bottom w:val="nil"/>
              <w:right w:val="nil"/>
            </w:tcBorders>
            <w:shd w:val="clear" w:color="000000" w:fill="D6CDB4"/>
            <w:noWrap/>
            <w:vAlign w:val="bottom"/>
            <w:hideMark/>
          </w:tcPr>
          <w:p w14:paraId="7B39D1D3"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0.03</w:t>
            </w:r>
          </w:p>
        </w:tc>
        <w:tc>
          <w:tcPr>
            <w:tcW w:w="1227" w:type="dxa"/>
            <w:tcBorders>
              <w:top w:val="nil"/>
              <w:left w:val="nil"/>
              <w:bottom w:val="nil"/>
              <w:right w:val="nil"/>
            </w:tcBorders>
            <w:shd w:val="clear" w:color="000000" w:fill="DDCA91"/>
            <w:noWrap/>
            <w:vAlign w:val="bottom"/>
            <w:hideMark/>
          </w:tcPr>
          <w:p w14:paraId="74337B25"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0.06</w:t>
            </w:r>
          </w:p>
        </w:tc>
        <w:tc>
          <w:tcPr>
            <w:tcW w:w="1227" w:type="dxa"/>
            <w:tcBorders>
              <w:top w:val="nil"/>
              <w:left w:val="nil"/>
              <w:bottom w:val="nil"/>
              <w:right w:val="nil"/>
            </w:tcBorders>
            <w:shd w:val="clear" w:color="000000" w:fill="D4CDBB"/>
            <w:noWrap/>
            <w:vAlign w:val="bottom"/>
            <w:hideMark/>
          </w:tcPr>
          <w:p w14:paraId="76081F11"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0.02</w:t>
            </w:r>
          </w:p>
        </w:tc>
        <w:tc>
          <w:tcPr>
            <w:tcW w:w="1227" w:type="dxa"/>
            <w:tcBorders>
              <w:top w:val="nil"/>
              <w:left w:val="nil"/>
              <w:bottom w:val="nil"/>
              <w:right w:val="nil"/>
            </w:tcBorders>
            <w:shd w:val="clear" w:color="000000" w:fill="D1CEC7"/>
            <w:noWrap/>
            <w:vAlign w:val="bottom"/>
            <w:hideMark/>
          </w:tcPr>
          <w:p w14:paraId="309CCD48"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0.01</w:t>
            </w:r>
          </w:p>
        </w:tc>
        <w:tc>
          <w:tcPr>
            <w:tcW w:w="1227" w:type="dxa"/>
            <w:tcBorders>
              <w:top w:val="nil"/>
              <w:left w:val="nil"/>
              <w:bottom w:val="nil"/>
              <w:right w:val="nil"/>
            </w:tcBorders>
            <w:shd w:val="clear" w:color="000000" w:fill="FFA800"/>
            <w:noWrap/>
            <w:vAlign w:val="bottom"/>
            <w:hideMark/>
          </w:tcPr>
          <w:p w14:paraId="0A7C119C"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0.81</w:t>
            </w:r>
          </w:p>
        </w:tc>
        <w:tc>
          <w:tcPr>
            <w:tcW w:w="1227" w:type="dxa"/>
            <w:tcBorders>
              <w:top w:val="nil"/>
              <w:left w:val="nil"/>
              <w:bottom w:val="nil"/>
              <w:right w:val="nil"/>
            </w:tcBorders>
            <w:shd w:val="clear" w:color="000000" w:fill="EDC64E"/>
            <w:noWrap/>
            <w:vAlign w:val="bottom"/>
            <w:hideMark/>
          </w:tcPr>
          <w:p w14:paraId="54BC47F7"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0.13</w:t>
            </w:r>
          </w:p>
        </w:tc>
      </w:tr>
      <w:tr w:rsidR="00032304" w:rsidRPr="00D151E4" w14:paraId="32FC637E" w14:textId="77777777" w:rsidTr="00221CD1">
        <w:trPr>
          <w:trHeight w:val="315"/>
        </w:trPr>
        <w:tc>
          <w:tcPr>
            <w:tcW w:w="1998" w:type="dxa"/>
            <w:tcBorders>
              <w:top w:val="nil"/>
              <w:left w:val="nil"/>
              <w:bottom w:val="nil"/>
              <w:right w:val="nil"/>
            </w:tcBorders>
            <w:shd w:val="clear" w:color="auto" w:fill="auto"/>
            <w:noWrap/>
            <w:vAlign w:val="bottom"/>
            <w:hideMark/>
          </w:tcPr>
          <w:p w14:paraId="661E65C2" w14:textId="77777777" w:rsidR="00032304" w:rsidRPr="00D151E4" w:rsidRDefault="00032304" w:rsidP="00221CD1">
            <w:pPr>
              <w:spacing w:line="240" w:lineRule="auto"/>
              <w:rPr>
                <w:rFonts w:eastAsia="Times New Roman"/>
                <w:color w:val="000000"/>
                <w:sz w:val="16"/>
                <w:szCs w:val="16"/>
                <w:lang w:val="en-US"/>
              </w:rPr>
            </w:pPr>
            <w:r w:rsidRPr="00D151E4">
              <w:rPr>
                <w:rFonts w:eastAsia="Times New Roman"/>
                <w:color w:val="000000"/>
                <w:sz w:val="16"/>
                <w:szCs w:val="16"/>
                <w:lang w:val="en-US"/>
              </w:rPr>
              <w:t>pelobacter</w:t>
            </w:r>
          </w:p>
        </w:tc>
        <w:tc>
          <w:tcPr>
            <w:tcW w:w="1227" w:type="dxa"/>
            <w:tcBorders>
              <w:top w:val="nil"/>
              <w:left w:val="nil"/>
              <w:bottom w:val="nil"/>
              <w:right w:val="nil"/>
            </w:tcBorders>
            <w:shd w:val="clear" w:color="000000" w:fill="FF9F00"/>
            <w:noWrap/>
            <w:vAlign w:val="bottom"/>
            <w:hideMark/>
          </w:tcPr>
          <w:p w14:paraId="3732B3CC"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1.03</w:t>
            </w:r>
          </w:p>
        </w:tc>
        <w:tc>
          <w:tcPr>
            <w:tcW w:w="1227" w:type="dxa"/>
            <w:tcBorders>
              <w:top w:val="nil"/>
              <w:left w:val="nil"/>
              <w:bottom w:val="nil"/>
              <w:right w:val="nil"/>
            </w:tcBorders>
            <w:shd w:val="clear" w:color="000000" w:fill="FF9700"/>
            <w:noWrap/>
            <w:vAlign w:val="bottom"/>
            <w:hideMark/>
          </w:tcPr>
          <w:p w14:paraId="2F28574D"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1.21</w:t>
            </w:r>
          </w:p>
        </w:tc>
        <w:tc>
          <w:tcPr>
            <w:tcW w:w="1227" w:type="dxa"/>
            <w:tcBorders>
              <w:top w:val="nil"/>
              <w:left w:val="nil"/>
              <w:bottom w:val="nil"/>
              <w:right w:val="nil"/>
            </w:tcBorders>
            <w:shd w:val="clear" w:color="000000" w:fill="FFA700"/>
            <w:noWrap/>
            <w:vAlign w:val="bottom"/>
            <w:hideMark/>
          </w:tcPr>
          <w:p w14:paraId="39A9F5AC"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0.84</w:t>
            </w:r>
          </w:p>
        </w:tc>
        <w:tc>
          <w:tcPr>
            <w:tcW w:w="1227" w:type="dxa"/>
            <w:tcBorders>
              <w:top w:val="nil"/>
              <w:left w:val="nil"/>
              <w:bottom w:val="nil"/>
              <w:right w:val="nil"/>
            </w:tcBorders>
            <w:shd w:val="clear" w:color="000000" w:fill="FFA700"/>
            <w:noWrap/>
            <w:vAlign w:val="bottom"/>
            <w:hideMark/>
          </w:tcPr>
          <w:p w14:paraId="48429303"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0.83</w:t>
            </w:r>
          </w:p>
        </w:tc>
        <w:tc>
          <w:tcPr>
            <w:tcW w:w="1227" w:type="dxa"/>
            <w:tcBorders>
              <w:top w:val="nil"/>
              <w:left w:val="nil"/>
              <w:bottom w:val="nil"/>
              <w:right w:val="nil"/>
            </w:tcBorders>
            <w:shd w:val="clear" w:color="000000" w:fill="FFA900"/>
            <w:noWrap/>
            <w:vAlign w:val="bottom"/>
            <w:hideMark/>
          </w:tcPr>
          <w:p w14:paraId="3D0EB787"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0.78</w:t>
            </w:r>
          </w:p>
        </w:tc>
        <w:tc>
          <w:tcPr>
            <w:tcW w:w="1227" w:type="dxa"/>
            <w:tcBorders>
              <w:top w:val="nil"/>
              <w:left w:val="nil"/>
              <w:bottom w:val="nil"/>
              <w:right w:val="nil"/>
            </w:tcBorders>
            <w:shd w:val="clear" w:color="000000" w:fill="DDCA94"/>
            <w:noWrap/>
            <w:vAlign w:val="bottom"/>
            <w:hideMark/>
          </w:tcPr>
          <w:p w14:paraId="78A37CEC"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0.06</w:t>
            </w:r>
          </w:p>
        </w:tc>
      </w:tr>
      <w:tr w:rsidR="00032304" w:rsidRPr="00D151E4" w14:paraId="7F0EFF26" w14:textId="77777777" w:rsidTr="00221CD1">
        <w:trPr>
          <w:trHeight w:val="315"/>
        </w:trPr>
        <w:tc>
          <w:tcPr>
            <w:tcW w:w="1998" w:type="dxa"/>
            <w:tcBorders>
              <w:top w:val="nil"/>
              <w:left w:val="nil"/>
              <w:bottom w:val="nil"/>
              <w:right w:val="nil"/>
            </w:tcBorders>
            <w:shd w:val="clear" w:color="auto" w:fill="auto"/>
            <w:noWrap/>
            <w:vAlign w:val="bottom"/>
            <w:hideMark/>
          </w:tcPr>
          <w:p w14:paraId="1781B90F" w14:textId="77777777" w:rsidR="00032304" w:rsidRPr="00D151E4" w:rsidRDefault="00032304" w:rsidP="00221CD1">
            <w:pPr>
              <w:spacing w:line="240" w:lineRule="auto"/>
              <w:rPr>
                <w:rFonts w:eastAsia="Times New Roman"/>
                <w:color w:val="000000"/>
                <w:sz w:val="16"/>
                <w:szCs w:val="16"/>
                <w:lang w:val="en-US"/>
              </w:rPr>
            </w:pPr>
            <w:r w:rsidRPr="00D151E4">
              <w:rPr>
                <w:rFonts w:eastAsia="Times New Roman"/>
                <w:color w:val="000000"/>
                <w:sz w:val="16"/>
                <w:szCs w:val="16"/>
                <w:lang w:val="en-US"/>
              </w:rPr>
              <w:t>bradyrhizobium</w:t>
            </w:r>
          </w:p>
        </w:tc>
        <w:tc>
          <w:tcPr>
            <w:tcW w:w="1227" w:type="dxa"/>
            <w:tcBorders>
              <w:top w:val="nil"/>
              <w:left w:val="nil"/>
              <w:bottom w:val="nil"/>
              <w:right w:val="nil"/>
            </w:tcBorders>
            <w:shd w:val="clear" w:color="000000" w:fill="FCC10B"/>
            <w:noWrap/>
            <w:vAlign w:val="bottom"/>
            <w:hideMark/>
          </w:tcPr>
          <w:p w14:paraId="66A53795"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0.19</w:t>
            </w:r>
          </w:p>
        </w:tc>
        <w:tc>
          <w:tcPr>
            <w:tcW w:w="1227" w:type="dxa"/>
            <w:tcBorders>
              <w:top w:val="nil"/>
              <w:left w:val="nil"/>
              <w:bottom w:val="nil"/>
              <w:right w:val="nil"/>
            </w:tcBorders>
            <w:shd w:val="clear" w:color="000000" w:fill="FFBC00"/>
            <w:noWrap/>
            <w:vAlign w:val="bottom"/>
            <w:hideMark/>
          </w:tcPr>
          <w:p w14:paraId="6B5245BD"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0.32</w:t>
            </w:r>
          </w:p>
        </w:tc>
        <w:tc>
          <w:tcPr>
            <w:tcW w:w="1227" w:type="dxa"/>
            <w:tcBorders>
              <w:top w:val="nil"/>
              <w:left w:val="nil"/>
              <w:bottom w:val="nil"/>
              <w:right w:val="nil"/>
            </w:tcBorders>
            <w:shd w:val="clear" w:color="000000" w:fill="F3C434"/>
            <w:noWrap/>
            <w:vAlign w:val="bottom"/>
            <w:hideMark/>
          </w:tcPr>
          <w:p w14:paraId="4E4A521B"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0.15</w:t>
            </w:r>
          </w:p>
        </w:tc>
        <w:tc>
          <w:tcPr>
            <w:tcW w:w="1227" w:type="dxa"/>
            <w:tcBorders>
              <w:top w:val="nil"/>
              <w:left w:val="nil"/>
              <w:bottom w:val="nil"/>
              <w:right w:val="nil"/>
            </w:tcBorders>
            <w:shd w:val="clear" w:color="000000" w:fill="FFC000"/>
            <w:noWrap/>
            <w:vAlign w:val="bottom"/>
            <w:hideMark/>
          </w:tcPr>
          <w:p w14:paraId="143CA5C3"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0.21</w:t>
            </w:r>
          </w:p>
        </w:tc>
        <w:tc>
          <w:tcPr>
            <w:tcW w:w="1227" w:type="dxa"/>
            <w:tcBorders>
              <w:top w:val="nil"/>
              <w:left w:val="nil"/>
              <w:bottom w:val="nil"/>
              <w:right w:val="nil"/>
            </w:tcBorders>
            <w:shd w:val="clear" w:color="000000" w:fill="FFAD00"/>
            <w:noWrap/>
            <w:vAlign w:val="bottom"/>
            <w:hideMark/>
          </w:tcPr>
          <w:p w14:paraId="75AFD60B"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0.69</w:t>
            </w:r>
          </w:p>
        </w:tc>
        <w:tc>
          <w:tcPr>
            <w:tcW w:w="1227" w:type="dxa"/>
            <w:tcBorders>
              <w:top w:val="nil"/>
              <w:left w:val="nil"/>
              <w:bottom w:val="nil"/>
              <w:right w:val="nil"/>
            </w:tcBorders>
            <w:shd w:val="clear" w:color="000000" w:fill="FFAA00"/>
            <w:noWrap/>
            <w:vAlign w:val="bottom"/>
            <w:hideMark/>
          </w:tcPr>
          <w:p w14:paraId="75B36AA4"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0.77</w:t>
            </w:r>
          </w:p>
        </w:tc>
      </w:tr>
      <w:tr w:rsidR="00032304" w:rsidRPr="00D151E4" w14:paraId="2C63D03F" w14:textId="77777777" w:rsidTr="00221CD1">
        <w:trPr>
          <w:trHeight w:val="315"/>
        </w:trPr>
        <w:tc>
          <w:tcPr>
            <w:tcW w:w="1998" w:type="dxa"/>
            <w:tcBorders>
              <w:top w:val="nil"/>
              <w:left w:val="nil"/>
              <w:bottom w:val="nil"/>
              <w:right w:val="nil"/>
            </w:tcBorders>
            <w:shd w:val="clear" w:color="auto" w:fill="auto"/>
            <w:noWrap/>
            <w:vAlign w:val="bottom"/>
            <w:hideMark/>
          </w:tcPr>
          <w:p w14:paraId="7D5F5275" w14:textId="77777777" w:rsidR="00032304" w:rsidRPr="00D151E4" w:rsidRDefault="00032304" w:rsidP="00221CD1">
            <w:pPr>
              <w:spacing w:line="240" w:lineRule="auto"/>
              <w:rPr>
                <w:rFonts w:eastAsia="Times New Roman"/>
                <w:color w:val="000000"/>
                <w:sz w:val="16"/>
                <w:szCs w:val="16"/>
                <w:lang w:val="en-US"/>
              </w:rPr>
            </w:pPr>
            <w:r w:rsidRPr="00D151E4">
              <w:rPr>
                <w:rFonts w:eastAsia="Times New Roman"/>
                <w:color w:val="000000"/>
                <w:sz w:val="16"/>
                <w:szCs w:val="16"/>
                <w:lang w:val="en-US"/>
              </w:rPr>
              <w:t>nitrospira</w:t>
            </w:r>
          </w:p>
        </w:tc>
        <w:tc>
          <w:tcPr>
            <w:tcW w:w="1227" w:type="dxa"/>
            <w:tcBorders>
              <w:top w:val="nil"/>
              <w:left w:val="nil"/>
              <w:bottom w:val="nil"/>
              <w:right w:val="nil"/>
            </w:tcBorders>
            <w:shd w:val="clear" w:color="000000" w:fill="FFA000"/>
            <w:noWrap/>
            <w:vAlign w:val="bottom"/>
            <w:hideMark/>
          </w:tcPr>
          <w:p w14:paraId="4CEB43DF"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1.00</w:t>
            </w:r>
          </w:p>
        </w:tc>
        <w:tc>
          <w:tcPr>
            <w:tcW w:w="1227" w:type="dxa"/>
            <w:tcBorders>
              <w:top w:val="nil"/>
              <w:left w:val="nil"/>
              <w:bottom w:val="nil"/>
              <w:right w:val="nil"/>
            </w:tcBorders>
            <w:shd w:val="clear" w:color="000000" w:fill="FFA400"/>
            <w:noWrap/>
            <w:vAlign w:val="bottom"/>
            <w:hideMark/>
          </w:tcPr>
          <w:p w14:paraId="7897951B"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0.90</w:t>
            </w:r>
          </w:p>
        </w:tc>
        <w:tc>
          <w:tcPr>
            <w:tcW w:w="1227" w:type="dxa"/>
            <w:tcBorders>
              <w:top w:val="nil"/>
              <w:left w:val="nil"/>
              <w:bottom w:val="nil"/>
              <w:right w:val="nil"/>
            </w:tcBorders>
            <w:shd w:val="clear" w:color="000000" w:fill="FFA500"/>
            <w:noWrap/>
            <w:vAlign w:val="bottom"/>
            <w:hideMark/>
          </w:tcPr>
          <w:p w14:paraId="6A401781"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0.88</w:t>
            </w:r>
          </w:p>
        </w:tc>
        <w:tc>
          <w:tcPr>
            <w:tcW w:w="1227" w:type="dxa"/>
            <w:tcBorders>
              <w:top w:val="nil"/>
              <w:left w:val="nil"/>
              <w:bottom w:val="nil"/>
              <w:right w:val="nil"/>
            </w:tcBorders>
            <w:shd w:val="clear" w:color="000000" w:fill="FFA700"/>
            <w:noWrap/>
            <w:vAlign w:val="bottom"/>
            <w:hideMark/>
          </w:tcPr>
          <w:p w14:paraId="37D2A2E1"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0.83</w:t>
            </w:r>
          </w:p>
        </w:tc>
        <w:tc>
          <w:tcPr>
            <w:tcW w:w="1227" w:type="dxa"/>
            <w:tcBorders>
              <w:top w:val="nil"/>
              <w:left w:val="nil"/>
              <w:bottom w:val="nil"/>
              <w:right w:val="nil"/>
            </w:tcBorders>
            <w:shd w:val="clear" w:color="000000" w:fill="FFB000"/>
            <w:noWrap/>
            <w:vAlign w:val="bottom"/>
            <w:hideMark/>
          </w:tcPr>
          <w:p w14:paraId="26BF649C"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0.60</w:t>
            </w:r>
          </w:p>
        </w:tc>
        <w:tc>
          <w:tcPr>
            <w:tcW w:w="1227" w:type="dxa"/>
            <w:tcBorders>
              <w:top w:val="nil"/>
              <w:left w:val="nil"/>
              <w:bottom w:val="nil"/>
              <w:right w:val="nil"/>
            </w:tcBorders>
            <w:shd w:val="clear" w:color="000000" w:fill="F3C434"/>
            <w:noWrap/>
            <w:vAlign w:val="bottom"/>
            <w:hideMark/>
          </w:tcPr>
          <w:p w14:paraId="17838A78"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0.15</w:t>
            </w:r>
          </w:p>
        </w:tc>
      </w:tr>
      <w:tr w:rsidR="00032304" w:rsidRPr="00D151E4" w14:paraId="691D6856" w14:textId="77777777" w:rsidTr="00221CD1">
        <w:trPr>
          <w:trHeight w:val="315"/>
        </w:trPr>
        <w:tc>
          <w:tcPr>
            <w:tcW w:w="1998" w:type="dxa"/>
            <w:tcBorders>
              <w:top w:val="nil"/>
              <w:left w:val="nil"/>
              <w:bottom w:val="nil"/>
              <w:right w:val="nil"/>
            </w:tcBorders>
            <w:shd w:val="clear" w:color="auto" w:fill="auto"/>
            <w:noWrap/>
            <w:vAlign w:val="bottom"/>
            <w:hideMark/>
          </w:tcPr>
          <w:p w14:paraId="0C38D2A3" w14:textId="77777777" w:rsidR="00032304" w:rsidRPr="00D151E4" w:rsidRDefault="00032304" w:rsidP="00221CD1">
            <w:pPr>
              <w:spacing w:line="240" w:lineRule="auto"/>
              <w:rPr>
                <w:rFonts w:eastAsia="Times New Roman"/>
                <w:color w:val="000000"/>
                <w:sz w:val="16"/>
                <w:szCs w:val="16"/>
                <w:lang w:val="en-US"/>
              </w:rPr>
            </w:pPr>
            <w:r w:rsidRPr="00D151E4">
              <w:rPr>
                <w:rFonts w:eastAsia="Times New Roman"/>
                <w:color w:val="000000"/>
                <w:sz w:val="16"/>
                <w:szCs w:val="16"/>
                <w:lang w:val="en-US"/>
              </w:rPr>
              <w:t>rhodobium</w:t>
            </w:r>
          </w:p>
        </w:tc>
        <w:tc>
          <w:tcPr>
            <w:tcW w:w="1227" w:type="dxa"/>
            <w:tcBorders>
              <w:top w:val="nil"/>
              <w:left w:val="nil"/>
              <w:bottom w:val="nil"/>
              <w:right w:val="nil"/>
            </w:tcBorders>
            <w:shd w:val="clear" w:color="000000" w:fill="FFBB00"/>
            <w:noWrap/>
            <w:vAlign w:val="bottom"/>
            <w:hideMark/>
          </w:tcPr>
          <w:p w14:paraId="7AF57135"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0.33</w:t>
            </w:r>
          </w:p>
        </w:tc>
        <w:tc>
          <w:tcPr>
            <w:tcW w:w="1227" w:type="dxa"/>
            <w:tcBorders>
              <w:top w:val="nil"/>
              <w:left w:val="nil"/>
              <w:bottom w:val="nil"/>
              <w:right w:val="nil"/>
            </w:tcBorders>
            <w:shd w:val="clear" w:color="000000" w:fill="FFA500"/>
            <w:noWrap/>
            <w:vAlign w:val="bottom"/>
            <w:hideMark/>
          </w:tcPr>
          <w:p w14:paraId="3504EEB9"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0.87</w:t>
            </w:r>
          </w:p>
        </w:tc>
        <w:tc>
          <w:tcPr>
            <w:tcW w:w="1227" w:type="dxa"/>
            <w:tcBorders>
              <w:top w:val="nil"/>
              <w:left w:val="nil"/>
              <w:bottom w:val="nil"/>
              <w:right w:val="nil"/>
            </w:tcBorders>
            <w:shd w:val="clear" w:color="000000" w:fill="FFC000"/>
            <w:noWrap/>
            <w:vAlign w:val="bottom"/>
            <w:hideMark/>
          </w:tcPr>
          <w:p w14:paraId="1946FB69"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0.20</w:t>
            </w:r>
          </w:p>
        </w:tc>
        <w:tc>
          <w:tcPr>
            <w:tcW w:w="1227" w:type="dxa"/>
            <w:tcBorders>
              <w:top w:val="nil"/>
              <w:left w:val="nil"/>
              <w:bottom w:val="nil"/>
              <w:right w:val="nil"/>
            </w:tcBorders>
            <w:shd w:val="clear" w:color="000000" w:fill="F9C218"/>
            <w:noWrap/>
            <w:vAlign w:val="bottom"/>
            <w:hideMark/>
          </w:tcPr>
          <w:p w14:paraId="5327BA91"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0.18</w:t>
            </w:r>
          </w:p>
        </w:tc>
        <w:tc>
          <w:tcPr>
            <w:tcW w:w="1227" w:type="dxa"/>
            <w:tcBorders>
              <w:top w:val="nil"/>
              <w:left w:val="nil"/>
              <w:bottom w:val="nil"/>
              <w:right w:val="nil"/>
            </w:tcBorders>
            <w:shd w:val="clear" w:color="000000" w:fill="FFB000"/>
            <w:noWrap/>
            <w:vAlign w:val="bottom"/>
            <w:hideMark/>
          </w:tcPr>
          <w:p w14:paraId="362D3B32"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0.60</w:t>
            </w:r>
          </w:p>
        </w:tc>
        <w:tc>
          <w:tcPr>
            <w:tcW w:w="1227" w:type="dxa"/>
            <w:tcBorders>
              <w:top w:val="nil"/>
              <w:left w:val="nil"/>
              <w:bottom w:val="nil"/>
              <w:right w:val="nil"/>
            </w:tcBorders>
            <w:shd w:val="clear" w:color="000000" w:fill="D8CCAA"/>
            <w:noWrap/>
            <w:vAlign w:val="bottom"/>
            <w:hideMark/>
          </w:tcPr>
          <w:p w14:paraId="0044C3EF"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0.04</w:t>
            </w:r>
          </w:p>
        </w:tc>
      </w:tr>
      <w:tr w:rsidR="00032304" w:rsidRPr="00D151E4" w14:paraId="414FC688" w14:textId="77777777" w:rsidTr="00221CD1">
        <w:trPr>
          <w:trHeight w:val="315"/>
        </w:trPr>
        <w:tc>
          <w:tcPr>
            <w:tcW w:w="1998" w:type="dxa"/>
            <w:tcBorders>
              <w:top w:val="nil"/>
              <w:left w:val="nil"/>
              <w:bottom w:val="nil"/>
              <w:right w:val="nil"/>
            </w:tcBorders>
            <w:shd w:val="clear" w:color="auto" w:fill="auto"/>
            <w:noWrap/>
            <w:vAlign w:val="bottom"/>
            <w:hideMark/>
          </w:tcPr>
          <w:p w14:paraId="28389425" w14:textId="77777777" w:rsidR="00032304" w:rsidRPr="00D151E4" w:rsidRDefault="00032304" w:rsidP="00221CD1">
            <w:pPr>
              <w:spacing w:line="240" w:lineRule="auto"/>
              <w:rPr>
                <w:rFonts w:eastAsia="Times New Roman"/>
                <w:color w:val="000000"/>
                <w:sz w:val="16"/>
                <w:szCs w:val="16"/>
                <w:lang w:val="en-US"/>
              </w:rPr>
            </w:pPr>
            <w:r w:rsidRPr="00D151E4">
              <w:rPr>
                <w:rFonts w:eastAsia="Times New Roman"/>
                <w:color w:val="000000"/>
                <w:sz w:val="16"/>
                <w:szCs w:val="16"/>
                <w:lang w:val="en-US"/>
              </w:rPr>
              <w:t>actinoallomurus</w:t>
            </w:r>
          </w:p>
        </w:tc>
        <w:tc>
          <w:tcPr>
            <w:tcW w:w="1227" w:type="dxa"/>
            <w:tcBorders>
              <w:top w:val="nil"/>
              <w:left w:val="nil"/>
              <w:bottom w:val="nil"/>
              <w:right w:val="nil"/>
            </w:tcBorders>
            <w:shd w:val="clear" w:color="000000" w:fill="DACBA0"/>
            <w:noWrap/>
            <w:vAlign w:val="bottom"/>
            <w:hideMark/>
          </w:tcPr>
          <w:p w14:paraId="1D981CB2"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0.05</w:t>
            </w:r>
          </w:p>
        </w:tc>
        <w:tc>
          <w:tcPr>
            <w:tcW w:w="1227" w:type="dxa"/>
            <w:tcBorders>
              <w:top w:val="nil"/>
              <w:left w:val="nil"/>
              <w:bottom w:val="nil"/>
              <w:right w:val="nil"/>
            </w:tcBorders>
            <w:shd w:val="clear" w:color="000000" w:fill="D6CDB2"/>
            <w:noWrap/>
            <w:vAlign w:val="bottom"/>
            <w:hideMark/>
          </w:tcPr>
          <w:p w14:paraId="6F91968D"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0.03</w:t>
            </w:r>
          </w:p>
        </w:tc>
        <w:tc>
          <w:tcPr>
            <w:tcW w:w="1227" w:type="dxa"/>
            <w:tcBorders>
              <w:top w:val="nil"/>
              <w:left w:val="nil"/>
              <w:bottom w:val="nil"/>
              <w:right w:val="nil"/>
            </w:tcBorders>
            <w:shd w:val="clear" w:color="000000" w:fill="DCCB97"/>
            <w:noWrap/>
            <w:vAlign w:val="bottom"/>
            <w:hideMark/>
          </w:tcPr>
          <w:p w14:paraId="3F49A0C6"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0.05</w:t>
            </w:r>
          </w:p>
        </w:tc>
        <w:tc>
          <w:tcPr>
            <w:tcW w:w="1227" w:type="dxa"/>
            <w:tcBorders>
              <w:top w:val="nil"/>
              <w:left w:val="nil"/>
              <w:bottom w:val="nil"/>
              <w:right w:val="nil"/>
            </w:tcBorders>
            <w:shd w:val="clear" w:color="000000" w:fill="D9CCA5"/>
            <w:noWrap/>
            <w:vAlign w:val="bottom"/>
            <w:hideMark/>
          </w:tcPr>
          <w:p w14:paraId="06A9A805"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0.04</w:t>
            </w:r>
          </w:p>
        </w:tc>
        <w:tc>
          <w:tcPr>
            <w:tcW w:w="1227" w:type="dxa"/>
            <w:tcBorders>
              <w:top w:val="nil"/>
              <w:left w:val="nil"/>
              <w:bottom w:val="nil"/>
              <w:right w:val="nil"/>
            </w:tcBorders>
            <w:shd w:val="clear" w:color="000000" w:fill="E0C985"/>
            <w:noWrap/>
            <w:vAlign w:val="bottom"/>
            <w:hideMark/>
          </w:tcPr>
          <w:p w14:paraId="359F845C"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0.07</w:t>
            </w:r>
          </w:p>
        </w:tc>
        <w:tc>
          <w:tcPr>
            <w:tcW w:w="1227" w:type="dxa"/>
            <w:tcBorders>
              <w:top w:val="nil"/>
              <w:left w:val="nil"/>
              <w:bottom w:val="nil"/>
              <w:right w:val="nil"/>
            </w:tcBorders>
            <w:shd w:val="clear" w:color="000000" w:fill="FF6600"/>
            <w:noWrap/>
            <w:vAlign w:val="bottom"/>
            <w:hideMark/>
          </w:tcPr>
          <w:p w14:paraId="43A58E45"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2.42</w:t>
            </w:r>
          </w:p>
        </w:tc>
      </w:tr>
      <w:tr w:rsidR="00032304" w:rsidRPr="00D151E4" w14:paraId="0428893C" w14:textId="77777777" w:rsidTr="00221CD1">
        <w:trPr>
          <w:trHeight w:val="315"/>
        </w:trPr>
        <w:tc>
          <w:tcPr>
            <w:tcW w:w="1998" w:type="dxa"/>
            <w:tcBorders>
              <w:top w:val="nil"/>
              <w:left w:val="nil"/>
              <w:bottom w:val="nil"/>
              <w:right w:val="nil"/>
            </w:tcBorders>
            <w:shd w:val="clear" w:color="auto" w:fill="auto"/>
            <w:noWrap/>
            <w:vAlign w:val="bottom"/>
            <w:hideMark/>
          </w:tcPr>
          <w:p w14:paraId="2C80249A" w14:textId="77777777" w:rsidR="00032304" w:rsidRPr="00D151E4" w:rsidRDefault="00032304" w:rsidP="00221CD1">
            <w:pPr>
              <w:spacing w:line="240" w:lineRule="auto"/>
              <w:rPr>
                <w:rFonts w:eastAsia="Times New Roman"/>
                <w:color w:val="000000"/>
                <w:sz w:val="16"/>
                <w:szCs w:val="16"/>
                <w:lang w:val="en-US"/>
              </w:rPr>
            </w:pPr>
            <w:r w:rsidRPr="00D151E4">
              <w:rPr>
                <w:rFonts w:eastAsia="Times New Roman"/>
                <w:color w:val="000000"/>
                <w:sz w:val="16"/>
                <w:szCs w:val="16"/>
                <w:lang w:val="en-US"/>
              </w:rPr>
              <w:t>luteolibacter</w:t>
            </w:r>
          </w:p>
        </w:tc>
        <w:tc>
          <w:tcPr>
            <w:tcW w:w="1227" w:type="dxa"/>
            <w:tcBorders>
              <w:top w:val="nil"/>
              <w:left w:val="nil"/>
              <w:bottom w:val="nil"/>
              <w:right w:val="nil"/>
            </w:tcBorders>
            <w:shd w:val="clear" w:color="000000" w:fill="D6CDB4"/>
            <w:noWrap/>
            <w:vAlign w:val="bottom"/>
            <w:hideMark/>
          </w:tcPr>
          <w:p w14:paraId="4B08EF94"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0.03</w:t>
            </w:r>
          </w:p>
        </w:tc>
        <w:tc>
          <w:tcPr>
            <w:tcW w:w="1227" w:type="dxa"/>
            <w:tcBorders>
              <w:top w:val="nil"/>
              <w:left w:val="nil"/>
              <w:bottom w:val="nil"/>
              <w:right w:val="nil"/>
            </w:tcBorders>
            <w:shd w:val="clear" w:color="000000" w:fill="D5CDB6"/>
            <w:noWrap/>
            <w:vAlign w:val="bottom"/>
            <w:hideMark/>
          </w:tcPr>
          <w:p w14:paraId="30DBCD1E"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0.02</w:t>
            </w:r>
          </w:p>
        </w:tc>
        <w:tc>
          <w:tcPr>
            <w:tcW w:w="1227" w:type="dxa"/>
            <w:tcBorders>
              <w:top w:val="nil"/>
              <w:left w:val="nil"/>
              <w:bottom w:val="nil"/>
              <w:right w:val="nil"/>
            </w:tcBorders>
            <w:shd w:val="clear" w:color="000000" w:fill="D2CEC3"/>
            <w:noWrap/>
            <w:vAlign w:val="bottom"/>
            <w:hideMark/>
          </w:tcPr>
          <w:p w14:paraId="7B58D541"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0.01</w:t>
            </w:r>
          </w:p>
        </w:tc>
        <w:tc>
          <w:tcPr>
            <w:tcW w:w="1227" w:type="dxa"/>
            <w:tcBorders>
              <w:top w:val="nil"/>
              <w:left w:val="nil"/>
              <w:bottom w:val="nil"/>
              <w:right w:val="nil"/>
            </w:tcBorders>
            <w:shd w:val="clear" w:color="000000" w:fill="DBCB9A"/>
            <w:noWrap/>
            <w:vAlign w:val="bottom"/>
            <w:hideMark/>
          </w:tcPr>
          <w:p w14:paraId="19FA2B42"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0.05</w:t>
            </w:r>
          </w:p>
        </w:tc>
        <w:tc>
          <w:tcPr>
            <w:tcW w:w="1227" w:type="dxa"/>
            <w:tcBorders>
              <w:top w:val="nil"/>
              <w:left w:val="nil"/>
              <w:bottom w:val="nil"/>
              <w:right w:val="nil"/>
            </w:tcBorders>
            <w:shd w:val="clear" w:color="000000" w:fill="DFCA89"/>
            <w:noWrap/>
            <w:vAlign w:val="bottom"/>
            <w:hideMark/>
          </w:tcPr>
          <w:p w14:paraId="2D5A3435"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0.07</w:t>
            </w:r>
          </w:p>
        </w:tc>
        <w:tc>
          <w:tcPr>
            <w:tcW w:w="1227" w:type="dxa"/>
            <w:tcBorders>
              <w:top w:val="nil"/>
              <w:left w:val="nil"/>
              <w:bottom w:val="nil"/>
              <w:right w:val="nil"/>
            </w:tcBorders>
            <w:shd w:val="clear" w:color="000000" w:fill="FF6E00"/>
            <w:noWrap/>
            <w:vAlign w:val="bottom"/>
            <w:hideMark/>
          </w:tcPr>
          <w:p w14:paraId="789195B0"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2.22</w:t>
            </w:r>
          </w:p>
        </w:tc>
      </w:tr>
      <w:tr w:rsidR="00032304" w:rsidRPr="00D151E4" w14:paraId="4AB2D788" w14:textId="77777777" w:rsidTr="00221CD1">
        <w:trPr>
          <w:trHeight w:val="315"/>
        </w:trPr>
        <w:tc>
          <w:tcPr>
            <w:tcW w:w="1998" w:type="dxa"/>
            <w:tcBorders>
              <w:top w:val="nil"/>
              <w:left w:val="nil"/>
              <w:bottom w:val="nil"/>
              <w:right w:val="nil"/>
            </w:tcBorders>
            <w:shd w:val="clear" w:color="auto" w:fill="auto"/>
            <w:noWrap/>
            <w:vAlign w:val="bottom"/>
            <w:hideMark/>
          </w:tcPr>
          <w:p w14:paraId="222585DC" w14:textId="77777777" w:rsidR="00032304" w:rsidRPr="00D151E4" w:rsidRDefault="00032304" w:rsidP="00221CD1">
            <w:pPr>
              <w:spacing w:line="240" w:lineRule="auto"/>
              <w:rPr>
                <w:rFonts w:eastAsia="Times New Roman"/>
                <w:color w:val="000000"/>
                <w:sz w:val="16"/>
                <w:szCs w:val="16"/>
                <w:lang w:val="en-US"/>
              </w:rPr>
            </w:pPr>
            <w:r w:rsidRPr="00D151E4">
              <w:rPr>
                <w:rFonts w:eastAsia="Times New Roman"/>
                <w:color w:val="000000"/>
                <w:sz w:val="16"/>
                <w:szCs w:val="16"/>
                <w:lang w:val="en-US"/>
              </w:rPr>
              <w:t>candidatus solibacter</w:t>
            </w:r>
          </w:p>
        </w:tc>
        <w:tc>
          <w:tcPr>
            <w:tcW w:w="1227" w:type="dxa"/>
            <w:tcBorders>
              <w:top w:val="nil"/>
              <w:left w:val="nil"/>
              <w:bottom w:val="nil"/>
              <w:right w:val="nil"/>
            </w:tcBorders>
            <w:shd w:val="clear" w:color="000000" w:fill="D2CEC3"/>
            <w:noWrap/>
            <w:vAlign w:val="bottom"/>
            <w:hideMark/>
          </w:tcPr>
          <w:p w14:paraId="148D1234"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0.01</w:t>
            </w:r>
          </w:p>
        </w:tc>
        <w:tc>
          <w:tcPr>
            <w:tcW w:w="1227" w:type="dxa"/>
            <w:tcBorders>
              <w:top w:val="nil"/>
              <w:left w:val="nil"/>
              <w:bottom w:val="nil"/>
              <w:right w:val="nil"/>
            </w:tcBorders>
            <w:shd w:val="clear" w:color="000000" w:fill="D2CEC2"/>
            <w:noWrap/>
            <w:vAlign w:val="bottom"/>
            <w:hideMark/>
          </w:tcPr>
          <w:p w14:paraId="03002119"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0.01</w:t>
            </w:r>
          </w:p>
        </w:tc>
        <w:tc>
          <w:tcPr>
            <w:tcW w:w="1227" w:type="dxa"/>
            <w:tcBorders>
              <w:top w:val="nil"/>
              <w:left w:val="nil"/>
              <w:bottom w:val="nil"/>
              <w:right w:val="nil"/>
            </w:tcBorders>
            <w:shd w:val="clear" w:color="000000" w:fill="D3CDBF"/>
            <w:noWrap/>
            <w:vAlign w:val="bottom"/>
            <w:hideMark/>
          </w:tcPr>
          <w:p w14:paraId="37026525"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0.02</w:t>
            </w:r>
          </w:p>
        </w:tc>
        <w:tc>
          <w:tcPr>
            <w:tcW w:w="1227" w:type="dxa"/>
            <w:tcBorders>
              <w:top w:val="nil"/>
              <w:left w:val="nil"/>
              <w:bottom w:val="nil"/>
              <w:right w:val="nil"/>
            </w:tcBorders>
            <w:shd w:val="clear" w:color="000000" w:fill="D4CDBC"/>
            <w:noWrap/>
            <w:vAlign w:val="bottom"/>
            <w:hideMark/>
          </w:tcPr>
          <w:p w14:paraId="71EF0499"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0.02</w:t>
            </w:r>
          </w:p>
        </w:tc>
        <w:tc>
          <w:tcPr>
            <w:tcW w:w="1227" w:type="dxa"/>
            <w:tcBorders>
              <w:top w:val="nil"/>
              <w:left w:val="nil"/>
              <w:bottom w:val="nil"/>
              <w:right w:val="nil"/>
            </w:tcBorders>
            <w:shd w:val="clear" w:color="000000" w:fill="D4CDBA"/>
            <w:noWrap/>
            <w:vAlign w:val="bottom"/>
            <w:hideMark/>
          </w:tcPr>
          <w:p w14:paraId="79904F59"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0.02</w:t>
            </w:r>
          </w:p>
        </w:tc>
        <w:tc>
          <w:tcPr>
            <w:tcW w:w="1227" w:type="dxa"/>
            <w:tcBorders>
              <w:top w:val="nil"/>
              <w:left w:val="nil"/>
              <w:bottom w:val="nil"/>
              <w:right w:val="nil"/>
            </w:tcBorders>
            <w:shd w:val="clear" w:color="000000" w:fill="FF6F00"/>
            <w:noWrap/>
            <w:vAlign w:val="bottom"/>
            <w:hideMark/>
          </w:tcPr>
          <w:p w14:paraId="30410D95"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2.19</w:t>
            </w:r>
          </w:p>
        </w:tc>
      </w:tr>
      <w:tr w:rsidR="00032304" w:rsidRPr="00D151E4" w14:paraId="22280AC8" w14:textId="77777777" w:rsidTr="00221CD1">
        <w:trPr>
          <w:trHeight w:val="315"/>
        </w:trPr>
        <w:tc>
          <w:tcPr>
            <w:tcW w:w="1998" w:type="dxa"/>
            <w:tcBorders>
              <w:top w:val="nil"/>
              <w:left w:val="nil"/>
              <w:bottom w:val="nil"/>
              <w:right w:val="nil"/>
            </w:tcBorders>
            <w:shd w:val="clear" w:color="auto" w:fill="auto"/>
            <w:noWrap/>
            <w:vAlign w:val="bottom"/>
            <w:hideMark/>
          </w:tcPr>
          <w:p w14:paraId="4A036468" w14:textId="77777777" w:rsidR="00032304" w:rsidRPr="00D151E4" w:rsidRDefault="00032304" w:rsidP="00221CD1">
            <w:pPr>
              <w:spacing w:line="240" w:lineRule="auto"/>
              <w:rPr>
                <w:rFonts w:eastAsia="Times New Roman"/>
                <w:color w:val="000000"/>
                <w:sz w:val="16"/>
                <w:szCs w:val="16"/>
                <w:lang w:val="en-US"/>
              </w:rPr>
            </w:pPr>
            <w:r w:rsidRPr="00D151E4">
              <w:rPr>
                <w:rFonts w:eastAsia="Times New Roman"/>
                <w:color w:val="000000"/>
                <w:sz w:val="16"/>
                <w:szCs w:val="16"/>
                <w:lang w:val="en-US"/>
              </w:rPr>
              <w:t>stella</w:t>
            </w:r>
          </w:p>
        </w:tc>
        <w:tc>
          <w:tcPr>
            <w:tcW w:w="1227" w:type="dxa"/>
            <w:tcBorders>
              <w:top w:val="nil"/>
              <w:left w:val="nil"/>
              <w:bottom w:val="nil"/>
              <w:right w:val="nil"/>
            </w:tcBorders>
            <w:shd w:val="clear" w:color="000000" w:fill="D7CCB0"/>
            <w:noWrap/>
            <w:vAlign w:val="bottom"/>
            <w:hideMark/>
          </w:tcPr>
          <w:p w14:paraId="7F2FC81D"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0.03</w:t>
            </w:r>
          </w:p>
        </w:tc>
        <w:tc>
          <w:tcPr>
            <w:tcW w:w="1227" w:type="dxa"/>
            <w:tcBorders>
              <w:top w:val="nil"/>
              <w:left w:val="nil"/>
              <w:bottom w:val="nil"/>
              <w:right w:val="nil"/>
            </w:tcBorders>
            <w:shd w:val="clear" w:color="000000" w:fill="D3CDBE"/>
            <w:noWrap/>
            <w:vAlign w:val="bottom"/>
            <w:hideMark/>
          </w:tcPr>
          <w:p w14:paraId="671CF4AC"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0.02</w:t>
            </w:r>
          </w:p>
        </w:tc>
        <w:tc>
          <w:tcPr>
            <w:tcW w:w="1227" w:type="dxa"/>
            <w:tcBorders>
              <w:top w:val="nil"/>
              <w:left w:val="nil"/>
              <w:bottom w:val="nil"/>
              <w:right w:val="nil"/>
            </w:tcBorders>
            <w:shd w:val="clear" w:color="000000" w:fill="D2CEC3"/>
            <w:noWrap/>
            <w:vAlign w:val="bottom"/>
            <w:hideMark/>
          </w:tcPr>
          <w:p w14:paraId="5CE3594D"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0.01</w:t>
            </w:r>
          </w:p>
        </w:tc>
        <w:tc>
          <w:tcPr>
            <w:tcW w:w="1227" w:type="dxa"/>
            <w:tcBorders>
              <w:top w:val="nil"/>
              <w:left w:val="nil"/>
              <w:bottom w:val="nil"/>
              <w:right w:val="nil"/>
            </w:tcBorders>
            <w:shd w:val="clear" w:color="000000" w:fill="D3CDC0"/>
            <w:noWrap/>
            <w:vAlign w:val="bottom"/>
            <w:hideMark/>
          </w:tcPr>
          <w:p w14:paraId="18E5D19E"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0.01</w:t>
            </w:r>
          </w:p>
        </w:tc>
        <w:tc>
          <w:tcPr>
            <w:tcW w:w="1227" w:type="dxa"/>
            <w:tcBorders>
              <w:top w:val="nil"/>
              <w:left w:val="nil"/>
              <w:bottom w:val="nil"/>
              <w:right w:val="nil"/>
            </w:tcBorders>
            <w:shd w:val="clear" w:color="000000" w:fill="D2CEC2"/>
            <w:noWrap/>
            <w:vAlign w:val="bottom"/>
            <w:hideMark/>
          </w:tcPr>
          <w:p w14:paraId="43A74A6D"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0.01</w:t>
            </w:r>
          </w:p>
        </w:tc>
        <w:tc>
          <w:tcPr>
            <w:tcW w:w="1227" w:type="dxa"/>
            <w:tcBorders>
              <w:top w:val="nil"/>
              <w:left w:val="nil"/>
              <w:bottom w:val="nil"/>
              <w:right w:val="nil"/>
            </w:tcBorders>
            <w:shd w:val="clear" w:color="000000" w:fill="FF8C00"/>
            <w:noWrap/>
            <w:vAlign w:val="bottom"/>
            <w:hideMark/>
          </w:tcPr>
          <w:p w14:paraId="03DF2200"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1.49</w:t>
            </w:r>
          </w:p>
        </w:tc>
      </w:tr>
      <w:tr w:rsidR="00032304" w:rsidRPr="00D151E4" w14:paraId="055A206A" w14:textId="77777777" w:rsidTr="00221CD1">
        <w:trPr>
          <w:trHeight w:val="315"/>
        </w:trPr>
        <w:tc>
          <w:tcPr>
            <w:tcW w:w="1998" w:type="dxa"/>
            <w:tcBorders>
              <w:top w:val="nil"/>
              <w:left w:val="nil"/>
              <w:bottom w:val="nil"/>
              <w:right w:val="nil"/>
            </w:tcBorders>
            <w:shd w:val="clear" w:color="auto" w:fill="auto"/>
            <w:noWrap/>
            <w:vAlign w:val="bottom"/>
            <w:hideMark/>
          </w:tcPr>
          <w:p w14:paraId="753257A5" w14:textId="77777777" w:rsidR="00032304" w:rsidRPr="00D151E4" w:rsidRDefault="00032304" w:rsidP="00221CD1">
            <w:pPr>
              <w:spacing w:line="240" w:lineRule="auto"/>
              <w:rPr>
                <w:rFonts w:eastAsia="Times New Roman"/>
                <w:color w:val="000000"/>
                <w:sz w:val="16"/>
                <w:szCs w:val="16"/>
                <w:lang w:val="en-US"/>
              </w:rPr>
            </w:pPr>
            <w:r w:rsidRPr="00D151E4">
              <w:rPr>
                <w:rFonts w:eastAsia="Times New Roman"/>
                <w:color w:val="000000"/>
                <w:sz w:val="16"/>
                <w:szCs w:val="16"/>
                <w:lang w:val="en-US"/>
              </w:rPr>
              <w:t>nitrosovibrio</w:t>
            </w:r>
          </w:p>
        </w:tc>
        <w:tc>
          <w:tcPr>
            <w:tcW w:w="1227" w:type="dxa"/>
            <w:tcBorders>
              <w:top w:val="nil"/>
              <w:left w:val="nil"/>
              <w:bottom w:val="nil"/>
              <w:right w:val="nil"/>
            </w:tcBorders>
            <w:shd w:val="clear" w:color="000000" w:fill="D1CEC7"/>
            <w:noWrap/>
            <w:vAlign w:val="bottom"/>
            <w:hideMark/>
          </w:tcPr>
          <w:p w14:paraId="27594F9A"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0.01</w:t>
            </w:r>
          </w:p>
        </w:tc>
        <w:tc>
          <w:tcPr>
            <w:tcW w:w="1227" w:type="dxa"/>
            <w:tcBorders>
              <w:top w:val="nil"/>
              <w:left w:val="nil"/>
              <w:bottom w:val="nil"/>
              <w:right w:val="nil"/>
            </w:tcBorders>
            <w:shd w:val="clear" w:color="000000" w:fill="D3CDBE"/>
            <w:noWrap/>
            <w:vAlign w:val="bottom"/>
            <w:hideMark/>
          </w:tcPr>
          <w:p w14:paraId="284F87C3"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0.02</w:t>
            </w:r>
          </w:p>
        </w:tc>
        <w:tc>
          <w:tcPr>
            <w:tcW w:w="1227" w:type="dxa"/>
            <w:tcBorders>
              <w:top w:val="nil"/>
              <w:left w:val="nil"/>
              <w:bottom w:val="nil"/>
              <w:right w:val="nil"/>
            </w:tcBorders>
            <w:shd w:val="clear" w:color="000000" w:fill="D2CEC3"/>
            <w:noWrap/>
            <w:vAlign w:val="bottom"/>
            <w:hideMark/>
          </w:tcPr>
          <w:p w14:paraId="0E17FBE4"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0.01</w:t>
            </w:r>
          </w:p>
        </w:tc>
        <w:tc>
          <w:tcPr>
            <w:tcW w:w="1227" w:type="dxa"/>
            <w:tcBorders>
              <w:top w:val="nil"/>
              <w:left w:val="nil"/>
              <w:bottom w:val="nil"/>
              <w:right w:val="nil"/>
            </w:tcBorders>
            <w:shd w:val="clear" w:color="000000" w:fill="D0CECB"/>
            <w:noWrap/>
            <w:vAlign w:val="bottom"/>
            <w:hideMark/>
          </w:tcPr>
          <w:p w14:paraId="49270835"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0.00</w:t>
            </w:r>
          </w:p>
        </w:tc>
        <w:tc>
          <w:tcPr>
            <w:tcW w:w="1227" w:type="dxa"/>
            <w:tcBorders>
              <w:top w:val="nil"/>
              <w:left w:val="nil"/>
              <w:bottom w:val="nil"/>
              <w:right w:val="nil"/>
            </w:tcBorders>
            <w:shd w:val="clear" w:color="000000" w:fill="D0CECA"/>
            <w:noWrap/>
            <w:vAlign w:val="bottom"/>
            <w:hideMark/>
          </w:tcPr>
          <w:p w14:paraId="7972C3CC"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0.00</w:t>
            </w:r>
          </w:p>
        </w:tc>
        <w:tc>
          <w:tcPr>
            <w:tcW w:w="1227" w:type="dxa"/>
            <w:tcBorders>
              <w:top w:val="nil"/>
              <w:left w:val="nil"/>
              <w:bottom w:val="nil"/>
              <w:right w:val="nil"/>
            </w:tcBorders>
            <w:shd w:val="clear" w:color="000000" w:fill="FF8D00"/>
            <w:noWrap/>
            <w:vAlign w:val="bottom"/>
            <w:hideMark/>
          </w:tcPr>
          <w:p w14:paraId="42CE748D"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1.48</w:t>
            </w:r>
          </w:p>
        </w:tc>
      </w:tr>
      <w:tr w:rsidR="00032304" w:rsidRPr="00D151E4" w14:paraId="1804D93D" w14:textId="77777777" w:rsidTr="00221CD1">
        <w:trPr>
          <w:trHeight w:val="315"/>
        </w:trPr>
        <w:tc>
          <w:tcPr>
            <w:tcW w:w="1998" w:type="dxa"/>
            <w:tcBorders>
              <w:top w:val="nil"/>
              <w:left w:val="nil"/>
              <w:bottom w:val="nil"/>
              <w:right w:val="nil"/>
            </w:tcBorders>
            <w:shd w:val="clear" w:color="auto" w:fill="auto"/>
            <w:noWrap/>
            <w:vAlign w:val="bottom"/>
            <w:hideMark/>
          </w:tcPr>
          <w:p w14:paraId="6D9A3827" w14:textId="77777777" w:rsidR="00032304" w:rsidRPr="00D151E4" w:rsidRDefault="00032304" w:rsidP="00221CD1">
            <w:pPr>
              <w:spacing w:line="240" w:lineRule="auto"/>
              <w:rPr>
                <w:rFonts w:eastAsia="Times New Roman"/>
                <w:color w:val="000000"/>
                <w:sz w:val="16"/>
                <w:szCs w:val="16"/>
                <w:lang w:val="en-US"/>
              </w:rPr>
            </w:pPr>
            <w:r w:rsidRPr="00D151E4">
              <w:rPr>
                <w:rFonts w:eastAsia="Times New Roman"/>
                <w:color w:val="000000"/>
                <w:sz w:val="16"/>
                <w:szCs w:val="16"/>
                <w:lang w:val="en-US"/>
              </w:rPr>
              <w:t>candidatus koribacter</w:t>
            </w:r>
          </w:p>
        </w:tc>
        <w:tc>
          <w:tcPr>
            <w:tcW w:w="1227" w:type="dxa"/>
            <w:tcBorders>
              <w:top w:val="nil"/>
              <w:left w:val="nil"/>
              <w:bottom w:val="nil"/>
              <w:right w:val="nil"/>
            </w:tcBorders>
            <w:shd w:val="clear" w:color="000000" w:fill="D2CEC3"/>
            <w:noWrap/>
            <w:vAlign w:val="bottom"/>
            <w:hideMark/>
          </w:tcPr>
          <w:p w14:paraId="50693278"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0.01</w:t>
            </w:r>
          </w:p>
        </w:tc>
        <w:tc>
          <w:tcPr>
            <w:tcW w:w="1227" w:type="dxa"/>
            <w:tcBorders>
              <w:top w:val="nil"/>
              <w:left w:val="nil"/>
              <w:bottom w:val="nil"/>
              <w:right w:val="nil"/>
            </w:tcBorders>
            <w:shd w:val="clear" w:color="000000" w:fill="D1CEC6"/>
            <w:noWrap/>
            <w:vAlign w:val="bottom"/>
            <w:hideMark/>
          </w:tcPr>
          <w:p w14:paraId="6EC1FAA3"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0.01</w:t>
            </w:r>
          </w:p>
        </w:tc>
        <w:tc>
          <w:tcPr>
            <w:tcW w:w="1227" w:type="dxa"/>
            <w:tcBorders>
              <w:top w:val="nil"/>
              <w:left w:val="nil"/>
              <w:bottom w:val="nil"/>
              <w:right w:val="nil"/>
            </w:tcBorders>
            <w:shd w:val="clear" w:color="000000" w:fill="D0CECB"/>
            <w:noWrap/>
            <w:vAlign w:val="bottom"/>
            <w:hideMark/>
          </w:tcPr>
          <w:p w14:paraId="22B91F46"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0.00</w:t>
            </w:r>
          </w:p>
        </w:tc>
        <w:tc>
          <w:tcPr>
            <w:tcW w:w="1227" w:type="dxa"/>
            <w:tcBorders>
              <w:top w:val="nil"/>
              <w:left w:val="nil"/>
              <w:bottom w:val="nil"/>
              <w:right w:val="nil"/>
            </w:tcBorders>
            <w:shd w:val="clear" w:color="000000" w:fill="D0CECB"/>
            <w:noWrap/>
            <w:vAlign w:val="bottom"/>
            <w:hideMark/>
          </w:tcPr>
          <w:p w14:paraId="32F1952D"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0.00</w:t>
            </w:r>
          </w:p>
        </w:tc>
        <w:tc>
          <w:tcPr>
            <w:tcW w:w="1227" w:type="dxa"/>
            <w:tcBorders>
              <w:top w:val="nil"/>
              <w:left w:val="nil"/>
              <w:bottom w:val="nil"/>
              <w:right w:val="nil"/>
            </w:tcBorders>
            <w:shd w:val="clear" w:color="000000" w:fill="D2CEC2"/>
            <w:noWrap/>
            <w:vAlign w:val="bottom"/>
            <w:hideMark/>
          </w:tcPr>
          <w:p w14:paraId="78F4A387"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0.01</w:t>
            </w:r>
          </w:p>
        </w:tc>
        <w:tc>
          <w:tcPr>
            <w:tcW w:w="1227" w:type="dxa"/>
            <w:tcBorders>
              <w:top w:val="nil"/>
              <w:left w:val="nil"/>
              <w:bottom w:val="nil"/>
              <w:right w:val="nil"/>
            </w:tcBorders>
            <w:shd w:val="clear" w:color="000000" w:fill="FF9200"/>
            <w:noWrap/>
            <w:vAlign w:val="bottom"/>
            <w:hideMark/>
          </w:tcPr>
          <w:p w14:paraId="5C327D7C"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1.33</w:t>
            </w:r>
          </w:p>
        </w:tc>
      </w:tr>
      <w:tr w:rsidR="00032304" w:rsidRPr="00D151E4" w14:paraId="60B13A8C" w14:textId="77777777" w:rsidTr="00221CD1">
        <w:trPr>
          <w:trHeight w:val="315"/>
        </w:trPr>
        <w:tc>
          <w:tcPr>
            <w:tcW w:w="1998" w:type="dxa"/>
            <w:tcBorders>
              <w:top w:val="nil"/>
              <w:left w:val="nil"/>
              <w:bottom w:val="nil"/>
              <w:right w:val="nil"/>
            </w:tcBorders>
            <w:shd w:val="clear" w:color="auto" w:fill="auto"/>
            <w:noWrap/>
            <w:vAlign w:val="bottom"/>
            <w:hideMark/>
          </w:tcPr>
          <w:p w14:paraId="0D0EAED0" w14:textId="77777777" w:rsidR="00032304" w:rsidRPr="00D151E4" w:rsidRDefault="00032304" w:rsidP="00221CD1">
            <w:pPr>
              <w:spacing w:line="240" w:lineRule="auto"/>
              <w:rPr>
                <w:rFonts w:eastAsia="Times New Roman"/>
                <w:color w:val="000000"/>
                <w:sz w:val="16"/>
                <w:szCs w:val="16"/>
                <w:lang w:val="en-US"/>
              </w:rPr>
            </w:pPr>
            <w:r w:rsidRPr="00D151E4">
              <w:rPr>
                <w:rFonts w:eastAsia="Times New Roman"/>
                <w:color w:val="000000"/>
                <w:sz w:val="16"/>
                <w:szCs w:val="16"/>
                <w:lang w:val="en-US"/>
              </w:rPr>
              <w:t>candidatus koribacter</w:t>
            </w:r>
          </w:p>
        </w:tc>
        <w:tc>
          <w:tcPr>
            <w:tcW w:w="1227" w:type="dxa"/>
            <w:tcBorders>
              <w:top w:val="nil"/>
              <w:left w:val="nil"/>
              <w:bottom w:val="nil"/>
              <w:right w:val="nil"/>
            </w:tcBorders>
            <w:shd w:val="clear" w:color="000000" w:fill="D2CEC3"/>
            <w:noWrap/>
            <w:vAlign w:val="bottom"/>
            <w:hideMark/>
          </w:tcPr>
          <w:p w14:paraId="07551724"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0.01</w:t>
            </w:r>
          </w:p>
        </w:tc>
        <w:tc>
          <w:tcPr>
            <w:tcW w:w="1227" w:type="dxa"/>
            <w:tcBorders>
              <w:top w:val="nil"/>
              <w:left w:val="nil"/>
              <w:bottom w:val="nil"/>
              <w:right w:val="nil"/>
            </w:tcBorders>
            <w:shd w:val="clear" w:color="000000" w:fill="D1CEC6"/>
            <w:noWrap/>
            <w:vAlign w:val="bottom"/>
            <w:hideMark/>
          </w:tcPr>
          <w:p w14:paraId="66656EAE"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0.01</w:t>
            </w:r>
          </w:p>
        </w:tc>
        <w:tc>
          <w:tcPr>
            <w:tcW w:w="1227" w:type="dxa"/>
            <w:tcBorders>
              <w:top w:val="nil"/>
              <w:left w:val="nil"/>
              <w:bottom w:val="nil"/>
              <w:right w:val="nil"/>
            </w:tcBorders>
            <w:shd w:val="clear" w:color="000000" w:fill="D2CEC3"/>
            <w:noWrap/>
            <w:vAlign w:val="bottom"/>
            <w:hideMark/>
          </w:tcPr>
          <w:p w14:paraId="5C5408AA"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0.01</w:t>
            </w:r>
          </w:p>
        </w:tc>
        <w:tc>
          <w:tcPr>
            <w:tcW w:w="1227" w:type="dxa"/>
            <w:tcBorders>
              <w:top w:val="nil"/>
              <w:left w:val="nil"/>
              <w:bottom w:val="nil"/>
              <w:right w:val="nil"/>
            </w:tcBorders>
            <w:shd w:val="clear" w:color="000000" w:fill="D0CECB"/>
            <w:noWrap/>
            <w:vAlign w:val="bottom"/>
            <w:hideMark/>
          </w:tcPr>
          <w:p w14:paraId="1EDD3A7A"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0.00</w:t>
            </w:r>
          </w:p>
        </w:tc>
        <w:tc>
          <w:tcPr>
            <w:tcW w:w="1227" w:type="dxa"/>
            <w:tcBorders>
              <w:top w:val="nil"/>
              <w:left w:val="nil"/>
              <w:bottom w:val="nil"/>
              <w:right w:val="nil"/>
            </w:tcBorders>
            <w:shd w:val="clear" w:color="000000" w:fill="D0CECA"/>
            <w:noWrap/>
            <w:vAlign w:val="bottom"/>
            <w:hideMark/>
          </w:tcPr>
          <w:p w14:paraId="28191032"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0.00</w:t>
            </w:r>
          </w:p>
        </w:tc>
        <w:tc>
          <w:tcPr>
            <w:tcW w:w="1227" w:type="dxa"/>
            <w:tcBorders>
              <w:top w:val="nil"/>
              <w:left w:val="nil"/>
              <w:bottom w:val="nil"/>
              <w:right w:val="nil"/>
            </w:tcBorders>
            <w:shd w:val="clear" w:color="000000" w:fill="FF9300"/>
            <w:noWrap/>
            <w:vAlign w:val="bottom"/>
            <w:hideMark/>
          </w:tcPr>
          <w:p w14:paraId="648F18A4"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1.32</w:t>
            </w:r>
          </w:p>
        </w:tc>
      </w:tr>
      <w:tr w:rsidR="00032304" w:rsidRPr="00D151E4" w14:paraId="028DB7B6" w14:textId="77777777" w:rsidTr="00221CD1">
        <w:trPr>
          <w:trHeight w:val="315"/>
        </w:trPr>
        <w:tc>
          <w:tcPr>
            <w:tcW w:w="1998" w:type="dxa"/>
            <w:tcBorders>
              <w:top w:val="nil"/>
              <w:left w:val="nil"/>
              <w:bottom w:val="nil"/>
              <w:right w:val="nil"/>
            </w:tcBorders>
            <w:shd w:val="clear" w:color="auto" w:fill="auto"/>
            <w:noWrap/>
            <w:vAlign w:val="bottom"/>
            <w:hideMark/>
          </w:tcPr>
          <w:p w14:paraId="0A1FE714" w14:textId="77777777" w:rsidR="00032304" w:rsidRPr="00D151E4" w:rsidRDefault="00032304" w:rsidP="00221CD1">
            <w:pPr>
              <w:spacing w:line="240" w:lineRule="auto"/>
              <w:rPr>
                <w:rFonts w:eastAsia="Times New Roman"/>
                <w:color w:val="000000"/>
                <w:sz w:val="16"/>
                <w:szCs w:val="16"/>
                <w:lang w:val="en-US"/>
              </w:rPr>
            </w:pPr>
            <w:r w:rsidRPr="00D151E4">
              <w:rPr>
                <w:rFonts w:eastAsia="Times New Roman"/>
                <w:color w:val="000000"/>
                <w:sz w:val="16"/>
                <w:szCs w:val="16"/>
                <w:lang w:val="en-US"/>
              </w:rPr>
              <w:t>candidatus koribacter</w:t>
            </w:r>
          </w:p>
        </w:tc>
        <w:tc>
          <w:tcPr>
            <w:tcW w:w="1227" w:type="dxa"/>
            <w:tcBorders>
              <w:top w:val="nil"/>
              <w:left w:val="nil"/>
              <w:bottom w:val="nil"/>
              <w:right w:val="nil"/>
            </w:tcBorders>
            <w:shd w:val="clear" w:color="000000" w:fill="D0CECB"/>
            <w:noWrap/>
            <w:vAlign w:val="bottom"/>
            <w:hideMark/>
          </w:tcPr>
          <w:p w14:paraId="04F0920E"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0.00</w:t>
            </w:r>
          </w:p>
        </w:tc>
        <w:tc>
          <w:tcPr>
            <w:tcW w:w="1227" w:type="dxa"/>
            <w:tcBorders>
              <w:top w:val="nil"/>
              <w:left w:val="nil"/>
              <w:bottom w:val="nil"/>
              <w:right w:val="nil"/>
            </w:tcBorders>
            <w:shd w:val="clear" w:color="000000" w:fill="D0CECA"/>
            <w:noWrap/>
            <w:vAlign w:val="bottom"/>
            <w:hideMark/>
          </w:tcPr>
          <w:p w14:paraId="1C1FE7DF"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0.00</w:t>
            </w:r>
          </w:p>
        </w:tc>
        <w:tc>
          <w:tcPr>
            <w:tcW w:w="1227" w:type="dxa"/>
            <w:tcBorders>
              <w:top w:val="nil"/>
              <w:left w:val="nil"/>
              <w:bottom w:val="nil"/>
              <w:right w:val="nil"/>
            </w:tcBorders>
            <w:shd w:val="clear" w:color="000000" w:fill="D2CEC3"/>
            <w:noWrap/>
            <w:vAlign w:val="bottom"/>
            <w:hideMark/>
          </w:tcPr>
          <w:p w14:paraId="0F0F261D"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0.01</w:t>
            </w:r>
          </w:p>
        </w:tc>
        <w:tc>
          <w:tcPr>
            <w:tcW w:w="1227" w:type="dxa"/>
            <w:tcBorders>
              <w:top w:val="nil"/>
              <w:left w:val="nil"/>
              <w:bottom w:val="nil"/>
              <w:right w:val="nil"/>
            </w:tcBorders>
            <w:shd w:val="clear" w:color="000000" w:fill="D0CECE"/>
            <w:noWrap/>
            <w:vAlign w:val="bottom"/>
            <w:hideMark/>
          </w:tcPr>
          <w:p w14:paraId="5335E0AE"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0.00</w:t>
            </w:r>
          </w:p>
        </w:tc>
        <w:tc>
          <w:tcPr>
            <w:tcW w:w="1227" w:type="dxa"/>
            <w:tcBorders>
              <w:top w:val="nil"/>
              <w:left w:val="nil"/>
              <w:bottom w:val="nil"/>
              <w:right w:val="nil"/>
            </w:tcBorders>
            <w:shd w:val="clear" w:color="000000" w:fill="D2CEC2"/>
            <w:noWrap/>
            <w:vAlign w:val="bottom"/>
            <w:hideMark/>
          </w:tcPr>
          <w:p w14:paraId="54F94B40"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0.01</w:t>
            </w:r>
          </w:p>
        </w:tc>
        <w:tc>
          <w:tcPr>
            <w:tcW w:w="1227" w:type="dxa"/>
            <w:tcBorders>
              <w:top w:val="nil"/>
              <w:left w:val="nil"/>
              <w:bottom w:val="nil"/>
              <w:right w:val="nil"/>
            </w:tcBorders>
            <w:shd w:val="clear" w:color="000000" w:fill="FF9C00"/>
            <w:noWrap/>
            <w:vAlign w:val="bottom"/>
            <w:hideMark/>
          </w:tcPr>
          <w:p w14:paraId="7AC8C07F"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1.09</w:t>
            </w:r>
          </w:p>
        </w:tc>
      </w:tr>
      <w:tr w:rsidR="00032304" w:rsidRPr="00D151E4" w14:paraId="59ED1D6C" w14:textId="77777777" w:rsidTr="00221CD1">
        <w:trPr>
          <w:trHeight w:val="315"/>
        </w:trPr>
        <w:tc>
          <w:tcPr>
            <w:tcW w:w="1998" w:type="dxa"/>
            <w:tcBorders>
              <w:top w:val="nil"/>
              <w:left w:val="nil"/>
              <w:bottom w:val="nil"/>
              <w:right w:val="nil"/>
            </w:tcBorders>
            <w:shd w:val="clear" w:color="auto" w:fill="auto"/>
            <w:noWrap/>
            <w:vAlign w:val="bottom"/>
            <w:hideMark/>
          </w:tcPr>
          <w:p w14:paraId="11CD6011" w14:textId="77777777" w:rsidR="00032304" w:rsidRPr="00D151E4" w:rsidRDefault="00032304" w:rsidP="00221CD1">
            <w:pPr>
              <w:spacing w:line="240" w:lineRule="auto"/>
              <w:rPr>
                <w:rFonts w:eastAsia="Times New Roman"/>
                <w:color w:val="000000"/>
                <w:sz w:val="16"/>
                <w:szCs w:val="16"/>
                <w:lang w:val="en-US"/>
              </w:rPr>
            </w:pPr>
            <w:r w:rsidRPr="00D151E4">
              <w:rPr>
                <w:rFonts w:eastAsia="Times New Roman"/>
                <w:color w:val="000000"/>
                <w:sz w:val="16"/>
                <w:szCs w:val="16"/>
                <w:lang w:val="en-US"/>
              </w:rPr>
              <w:t>rhodoplanes</w:t>
            </w:r>
          </w:p>
        </w:tc>
        <w:tc>
          <w:tcPr>
            <w:tcW w:w="1227" w:type="dxa"/>
            <w:tcBorders>
              <w:top w:val="nil"/>
              <w:left w:val="nil"/>
              <w:bottom w:val="nil"/>
              <w:right w:val="nil"/>
            </w:tcBorders>
            <w:shd w:val="clear" w:color="000000" w:fill="ECC654"/>
            <w:noWrap/>
            <w:vAlign w:val="bottom"/>
            <w:hideMark/>
          </w:tcPr>
          <w:p w14:paraId="0EEB2055"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0.12</w:t>
            </w:r>
          </w:p>
        </w:tc>
        <w:tc>
          <w:tcPr>
            <w:tcW w:w="1227" w:type="dxa"/>
            <w:tcBorders>
              <w:top w:val="nil"/>
              <w:left w:val="nil"/>
              <w:bottom w:val="nil"/>
              <w:right w:val="nil"/>
            </w:tcBorders>
            <w:shd w:val="clear" w:color="000000" w:fill="F2C438"/>
            <w:noWrap/>
            <w:vAlign w:val="bottom"/>
            <w:hideMark/>
          </w:tcPr>
          <w:p w14:paraId="6D44112D"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0.15</w:t>
            </w:r>
          </w:p>
        </w:tc>
        <w:tc>
          <w:tcPr>
            <w:tcW w:w="1227" w:type="dxa"/>
            <w:tcBorders>
              <w:top w:val="nil"/>
              <w:left w:val="nil"/>
              <w:bottom w:val="nil"/>
              <w:right w:val="nil"/>
            </w:tcBorders>
            <w:shd w:val="clear" w:color="000000" w:fill="E8C764"/>
            <w:noWrap/>
            <w:vAlign w:val="bottom"/>
            <w:hideMark/>
          </w:tcPr>
          <w:p w14:paraId="6753E34E"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0.11</w:t>
            </w:r>
          </w:p>
        </w:tc>
        <w:tc>
          <w:tcPr>
            <w:tcW w:w="1227" w:type="dxa"/>
            <w:tcBorders>
              <w:top w:val="nil"/>
              <w:left w:val="nil"/>
              <w:bottom w:val="nil"/>
              <w:right w:val="nil"/>
            </w:tcBorders>
            <w:shd w:val="clear" w:color="000000" w:fill="E7C766"/>
            <w:noWrap/>
            <w:vAlign w:val="bottom"/>
            <w:hideMark/>
          </w:tcPr>
          <w:p w14:paraId="18442033"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0.10</w:t>
            </w:r>
          </w:p>
        </w:tc>
        <w:tc>
          <w:tcPr>
            <w:tcW w:w="1227" w:type="dxa"/>
            <w:tcBorders>
              <w:top w:val="nil"/>
              <w:left w:val="nil"/>
              <w:bottom w:val="nil"/>
              <w:right w:val="nil"/>
            </w:tcBorders>
            <w:shd w:val="clear" w:color="000000" w:fill="FCC109"/>
            <w:noWrap/>
            <w:vAlign w:val="bottom"/>
            <w:hideMark/>
          </w:tcPr>
          <w:p w14:paraId="0893F77B"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0.20</w:t>
            </w:r>
          </w:p>
        </w:tc>
        <w:tc>
          <w:tcPr>
            <w:tcW w:w="1227" w:type="dxa"/>
            <w:tcBorders>
              <w:top w:val="nil"/>
              <w:left w:val="nil"/>
              <w:bottom w:val="nil"/>
              <w:right w:val="nil"/>
            </w:tcBorders>
            <w:shd w:val="clear" w:color="000000" w:fill="FF9D00"/>
            <w:noWrap/>
            <w:vAlign w:val="bottom"/>
            <w:hideMark/>
          </w:tcPr>
          <w:p w14:paraId="2F89F0F1"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1.08</w:t>
            </w:r>
          </w:p>
        </w:tc>
      </w:tr>
      <w:tr w:rsidR="00032304" w:rsidRPr="00D151E4" w14:paraId="3E5FFF80" w14:textId="77777777" w:rsidTr="00221CD1">
        <w:trPr>
          <w:trHeight w:val="315"/>
        </w:trPr>
        <w:tc>
          <w:tcPr>
            <w:tcW w:w="1998" w:type="dxa"/>
            <w:tcBorders>
              <w:top w:val="nil"/>
              <w:left w:val="nil"/>
              <w:bottom w:val="nil"/>
              <w:right w:val="nil"/>
            </w:tcBorders>
            <w:shd w:val="clear" w:color="auto" w:fill="auto"/>
            <w:noWrap/>
            <w:vAlign w:val="bottom"/>
            <w:hideMark/>
          </w:tcPr>
          <w:p w14:paraId="788EAA32" w14:textId="77777777" w:rsidR="00032304" w:rsidRPr="00D151E4" w:rsidRDefault="00032304" w:rsidP="00221CD1">
            <w:pPr>
              <w:spacing w:line="240" w:lineRule="auto"/>
              <w:rPr>
                <w:rFonts w:eastAsia="Times New Roman"/>
                <w:color w:val="000000"/>
                <w:sz w:val="16"/>
                <w:szCs w:val="16"/>
                <w:lang w:val="en-US"/>
              </w:rPr>
            </w:pPr>
            <w:r w:rsidRPr="00D151E4">
              <w:rPr>
                <w:rFonts w:eastAsia="Times New Roman"/>
                <w:color w:val="000000"/>
                <w:sz w:val="16"/>
                <w:szCs w:val="16"/>
                <w:lang w:val="en-US"/>
              </w:rPr>
              <w:t>candidatus koribacter</w:t>
            </w:r>
          </w:p>
        </w:tc>
        <w:tc>
          <w:tcPr>
            <w:tcW w:w="1227" w:type="dxa"/>
            <w:tcBorders>
              <w:top w:val="nil"/>
              <w:left w:val="nil"/>
              <w:bottom w:val="nil"/>
              <w:right w:val="nil"/>
            </w:tcBorders>
            <w:shd w:val="clear" w:color="000000" w:fill="D3CDBF"/>
            <w:noWrap/>
            <w:vAlign w:val="bottom"/>
            <w:hideMark/>
          </w:tcPr>
          <w:p w14:paraId="14244AEF"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0.02</w:t>
            </w:r>
          </w:p>
        </w:tc>
        <w:tc>
          <w:tcPr>
            <w:tcW w:w="1227" w:type="dxa"/>
            <w:tcBorders>
              <w:top w:val="nil"/>
              <w:left w:val="nil"/>
              <w:bottom w:val="nil"/>
              <w:right w:val="nil"/>
            </w:tcBorders>
            <w:shd w:val="clear" w:color="000000" w:fill="D1CEC6"/>
            <w:noWrap/>
            <w:vAlign w:val="bottom"/>
            <w:hideMark/>
          </w:tcPr>
          <w:p w14:paraId="4F5B7596"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0.01</w:t>
            </w:r>
          </w:p>
        </w:tc>
        <w:tc>
          <w:tcPr>
            <w:tcW w:w="1227" w:type="dxa"/>
            <w:tcBorders>
              <w:top w:val="nil"/>
              <w:left w:val="nil"/>
              <w:bottom w:val="nil"/>
              <w:right w:val="nil"/>
            </w:tcBorders>
            <w:shd w:val="clear" w:color="000000" w:fill="D1CEC7"/>
            <w:noWrap/>
            <w:vAlign w:val="bottom"/>
            <w:hideMark/>
          </w:tcPr>
          <w:p w14:paraId="02BACF44"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0.01</w:t>
            </w:r>
          </w:p>
        </w:tc>
        <w:tc>
          <w:tcPr>
            <w:tcW w:w="1227" w:type="dxa"/>
            <w:tcBorders>
              <w:top w:val="nil"/>
              <w:left w:val="nil"/>
              <w:bottom w:val="nil"/>
              <w:right w:val="nil"/>
            </w:tcBorders>
            <w:shd w:val="clear" w:color="000000" w:fill="D5CDB8"/>
            <w:noWrap/>
            <w:vAlign w:val="bottom"/>
            <w:hideMark/>
          </w:tcPr>
          <w:p w14:paraId="53AE1A06"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0.02</w:t>
            </w:r>
          </w:p>
        </w:tc>
        <w:tc>
          <w:tcPr>
            <w:tcW w:w="1227" w:type="dxa"/>
            <w:tcBorders>
              <w:top w:val="nil"/>
              <w:left w:val="nil"/>
              <w:bottom w:val="nil"/>
              <w:right w:val="nil"/>
            </w:tcBorders>
            <w:shd w:val="clear" w:color="000000" w:fill="D2CEC2"/>
            <w:noWrap/>
            <w:vAlign w:val="bottom"/>
            <w:hideMark/>
          </w:tcPr>
          <w:p w14:paraId="59294C78"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0.01</w:t>
            </w:r>
          </w:p>
        </w:tc>
        <w:tc>
          <w:tcPr>
            <w:tcW w:w="1227" w:type="dxa"/>
            <w:tcBorders>
              <w:top w:val="nil"/>
              <w:left w:val="nil"/>
              <w:bottom w:val="nil"/>
              <w:right w:val="nil"/>
            </w:tcBorders>
            <w:shd w:val="clear" w:color="000000" w:fill="FF9E00"/>
            <w:noWrap/>
            <w:vAlign w:val="bottom"/>
            <w:hideMark/>
          </w:tcPr>
          <w:p w14:paraId="206784D7" w14:textId="77777777" w:rsidR="00032304" w:rsidRPr="00D151E4" w:rsidRDefault="00032304" w:rsidP="00221CD1">
            <w:pPr>
              <w:spacing w:line="240" w:lineRule="auto"/>
              <w:jc w:val="right"/>
              <w:rPr>
                <w:rFonts w:eastAsia="Times New Roman"/>
                <w:color w:val="000000"/>
                <w:sz w:val="16"/>
                <w:szCs w:val="16"/>
                <w:lang w:val="en-US"/>
              </w:rPr>
            </w:pPr>
            <w:r w:rsidRPr="00D151E4">
              <w:rPr>
                <w:rFonts w:eastAsia="Times New Roman"/>
                <w:color w:val="000000"/>
                <w:sz w:val="16"/>
                <w:szCs w:val="16"/>
                <w:lang w:val="en-US"/>
              </w:rPr>
              <w:t>1.06</w:t>
            </w:r>
          </w:p>
        </w:tc>
      </w:tr>
    </w:tbl>
    <w:p w14:paraId="03D9B1B6" w14:textId="77777777" w:rsidR="00032304" w:rsidRPr="00B11885" w:rsidRDefault="00032304" w:rsidP="00032304">
      <w:pPr>
        <w:spacing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Figure S1: </w:t>
      </w:r>
      <w:r>
        <w:rPr>
          <w:rFonts w:ascii="Times New Roman" w:eastAsia="Times New Roman" w:hAnsi="Times New Roman" w:cs="Times New Roman"/>
          <w:sz w:val="24"/>
          <w:szCs w:val="24"/>
        </w:rPr>
        <w:t xml:space="preserve">Calibration relationships between ln(Loss-on-Ignition) and both ln(Organic Carbon) (A) and ln(Soil bulk density) (B) among 15 samples representing low, high and intermediate LOI samples from each area and stratum. </w:t>
      </w:r>
    </w:p>
    <w:p w14:paraId="51834F49" w14:textId="77777777" w:rsidR="00032304" w:rsidRDefault="00032304" w:rsidP="00032304">
      <w:pPr>
        <w:spacing w:line="480" w:lineRule="auto"/>
        <w:rPr>
          <w:rFonts w:ascii="Times New Roman" w:eastAsia="Times New Roman" w:hAnsi="Times New Roman" w:cs="Times New Roman"/>
          <w:b/>
          <w:sz w:val="24"/>
          <w:szCs w:val="24"/>
        </w:rPr>
      </w:pPr>
    </w:p>
    <w:p w14:paraId="358577E4" w14:textId="77777777" w:rsidR="00032304" w:rsidRDefault="00032304" w:rsidP="00032304">
      <w:pPr>
        <w:spacing w:line="480" w:lineRule="auto"/>
        <w:rPr>
          <w:rFonts w:ascii="Times New Roman" w:eastAsia="Times New Roman" w:hAnsi="Times New Roman" w:cs="Times New Roman"/>
          <w:sz w:val="24"/>
          <w:szCs w:val="24"/>
        </w:rPr>
      </w:pPr>
      <w:r w:rsidRPr="00995A42">
        <w:rPr>
          <w:rFonts w:ascii="Times New Roman" w:eastAsia="Times New Roman" w:hAnsi="Times New Roman" w:cs="Times New Roman"/>
          <w:noProof/>
          <w:sz w:val="24"/>
          <w:szCs w:val="24"/>
          <w:lang w:val="en-US"/>
        </w:rPr>
        <w:drawing>
          <wp:inline distT="0" distB="0" distL="0" distR="0" wp14:anchorId="15C5B081" wp14:editId="5C10FE8F">
            <wp:extent cx="5783258" cy="2781300"/>
            <wp:effectExtent l="0" t="0" r="825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88374" cy="2783761"/>
                    </a:xfrm>
                    <a:prstGeom prst="rect">
                      <a:avLst/>
                    </a:prstGeom>
                    <a:noFill/>
                    <a:ln>
                      <a:noFill/>
                    </a:ln>
                  </pic:spPr>
                </pic:pic>
              </a:graphicData>
            </a:graphic>
          </wp:inline>
        </w:drawing>
      </w:r>
    </w:p>
    <w:p w14:paraId="5C552D88" w14:textId="77777777" w:rsidR="00032304" w:rsidRDefault="00032304" w:rsidP="00032304">
      <w:pPr>
        <w:spacing w:after="16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4AC0B417" w14:textId="77777777" w:rsidR="00032304" w:rsidRPr="00241C51" w:rsidRDefault="00032304" w:rsidP="00032304">
      <w:pPr>
        <w:spacing w:line="480" w:lineRule="auto"/>
        <w:rPr>
          <w:rFonts w:ascii="Times New Roman" w:eastAsia="Times New Roman" w:hAnsi="Times New Roman" w:cs="Times New Roman"/>
          <w:sz w:val="24"/>
          <w:szCs w:val="24"/>
        </w:rPr>
      </w:pPr>
      <w:r w:rsidRPr="00246B2C">
        <w:rPr>
          <w:rFonts w:ascii="Times New Roman" w:eastAsia="Times New Roman" w:hAnsi="Times New Roman" w:cs="Times New Roman"/>
          <w:b/>
          <w:sz w:val="24"/>
          <w:szCs w:val="24"/>
        </w:rPr>
        <w:t>Figure S2</w:t>
      </w:r>
      <w:r>
        <w:rPr>
          <w:rFonts w:ascii="Times New Roman" w:eastAsia="Times New Roman" w:hAnsi="Times New Roman" w:cs="Times New Roman"/>
          <w:sz w:val="24"/>
          <w:szCs w:val="24"/>
        </w:rPr>
        <w:t xml:space="preserve">: </w:t>
      </w:r>
      <w:r w:rsidRPr="00C14D16">
        <w:rPr>
          <w:rFonts w:ascii="Times New Roman" w:eastAsia="Times New Roman" w:hAnsi="Times New Roman" w:cs="Times New Roman"/>
          <w:sz w:val="24"/>
          <w:szCs w:val="24"/>
        </w:rPr>
        <w:t xml:space="preserve">Fine scale changes in soil carbon concentration over two years </w:t>
      </w:r>
      <w:r>
        <w:rPr>
          <w:rFonts w:ascii="Times New Roman" w:eastAsia="Times New Roman" w:hAnsi="Times New Roman" w:cs="Times New Roman"/>
          <w:sz w:val="24"/>
          <w:szCs w:val="24"/>
        </w:rPr>
        <w:t>in the lawn is consistent with mass balance (A) and is close to equilibrium (B</w:t>
      </w:r>
      <w:r w:rsidRPr="00C14D1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Transparent line overlay represents 1200 draws from the posterior distribution for the estimated SOC supply rate (</w:t>
      </w:r>
      <w:r>
        <w:rPr>
          <w:rFonts w:ascii="Times New Roman" w:eastAsia="Times New Roman" w:hAnsi="Times New Roman" w:cs="Times New Roman"/>
          <w:i/>
          <w:sz w:val="24"/>
          <w:szCs w:val="24"/>
        </w:rPr>
        <w:t>K</w:t>
      </w:r>
      <w:r>
        <w:rPr>
          <w:rFonts w:ascii="Times New Roman" w:eastAsia="Times New Roman" w:hAnsi="Times New Roman" w:cs="Times New Roman"/>
          <w:sz w:val="24"/>
          <w:szCs w:val="24"/>
        </w:rPr>
        <w:t>) and mineralization rate (</w:t>
      </w:r>
      <w:r w:rsidRPr="00241C51">
        <w:rPr>
          <w:rFonts w:ascii="Times New Roman" w:eastAsia="Times New Roman" w:hAnsi="Times New Roman" w:cs="Times New Roman"/>
          <w:i/>
          <w:sz w:val="24"/>
          <w:szCs w:val="24"/>
        </w:rPr>
        <w:t>α</w:t>
      </w:r>
      <w:r>
        <w:rPr>
          <w:rFonts w:ascii="Times New Roman" w:eastAsia="Times New Roman" w:hAnsi="Times New Roman" w:cs="Times New Roman"/>
          <w:sz w:val="24"/>
          <w:szCs w:val="24"/>
        </w:rPr>
        <w:t>) parameters (Eq. 1).</w:t>
      </w:r>
    </w:p>
    <w:p w14:paraId="5DC9AF98" w14:textId="77777777" w:rsidR="00032304" w:rsidRDefault="00032304" w:rsidP="00032304">
      <w:pPr>
        <w:spacing w:line="480" w:lineRule="auto"/>
        <w:rPr>
          <w:rFonts w:ascii="Times New Roman" w:eastAsia="Times New Roman" w:hAnsi="Times New Roman" w:cs="Times New Roman"/>
          <w:sz w:val="24"/>
          <w:szCs w:val="24"/>
        </w:rPr>
      </w:pPr>
    </w:p>
    <w:p w14:paraId="1D6240DF" w14:textId="77777777" w:rsidR="00032304" w:rsidRDefault="00032304" w:rsidP="00032304">
      <w:pPr>
        <w:spacing w:line="480" w:lineRule="auto"/>
        <w:rPr>
          <w:rFonts w:ascii="Times New Roman" w:eastAsia="Times New Roman" w:hAnsi="Times New Roman" w:cs="Times New Roman"/>
          <w:sz w:val="24"/>
          <w:szCs w:val="24"/>
        </w:rPr>
      </w:pPr>
      <w:r>
        <w:rPr>
          <w:noProof/>
          <w:lang w:val="en-US"/>
        </w:rPr>
        <w:drawing>
          <wp:inline distT="0" distB="0" distL="0" distR="0" wp14:anchorId="1302888C" wp14:editId="633D191B">
            <wp:extent cx="5943600" cy="3447415"/>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447415"/>
                    </a:xfrm>
                    <a:prstGeom prst="rect">
                      <a:avLst/>
                    </a:prstGeom>
                  </pic:spPr>
                </pic:pic>
              </a:graphicData>
            </a:graphic>
          </wp:inline>
        </w:drawing>
      </w:r>
    </w:p>
    <w:p w14:paraId="5D5F7F01" w14:textId="77777777" w:rsidR="00032304" w:rsidRDefault="00032304" w:rsidP="00032304">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33983AF5" w14:textId="77777777" w:rsidR="00032304" w:rsidRPr="00D427E5" w:rsidRDefault="00032304" w:rsidP="00032304">
      <w:pPr>
        <w:spacing w:line="480" w:lineRule="auto"/>
        <w:rPr>
          <w:rFonts w:ascii="Times New Roman" w:eastAsia="Times New Roman" w:hAnsi="Times New Roman" w:cs="Times New Roman"/>
          <w:b/>
          <w:sz w:val="24"/>
          <w:szCs w:val="24"/>
        </w:rPr>
      </w:pPr>
      <w:r w:rsidRPr="00D427E5">
        <w:rPr>
          <w:rFonts w:ascii="Times New Roman" w:eastAsia="Times New Roman" w:hAnsi="Times New Roman" w:cs="Times New Roman"/>
          <w:b/>
          <w:sz w:val="24"/>
          <w:szCs w:val="24"/>
        </w:rPr>
        <w:t>Supplementary Methods</w:t>
      </w:r>
    </w:p>
    <w:p w14:paraId="721A8A90" w14:textId="77777777" w:rsidR="00032304" w:rsidRPr="00C14D16" w:rsidRDefault="00032304" w:rsidP="00032304">
      <w:pPr>
        <w:spacing w:line="48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Heirarchical Bayesian Model for Soil C Sequestration</w:t>
      </w:r>
    </w:p>
    <w:p w14:paraId="7F42B40A" w14:textId="77777777" w:rsidR="00032304" w:rsidRDefault="00032304" w:rsidP="00032304">
      <w:pPr>
        <w:spacing w:line="480" w:lineRule="auto"/>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ab/>
        <w:t xml:space="preserve">To estimate OC from observed values of LOI for the 2019 sampling campaign, we applied the most adequate regression relationship in the calibration dataset. For each measurement of </w:t>
      </w:r>
      <w:r w:rsidRPr="0045150D">
        <w:rPr>
          <w:rFonts w:ascii="Times New Roman" w:eastAsia="Times New Roman" w:hAnsi="Times New Roman" w:cs="Times New Roman"/>
          <w:sz w:val="24"/>
          <w:szCs w:val="24"/>
        </w:rPr>
        <w:t>LOIc</w:t>
      </w:r>
      <w:r w:rsidRPr="00C14D16">
        <w:rPr>
          <w:rFonts w:ascii="Times New Roman" w:eastAsia="Times New Roman" w:hAnsi="Times New Roman" w:cs="Times New Roman"/>
          <w:i/>
          <w:sz w:val="24"/>
          <w:szCs w:val="24"/>
          <w:vertAlign w:val="subscript"/>
        </w:rPr>
        <w:t>i</w:t>
      </w:r>
      <w:r w:rsidRPr="00C14D16">
        <w:rPr>
          <w:rFonts w:ascii="Times New Roman" w:eastAsia="Times New Roman" w:hAnsi="Times New Roman" w:cs="Times New Roman"/>
          <w:sz w:val="24"/>
          <w:szCs w:val="24"/>
        </w:rPr>
        <w:t xml:space="preserve"> in the calibration dataset (</w:t>
      </w:r>
      <w:r w:rsidRPr="00C14D16">
        <w:rPr>
          <w:rFonts w:ascii="Times New Roman" w:eastAsia="Times New Roman" w:hAnsi="Times New Roman" w:cs="Times New Roman"/>
          <w:i/>
          <w:sz w:val="24"/>
          <w:szCs w:val="24"/>
        </w:rPr>
        <w:t>i</w:t>
      </w:r>
      <w:r w:rsidRPr="00C14D16">
        <w:rPr>
          <w:rFonts w:ascii="Times New Roman" w:eastAsia="Times New Roman" w:hAnsi="Times New Roman" w:cs="Times New Roman"/>
          <w:sz w:val="24"/>
          <w:szCs w:val="24"/>
        </w:rPr>
        <w:t xml:space="preserve"> = 1...15), we estimated the mean value of </w:t>
      </w:r>
      <w:r w:rsidRPr="0045150D">
        <w:rPr>
          <w:rFonts w:ascii="Times New Roman" w:eastAsia="Times New Roman" w:hAnsi="Times New Roman" w:cs="Times New Roman"/>
          <w:sz w:val="24"/>
          <w:szCs w:val="24"/>
        </w:rPr>
        <w:t>OCc</w:t>
      </w:r>
      <w:r w:rsidRPr="0045150D">
        <w:rPr>
          <w:rFonts w:ascii="Times New Roman" w:eastAsia="Times New Roman" w:hAnsi="Times New Roman" w:cs="Times New Roman"/>
          <w:i/>
          <w:sz w:val="24"/>
          <w:szCs w:val="24"/>
          <w:vertAlign w:val="subscript"/>
        </w:rPr>
        <w:t>i</w:t>
      </w:r>
      <w:r>
        <w:rPr>
          <w:rFonts w:ascii="Times New Roman" w:eastAsia="Times New Roman" w:hAnsi="Times New Roman" w:cs="Times New Roman"/>
          <w:sz w:val="24"/>
          <w:szCs w:val="24"/>
        </w:rPr>
        <w:t xml:space="preserve"> as:</w:t>
      </w:r>
    </w:p>
    <w:p w14:paraId="3D01DC0B" w14:textId="77777777" w:rsidR="00032304" w:rsidRPr="005E24F1" w:rsidRDefault="00221CD1" w:rsidP="00032304">
      <w:pPr>
        <w:spacing w:line="480" w:lineRule="auto"/>
        <w:rPr>
          <w:rFonts w:ascii="Times New Roman" w:eastAsia="Times New Roman" w:hAnsi="Times New Roman" w:cs="Times New Roman"/>
          <w:sz w:val="24"/>
          <w:szCs w:val="24"/>
        </w:rPr>
      </w:pPr>
      <m:oMathPara>
        <m:oMathParaPr>
          <m:jc m:val="left"/>
        </m:oMathParaPr>
        <m:oMath>
          <m:sSub>
            <m:sSubPr>
              <m:ctrlPr>
                <w:rPr>
                  <w:rFonts w:ascii="Cambria Math" w:eastAsia="Times New Roman" w:hAnsi="Cambria Math" w:cs="Times New Roman"/>
                  <w:i/>
                  <w:sz w:val="24"/>
                  <w:szCs w:val="24"/>
                </w:rPr>
              </m:ctrlPr>
            </m:sSubPr>
            <m:e>
              <m:r>
                <m:rPr>
                  <m:sty m:val="p"/>
                </m:rPr>
                <w:rPr>
                  <w:rFonts w:ascii="Cambria Math" w:eastAsia="Times New Roman" w:hAnsi="Cambria Math" w:cs="Times New Roman"/>
                  <w:sz w:val="24"/>
                  <w:szCs w:val="24"/>
                </w:rPr>
                <m:t>OCc</m:t>
              </m:r>
            </m:e>
            <m:sub>
              <m:r>
                <w:rPr>
                  <w:rFonts w:ascii="Cambria Math" w:eastAsia="Times New Roman" w:hAnsi="Cambria Math" w:cs="Times New Roman"/>
                  <w:sz w:val="24"/>
                  <w:szCs w:val="24"/>
                </w:rPr>
                <m:t>i</m:t>
              </m:r>
            </m:sub>
          </m:sSub>
          <m:r>
            <w:rPr>
              <w:rFonts w:ascii="Cambria Math" w:eastAsia="Times New Roman" w:hAnsi="Cambria Math" w:cs="Times New Roman"/>
              <w:sz w:val="24"/>
              <w:szCs w:val="24"/>
            </w:rPr>
            <m:t>∼Lognormal</m:t>
          </m:r>
          <m:d>
            <m:dPr>
              <m:ctrlPr>
                <w:rPr>
                  <w:rFonts w:ascii="Cambria Math" w:eastAsia="Times New Roman" w:hAnsi="Cambria Math" w:cs="Times New Roman"/>
                  <w:sz w:val="24"/>
                  <w:szCs w:val="24"/>
                </w:rPr>
              </m:ctrlPr>
            </m:dPr>
            <m:e>
              <m:sSub>
                <m:sSubPr>
                  <m:ctrlPr>
                    <w:rPr>
                      <w:rFonts w:ascii="Cambria Math" w:eastAsia="Times New Roman" w:hAnsi="Cambria Math" w:cs="Times New Roman"/>
                      <w:sz w:val="24"/>
                      <w:szCs w:val="24"/>
                    </w:rPr>
                  </m:ctrlPr>
                </m:sSubPr>
                <m:e>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β</m:t>
                      </m:r>
                    </m:e>
                    <m:sub>
                      <m:r>
                        <w:rPr>
                          <w:rFonts w:ascii="Cambria Math" w:eastAsia="Times New Roman" w:hAnsi="Cambria Math" w:cs="Times New Roman"/>
                          <w:sz w:val="24"/>
                          <w:szCs w:val="24"/>
                        </w:rPr>
                        <m:t>loic</m:t>
                      </m:r>
                    </m:sub>
                  </m:sSub>
                  <m:r>
                    <w:rPr>
                      <w:rFonts w:ascii="Cambria Math" w:eastAsia="Times New Roman" w:hAnsi="Cambria Math" w:cs="Times New Roman"/>
                      <w:sz w:val="24"/>
                      <w:szCs w:val="24"/>
                    </w:rPr>
                    <m:t>*</m:t>
                  </m:r>
                  <m:sSub>
                    <m:sSubPr>
                      <m:ctrlPr>
                        <w:rPr>
                          <w:rFonts w:ascii="Cambria Math" w:eastAsia="Times New Roman" w:hAnsi="Cambria Math" w:cs="Times New Roman"/>
                          <w:sz w:val="24"/>
                          <w:szCs w:val="24"/>
                        </w:rPr>
                      </m:ctrlPr>
                    </m:sSubPr>
                    <m:e>
                      <m:r>
                        <m:rPr>
                          <m:sty m:val="p"/>
                        </m:rPr>
                        <w:rPr>
                          <w:rFonts w:ascii="Cambria Math" w:eastAsia="Times New Roman" w:hAnsi="Cambria Math" w:cs="Times New Roman"/>
                          <w:sz w:val="24"/>
                          <w:szCs w:val="24"/>
                        </w:rPr>
                        <m:t>log⁡</m:t>
                      </m:r>
                      <m:r>
                        <w:rPr>
                          <w:rFonts w:ascii="Cambria Math" w:eastAsia="Times New Roman" w:hAnsi="Cambria Math" w:cs="Times New Roman"/>
                          <w:sz w:val="24"/>
                          <w:szCs w:val="24"/>
                        </w:rPr>
                        <m:t>(</m:t>
                      </m:r>
                      <m:r>
                        <m:rPr>
                          <m:sty m:val="p"/>
                        </m:rPr>
                        <w:rPr>
                          <w:rFonts w:ascii="Cambria Math" w:eastAsia="Times New Roman" w:hAnsi="Cambria Math" w:cs="Times New Roman"/>
                          <w:sz w:val="24"/>
                          <w:szCs w:val="24"/>
                        </w:rPr>
                        <m:t>LOIc</m:t>
                      </m:r>
                    </m:e>
                    <m:sub>
                      <m:r>
                        <w:rPr>
                          <w:rFonts w:ascii="Cambria Math" w:eastAsia="Times New Roman" w:hAnsi="Cambria Math" w:cs="Times New Roman"/>
                          <w:sz w:val="24"/>
                          <w:szCs w:val="24"/>
                        </w:rPr>
                        <m:t>i</m:t>
                      </m:r>
                    </m:sub>
                  </m:sSub>
                  <m:r>
                    <w:rPr>
                      <w:rFonts w:ascii="Cambria Math" w:eastAsia="Times New Roman" w:hAnsi="Cambria Math" w:cs="Times New Roman"/>
                      <w:sz w:val="24"/>
                      <w:szCs w:val="24"/>
                    </w:rPr>
                    <m:t>)+β</m:t>
                  </m:r>
                </m:e>
                <m:sub>
                  <m:r>
                    <w:rPr>
                      <w:rFonts w:ascii="Cambria Math" w:eastAsia="Times New Roman" w:hAnsi="Cambria Math" w:cs="Times New Roman"/>
                      <w:sz w:val="24"/>
                      <w:szCs w:val="24"/>
                    </w:rPr>
                    <m:t>0cc</m:t>
                  </m:r>
                </m:sub>
              </m:sSub>
              <m:r>
                <w:rPr>
                  <w:rFonts w:ascii="Cambria Math" w:eastAsia="Times New Roman" w:hAnsi="Cambria Math" w:cs="Times New Roman"/>
                  <w:sz w:val="24"/>
                  <w:szCs w:val="24"/>
                </w:rPr>
                <m:t>+</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β</m:t>
                  </m:r>
                </m:e>
                <m:sub>
                  <m:r>
                    <w:rPr>
                      <w:rFonts w:ascii="Cambria Math" w:eastAsia="Times New Roman" w:hAnsi="Cambria Math" w:cs="Times New Roman"/>
                      <w:sz w:val="24"/>
                      <w:szCs w:val="24"/>
                    </w:rPr>
                    <m:t>lcc</m:t>
                  </m:r>
                </m:sub>
              </m:sSub>
              <m:r>
                <w:rPr>
                  <w:rFonts w:ascii="Cambria Math" w:eastAsia="Times New Roman" w:hAnsi="Cambria Math" w:cs="Times New Roman"/>
                  <w:sz w:val="24"/>
                  <w:szCs w:val="24"/>
                </w:rPr>
                <m:t>*</m:t>
              </m:r>
              <m:sSub>
                <m:sSubPr>
                  <m:ctrlPr>
                    <w:rPr>
                      <w:rFonts w:ascii="Cambria Math" w:eastAsia="Times New Roman" w:hAnsi="Cambria Math" w:cs="Times New Roman"/>
                      <w:sz w:val="24"/>
                      <w:szCs w:val="24"/>
                    </w:rPr>
                  </m:ctrlPr>
                </m:sSubPr>
                <m:e>
                  <m:r>
                    <m:rPr>
                      <m:sty m:val="p"/>
                    </m:rPr>
                    <w:rPr>
                      <w:rFonts w:ascii="Cambria Math" w:eastAsia="Times New Roman" w:hAnsi="Cambria Math" w:cs="Times New Roman"/>
                      <w:sz w:val="24"/>
                      <w:szCs w:val="24"/>
                    </w:rPr>
                    <m:t>LOWc</m:t>
                  </m:r>
                </m:e>
                <m:sub>
                  <m:r>
                    <w:rPr>
                      <w:rFonts w:ascii="Cambria Math" w:eastAsia="Times New Roman" w:hAnsi="Cambria Math" w:cs="Times New Roman"/>
                      <w:sz w:val="24"/>
                      <w:szCs w:val="24"/>
                    </w:rPr>
                    <m:t>i</m:t>
                  </m:r>
                </m:sub>
              </m:sSub>
              <m:r>
                <w:rPr>
                  <w:rFonts w:ascii="Cambria Math" w:eastAsia="Times New Roman" w:hAnsi="Cambria Math" w:cs="Times New Roman"/>
                  <w:sz w:val="24"/>
                  <w:szCs w:val="24"/>
                </w:rPr>
                <m:t>+</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β</m:t>
                  </m:r>
                </m:e>
                <m:sub>
                  <m:r>
                    <w:rPr>
                      <w:rFonts w:ascii="Cambria Math" w:eastAsia="Times New Roman" w:hAnsi="Cambria Math" w:cs="Times New Roman"/>
                      <w:sz w:val="24"/>
                      <w:szCs w:val="24"/>
                    </w:rPr>
                    <m:t>bcc</m:t>
                  </m:r>
                </m:sub>
              </m:sSub>
              <m:r>
                <w:rPr>
                  <w:rFonts w:ascii="Cambria Math" w:eastAsia="Times New Roman" w:hAnsi="Cambria Math" w:cs="Times New Roman"/>
                  <w:sz w:val="24"/>
                  <w:szCs w:val="24"/>
                </w:rPr>
                <m:t>*</m:t>
              </m:r>
              <m:sSub>
                <m:sSubPr>
                  <m:ctrlPr>
                    <w:rPr>
                      <w:rFonts w:ascii="Cambria Math" w:eastAsia="Times New Roman" w:hAnsi="Cambria Math" w:cs="Times New Roman"/>
                      <w:sz w:val="24"/>
                      <w:szCs w:val="24"/>
                    </w:rPr>
                  </m:ctrlPr>
                </m:sSubPr>
                <m:e>
                  <m:r>
                    <m:rPr>
                      <m:sty m:val="p"/>
                    </m:rPr>
                    <w:rPr>
                      <w:rFonts w:ascii="Cambria Math" w:eastAsia="Times New Roman" w:hAnsi="Cambria Math" w:cs="Times New Roman"/>
                      <w:sz w:val="24"/>
                      <w:szCs w:val="24"/>
                    </w:rPr>
                    <m:t>BERMc</m:t>
                  </m:r>
                </m:e>
                <m:sub>
                  <m:r>
                    <w:rPr>
                      <w:rFonts w:ascii="Cambria Math" w:eastAsia="Times New Roman" w:hAnsi="Cambria Math" w:cs="Times New Roman"/>
                      <w:sz w:val="24"/>
                      <w:szCs w:val="24"/>
                    </w:rPr>
                    <m:t>i</m:t>
                  </m:r>
                </m:sub>
              </m:sSub>
              <m:r>
                <w:rPr>
                  <w:rFonts w:ascii="Cambria Math" w:eastAsia="Times New Roman" w:hAnsi="Cambria Math" w:cs="Times New Roman"/>
                  <w:sz w:val="24"/>
                  <w:szCs w:val="24"/>
                </w:rPr>
                <m:t xml:space="preserve">, </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σ</m:t>
                  </m:r>
                </m:e>
                <m:sub>
                  <m:r>
                    <w:rPr>
                      <w:rFonts w:ascii="Cambria Math" w:eastAsia="Times New Roman" w:hAnsi="Cambria Math" w:cs="Times New Roman"/>
                      <w:sz w:val="24"/>
                      <w:szCs w:val="24"/>
                    </w:rPr>
                    <m:t>calcc</m:t>
                  </m:r>
                </m:sub>
              </m:sSub>
            </m:e>
          </m:d>
        </m:oMath>
      </m:oMathPara>
    </w:p>
    <w:p w14:paraId="0B6367F1" w14:textId="77777777" w:rsidR="00032304" w:rsidRPr="005E24F1" w:rsidRDefault="00032304" w:rsidP="00032304">
      <w:pPr>
        <w:spacing w:line="480" w:lineRule="auto"/>
        <w:jc w:val="right"/>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 xml:space="preserve">(Eq. </w:t>
      </w:r>
      <w:r>
        <w:rPr>
          <w:rFonts w:ascii="Times New Roman" w:eastAsia="Times New Roman" w:hAnsi="Times New Roman" w:cs="Times New Roman"/>
          <w:sz w:val="24"/>
          <w:szCs w:val="24"/>
        </w:rPr>
        <w:t>S1</w:t>
      </w:r>
      <w:r w:rsidRPr="00C14D16">
        <w:rPr>
          <w:rFonts w:ascii="Times New Roman" w:eastAsia="Times New Roman" w:hAnsi="Times New Roman" w:cs="Times New Roman"/>
          <w:sz w:val="24"/>
          <w:szCs w:val="24"/>
        </w:rPr>
        <w:t>)</w:t>
      </w:r>
    </w:p>
    <w:p w14:paraId="7F974923" w14:textId="77777777" w:rsidR="00032304" w:rsidRPr="00C14D16" w:rsidRDefault="00032304" w:rsidP="00032304">
      <w:pPr>
        <w:spacing w:line="480" w:lineRule="auto"/>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 xml:space="preserve">Where </w:t>
      </w:r>
      <m:oMath>
        <m:sSub>
          <m:sSubPr>
            <m:ctrlPr>
              <w:rPr>
                <w:rFonts w:ascii="Cambria Math" w:eastAsia="Times New Roman" w:hAnsi="Cambria Math" w:cs="Times New Roman"/>
                <w:sz w:val="24"/>
                <w:szCs w:val="24"/>
              </w:rPr>
            </m:ctrlPr>
          </m:sSubPr>
          <m:e>
            <m:r>
              <w:rPr>
                <w:rFonts w:ascii="Cambria Math" w:hAnsi="Cambria Math" w:cs="Times New Roman"/>
                <w:sz w:val="24"/>
                <w:szCs w:val="24"/>
              </w:rPr>
              <m:t>β</m:t>
            </m:r>
          </m:e>
          <m:sub>
            <m:r>
              <w:rPr>
                <w:rFonts w:ascii="Cambria Math" w:eastAsia="Times New Roman" w:hAnsi="Cambria Math" w:cs="Times New Roman"/>
                <w:sz w:val="24"/>
                <w:szCs w:val="24"/>
              </w:rPr>
              <m:t>loic</m:t>
            </m:r>
          </m:sub>
        </m:sSub>
      </m:oMath>
      <w:r w:rsidRPr="00C14D16">
        <w:rPr>
          <w:rFonts w:ascii="Times New Roman" w:eastAsia="Times New Roman" w:hAnsi="Times New Roman" w:cs="Times New Roman"/>
          <w:sz w:val="24"/>
          <w:szCs w:val="24"/>
        </w:rPr>
        <w:t xml:space="preserve">is the slope of the log-log relationship between OC and LOI, </w:t>
      </w:r>
      <m:oMath>
        <m:sSub>
          <m:sSubPr>
            <m:ctrlPr>
              <w:rPr>
                <w:rFonts w:ascii="Cambria Math" w:eastAsia="Times New Roman" w:hAnsi="Cambria Math" w:cs="Times New Roman"/>
                <w:sz w:val="24"/>
                <w:szCs w:val="24"/>
              </w:rPr>
            </m:ctrlPr>
          </m:sSubPr>
          <m:e>
            <m:r>
              <w:rPr>
                <w:rFonts w:ascii="Cambria Math" w:hAnsi="Cambria Math" w:cs="Times New Roman"/>
                <w:sz w:val="24"/>
                <w:szCs w:val="24"/>
              </w:rPr>
              <m:t>β</m:t>
            </m:r>
          </m:e>
          <m:sub>
            <m:r>
              <w:rPr>
                <w:rFonts w:ascii="Cambria Math" w:eastAsia="Times New Roman" w:hAnsi="Cambria Math" w:cs="Times New Roman"/>
                <w:sz w:val="24"/>
                <w:szCs w:val="24"/>
              </w:rPr>
              <m:t>0cc</m:t>
            </m:r>
          </m:sub>
        </m:sSub>
      </m:oMath>
      <w:r>
        <w:rPr>
          <w:rFonts w:ascii="Times New Roman" w:eastAsia="Times New Roman" w:hAnsi="Times New Roman" w:cs="Times New Roman"/>
          <w:sz w:val="24"/>
          <w:szCs w:val="24"/>
        </w:rPr>
        <w:t xml:space="preserve"> </w:t>
      </w:r>
      <w:r w:rsidRPr="00C14D16">
        <w:rPr>
          <w:rFonts w:ascii="Times New Roman" w:eastAsia="Times New Roman" w:hAnsi="Times New Roman" w:cs="Times New Roman"/>
          <w:sz w:val="24"/>
          <w:szCs w:val="24"/>
        </w:rPr>
        <w:t>is an intercept for the calibration relationship in the original upper 10 cm of soil</w:t>
      </w:r>
      <w:r>
        <w:rPr>
          <w:rFonts w:ascii="Times New Roman" w:eastAsia="Times New Roman" w:hAnsi="Times New Roman" w:cs="Times New Roman"/>
          <w:sz w:val="24"/>
          <w:szCs w:val="24"/>
        </w:rPr>
        <w:t xml:space="preserve"> </w:t>
      </w:r>
      <m:oMath>
        <m:sSub>
          <m:sSubPr>
            <m:ctrlPr>
              <w:rPr>
                <w:rFonts w:ascii="Cambria Math" w:eastAsia="Times New Roman" w:hAnsi="Cambria Math" w:cs="Times New Roman"/>
                <w:sz w:val="24"/>
                <w:szCs w:val="24"/>
              </w:rPr>
            </m:ctrlPr>
          </m:sSubPr>
          <m:e>
            <m:r>
              <w:rPr>
                <w:rFonts w:ascii="Cambria Math" w:hAnsi="Cambria Math" w:cs="Times New Roman"/>
                <w:sz w:val="24"/>
                <w:szCs w:val="24"/>
              </w:rPr>
              <m:t>β</m:t>
            </m:r>
          </m:e>
          <m:sub>
            <m:r>
              <w:rPr>
                <w:rFonts w:ascii="Cambria Math" w:eastAsia="Times New Roman" w:hAnsi="Cambria Math" w:cs="Times New Roman"/>
                <w:sz w:val="24"/>
                <w:szCs w:val="24"/>
              </w:rPr>
              <m:t>lcc</m:t>
            </m:r>
          </m:sub>
        </m:sSub>
      </m:oMath>
      <w:r>
        <w:rPr>
          <w:rFonts w:ascii="Times New Roman" w:eastAsia="Times New Roman" w:hAnsi="Times New Roman" w:cs="Times New Roman"/>
          <w:sz w:val="24"/>
          <w:szCs w:val="24"/>
        </w:rPr>
        <w:t xml:space="preserve"> </w:t>
      </w:r>
      <w:r w:rsidRPr="00C14D16">
        <w:rPr>
          <w:rFonts w:ascii="Times New Roman" w:eastAsia="Times New Roman" w:hAnsi="Times New Roman" w:cs="Times New Roman"/>
          <w:sz w:val="24"/>
          <w:szCs w:val="24"/>
        </w:rPr>
        <w:t>and</w:t>
      </w:r>
      <w:r>
        <w:rPr>
          <w:rFonts w:ascii="Times New Roman" w:eastAsia="Times New Roman" w:hAnsi="Times New Roman" w:cs="Times New Roman"/>
          <w:sz w:val="24"/>
          <w:szCs w:val="24"/>
        </w:rPr>
        <w:t xml:space="preserve"> </w:t>
      </w:r>
      <m:oMath>
        <m:sSub>
          <m:sSubPr>
            <m:ctrlPr>
              <w:rPr>
                <w:rFonts w:ascii="Cambria Math" w:eastAsia="Times New Roman" w:hAnsi="Cambria Math" w:cs="Times New Roman"/>
                <w:sz w:val="24"/>
                <w:szCs w:val="24"/>
              </w:rPr>
            </m:ctrlPr>
          </m:sSubPr>
          <m:e>
            <m:r>
              <w:rPr>
                <w:rFonts w:ascii="Cambria Math" w:hAnsi="Cambria Math" w:cs="Times New Roman"/>
                <w:sz w:val="24"/>
                <w:szCs w:val="24"/>
              </w:rPr>
              <m:t>β</m:t>
            </m:r>
          </m:e>
          <m:sub>
            <m:r>
              <w:rPr>
                <w:rFonts w:ascii="Cambria Math" w:eastAsia="Times New Roman" w:hAnsi="Cambria Math" w:cs="Times New Roman"/>
                <w:sz w:val="24"/>
                <w:szCs w:val="24"/>
              </w:rPr>
              <m:t>bcc</m:t>
            </m:r>
          </m:sub>
        </m:sSub>
      </m:oMath>
      <w:r>
        <w:rPr>
          <w:rFonts w:ascii="Times New Roman" w:eastAsia="Times New Roman" w:hAnsi="Times New Roman" w:cs="Times New Roman"/>
          <w:sz w:val="24"/>
          <w:szCs w:val="24"/>
        </w:rPr>
        <w:t xml:space="preserve"> </w:t>
      </w:r>
      <w:r w:rsidRPr="00C14D16">
        <w:rPr>
          <w:rFonts w:ascii="Times New Roman" w:eastAsia="Times New Roman" w:hAnsi="Times New Roman" w:cs="Times New Roman"/>
          <w:sz w:val="24"/>
          <w:szCs w:val="24"/>
        </w:rPr>
        <w:t>are parameters representing different intercepts for the calibration relationships in the lower stratum and berm respectively, LOWc and BERMc are corresponding dummy variables, and</w:t>
      </w:r>
      <w:r>
        <w:rPr>
          <w:rFonts w:ascii="Times New Roman" w:eastAsia="Times New Roman" w:hAnsi="Times New Roman" w:cs="Times New Roman"/>
          <w:sz w:val="24"/>
          <w:szCs w:val="24"/>
        </w:rPr>
        <w:t xml:space="preserve"> </w:t>
      </w:r>
      <m:oMath>
        <m:sSub>
          <m:sSubPr>
            <m:ctrlPr>
              <w:rPr>
                <w:rFonts w:ascii="Cambria Math" w:eastAsia="Times New Roman" w:hAnsi="Cambria Math" w:cs="Times New Roman"/>
                <w:sz w:val="24"/>
                <w:szCs w:val="24"/>
              </w:rPr>
            </m:ctrlPr>
          </m:sSubPr>
          <m:e>
            <m:r>
              <w:rPr>
                <w:rFonts w:ascii="Cambria Math" w:hAnsi="Cambria Math" w:cs="Times New Roman"/>
                <w:sz w:val="24"/>
                <w:szCs w:val="24"/>
              </w:rPr>
              <m:t>σ</m:t>
            </m:r>
          </m:e>
          <m:sub>
            <m:r>
              <w:rPr>
                <w:rFonts w:ascii="Cambria Math" w:eastAsia="Times New Roman" w:hAnsi="Cambria Math" w:cs="Times New Roman"/>
                <w:sz w:val="24"/>
                <w:szCs w:val="24"/>
              </w:rPr>
              <m:t>calcc</m:t>
            </m:r>
          </m:sub>
        </m:sSub>
      </m:oMath>
      <w:r>
        <w:rPr>
          <w:rFonts w:ascii="Times New Roman" w:eastAsia="Times New Roman" w:hAnsi="Times New Roman" w:cs="Times New Roman"/>
          <w:sz w:val="24"/>
          <w:szCs w:val="24"/>
        </w:rPr>
        <w:t xml:space="preserve"> is the precision (reciprocal of the standard deviation)</w:t>
      </w:r>
      <w:r w:rsidRPr="00C14D16">
        <w:rPr>
          <w:rFonts w:ascii="Times New Roman" w:eastAsia="Times New Roman" w:hAnsi="Times New Roman" w:cs="Times New Roman"/>
          <w:sz w:val="24"/>
          <w:szCs w:val="24"/>
        </w:rPr>
        <w:t xml:space="preserve"> of residuals.</w:t>
      </w:r>
    </w:p>
    <w:p w14:paraId="69DDB395" w14:textId="77777777" w:rsidR="00032304" w:rsidRDefault="00032304" w:rsidP="00032304">
      <w:pPr>
        <w:spacing w:line="480" w:lineRule="auto"/>
        <w:ind w:firstLine="720"/>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For the 2019 measurement campaign, we calculated the SOC density of each sample as the product of the observed SBD value and the expected value of OC based on its calibra</w:t>
      </w:r>
      <w:r>
        <w:rPr>
          <w:rFonts w:ascii="Times New Roman" w:eastAsia="Times New Roman" w:hAnsi="Times New Roman" w:cs="Times New Roman"/>
          <w:sz w:val="24"/>
          <w:szCs w:val="24"/>
        </w:rPr>
        <w:t>tion relationship with LOI (Eq. S1</w:t>
      </w:r>
      <w:r w:rsidRPr="00C14D16">
        <w:rPr>
          <w:rFonts w:ascii="Times New Roman" w:eastAsia="Times New Roman" w:hAnsi="Times New Roman" w:cs="Times New Roman"/>
          <w:sz w:val="24"/>
          <w:szCs w:val="24"/>
        </w:rPr>
        <w:t xml:space="preserve">). Specifically, for each sample </w:t>
      </w:r>
      <w:r w:rsidRPr="00C14D16">
        <w:rPr>
          <w:rFonts w:ascii="Times New Roman" w:eastAsia="Times New Roman" w:hAnsi="Times New Roman" w:cs="Times New Roman"/>
          <w:i/>
          <w:sz w:val="24"/>
          <w:szCs w:val="24"/>
        </w:rPr>
        <w:t>j</w:t>
      </w:r>
      <w:r w:rsidRPr="00C14D16">
        <w:rPr>
          <w:rFonts w:ascii="Times New Roman" w:eastAsia="Times New Roman" w:hAnsi="Times New Roman" w:cs="Times New Roman"/>
          <w:sz w:val="24"/>
          <w:szCs w:val="24"/>
        </w:rPr>
        <w:t xml:space="preserve"> (</w:t>
      </w:r>
      <w:r w:rsidRPr="00C14D16">
        <w:rPr>
          <w:rFonts w:ascii="Times New Roman" w:eastAsia="Times New Roman" w:hAnsi="Times New Roman" w:cs="Times New Roman"/>
          <w:i/>
          <w:sz w:val="24"/>
          <w:szCs w:val="24"/>
        </w:rPr>
        <w:t>j</w:t>
      </w:r>
      <w:r w:rsidRPr="00C14D16">
        <w:rPr>
          <w:rFonts w:ascii="Times New Roman" w:eastAsia="Times New Roman" w:hAnsi="Times New Roman" w:cs="Times New Roman"/>
          <w:sz w:val="24"/>
          <w:szCs w:val="24"/>
        </w:rPr>
        <w:t xml:space="preserve"> = 1...160) we quantified the expected value of SOC density based on the measurements and calibration relationship as:</w:t>
      </w:r>
    </w:p>
    <w:p w14:paraId="793F3C4F" w14:textId="77777777" w:rsidR="00032304" w:rsidRPr="00C14D16" w:rsidRDefault="00032304" w:rsidP="00032304">
      <w:pPr>
        <w:spacing w:line="480" w:lineRule="auto"/>
        <w:ind w:firstLine="720"/>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 xml:space="preserve"> </w:t>
      </w:r>
    </w:p>
    <w:p w14:paraId="09F99318" w14:textId="77777777" w:rsidR="00032304" w:rsidRPr="00C14D16" w:rsidRDefault="00032304" w:rsidP="00032304">
      <w:pPr>
        <w:spacing w:line="480" w:lineRule="auto"/>
        <w:jc w:val="right"/>
        <w:rPr>
          <w:rFonts w:ascii="Times New Roman" w:eastAsia="Times New Roman" w:hAnsi="Times New Roman" w:cs="Times New Roman"/>
          <w:sz w:val="24"/>
          <w:szCs w:val="24"/>
          <w:vertAlign w:val="superscript"/>
        </w:rPr>
      </w:pPr>
      <w:r w:rsidRPr="00C14D16">
        <w:rPr>
          <w:rFonts w:ascii="Times New Roman" w:eastAsia="Times New Roman" w:hAnsi="Times New Roman" w:cs="Times New Roman"/>
          <w:sz w:val="24"/>
          <w:szCs w:val="24"/>
        </w:rPr>
        <w:t xml:space="preserve"> </w:t>
      </w:r>
      <m:oMath>
        <m:sSub>
          <m:sSubPr>
            <m:ctrlPr>
              <w:rPr>
                <w:rFonts w:ascii="Cambria Math" w:eastAsia="Times New Roman" w:hAnsi="Cambria Math" w:cs="Times New Roman"/>
                <w:sz w:val="24"/>
                <w:szCs w:val="24"/>
              </w:rPr>
            </m:ctrlPr>
          </m:sSubPr>
          <m:e>
            <m:r>
              <m:rPr>
                <m:sty m:val="p"/>
              </m:rPr>
              <w:rPr>
                <w:rFonts w:ascii="Cambria Math" w:eastAsia="Times New Roman" w:hAnsi="Cambria Math" w:cs="Times New Roman"/>
                <w:sz w:val="24"/>
                <w:szCs w:val="24"/>
              </w:rPr>
              <m:t>SOC</m:t>
            </m:r>
            <m:r>
              <w:rPr>
                <w:rFonts w:ascii="Cambria Math" w:eastAsia="Times New Roman" w:hAnsi="Cambria Math" w:cs="Times New Roman"/>
                <w:sz w:val="24"/>
                <w:szCs w:val="24"/>
              </w:rPr>
              <m:t>19</m:t>
            </m:r>
          </m:e>
          <m:sub>
            <m:r>
              <w:rPr>
                <w:rFonts w:ascii="Cambria Math" w:eastAsia="Times New Roman" w:hAnsi="Cambria Math" w:cs="Times New Roman"/>
                <w:sz w:val="24"/>
                <w:szCs w:val="24"/>
              </w:rPr>
              <m:t>j</m:t>
            </m:r>
          </m:sub>
        </m:sSub>
        <m:r>
          <w:rPr>
            <w:rFonts w:ascii="Cambria Math" w:eastAsia="Times New Roman" w:hAnsi="Cambria Math" w:cs="Times New Roman"/>
            <w:sz w:val="24"/>
            <w:szCs w:val="24"/>
          </w:rPr>
          <m:t xml:space="preserve"> = </m:t>
        </m:r>
        <m:sSub>
          <m:sSubPr>
            <m:ctrlPr>
              <w:rPr>
                <w:rFonts w:ascii="Cambria Math" w:eastAsia="Times New Roman" w:hAnsi="Cambria Math" w:cs="Times New Roman"/>
                <w:sz w:val="24"/>
                <w:szCs w:val="24"/>
              </w:rPr>
            </m:ctrlPr>
          </m:sSubPr>
          <m:e>
            <m:r>
              <m:rPr>
                <m:sty m:val="p"/>
              </m:rPr>
              <w:rPr>
                <w:rFonts w:ascii="Cambria Math" w:eastAsia="Times New Roman" w:hAnsi="Cambria Math" w:cs="Times New Roman"/>
                <w:sz w:val="24"/>
                <w:szCs w:val="24"/>
              </w:rPr>
              <m:t>SBD</m:t>
            </m:r>
            <m:r>
              <w:rPr>
                <w:rFonts w:ascii="Cambria Math" w:eastAsia="Times New Roman" w:hAnsi="Cambria Math" w:cs="Times New Roman"/>
                <w:sz w:val="24"/>
                <w:szCs w:val="24"/>
              </w:rPr>
              <m:t>19</m:t>
            </m:r>
          </m:e>
          <m:sub>
            <m:r>
              <w:rPr>
                <w:rFonts w:ascii="Cambria Math" w:eastAsia="Times New Roman" w:hAnsi="Cambria Math" w:cs="Times New Roman"/>
                <w:sz w:val="24"/>
                <w:szCs w:val="24"/>
              </w:rPr>
              <m:t>j</m:t>
            </m:r>
          </m:sub>
        </m:sSub>
        <m:r>
          <w:rPr>
            <w:rFonts w:ascii="Cambria Math" w:eastAsia="Times New Roman" w:hAnsi="Cambria Math" w:cs="Times New Roman"/>
            <w:sz w:val="24"/>
            <w:szCs w:val="24"/>
          </w:rPr>
          <m:t>*</m:t>
        </m:r>
        <m:r>
          <m:rPr>
            <m:sty m:val="p"/>
          </m:rPr>
          <w:rPr>
            <w:rFonts w:ascii="Cambria Math" w:eastAsia="Times New Roman" w:hAnsi="Cambria Math" w:cs="Times New Roman"/>
            <w:sz w:val="24"/>
            <w:szCs w:val="24"/>
          </w:rPr>
          <m:t>exp⁡(</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β</m:t>
            </m:r>
          </m:e>
          <m:sub>
            <m:r>
              <w:rPr>
                <w:rFonts w:ascii="Cambria Math" w:eastAsia="Times New Roman" w:hAnsi="Cambria Math" w:cs="Times New Roman"/>
                <w:sz w:val="24"/>
                <w:szCs w:val="24"/>
              </w:rPr>
              <m:t>oc</m:t>
            </m:r>
          </m:sub>
        </m:sSub>
        <m:r>
          <w:rPr>
            <w:rFonts w:ascii="Cambria Math" w:eastAsia="Times New Roman" w:hAnsi="Cambria Math" w:cs="Times New Roman"/>
            <w:sz w:val="24"/>
            <w:szCs w:val="24"/>
          </w:rPr>
          <m:t>*</m:t>
        </m:r>
        <m:sSub>
          <m:sSubPr>
            <m:ctrlPr>
              <w:rPr>
                <w:rFonts w:ascii="Cambria Math" w:eastAsia="Times New Roman" w:hAnsi="Cambria Math" w:cs="Times New Roman"/>
                <w:sz w:val="24"/>
                <w:szCs w:val="24"/>
              </w:rPr>
            </m:ctrlPr>
          </m:sSubPr>
          <m:e>
            <m:r>
              <m:rPr>
                <m:sty m:val="p"/>
              </m:rPr>
              <w:rPr>
                <w:rFonts w:ascii="Cambria Math" w:eastAsia="Times New Roman" w:hAnsi="Cambria Math" w:cs="Times New Roman"/>
                <w:sz w:val="24"/>
                <w:szCs w:val="24"/>
              </w:rPr>
              <m:t>log⁡</m:t>
            </m:r>
            <m:r>
              <w:rPr>
                <w:rFonts w:ascii="Cambria Math" w:eastAsia="Times New Roman" w:hAnsi="Cambria Math" w:cs="Times New Roman"/>
                <w:sz w:val="24"/>
                <w:szCs w:val="24"/>
              </w:rPr>
              <m:t>(</m:t>
            </m:r>
            <m:r>
              <m:rPr>
                <m:sty m:val="p"/>
              </m:rPr>
              <w:rPr>
                <w:rFonts w:ascii="Cambria Math" w:eastAsia="Times New Roman" w:hAnsi="Cambria Math" w:cs="Times New Roman"/>
                <w:sz w:val="24"/>
                <w:szCs w:val="24"/>
              </w:rPr>
              <m:t>LOI</m:t>
            </m:r>
            <m:r>
              <w:rPr>
                <w:rFonts w:ascii="Cambria Math" w:eastAsia="Times New Roman" w:hAnsi="Cambria Math" w:cs="Times New Roman"/>
                <w:sz w:val="24"/>
                <w:szCs w:val="24"/>
              </w:rPr>
              <m:t>19</m:t>
            </m:r>
          </m:e>
          <m:sub>
            <m:r>
              <w:rPr>
                <w:rFonts w:ascii="Cambria Math" w:eastAsia="Times New Roman" w:hAnsi="Cambria Math" w:cs="Times New Roman"/>
                <w:sz w:val="24"/>
                <w:szCs w:val="24"/>
              </w:rPr>
              <m:t>j</m:t>
            </m:r>
          </m:sub>
        </m:sSub>
        <m:r>
          <w:rPr>
            <w:rFonts w:ascii="Cambria Math" w:eastAsia="Times New Roman" w:hAnsi="Cambria Math" w:cs="Times New Roman"/>
            <w:sz w:val="24"/>
            <w:szCs w:val="24"/>
          </w:rPr>
          <m:t>)+</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β</m:t>
            </m:r>
          </m:e>
          <m:sub>
            <m:r>
              <w:rPr>
                <w:rFonts w:ascii="Cambria Math" w:eastAsia="Times New Roman" w:hAnsi="Cambria Math" w:cs="Times New Roman"/>
                <w:sz w:val="24"/>
                <w:szCs w:val="24"/>
              </w:rPr>
              <m:t>0cc</m:t>
            </m:r>
          </m:sub>
        </m:sSub>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+β</m:t>
            </m:r>
          </m:e>
          <m:sub>
            <m:r>
              <w:rPr>
                <w:rFonts w:ascii="Cambria Math" w:eastAsia="Times New Roman" w:hAnsi="Cambria Math" w:cs="Times New Roman"/>
                <w:sz w:val="24"/>
                <w:szCs w:val="24"/>
              </w:rPr>
              <m:t>lcc</m:t>
            </m:r>
          </m:sub>
        </m:sSub>
        <m:r>
          <w:rPr>
            <w:rFonts w:ascii="Cambria Math" w:eastAsia="Times New Roman" w:hAnsi="Cambria Math" w:cs="Times New Roman"/>
            <w:sz w:val="24"/>
            <w:szCs w:val="24"/>
          </w:rPr>
          <m:t>*</m:t>
        </m:r>
        <m:sSub>
          <m:sSubPr>
            <m:ctrlPr>
              <w:rPr>
                <w:rFonts w:ascii="Cambria Math" w:eastAsia="Times New Roman" w:hAnsi="Cambria Math" w:cs="Times New Roman"/>
                <w:sz w:val="24"/>
                <w:szCs w:val="24"/>
              </w:rPr>
            </m:ctrlPr>
          </m:sSubPr>
          <m:e>
            <m:r>
              <m:rPr>
                <m:sty m:val="p"/>
              </m:rPr>
              <w:rPr>
                <w:rFonts w:ascii="Cambria Math" w:eastAsia="Times New Roman" w:hAnsi="Cambria Math" w:cs="Times New Roman"/>
                <w:sz w:val="24"/>
                <w:szCs w:val="24"/>
              </w:rPr>
              <m:t>LOWc</m:t>
            </m:r>
          </m:e>
          <m:sub>
            <m:r>
              <w:rPr>
                <w:rFonts w:ascii="Cambria Math" w:eastAsia="Times New Roman" w:hAnsi="Cambria Math" w:cs="Times New Roman"/>
                <w:sz w:val="24"/>
                <w:szCs w:val="24"/>
              </w:rPr>
              <m:t>j</m:t>
            </m:r>
          </m:sub>
        </m:sSub>
        <m:r>
          <w:rPr>
            <w:rFonts w:ascii="Cambria Math" w:eastAsia="Times New Roman" w:hAnsi="Cambria Math" w:cs="Times New Roman"/>
            <w:sz w:val="24"/>
            <w:szCs w:val="24"/>
          </w:rPr>
          <m:t>+</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β</m:t>
            </m:r>
          </m:e>
          <m:sub>
            <m:r>
              <w:rPr>
                <w:rFonts w:ascii="Cambria Math" w:eastAsia="Times New Roman" w:hAnsi="Cambria Math" w:cs="Times New Roman"/>
                <w:sz w:val="24"/>
                <w:szCs w:val="24"/>
              </w:rPr>
              <m:t>bcc</m:t>
            </m:r>
          </m:sub>
        </m:sSub>
        <m:r>
          <w:rPr>
            <w:rFonts w:ascii="Cambria Math" w:eastAsia="Times New Roman" w:hAnsi="Cambria Math" w:cs="Times New Roman"/>
            <w:sz w:val="24"/>
            <w:szCs w:val="24"/>
          </w:rPr>
          <m:t>*</m:t>
        </m:r>
        <m:sSub>
          <m:sSubPr>
            <m:ctrlPr>
              <w:rPr>
                <w:rFonts w:ascii="Cambria Math" w:eastAsia="Times New Roman" w:hAnsi="Cambria Math" w:cs="Times New Roman"/>
                <w:sz w:val="24"/>
                <w:szCs w:val="24"/>
              </w:rPr>
            </m:ctrlPr>
          </m:sSubPr>
          <m:e>
            <m:r>
              <m:rPr>
                <m:sty m:val="p"/>
              </m:rPr>
              <w:rPr>
                <w:rFonts w:ascii="Cambria Math" w:eastAsia="Times New Roman" w:hAnsi="Cambria Math" w:cs="Times New Roman"/>
                <w:sz w:val="24"/>
                <w:szCs w:val="24"/>
              </w:rPr>
              <m:t>BERMc</m:t>
            </m:r>
          </m:e>
          <m:sub>
            <m:r>
              <w:rPr>
                <w:rFonts w:ascii="Cambria Math" w:eastAsia="Times New Roman" w:hAnsi="Cambria Math" w:cs="Times New Roman"/>
                <w:sz w:val="24"/>
                <w:szCs w:val="24"/>
              </w:rPr>
              <m:t>j</m:t>
            </m:r>
          </m:sub>
        </m:sSub>
        <m:r>
          <w:rPr>
            <w:rFonts w:ascii="Cambria Math" w:eastAsia="Times New Roman" w:hAnsi="Cambria Math" w:cs="Times New Roman"/>
            <w:sz w:val="24"/>
            <w:szCs w:val="24"/>
          </w:rPr>
          <m:t>)*100</m:t>
        </m:r>
      </m:oMath>
      <w:r w:rsidRPr="00C14D16">
        <w:rPr>
          <w:rFonts w:ascii="Times New Roman" w:eastAsia="Times New Roman" w:hAnsi="Times New Roman" w:cs="Times New Roman"/>
          <w:sz w:val="24"/>
          <w:szCs w:val="24"/>
        </w:rPr>
        <w:t xml:space="preserve"> </w:t>
      </w:r>
      <w:r w:rsidRPr="00C14D16">
        <w:rPr>
          <w:rFonts w:ascii="Times New Roman" w:eastAsia="Times New Roman" w:hAnsi="Times New Roman" w:cs="Times New Roman"/>
          <w:sz w:val="24"/>
          <w:szCs w:val="24"/>
        </w:rPr>
        <w:tab/>
      </w:r>
      <w:r w:rsidRPr="00C14D16">
        <w:rPr>
          <w:rFonts w:ascii="Times New Roman" w:eastAsia="Times New Roman" w:hAnsi="Times New Roman" w:cs="Times New Roman"/>
          <w:sz w:val="24"/>
          <w:szCs w:val="24"/>
        </w:rPr>
        <w:tab/>
        <w:t xml:space="preserve">(Eq. </w:t>
      </w:r>
      <w:r>
        <w:rPr>
          <w:rFonts w:ascii="Times New Roman" w:eastAsia="Times New Roman" w:hAnsi="Times New Roman" w:cs="Times New Roman"/>
          <w:sz w:val="24"/>
          <w:szCs w:val="24"/>
        </w:rPr>
        <w:t>S2</w:t>
      </w:r>
      <w:r w:rsidRPr="00C14D16">
        <w:rPr>
          <w:rFonts w:ascii="Times New Roman" w:eastAsia="Times New Roman" w:hAnsi="Times New Roman" w:cs="Times New Roman"/>
          <w:sz w:val="24"/>
          <w:szCs w:val="24"/>
        </w:rPr>
        <w:t>)</w:t>
      </w:r>
    </w:p>
    <w:p w14:paraId="468CC4E1" w14:textId="77777777" w:rsidR="00032304" w:rsidRPr="00C14D16" w:rsidRDefault="00032304" w:rsidP="00032304">
      <w:pPr>
        <w:spacing w:line="480" w:lineRule="auto"/>
        <w:rPr>
          <w:rFonts w:ascii="Times New Roman" w:eastAsia="Times New Roman" w:hAnsi="Times New Roman" w:cs="Times New Roman"/>
          <w:sz w:val="24"/>
          <w:szCs w:val="24"/>
          <w:vertAlign w:val="superscript"/>
        </w:rPr>
      </w:pPr>
      <w:r w:rsidRPr="00C14D16">
        <w:rPr>
          <w:rFonts w:ascii="Times New Roman" w:eastAsia="Times New Roman" w:hAnsi="Times New Roman" w:cs="Times New Roman"/>
          <w:sz w:val="24"/>
          <w:szCs w:val="24"/>
        </w:rPr>
        <w:t>Where mu</w:t>
      </w:r>
      <w:r>
        <w:rPr>
          <w:rFonts w:ascii="Times New Roman" w:eastAsia="Times New Roman" w:hAnsi="Times New Roman" w:cs="Times New Roman"/>
          <w:sz w:val="24"/>
          <w:szCs w:val="24"/>
        </w:rPr>
        <w:t>ltiplication by 100 converts</w:t>
      </w:r>
      <w:r w:rsidRPr="00C14D16">
        <w:rPr>
          <w:rFonts w:ascii="Times New Roman" w:eastAsia="Times New Roman" w:hAnsi="Times New Roman" w:cs="Times New Roman"/>
          <w:sz w:val="24"/>
          <w:szCs w:val="24"/>
        </w:rPr>
        <w:t xml:space="preserve"> to units of kg C m</w:t>
      </w:r>
      <w:r w:rsidRPr="00C14D16">
        <w:rPr>
          <w:rFonts w:ascii="Times New Roman" w:eastAsia="Times New Roman" w:hAnsi="Times New Roman" w:cs="Times New Roman"/>
          <w:sz w:val="24"/>
          <w:szCs w:val="24"/>
          <w:vertAlign w:val="superscript"/>
        </w:rPr>
        <w:t>-2</w:t>
      </w:r>
      <w:r w:rsidRPr="00C14D16">
        <w:rPr>
          <w:rFonts w:ascii="Times New Roman" w:eastAsia="Times New Roman" w:hAnsi="Times New Roman" w:cs="Times New Roman"/>
          <w:sz w:val="24"/>
          <w:szCs w:val="24"/>
        </w:rPr>
        <w:t xml:space="preserve"> for each 10 cm stratum.</w:t>
      </w:r>
    </w:p>
    <w:p w14:paraId="2169B851" w14:textId="77777777" w:rsidR="00032304" w:rsidRDefault="00032304" w:rsidP="00032304">
      <w:pPr>
        <w:spacing w:line="480" w:lineRule="auto"/>
        <w:ind w:firstLine="720"/>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In 2017, we directly measured OC for every sample, but we did not directly measure SBD. Because OC and SBD were strongly correlated in the calibration dataset (Figure S3), we used the observed values of OC to impute the values of SBD. Using the most adequate functional form for the regression as described above (Table S2), we estimate</w:t>
      </w:r>
      <w:r>
        <w:rPr>
          <w:rFonts w:ascii="Times New Roman" w:eastAsia="Times New Roman" w:hAnsi="Times New Roman" w:cs="Times New Roman"/>
          <w:sz w:val="24"/>
          <w:szCs w:val="24"/>
        </w:rPr>
        <w:t>d the expected value of SBD as:</w:t>
      </w:r>
    </w:p>
    <w:p w14:paraId="6FD0C753" w14:textId="77777777" w:rsidR="00032304" w:rsidRDefault="00032304" w:rsidP="00032304">
      <w:pPr>
        <w:spacing w:line="480" w:lineRule="auto"/>
        <w:ind w:firstLine="720"/>
        <w:rPr>
          <w:rFonts w:ascii="Times New Roman" w:eastAsia="Times New Roman" w:hAnsi="Times New Roman" w:cs="Times New Roman"/>
          <w:sz w:val="24"/>
          <w:szCs w:val="24"/>
        </w:rPr>
      </w:pPr>
    </w:p>
    <w:p w14:paraId="377BBB6E" w14:textId="77777777" w:rsidR="00032304" w:rsidRPr="00C14D16" w:rsidRDefault="00221CD1" w:rsidP="00032304">
      <w:pPr>
        <w:spacing w:line="480" w:lineRule="auto"/>
        <w:ind w:left="2160" w:hanging="2160"/>
        <w:rPr>
          <w:rFonts w:ascii="Times New Roman" w:eastAsia="Times New Roman" w:hAnsi="Times New Roman" w:cs="Times New Roman"/>
          <w:sz w:val="24"/>
          <w:szCs w:val="24"/>
        </w:rPr>
      </w:pPr>
      <m:oMath>
        <m:sSub>
          <m:sSubPr>
            <m:ctrlPr>
              <w:rPr>
                <w:rFonts w:ascii="Cambria Math" w:eastAsia="Times New Roman" w:hAnsi="Cambria Math" w:cs="Times New Roman"/>
                <w:i/>
                <w:sz w:val="24"/>
                <w:szCs w:val="24"/>
              </w:rPr>
            </m:ctrlPr>
          </m:sSubPr>
          <m:e>
            <m:r>
              <m:rPr>
                <m:sty m:val="p"/>
              </m:rPr>
              <w:rPr>
                <w:rFonts w:ascii="Cambria Math" w:eastAsia="Times New Roman" w:hAnsi="Cambria Math" w:cs="Times New Roman"/>
                <w:sz w:val="24"/>
                <w:szCs w:val="24"/>
              </w:rPr>
              <m:t>SBDc</m:t>
            </m:r>
          </m:e>
          <m:sub>
            <m:r>
              <w:rPr>
                <w:rFonts w:ascii="Cambria Math" w:eastAsia="Times New Roman" w:hAnsi="Cambria Math" w:cs="Times New Roman"/>
                <w:sz w:val="24"/>
                <w:szCs w:val="24"/>
              </w:rPr>
              <m:t>i</m:t>
            </m:r>
          </m:sub>
        </m:sSub>
        <m:r>
          <w:rPr>
            <w:rFonts w:ascii="Cambria Math" w:eastAsia="Times New Roman" w:hAnsi="Cambria Math" w:cs="Times New Roman"/>
            <w:sz w:val="24"/>
            <w:szCs w:val="24"/>
          </w:rPr>
          <m:t>∼Lognormal</m:t>
        </m:r>
        <m:d>
          <m:dPr>
            <m:ctrlPr>
              <w:rPr>
                <w:rFonts w:ascii="Cambria Math" w:eastAsia="Times New Roman" w:hAnsi="Cambria Math" w:cs="Times New Roman"/>
                <w:sz w:val="24"/>
                <w:szCs w:val="24"/>
              </w:rPr>
            </m:ctrlPr>
          </m:dPr>
          <m:e>
            <m:sSub>
              <m:sSubPr>
                <m:ctrlPr>
                  <w:rPr>
                    <w:rFonts w:ascii="Cambria Math" w:eastAsia="Times New Roman" w:hAnsi="Cambria Math" w:cs="Times New Roman"/>
                    <w:sz w:val="24"/>
                    <w:szCs w:val="24"/>
                  </w:rPr>
                </m:ctrlPr>
              </m:sSubPr>
              <m:e>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β</m:t>
                    </m:r>
                  </m:e>
                  <m:sub>
                    <m:r>
                      <w:rPr>
                        <w:rFonts w:ascii="Cambria Math" w:eastAsia="Times New Roman" w:hAnsi="Cambria Math" w:cs="Times New Roman"/>
                        <w:sz w:val="24"/>
                        <w:szCs w:val="24"/>
                      </w:rPr>
                      <m:t>sbdc</m:t>
                    </m:r>
                  </m:sub>
                </m:sSub>
                <m:r>
                  <w:rPr>
                    <w:rFonts w:ascii="Cambria Math" w:eastAsia="Times New Roman" w:hAnsi="Cambria Math" w:cs="Times New Roman"/>
                    <w:sz w:val="24"/>
                    <w:szCs w:val="24"/>
                  </w:rPr>
                  <m:t>*</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log(</m:t>
                    </m:r>
                    <m:r>
                      <m:rPr>
                        <m:sty m:val="p"/>
                      </m:rPr>
                      <w:rPr>
                        <w:rFonts w:ascii="Cambria Math" w:eastAsia="Times New Roman" w:hAnsi="Cambria Math" w:cs="Times New Roman"/>
                        <w:sz w:val="24"/>
                        <w:szCs w:val="24"/>
                      </w:rPr>
                      <m:t>OCc</m:t>
                    </m:r>
                  </m:e>
                  <m:sub>
                    <m:r>
                      <w:rPr>
                        <w:rFonts w:ascii="Cambria Math" w:eastAsia="Times New Roman" w:hAnsi="Cambria Math" w:cs="Times New Roman"/>
                        <w:sz w:val="24"/>
                        <w:szCs w:val="24"/>
                      </w:rPr>
                      <m:t>i</m:t>
                    </m:r>
                  </m:sub>
                </m:sSub>
                <m:r>
                  <w:rPr>
                    <w:rFonts w:ascii="Cambria Math" w:eastAsia="Times New Roman" w:hAnsi="Cambria Math" w:cs="Times New Roman"/>
                    <w:sz w:val="24"/>
                    <w:szCs w:val="24"/>
                  </w:rPr>
                  <m:t>)+β</m:t>
                </m:r>
              </m:e>
              <m:sub>
                <m:r>
                  <w:rPr>
                    <w:rFonts w:ascii="Cambria Math" w:eastAsia="Times New Roman" w:hAnsi="Cambria Math" w:cs="Times New Roman"/>
                    <w:sz w:val="24"/>
                    <w:szCs w:val="24"/>
                  </w:rPr>
                  <m:t>0dc</m:t>
                </m:r>
              </m:sub>
            </m:sSub>
            <m:r>
              <w:rPr>
                <w:rFonts w:ascii="Cambria Math" w:eastAsia="Times New Roman" w:hAnsi="Cambria Math" w:cs="Times New Roman"/>
                <w:sz w:val="24"/>
                <w:szCs w:val="24"/>
              </w:rPr>
              <m:t>+</m:t>
            </m:r>
            <m:sSub>
              <m:sSubPr>
                <m:ctrlPr>
                  <w:rPr>
                    <w:rFonts w:ascii="Cambria Math" w:eastAsia="Times New Roman" w:hAnsi="Cambria Math" w:cs="Times New Roman"/>
                    <w:sz w:val="24"/>
                    <w:szCs w:val="24"/>
                  </w:rPr>
                </m:ctrlPr>
              </m:sSubPr>
              <m:e>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β</m:t>
                    </m:r>
                  </m:e>
                  <m:sub>
                    <m:r>
                      <w:rPr>
                        <w:rFonts w:ascii="Cambria Math" w:eastAsia="Times New Roman" w:hAnsi="Cambria Math" w:cs="Times New Roman"/>
                        <w:sz w:val="24"/>
                        <w:szCs w:val="24"/>
                      </w:rPr>
                      <m:t>lawndc</m:t>
                    </m:r>
                  </m:sub>
                </m:sSub>
                <m:r>
                  <w:rPr>
                    <w:rFonts w:ascii="Cambria Math" w:eastAsia="Times New Roman" w:hAnsi="Cambria Math" w:cs="Times New Roman"/>
                    <w:sz w:val="24"/>
                    <w:szCs w:val="24"/>
                  </w:rPr>
                  <m:t>*</m:t>
                </m:r>
                <m:sSub>
                  <m:sSubPr>
                    <m:ctrlPr>
                      <w:rPr>
                        <w:rFonts w:ascii="Cambria Math" w:eastAsia="Times New Roman" w:hAnsi="Cambria Math" w:cs="Times New Roman"/>
                        <w:sz w:val="24"/>
                        <w:szCs w:val="24"/>
                      </w:rPr>
                    </m:ctrlPr>
                  </m:sSubPr>
                  <m:e>
                    <m:r>
                      <m:rPr>
                        <m:sty m:val="p"/>
                      </m:rPr>
                      <w:rPr>
                        <w:rFonts w:ascii="Cambria Math" w:eastAsia="Times New Roman" w:hAnsi="Cambria Math" w:cs="Times New Roman"/>
                        <w:sz w:val="24"/>
                        <w:szCs w:val="24"/>
                      </w:rPr>
                      <m:t>LAWNc</m:t>
                    </m:r>
                  </m:e>
                  <m:sub>
                    <m:r>
                      <w:rPr>
                        <w:rFonts w:ascii="Cambria Math" w:eastAsia="Times New Roman" w:hAnsi="Cambria Math" w:cs="Times New Roman"/>
                        <w:sz w:val="24"/>
                        <w:szCs w:val="24"/>
                      </w:rPr>
                      <m:t>i</m:t>
                    </m:r>
                  </m:sub>
                </m:sSub>
                <m:r>
                  <w:rPr>
                    <w:rFonts w:ascii="Cambria Math" w:eastAsia="Times New Roman" w:hAnsi="Cambria Math" w:cs="Times New Roman"/>
                    <w:sz w:val="24"/>
                    <w:szCs w:val="24"/>
                  </w:rPr>
                  <m:t>+β</m:t>
                </m:r>
              </m:e>
              <m:sub>
                <m:r>
                  <w:rPr>
                    <w:rFonts w:ascii="Cambria Math" w:eastAsia="Times New Roman" w:hAnsi="Cambria Math" w:cs="Times New Roman"/>
                    <w:sz w:val="24"/>
                    <w:szCs w:val="24"/>
                  </w:rPr>
                  <m:t>ldc</m:t>
                </m:r>
              </m:sub>
            </m:sSub>
            <m:r>
              <w:rPr>
                <w:rFonts w:ascii="Cambria Math" w:eastAsia="Times New Roman" w:hAnsi="Cambria Math" w:cs="Times New Roman"/>
                <w:sz w:val="24"/>
                <w:szCs w:val="24"/>
              </w:rPr>
              <m:t>*</m:t>
            </m:r>
            <m:sSub>
              <m:sSubPr>
                <m:ctrlPr>
                  <w:rPr>
                    <w:rFonts w:ascii="Cambria Math" w:eastAsia="Times New Roman" w:hAnsi="Cambria Math" w:cs="Times New Roman"/>
                    <w:sz w:val="24"/>
                    <w:szCs w:val="24"/>
                  </w:rPr>
                </m:ctrlPr>
              </m:sSubPr>
              <m:e>
                <m:r>
                  <m:rPr>
                    <m:sty m:val="p"/>
                  </m:rPr>
                  <w:rPr>
                    <w:rFonts w:ascii="Cambria Math" w:eastAsia="Times New Roman" w:hAnsi="Cambria Math" w:cs="Times New Roman"/>
                    <w:sz w:val="24"/>
                    <w:szCs w:val="24"/>
                  </w:rPr>
                  <m:t>LOWc</m:t>
                </m:r>
              </m:e>
              <m:sub>
                <m:r>
                  <w:rPr>
                    <w:rFonts w:ascii="Cambria Math" w:eastAsia="Times New Roman" w:hAnsi="Cambria Math" w:cs="Times New Roman"/>
                    <w:sz w:val="24"/>
                    <w:szCs w:val="24"/>
                  </w:rPr>
                  <m:t>i</m:t>
                </m:r>
              </m:sub>
            </m:sSub>
            <m:r>
              <w:rPr>
                <w:rFonts w:ascii="Cambria Math" w:eastAsia="Times New Roman" w:hAnsi="Cambria Math" w:cs="Times New Roman"/>
                <w:sz w:val="24"/>
                <w:szCs w:val="24"/>
              </w:rPr>
              <m:t>+</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β</m:t>
                </m:r>
              </m:e>
              <m:sub>
                <m:r>
                  <w:rPr>
                    <w:rFonts w:ascii="Cambria Math" w:eastAsia="Times New Roman" w:hAnsi="Cambria Math" w:cs="Times New Roman"/>
                    <w:sz w:val="24"/>
                    <w:szCs w:val="24"/>
                  </w:rPr>
                  <m:t>bdc</m:t>
                </m:r>
              </m:sub>
            </m:sSub>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m:t>
                </m:r>
                <m:r>
                  <m:rPr>
                    <m:sty m:val="p"/>
                  </m:rPr>
                  <w:rPr>
                    <w:rFonts w:ascii="Cambria Math" w:eastAsia="Times New Roman" w:hAnsi="Cambria Math" w:cs="Times New Roman"/>
                    <w:sz w:val="24"/>
                    <w:szCs w:val="24"/>
                  </w:rPr>
                  <m:t>BERMc</m:t>
                </m:r>
              </m:e>
              <m:sub>
                <m:r>
                  <w:rPr>
                    <w:rFonts w:ascii="Cambria Math" w:eastAsia="Times New Roman" w:hAnsi="Cambria Math" w:cs="Times New Roman"/>
                    <w:sz w:val="24"/>
                    <w:szCs w:val="24"/>
                  </w:rPr>
                  <m:t>i</m:t>
                </m:r>
              </m:sub>
            </m:sSub>
            <m:r>
              <w:rPr>
                <w:rFonts w:ascii="Cambria Math" w:eastAsia="Times New Roman" w:hAnsi="Cambria Math" w:cs="Times New Roman"/>
                <w:sz w:val="24"/>
                <w:szCs w:val="24"/>
              </w:rPr>
              <m:t xml:space="preserve">, </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σ</m:t>
                </m:r>
              </m:e>
              <m:sub>
                <m:r>
                  <w:rPr>
                    <w:rFonts w:ascii="Cambria Math" w:eastAsia="Times New Roman" w:hAnsi="Cambria Math" w:cs="Times New Roman"/>
                    <w:sz w:val="24"/>
                    <w:szCs w:val="24"/>
                  </w:rPr>
                  <m:t>caldc</m:t>
                </m:r>
              </m:sub>
            </m:sSub>
          </m:e>
        </m:d>
      </m:oMath>
      <w:r w:rsidR="00032304">
        <w:rPr>
          <w:rFonts w:ascii="Times New Roman" w:eastAsia="Times New Roman" w:hAnsi="Times New Roman" w:cs="Times New Roman"/>
          <w:sz w:val="24"/>
          <w:szCs w:val="24"/>
        </w:rPr>
        <w:t xml:space="preserve"> </w:t>
      </w:r>
      <w:r w:rsidR="00032304">
        <w:rPr>
          <w:rFonts w:ascii="Times New Roman" w:eastAsia="Times New Roman" w:hAnsi="Times New Roman" w:cs="Times New Roman"/>
          <w:sz w:val="24"/>
          <w:szCs w:val="24"/>
        </w:rPr>
        <w:tab/>
      </w:r>
      <w:r w:rsidR="00032304">
        <w:rPr>
          <w:rFonts w:ascii="Times New Roman" w:eastAsia="Times New Roman" w:hAnsi="Times New Roman" w:cs="Times New Roman"/>
          <w:sz w:val="24"/>
          <w:szCs w:val="24"/>
        </w:rPr>
        <w:tab/>
      </w:r>
      <w:r w:rsidR="00032304">
        <w:rPr>
          <w:rFonts w:ascii="Times New Roman" w:eastAsia="Times New Roman" w:hAnsi="Times New Roman" w:cs="Times New Roman"/>
          <w:sz w:val="24"/>
          <w:szCs w:val="24"/>
        </w:rPr>
        <w:tab/>
      </w:r>
      <w:r w:rsidR="00032304">
        <w:rPr>
          <w:rFonts w:ascii="Times New Roman" w:eastAsia="Times New Roman" w:hAnsi="Times New Roman" w:cs="Times New Roman"/>
          <w:sz w:val="24"/>
          <w:szCs w:val="24"/>
        </w:rPr>
        <w:tab/>
      </w:r>
      <w:r w:rsidR="00032304">
        <w:rPr>
          <w:rFonts w:ascii="Times New Roman" w:eastAsia="Times New Roman" w:hAnsi="Times New Roman" w:cs="Times New Roman"/>
          <w:sz w:val="24"/>
          <w:szCs w:val="24"/>
        </w:rPr>
        <w:tab/>
        <w:t>(Eq. S3</w:t>
      </w:r>
      <w:r w:rsidR="00032304" w:rsidRPr="00C14D16">
        <w:rPr>
          <w:rFonts w:ascii="Times New Roman" w:eastAsia="Times New Roman" w:hAnsi="Times New Roman" w:cs="Times New Roman"/>
          <w:sz w:val="24"/>
          <w:szCs w:val="24"/>
        </w:rPr>
        <w:t>)</w:t>
      </w:r>
    </w:p>
    <w:p w14:paraId="20D2439A" w14:textId="77777777" w:rsidR="00032304" w:rsidRDefault="00032304" w:rsidP="00032304">
      <w:pPr>
        <w:spacing w:line="480" w:lineRule="auto"/>
        <w:rPr>
          <w:rFonts w:ascii="Times New Roman" w:eastAsia="Times New Roman" w:hAnsi="Times New Roman" w:cs="Times New Roman"/>
          <w:sz w:val="24"/>
          <w:szCs w:val="24"/>
        </w:rPr>
      </w:pPr>
    </w:p>
    <w:p w14:paraId="3D784037" w14:textId="77777777" w:rsidR="00032304" w:rsidRDefault="00032304" w:rsidP="00032304">
      <w:pPr>
        <w:spacing w:line="480" w:lineRule="auto"/>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 xml:space="preserve">Where the parameters and covariates represent analogous quantities for those described in Eq. </w:t>
      </w:r>
      <w:r>
        <w:rPr>
          <w:rFonts w:ascii="Times New Roman" w:eastAsia="Times New Roman" w:hAnsi="Times New Roman" w:cs="Times New Roman"/>
          <w:sz w:val="24"/>
          <w:szCs w:val="24"/>
        </w:rPr>
        <w:t>S1</w:t>
      </w:r>
      <w:r w:rsidRPr="00C14D16">
        <w:rPr>
          <w:rFonts w:ascii="Times New Roman" w:eastAsia="Times New Roman" w:hAnsi="Times New Roman" w:cs="Times New Roman"/>
          <w:sz w:val="24"/>
          <w:szCs w:val="24"/>
        </w:rPr>
        <w:t>, with the addition of a dummy variable</w:t>
      </w:r>
      <w:r>
        <w:rPr>
          <w:rFonts w:ascii="Times New Roman" w:eastAsia="Times New Roman" w:hAnsi="Times New Roman" w:cs="Times New Roman"/>
          <w:sz w:val="24"/>
          <w:szCs w:val="24"/>
        </w:rPr>
        <w:t xml:space="preserve"> </w:t>
      </w:r>
      <m:oMath>
        <m:r>
          <m:rPr>
            <m:sty m:val="p"/>
          </m:rPr>
          <w:rPr>
            <w:rFonts w:ascii="Cambria Math" w:eastAsia="Times New Roman" w:hAnsi="Cambria Math" w:cs="Times New Roman"/>
            <w:sz w:val="24"/>
            <w:szCs w:val="24"/>
          </w:rPr>
          <m:t>LAWNc</m:t>
        </m:r>
      </m:oMath>
      <w:r w:rsidRPr="00C14D16">
        <w:rPr>
          <w:rFonts w:ascii="Times New Roman" w:eastAsia="Times New Roman" w:hAnsi="Times New Roman" w:cs="Times New Roman"/>
          <w:sz w:val="24"/>
          <w:szCs w:val="24"/>
        </w:rPr>
        <w:t xml:space="preserve"> indicating samples from the lawn and associated parameter </w:t>
      </w:r>
      <m:oMath>
        <m:sSub>
          <m:sSubPr>
            <m:ctrlPr>
              <w:rPr>
                <w:rFonts w:ascii="Cambria Math" w:eastAsia="Times New Roman" w:hAnsi="Cambria Math" w:cs="Times New Roman"/>
                <w:sz w:val="24"/>
                <w:szCs w:val="24"/>
              </w:rPr>
            </m:ctrlPr>
          </m:sSubPr>
          <m:e>
            <m:r>
              <w:rPr>
                <w:rFonts w:ascii="Cambria Math" w:hAnsi="Cambria Math" w:cs="Times New Roman"/>
                <w:sz w:val="24"/>
                <w:szCs w:val="24"/>
              </w:rPr>
              <m:t>β</m:t>
            </m:r>
          </m:e>
          <m:sub>
            <m:r>
              <w:rPr>
                <w:rFonts w:ascii="Cambria Math" w:eastAsia="Times New Roman" w:hAnsi="Cambria Math" w:cs="Times New Roman"/>
                <w:sz w:val="24"/>
                <w:szCs w:val="24"/>
              </w:rPr>
              <m:t>lawndc</m:t>
            </m:r>
          </m:sub>
        </m:sSub>
      </m:oMath>
      <w:r>
        <w:rPr>
          <w:rFonts w:ascii="Times New Roman" w:eastAsia="Times New Roman" w:hAnsi="Times New Roman" w:cs="Times New Roman"/>
          <w:sz w:val="24"/>
          <w:szCs w:val="24"/>
        </w:rPr>
        <w:t xml:space="preserve"> </w:t>
      </w:r>
      <w:r w:rsidRPr="00C14D16">
        <w:rPr>
          <w:rFonts w:ascii="Times New Roman" w:eastAsia="Times New Roman" w:hAnsi="Times New Roman" w:cs="Times New Roman"/>
          <w:sz w:val="24"/>
          <w:szCs w:val="24"/>
        </w:rPr>
        <w:t xml:space="preserve">providing a different intercept in this area. Then, to estimate the corresponding SOC density for sample </w:t>
      </w:r>
      <w:r w:rsidRPr="00C14D16">
        <w:rPr>
          <w:rFonts w:ascii="Times New Roman" w:eastAsia="Times New Roman" w:hAnsi="Times New Roman" w:cs="Times New Roman"/>
          <w:i/>
          <w:sz w:val="24"/>
          <w:szCs w:val="24"/>
        </w:rPr>
        <w:t>k</w:t>
      </w:r>
      <w:r w:rsidRPr="00C14D16">
        <w:rPr>
          <w:rFonts w:ascii="Times New Roman" w:eastAsia="Times New Roman" w:hAnsi="Times New Roman" w:cs="Times New Roman"/>
          <w:sz w:val="24"/>
          <w:szCs w:val="24"/>
        </w:rPr>
        <w:t xml:space="preserve"> (</w:t>
      </w:r>
      <w:r w:rsidRPr="00C14D16">
        <w:rPr>
          <w:rFonts w:ascii="Times New Roman" w:eastAsia="Times New Roman" w:hAnsi="Times New Roman" w:cs="Times New Roman"/>
          <w:i/>
          <w:sz w:val="24"/>
          <w:szCs w:val="24"/>
        </w:rPr>
        <w:t xml:space="preserve">k </w:t>
      </w:r>
      <w:r>
        <w:rPr>
          <w:rFonts w:ascii="Times New Roman" w:eastAsia="Times New Roman" w:hAnsi="Times New Roman" w:cs="Times New Roman"/>
          <w:sz w:val="24"/>
          <w:szCs w:val="24"/>
        </w:rPr>
        <w:t>= 1...140</w:t>
      </w:r>
      <w:r w:rsidRPr="00C14D16">
        <w:rPr>
          <w:rFonts w:ascii="Times New Roman" w:eastAsia="Times New Roman" w:hAnsi="Times New Roman" w:cs="Times New Roman"/>
          <w:sz w:val="24"/>
          <w:szCs w:val="24"/>
        </w:rPr>
        <w:t>) in 2017, we multiplied the observed value for O</w:t>
      </w:r>
      <w:r>
        <w:rPr>
          <w:rFonts w:ascii="Times New Roman" w:eastAsia="Times New Roman" w:hAnsi="Times New Roman" w:cs="Times New Roman"/>
          <w:sz w:val="24"/>
          <w:szCs w:val="24"/>
        </w:rPr>
        <w:t>C by the imputed value for SBD:</w:t>
      </w:r>
    </w:p>
    <w:p w14:paraId="49444C94" w14:textId="77777777" w:rsidR="00032304" w:rsidRDefault="00032304" w:rsidP="00032304">
      <w:pPr>
        <w:spacing w:line="480" w:lineRule="auto"/>
        <w:rPr>
          <w:rFonts w:ascii="Times New Roman" w:eastAsia="Times New Roman" w:hAnsi="Times New Roman" w:cs="Times New Roman"/>
          <w:sz w:val="24"/>
          <w:szCs w:val="24"/>
        </w:rPr>
      </w:pPr>
    </w:p>
    <w:p w14:paraId="5C3AB85C" w14:textId="77777777" w:rsidR="00032304" w:rsidRPr="00C14D16" w:rsidRDefault="00221CD1" w:rsidP="00032304">
      <w:pPr>
        <w:spacing w:line="480" w:lineRule="auto"/>
        <w:ind w:left="1350" w:hanging="1350"/>
        <w:rPr>
          <w:rFonts w:ascii="Times New Roman" w:eastAsia="Times New Roman" w:hAnsi="Times New Roman" w:cs="Times New Roman"/>
          <w:sz w:val="24"/>
          <w:szCs w:val="24"/>
        </w:rPr>
      </w:pPr>
      <m:oMath>
        <m:sSub>
          <m:sSubPr>
            <m:ctrlPr>
              <w:rPr>
                <w:rFonts w:ascii="Cambria Math" w:eastAsia="Times New Roman" w:hAnsi="Cambria Math" w:cs="Times New Roman"/>
                <w:sz w:val="24"/>
                <w:szCs w:val="24"/>
              </w:rPr>
            </m:ctrlPr>
          </m:sSubPr>
          <m:e>
            <m:r>
              <m:rPr>
                <m:sty m:val="p"/>
              </m:rPr>
              <w:rPr>
                <w:rFonts w:ascii="Cambria Math" w:eastAsia="Times New Roman" w:hAnsi="Cambria Math" w:cs="Times New Roman"/>
                <w:sz w:val="24"/>
                <w:szCs w:val="24"/>
              </w:rPr>
              <m:t>SOC</m:t>
            </m:r>
            <m:r>
              <w:rPr>
                <w:rFonts w:ascii="Cambria Math" w:eastAsia="Times New Roman" w:hAnsi="Cambria Math" w:cs="Times New Roman"/>
                <w:sz w:val="24"/>
                <w:szCs w:val="24"/>
              </w:rPr>
              <m:t>17</m:t>
            </m:r>
          </m:e>
          <m:sub>
            <m:r>
              <w:rPr>
                <w:rFonts w:ascii="Cambria Math" w:eastAsia="Times New Roman" w:hAnsi="Cambria Math" w:cs="Times New Roman"/>
                <w:sz w:val="24"/>
                <w:szCs w:val="24"/>
              </w:rPr>
              <m:t>k</m:t>
            </m:r>
          </m:sub>
        </m:sSub>
        <m:r>
          <w:rPr>
            <w:rFonts w:ascii="Cambria Math" w:eastAsia="Times New Roman" w:hAnsi="Cambria Math" w:cs="Times New Roman"/>
            <w:sz w:val="24"/>
            <w:szCs w:val="24"/>
          </w:rPr>
          <m:t xml:space="preserve"> = </m:t>
        </m:r>
        <m:sSub>
          <m:sSubPr>
            <m:ctrlPr>
              <w:rPr>
                <w:rFonts w:ascii="Cambria Math" w:eastAsia="Times New Roman" w:hAnsi="Cambria Math" w:cs="Times New Roman"/>
                <w:sz w:val="24"/>
                <w:szCs w:val="24"/>
              </w:rPr>
            </m:ctrlPr>
          </m:sSubPr>
          <m:e>
            <m:r>
              <m:rPr>
                <m:sty m:val="p"/>
              </m:rPr>
              <w:rPr>
                <w:rFonts w:ascii="Cambria Math" w:eastAsia="Times New Roman" w:hAnsi="Cambria Math" w:cs="Times New Roman"/>
                <w:sz w:val="24"/>
                <w:szCs w:val="24"/>
              </w:rPr>
              <m:t>OC</m:t>
            </m:r>
            <m:r>
              <w:rPr>
                <w:rFonts w:ascii="Cambria Math" w:eastAsia="Times New Roman" w:hAnsi="Cambria Math" w:cs="Times New Roman"/>
                <w:sz w:val="24"/>
                <w:szCs w:val="24"/>
              </w:rPr>
              <m:t>17</m:t>
            </m:r>
          </m:e>
          <m:sub>
            <m:r>
              <w:rPr>
                <w:rFonts w:ascii="Cambria Math" w:eastAsia="Times New Roman" w:hAnsi="Cambria Math" w:cs="Times New Roman"/>
                <w:sz w:val="24"/>
                <w:szCs w:val="24"/>
              </w:rPr>
              <m:t>k</m:t>
            </m:r>
          </m:sub>
        </m:sSub>
        <m:r>
          <w:rPr>
            <w:rFonts w:ascii="Cambria Math" w:eastAsia="Times New Roman" w:hAnsi="Cambria Math" w:cs="Times New Roman"/>
            <w:sz w:val="24"/>
            <w:szCs w:val="24"/>
          </w:rPr>
          <m:t>*</m:t>
        </m:r>
        <m:sSub>
          <m:sSubPr>
            <m:ctrlPr>
              <w:rPr>
                <w:rFonts w:ascii="Cambria Math" w:eastAsia="Times New Roman" w:hAnsi="Cambria Math" w:cs="Times New Roman"/>
                <w:sz w:val="24"/>
                <w:szCs w:val="24"/>
              </w:rPr>
            </m:ctrlPr>
          </m:sSubPr>
          <m:e>
            <m:r>
              <m:rPr>
                <m:sty m:val="p"/>
              </m:rPr>
              <w:rPr>
                <w:rFonts w:ascii="Cambria Math" w:eastAsia="Times New Roman" w:hAnsi="Cambria Math" w:cs="Times New Roman"/>
                <w:sz w:val="24"/>
                <w:szCs w:val="24"/>
              </w:rPr>
              <m:t>exp⁡</m:t>
            </m:r>
            <m:r>
              <w:rPr>
                <w:rFonts w:ascii="Cambria Math" w:eastAsia="Times New Roman" w:hAnsi="Cambria Math" w:cs="Times New Roman"/>
                <w:sz w:val="24"/>
                <w:szCs w:val="24"/>
              </w:rPr>
              <m:t>(β</m:t>
            </m:r>
          </m:e>
          <m:sub>
            <m:r>
              <w:rPr>
                <w:rFonts w:ascii="Cambria Math" w:eastAsia="Times New Roman" w:hAnsi="Cambria Math" w:cs="Times New Roman"/>
                <w:sz w:val="24"/>
                <w:szCs w:val="24"/>
              </w:rPr>
              <m:t>sbdc</m:t>
            </m:r>
          </m:sub>
        </m:sSub>
        <m:r>
          <w:rPr>
            <w:rFonts w:ascii="Cambria Math" w:eastAsia="Times New Roman" w:hAnsi="Cambria Math" w:cs="Times New Roman"/>
            <w:sz w:val="24"/>
            <w:szCs w:val="24"/>
          </w:rPr>
          <m:t>*</m:t>
        </m:r>
        <m:sSub>
          <m:sSubPr>
            <m:ctrlPr>
              <w:rPr>
                <w:rFonts w:ascii="Cambria Math" w:eastAsia="Times New Roman" w:hAnsi="Cambria Math" w:cs="Times New Roman"/>
                <w:sz w:val="24"/>
                <w:szCs w:val="24"/>
              </w:rPr>
            </m:ctrlPr>
          </m:sSubPr>
          <m:e>
            <m:r>
              <m:rPr>
                <m:sty m:val="p"/>
              </m:rPr>
              <w:rPr>
                <w:rFonts w:ascii="Cambria Math" w:eastAsia="Times New Roman" w:hAnsi="Cambria Math" w:cs="Times New Roman"/>
                <w:sz w:val="24"/>
                <w:szCs w:val="24"/>
              </w:rPr>
              <m:t>log⁡</m:t>
            </m:r>
            <m:r>
              <w:rPr>
                <w:rFonts w:ascii="Cambria Math" w:eastAsia="Times New Roman" w:hAnsi="Cambria Math" w:cs="Times New Roman"/>
                <w:sz w:val="24"/>
                <w:szCs w:val="24"/>
              </w:rPr>
              <m:t>(</m:t>
            </m:r>
            <m:r>
              <m:rPr>
                <m:sty m:val="p"/>
              </m:rPr>
              <w:rPr>
                <w:rFonts w:ascii="Cambria Math" w:eastAsia="Times New Roman" w:hAnsi="Cambria Math" w:cs="Times New Roman"/>
                <w:sz w:val="24"/>
                <w:szCs w:val="24"/>
              </w:rPr>
              <m:t>OC</m:t>
            </m:r>
            <m:r>
              <w:rPr>
                <w:rFonts w:ascii="Cambria Math" w:eastAsia="Times New Roman" w:hAnsi="Cambria Math" w:cs="Times New Roman"/>
                <w:sz w:val="24"/>
                <w:szCs w:val="24"/>
              </w:rPr>
              <m:t>17</m:t>
            </m:r>
          </m:e>
          <m:sub>
            <m:r>
              <w:rPr>
                <w:rFonts w:ascii="Cambria Math" w:eastAsia="Times New Roman" w:hAnsi="Cambria Math" w:cs="Times New Roman"/>
                <w:sz w:val="24"/>
                <w:szCs w:val="24"/>
              </w:rPr>
              <m:t>k</m:t>
            </m:r>
          </m:sub>
        </m:sSub>
        <m:r>
          <w:rPr>
            <w:rFonts w:ascii="Cambria Math" w:eastAsia="Times New Roman" w:hAnsi="Cambria Math" w:cs="Times New Roman"/>
            <w:sz w:val="24"/>
            <w:szCs w:val="24"/>
          </w:rPr>
          <m:t>)+</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β</m:t>
            </m:r>
          </m:e>
          <m:sub>
            <m:r>
              <w:rPr>
                <w:rFonts w:ascii="Cambria Math" w:eastAsia="Times New Roman" w:hAnsi="Cambria Math" w:cs="Times New Roman"/>
                <w:sz w:val="24"/>
                <w:szCs w:val="24"/>
              </w:rPr>
              <m:t>0dc</m:t>
            </m:r>
          </m:sub>
        </m:sSub>
        <m:r>
          <w:rPr>
            <w:rFonts w:ascii="Cambria Math" w:eastAsia="Times New Roman" w:hAnsi="Cambria Math" w:cs="Times New Roman"/>
            <w:sz w:val="24"/>
            <w:szCs w:val="24"/>
          </w:rPr>
          <m:t>+</m:t>
        </m:r>
        <m:sSub>
          <m:sSubPr>
            <m:ctrlPr>
              <w:rPr>
                <w:rFonts w:ascii="Cambria Math" w:eastAsia="Times New Roman" w:hAnsi="Cambria Math" w:cs="Times New Roman"/>
                <w:sz w:val="24"/>
                <w:szCs w:val="24"/>
              </w:rPr>
            </m:ctrlPr>
          </m:sSubPr>
          <m:e>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β</m:t>
                </m:r>
              </m:e>
              <m:sub>
                <m:r>
                  <w:rPr>
                    <w:rFonts w:ascii="Cambria Math" w:eastAsia="Times New Roman" w:hAnsi="Cambria Math" w:cs="Times New Roman"/>
                    <w:sz w:val="24"/>
                    <w:szCs w:val="24"/>
                  </w:rPr>
                  <m:t>lawndc</m:t>
                </m:r>
              </m:sub>
            </m:sSub>
            <m:r>
              <w:rPr>
                <w:rFonts w:ascii="Cambria Math" w:eastAsia="Times New Roman" w:hAnsi="Cambria Math" w:cs="Times New Roman"/>
                <w:sz w:val="24"/>
                <w:szCs w:val="24"/>
              </w:rPr>
              <m:t>*</m:t>
            </m:r>
            <m:sSub>
              <m:sSubPr>
                <m:ctrlPr>
                  <w:rPr>
                    <w:rFonts w:ascii="Cambria Math" w:eastAsia="Times New Roman" w:hAnsi="Cambria Math" w:cs="Times New Roman"/>
                    <w:sz w:val="24"/>
                    <w:szCs w:val="24"/>
                  </w:rPr>
                </m:ctrlPr>
              </m:sSubPr>
              <m:e>
                <m:r>
                  <m:rPr>
                    <m:sty m:val="p"/>
                  </m:rPr>
                  <w:rPr>
                    <w:rFonts w:ascii="Cambria Math" w:eastAsia="Times New Roman" w:hAnsi="Cambria Math" w:cs="Times New Roman"/>
                    <w:sz w:val="24"/>
                    <w:szCs w:val="24"/>
                  </w:rPr>
                  <m:t>LAWN</m:t>
                </m:r>
              </m:e>
              <m:sub>
                <m:r>
                  <w:rPr>
                    <w:rFonts w:ascii="Cambria Math" w:eastAsia="Times New Roman" w:hAnsi="Cambria Math" w:cs="Times New Roman"/>
                    <w:sz w:val="24"/>
                    <w:szCs w:val="24"/>
                  </w:rPr>
                  <m:t>k</m:t>
                </m:r>
              </m:sub>
            </m:sSub>
            <m:r>
              <w:rPr>
                <w:rFonts w:ascii="Cambria Math" w:eastAsia="Times New Roman" w:hAnsi="Cambria Math" w:cs="Times New Roman"/>
                <w:sz w:val="24"/>
                <w:szCs w:val="24"/>
              </w:rPr>
              <m:t>+β</m:t>
            </m:r>
          </m:e>
          <m:sub>
            <m:r>
              <w:rPr>
                <w:rFonts w:ascii="Cambria Math" w:eastAsia="Times New Roman" w:hAnsi="Cambria Math" w:cs="Times New Roman"/>
                <w:sz w:val="24"/>
                <w:szCs w:val="24"/>
              </w:rPr>
              <m:t>ldc</m:t>
            </m:r>
          </m:sub>
        </m:sSub>
        <m:r>
          <w:rPr>
            <w:rFonts w:ascii="Cambria Math" w:eastAsia="Times New Roman" w:hAnsi="Cambria Math" w:cs="Times New Roman"/>
            <w:sz w:val="24"/>
            <w:szCs w:val="24"/>
          </w:rPr>
          <m:t>*</m:t>
        </m:r>
        <m:r>
          <m:rPr>
            <m:sty m:val="p"/>
          </m:rPr>
          <w:rPr>
            <w:rFonts w:ascii="Cambria Math" w:eastAsia="Times New Roman" w:hAnsi="Cambria Math" w:cs="Times New Roman"/>
            <w:sz w:val="24"/>
            <w:szCs w:val="24"/>
          </w:rPr>
          <m:t>LOW</m:t>
        </m:r>
        <m:r>
          <w:rPr>
            <w:rFonts w:ascii="Cambria Math" w:eastAsia="Times New Roman" w:hAnsi="Cambria Math" w:cs="Times New Roman"/>
            <w:sz w:val="24"/>
            <w:szCs w:val="24"/>
          </w:rPr>
          <m:t>k+</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β</m:t>
            </m:r>
          </m:e>
          <m:sub>
            <m:r>
              <w:rPr>
                <w:rFonts w:ascii="Cambria Math" w:eastAsia="Times New Roman" w:hAnsi="Cambria Math" w:cs="Times New Roman"/>
                <w:sz w:val="24"/>
                <w:szCs w:val="24"/>
              </w:rPr>
              <m:t>bdc</m:t>
            </m:r>
          </m:sub>
        </m:sSub>
        <m:r>
          <w:rPr>
            <w:rFonts w:ascii="Cambria Math" w:eastAsia="Times New Roman" w:hAnsi="Cambria Math" w:cs="Times New Roman"/>
            <w:sz w:val="24"/>
            <w:szCs w:val="24"/>
          </w:rPr>
          <m:t>*</m:t>
        </m:r>
        <m:sSub>
          <m:sSubPr>
            <m:ctrlPr>
              <w:rPr>
                <w:rFonts w:ascii="Cambria Math" w:eastAsia="Times New Roman" w:hAnsi="Cambria Math" w:cs="Times New Roman"/>
                <w:sz w:val="24"/>
                <w:szCs w:val="24"/>
              </w:rPr>
            </m:ctrlPr>
          </m:sSubPr>
          <m:e>
            <m:r>
              <m:rPr>
                <m:sty m:val="p"/>
              </m:rPr>
              <w:rPr>
                <w:rFonts w:ascii="Cambria Math" w:eastAsia="Times New Roman" w:hAnsi="Cambria Math" w:cs="Times New Roman"/>
                <w:sz w:val="24"/>
                <w:szCs w:val="24"/>
              </w:rPr>
              <m:t>BERM</m:t>
            </m:r>
          </m:e>
          <m:sub>
            <m:r>
              <w:rPr>
                <w:rFonts w:ascii="Cambria Math" w:eastAsia="Times New Roman" w:hAnsi="Cambria Math" w:cs="Times New Roman"/>
                <w:sz w:val="24"/>
                <w:szCs w:val="24"/>
              </w:rPr>
              <m:t>k</m:t>
            </m:r>
          </m:sub>
        </m:sSub>
        <m:r>
          <w:rPr>
            <w:rFonts w:ascii="Cambria Math" w:eastAsia="Times New Roman" w:hAnsi="Cambria Math" w:cs="Times New Roman"/>
            <w:sz w:val="24"/>
            <w:szCs w:val="24"/>
          </w:rPr>
          <m:t>)*100</m:t>
        </m:r>
      </m:oMath>
      <w:r w:rsidR="00032304">
        <w:rPr>
          <w:rFonts w:ascii="Times New Roman" w:eastAsia="Times New Roman" w:hAnsi="Times New Roman" w:cs="Times New Roman"/>
          <w:sz w:val="24"/>
          <w:szCs w:val="24"/>
        </w:rPr>
        <w:t xml:space="preserve"> </w:t>
      </w:r>
      <w:r w:rsidR="00032304">
        <w:rPr>
          <w:rFonts w:ascii="Times New Roman" w:eastAsia="Times New Roman" w:hAnsi="Times New Roman" w:cs="Times New Roman"/>
          <w:sz w:val="24"/>
          <w:szCs w:val="24"/>
        </w:rPr>
        <w:tab/>
      </w:r>
      <w:r w:rsidR="00032304">
        <w:rPr>
          <w:rFonts w:ascii="Times New Roman" w:eastAsia="Times New Roman" w:hAnsi="Times New Roman" w:cs="Times New Roman"/>
          <w:sz w:val="24"/>
          <w:szCs w:val="24"/>
        </w:rPr>
        <w:tab/>
      </w:r>
      <w:r w:rsidR="00032304">
        <w:rPr>
          <w:rFonts w:ascii="Times New Roman" w:eastAsia="Times New Roman" w:hAnsi="Times New Roman" w:cs="Times New Roman"/>
          <w:sz w:val="24"/>
          <w:szCs w:val="24"/>
        </w:rPr>
        <w:tab/>
      </w:r>
      <w:r w:rsidR="00032304">
        <w:rPr>
          <w:rFonts w:ascii="Times New Roman" w:eastAsia="Times New Roman" w:hAnsi="Times New Roman" w:cs="Times New Roman"/>
          <w:sz w:val="24"/>
          <w:szCs w:val="24"/>
        </w:rPr>
        <w:tab/>
      </w:r>
      <w:r w:rsidR="00032304">
        <w:rPr>
          <w:rFonts w:ascii="Times New Roman" w:eastAsia="Times New Roman" w:hAnsi="Times New Roman" w:cs="Times New Roman"/>
          <w:sz w:val="24"/>
          <w:szCs w:val="24"/>
        </w:rPr>
        <w:tab/>
      </w:r>
      <w:r w:rsidR="00032304">
        <w:rPr>
          <w:rFonts w:ascii="Times New Roman" w:eastAsia="Times New Roman" w:hAnsi="Times New Roman" w:cs="Times New Roman"/>
          <w:sz w:val="24"/>
          <w:szCs w:val="24"/>
        </w:rPr>
        <w:tab/>
      </w:r>
      <w:r w:rsidR="00032304">
        <w:rPr>
          <w:rFonts w:ascii="Times New Roman" w:eastAsia="Times New Roman" w:hAnsi="Times New Roman" w:cs="Times New Roman"/>
          <w:sz w:val="24"/>
          <w:szCs w:val="24"/>
        </w:rPr>
        <w:tab/>
        <w:t>(Eq. S4</w:t>
      </w:r>
      <w:r w:rsidR="00032304" w:rsidRPr="00C14D16">
        <w:rPr>
          <w:rFonts w:ascii="Times New Roman" w:eastAsia="Times New Roman" w:hAnsi="Times New Roman" w:cs="Times New Roman"/>
          <w:sz w:val="24"/>
          <w:szCs w:val="24"/>
        </w:rPr>
        <w:t>)</w:t>
      </w:r>
    </w:p>
    <w:p w14:paraId="53BF7F28" w14:textId="77777777" w:rsidR="00032304" w:rsidRDefault="00032304" w:rsidP="00032304">
      <w:pPr>
        <w:spacing w:line="480" w:lineRule="auto"/>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ab/>
      </w:r>
    </w:p>
    <w:p w14:paraId="747E0449" w14:textId="27D7251D" w:rsidR="00032304" w:rsidRPr="00C14D16" w:rsidRDefault="00032304" w:rsidP="00032304">
      <w:pPr>
        <w:spacing w:line="480" w:lineRule="auto"/>
        <w:ind w:firstLine="720"/>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Finally, to quantify soil carbon sequestration across all sampling locations we calculated the mean SOC density in kg C m</w:t>
      </w:r>
      <w:r w:rsidRPr="00C14D16">
        <w:rPr>
          <w:rFonts w:ascii="Times New Roman" w:eastAsia="Times New Roman" w:hAnsi="Times New Roman" w:cs="Times New Roman"/>
          <w:sz w:val="24"/>
          <w:szCs w:val="24"/>
          <w:vertAlign w:val="superscript"/>
        </w:rPr>
        <w:t xml:space="preserve">-2 </w:t>
      </w:r>
      <w:r w:rsidRPr="00C14D16">
        <w:rPr>
          <w:rFonts w:ascii="Times New Roman" w:eastAsia="Times New Roman" w:hAnsi="Times New Roman" w:cs="Times New Roman"/>
          <w:sz w:val="24"/>
          <w:szCs w:val="24"/>
        </w:rPr>
        <w:t xml:space="preserve">for each stratum, area and time interval, along with their associated 95% credible intervals, which incorporated uncertainty from both the calibration curve applied to the LOI data in 2019 </w:t>
      </w:r>
      <w:r w:rsidR="00F523F6">
        <w:rPr>
          <w:rFonts w:ascii="Times New Roman" w:eastAsia="Times New Roman" w:hAnsi="Times New Roman" w:cs="Times New Roman"/>
          <w:sz w:val="24"/>
          <w:szCs w:val="24"/>
        </w:rPr>
        <w:t xml:space="preserve">(Eq. S1-S2) </w:t>
      </w:r>
      <w:r w:rsidRPr="00C14D16">
        <w:rPr>
          <w:rFonts w:ascii="Times New Roman" w:eastAsia="Times New Roman" w:hAnsi="Times New Roman" w:cs="Times New Roman"/>
          <w:sz w:val="24"/>
          <w:szCs w:val="24"/>
        </w:rPr>
        <w:t>and the imputation of SBD in 2017</w:t>
      </w:r>
      <w:r w:rsidR="00F523F6">
        <w:rPr>
          <w:rFonts w:ascii="Times New Roman" w:eastAsia="Times New Roman" w:hAnsi="Times New Roman" w:cs="Times New Roman"/>
          <w:sz w:val="24"/>
          <w:szCs w:val="24"/>
        </w:rPr>
        <w:t xml:space="preserve"> (Eq. S3-S4)</w:t>
      </w:r>
      <w:r w:rsidRPr="00C14D16">
        <w:rPr>
          <w:rFonts w:ascii="Times New Roman" w:eastAsia="Times New Roman" w:hAnsi="Times New Roman" w:cs="Times New Roman"/>
          <w:sz w:val="24"/>
          <w:szCs w:val="24"/>
        </w:rPr>
        <w:t>. We calculated the average SOC density for each stratum, area and time and considered values different if their 95% credible intervals did not include the mean value for another set of samples. For the details of parameter estimation</w:t>
      </w:r>
      <w:r>
        <w:rPr>
          <w:rFonts w:ascii="Times New Roman" w:eastAsia="Times New Roman" w:hAnsi="Times New Roman" w:cs="Times New Roman"/>
          <w:sz w:val="24"/>
          <w:szCs w:val="24"/>
        </w:rPr>
        <w:t>,</w:t>
      </w:r>
      <w:r w:rsidRPr="00C14D16">
        <w:rPr>
          <w:rFonts w:ascii="Times New Roman" w:eastAsia="Times New Roman" w:hAnsi="Times New Roman" w:cs="Times New Roman"/>
          <w:sz w:val="24"/>
          <w:szCs w:val="24"/>
        </w:rPr>
        <w:t xml:space="preserve"> see </w:t>
      </w:r>
      <w:r w:rsidR="00F523F6">
        <w:rPr>
          <w:rFonts w:ascii="Times New Roman" w:eastAsia="Times New Roman" w:hAnsi="Times New Roman" w:cs="Times New Roman"/>
          <w:i/>
          <w:sz w:val="24"/>
          <w:szCs w:val="24"/>
        </w:rPr>
        <w:t>Model I</w:t>
      </w:r>
      <w:r w:rsidRPr="00F523F6">
        <w:rPr>
          <w:rFonts w:ascii="Times New Roman" w:eastAsia="Times New Roman" w:hAnsi="Times New Roman" w:cs="Times New Roman"/>
          <w:i/>
          <w:sz w:val="24"/>
          <w:szCs w:val="24"/>
        </w:rPr>
        <w:t>mplementation</w:t>
      </w:r>
      <w:r w:rsidRPr="00C14D16">
        <w:rPr>
          <w:rFonts w:ascii="Times New Roman" w:eastAsia="Times New Roman" w:hAnsi="Times New Roman" w:cs="Times New Roman"/>
          <w:sz w:val="24"/>
          <w:szCs w:val="24"/>
        </w:rPr>
        <w:t>.</w:t>
      </w:r>
    </w:p>
    <w:p w14:paraId="21774DCC" w14:textId="563EF4FD" w:rsidR="00032304" w:rsidRDefault="00032304" w:rsidP="00032304">
      <w:pPr>
        <w:spacing w:line="480" w:lineRule="auto"/>
        <w:ind w:firstLine="720"/>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 xml:space="preserve">Beyond describing differences in C sequestration between each set of sampling locations, we tested hypotheses about changes in C cycling using an inferential model that accounted for the spatial structure of the sampling design. For soil compaction, we directly modeled the observed measurements of SBD </w:t>
      </w:r>
      <w:r w:rsidR="00F523F6">
        <w:rPr>
          <w:rFonts w:ascii="Times New Roman" w:eastAsia="Times New Roman" w:hAnsi="Times New Roman" w:cs="Times New Roman"/>
          <w:sz w:val="24"/>
          <w:szCs w:val="24"/>
        </w:rPr>
        <w:t xml:space="preserve">in 2019 </w:t>
      </w:r>
      <w:r w:rsidRPr="00C14D16">
        <w:rPr>
          <w:rFonts w:ascii="Times New Roman" w:eastAsia="Times New Roman" w:hAnsi="Times New Roman" w:cs="Times New Roman"/>
          <w:sz w:val="24"/>
          <w:szCs w:val="24"/>
        </w:rPr>
        <w:t xml:space="preserve">using independent spatial lognormal regressions for each area. In the UFF, for each measurement </w:t>
      </w:r>
      <w:r w:rsidRPr="00C14D16">
        <w:rPr>
          <w:rFonts w:ascii="Times New Roman" w:eastAsia="Times New Roman" w:hAnsi="Times New Roman" w:cs="Times New Roman"/>
          <w:i/>
          <w:sz w:val="24"/>
          <w:szCs w:val="24"/>
        </w:rPr>
        <w:t>e</w:t>
      </w:r>
      <w:r w:rsidRPr="00C14D16">
        <w:rPr>
          <w:rFonts w:ascii="Times New Roman" w:eastAsia="Times New Roman" w:hAnsi="Times New Roman" w:cs="Times New Roman"/>
          <w:sz w:val="24"/>
          <w:szCs w:val="24"/>
        </w:rPr>
        <w:t xml:space="preserve"> (</w:t>
      </w:r>
      <w:r w:rsidRPr="00C14D16">
        <w:rPr>
          <w:rFonts w:ascii="Times New Roman" w:eastAsia="Times New Roman" w:hAnsi="Times New Roman" w:cs="Times New Roman"/>
          <w:i/>
          <w:sz w:val="24"/>
          <w:szCs w:val="24"/>
        </w:rPr>
        <w:t>e</w:t>
      </w:r>
      <w:r w:rsidRPr="00C14D16">
        <w:rPr>
          <w:rFonts w:ascii="Times New Roman" w:eastAsia="Times New Roman" w:hAnsi="Times New Roman" w:cs="Times New Roman"/>
          <w:sz w:val="24"/>
          <w:szCs w:val="24"/>
        </w:rPr>
        <w:t xml:space="preserve"> = 1...96) from location </w:t>
      </w:r>
      <w:r w:rsidRPr="00C14D16">
        <w:rPr>
          <w:rFonts w:ascii="Times New Roman" w:eastAsia="Times New Roman" w:hAnsi="Times New Roman" w:cs="Times New Roman"/>
          <w:i/>
          <w:sz w:val="24"/>
          <w:szCs w:val="24"/>
        </w:rPr>
        <w:t xml:space="preserve">m </w:t>
      </w:r>
      <w:r w:rsidRPr="00C14D16">
        <w:rPr>
          <w:rFonts w:ascii="Times New Roman" w:eastAsia="Times New Roman" w:hAnsi="Times New Roman" w:cs="Times New Roman"/>
          <w:sz w:val="24"/>
          <w:szCs w:val="24"/>
        </w:rPr>
        <w:t>(</w:t>
      </w:r>
      <w:r w:rsidRPr="00C14D16">
        <w:rPr>
          <w:rFonts w:ascii="Times New Roman" w:eastAsia="Times New Roman" w:hAnsi="Times New Roman" w:cs="Times New Roman"/>
          <w:i/>
          <w:sz w:val="24"/>
          <w:szCs w:val="24"/>
        </w:rPr>
        <w:t xml:space="preserve">m = </w:t>
      </w:r>
      <w:r w:rsidRPr="00C14D16">
        <w:rPr>
          <w:rFonts w:ascii="Times New Roman" w:eastAsia="Times New Roman" w:hAnsi="Times New Roman" w:cs="Times New Roman"/>
          <w:sz w:val="24"/>
          <w:szCs w:val="24"/>
        </w:rPr>
        <w:t xml:space="preserve">1...32): </w:t>
      </w:r>
    </w:p>
    <w:p w14:paraId="78F04686" w14:textId="77777777" w:rsidR="00032304" w:rsidRPr="00C14D16" w:rsidRDefault="00032304" w:rsidP="00032304">
      <w:pPr>
        <w:spacing w:line="480" w:lineRule="auto"/>
        <w:ind w:firstLine="720"/>
        <w:rPr>
          <w:rFonts w:ascii="Times New Roman" w:eastAsia="Times New Roman" w:hAnsi="Times New Roman" w:cs="Times New Roman"/>
          <w:sz w:val="24"/>
          <w:szCs w:val="24"/>
        </w:rPr>
      </w:pPr>
    </w:p>
    <w:p w14:paraId="34CE8475" w14:textId="77777777" w:rsidR="00032304" w:rsidRPr="00C14D16" w:rsidRDefault="00221CD1" w:rsidP="00032304">
      <w:pPr>
        <w:spacing w:line="480" w:lineRule="auto"/>
        <w:rPr>
          <w:rFonts w:ascii="Times New Roman" w:eastAsia="Times New Roman" w:hAnsi="Times New Roman" w:cs="Times New Roman"/>
          <w:sz w:val="24"/>
          <w:szCs w:val="24"/>
        </w:rPr>
      </w:pPr>
      <m:oMath>
        <m:sSub>
          <m:sSubPr>
            <m:ctrlPr>
              <w:rPr>
                <w:rFonts w:ascii="Cambria Math" w:eastAsia="Times New Roman" w:hAnsi="Cambria Math" w:cs="Times New Roman"/>
                <w:sz w:val="24"/>
                <w:szCs w:val="24"/>
              </w:rPr>
            </m:ctrlPr>
          </m:sSubPr>
          <m:e>
            <m:r>
              <m:rPr>
                <m:sty m:val="p"/>
              </m:rPr>
              <w:rPr>
                <w:rFonts w:ascii="Cambria Math" w:eastAsia="Times New Roman" w:hAnsi="Cambria Math" w:cs="Times New Roman"/>
                <w:sz w:val="24"/>
                <w:szCs w:val="24"/>
              </w:rPr>
              <m:t>SBD</m:t>
            </m:r>
          </m:e>
          <m:sub>
            <m:r>
              <w:rPr>
                <w:rFonts w:ascii="Cambria Math" w:eastAsia="Times New Roman" w:hAnsi="Cambria Math" w:cs="Times New Roman"/>
                <w:sz w:val="24"/>
                <w:szCs w:val="24"/>
              </w:rPr>
              <m:t>e,m</m:t>
            </m:r>
          </m:sub>
        </m:sSub>
        <m:r>
          <w:rPr>
            <w:rFonts w:ascii="Cambria Math" w:eastAsia="Times New Roman" w:hAnsi="Cambria Math" w:cs="Times New Roman"/>
            <w:sz w:val="24"/>
            <w:szCs w:val="24"/>
          </w:rPr>
          <m:t>∼Lognormal</m:t>
        </m:r>
        <m:d>
          <m:dPr>
            <m:ctrlPr>
              <w:rPr>
                <w:rFonts w:ascii="Cambria Math" w:eastAsia="Times New Roman" w:hAnsi="Cambria Math" w:cs="Times New Roman"/>
                <w:sz w:val="24"/>
                <w:szCs w:val="24"/>
              </w:rPr>
            </m:ctrlPr>
          </m:dPr>
          <m:e>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β</m:t>
                </m:r>
              </m:e>
              <m:sub>
                <m:r>
                  <w:rPr>
                    <w:rFonts w:ascii="Cambria Math" w:eastAsia="Times New Roman" w:hAnsi="Cambria Math" w:cs="Times New Roman"/>
                    <w:sz w:val="24"/>
                    <w:szCs w:val="24"/>
                  </w:rPr>
                  <m:t>0df</m:t>
                </m:r>
              </m:sub>
            </m:sSub>
            <m:r>
              <w:rPr>
                <w:rFonts w:ascii="Cambria Math" w:eastAsia="Times New Roman" w:hAnsi="Cambria Math" w:cs="Times New Roman"/>
                <w:sz w:val="24"/>
                <w:szCs w:val="24"/>
              </w:rPr>
              <m:t>+</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β</m:t>
                </m:r>
              </m:e>
              <m:sub>
                <m:r>
                  <w:rPr>
                    <w:rFonts w:ascii="Cambria Math" w:eastAsia="Times New Roman" w:hAnsi="Cambria Math" w:cs="Times New Roman"/>
                    <w:sz w:val="24"/>
                    <w:szCs w:val="24"/>
                  </w:rPr>
                  <m:t>ldf</m:t>
                </m:r>
              </m:sub>
            </m:sSub>
            <m:r>
              <w:rPr>
                <w:rFonts w:ascii="Cambria Math" w:eastAsia="Times New Roman" w:hAnsi="Cambria Math" w:cs="Times New Roman"/>
                <w:sz w:val="24"/>
                <w:szCs w:val="24"/>
              </w:rPr>
              <m:t>*</m:t>
            </m:r>
            <m:sSub>
              <m:sSubPr>
                <m:ctrlPr>
                  <w:rPr>
                    <w:rFonts w:ascii="Cambria Math" w:eastAsia="Times New Roman" w:hAnsi="Cambria Math" w:cs="Times New Roman"/>
                    <w:sz w:val="24"/>
                    <w:szCs w:val="24"/>
                    <w:vertAlign w:val="subscript"/>
                  </w:rPr>
                </m:ctrlPr>
              </m:sSubPr>
              <m:e>
                <m:r>
                  <m:rPr>
                    <m:sty m:val="p"/>
                  </m:rPr>
                  <w:rPr>
                    <w:rFonts w:ascii="Cambria Math" w:eastAsia="Times New Roman" w:hAnsi="Cambria Math" w:cs="Times New Roman"/>
                    <w:sz w:val="24"/>
                    <w:szCs w:val="24"/>
                    <w:vertAlign w:val="subscript"/>
                  </w:rPr>
                  <m:t>LOWf</m:t>
                </m:r>
              </m:e>
              <m:sub>
                <m:r>
                  <w:rPr>
                    <w:rFonts w:ascii="Cambria Math" w:eastAsia="Times New Roman" w:hAnsi="Cambria Math" w:cs="Times New Roman"/>
                    <w:sz w:val="24"/>
                    <w:szCs w:val="24"/>
                    <w:vertAlign w:val="subscript"/>
                  </w:rPr>
                  <m:t>e</m:t>
                </m:r>
              </m:sub>
            </m:sSub>
            <m:r>
              <w:rPr>
                <w:rFonts w:ascii="Cambria Math" w:eastAsia="Times New Roman" w:hAnsi="Cambria Math" w:cs="Times New Roman"/>
                <w:sz w:val="24"/>
                <w:szCs w:val="24"/>
                <w:vertAlign w:val="subscript"/>
              </w:rPr>
              <m:t xml:space="preserve"> + </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vertAlign w:val="subscript"/>
                  </w:rPr>
                  <m:t>β</m:t>
                </m:r>
              </m:e>
              <m:sub>
                <m:r>
                  <w:rPr>
                    <w:rFonts w:ascii="Cambria Math" w:eastAsia="Times New Roman" w:hAnsi="Cambria Math" w:cs="Times New Roman"/>
                    <w:sz w:val="24"/>
                    <w:szCs w:val="24"/>
                  </w:rPr>
                  <m:t>bdf</m:t>
                </m:r>
              </m:sub>
            </m:sSub>
            <m:r>
              <w:rPr>
                <w:rFonts w:ascii="Cambria Math" w:eastAsia="Times New Roman" w:hAnsi="Cambria Math" w:cs="Times New Roman"/>
                <w:sz w:val="24"/>
                <w:szCs w:val="24"/>
              </w:rPr>
              <m:t>*</m:t>
            </m:r>
            <m:sSub>
              <m:sSubPr>
                <m:ctrlPr>
                  <w:rPr>
                    <w:rFonts w:ascii="Cambria Math" w:eastAsia="Times New Roman" w:hAnsi="Cambria Math" w:cs="Times New Roman"/>
                    <w:sz w:val="24"/>
                    <w:szCs w:val="24"/>
                    <w:vertAlign w:val="subscript"/>
                  </w:rPr>
                </m:ctrlPr>
              </m:sSubPr>
              <m:e>
                <m:r>
                  <m:rPr>
                    <m:sty m:val="p"/>
                  </m:rPr>
                  <w:rPr>
                    <w:rFonts w:ascii="Cambria Math" w:eastAsia="Times New Roman" w:hAnsi="Cambria Math" w:cs="Times New Roman"/>
                    <w:sz w:val="24"/>
                    <w:szCs w:val="24"/>
                    <w:vertAlign w:val="subscript"/>
                  </w:rPr>
                  <m:t>BERMf</m:t>
                </m:r>
              </m:e>
              <m:sub>
                <m:r>
                  <w:rPr>
                    <w:rFonts w:ascii="Cambria Math" w:eastAsia="Times New Roman" w:hAnsi="Cambria Math" w:cs="Times New Roman"/>
                    <w:sz w:val="24"/>
                    <w:szCs w:val="24"/>
                    <w:vertAlign w:val="subscript"/>
                  </w:rPr>
                  <m:t>e</m:t>
                </m:r>
              </m:sub>
            </m:sSub>
            <m:r>
              <w:rPr>
                <w:rFonts w:ascii="Cambria Math" w:eastAsia="Times New Roman" w:hAnsi="Cambria Math" w:cs="Times New Roman"/>
                <w:sz w:val="24"/>
                <w:szCs w:val="24"/>
              </w:rPr>
              <m:t>+</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β</m:t>
                </m:r>
              </m:e>
              <m:sub>
                <m:sSub>
                  <m:sSubPr>
                    <m:ctrlPr>
                      <w:rPr>
                        <w:rFonts w:ascii="Cambria Math" w:eastAsia="Times New Roman" w:hAnsi="Cambria Math" w:cs="Times New Roman"/>
                        <w:sz w:val="24"/>
                        <w:szCs w:val="24"/>
                        <w:vertAlign w:val="subscript"/>
                      </w:rPr>
                    </m:ctrlPr>
                  </m:sSubPr>
                  <m:e>
                    <m:r>
                      <w:rPr>
                        <w:rFonts w:ascii="Cambria Math" w:eastAsia="Times New Roman" w:hAnsi="Cambria Math" w:cs="Times New Roman"/>
                        <w:sz w:val="24"/>
                        <w:szCs w:val="24"/>
                        <w:vertAlign w:val="subscript"/>
                      </w:rPr>
                      <m:t>griddf</m:t>
                    </m:r>
                  </m:e>
                  <m:sub>
                    <m:r>
                      <w:rPr>
                        <w:rFonts w:ascii="Cambria Math" w:eastAsia="Times New Roman" w:hAnsi="Cambria Math" w:cs="Times New Roman"/>
                        <w:sz w:val="24"/>
                        <w:szCs w:val="24"/>
                        <w:vertAlign w:val="subscript"/>
                      </w:rPr>
                      <m:t>m</m:t>
                    </m:r>
                  </m:sub>
                </m:sSub>
              </m:sub>
            </m:sSub>
            <m:r>
              <w:rPr>
                <w:rFonts w:ascii="Cambria Math" w:eastAsia="Times New Roman" w:hAnsi="Cambria Math" w:cs="Times New Roman"/>
                <w:sz w:val="24"/>
                <w:szCs w:val="24"/>
              </w:rPr>
              <m:t xml:space="preserve"> , </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σ</m:t>
                </m:r>
              </m:e>
              <m:sub>
                <m:r>
                  <w:rPr>
                    <w:rFonts w:ascii="Cambria Math" w:eastAsia="Times New Roman" w:hAnsi="Cambria Math" w:cs="Times New Roman"/>
                    <w:sz w:val="24"/>
                    <w:szCs w:val="24"/>
                  </w:rPr>
                  <m:t>obsdf</m:t>
                </m:r>
              </m:sub>
            </m:sSub>
          </m:e>
        </m:d>
      </m:oMath>
      <w:r w:rsidR="00032304">
        <w:rPr>
          <w:rFonts w:ascii="Times New Roman" w:eastAsia="Times New Roman" w:hAnsi="Times New Roman" w:cs="Times New Roman"/>
          <w:sz w:val="24"/>
          <w:szCs w:val="24"/>
        </w:rPr>
        <w:t xml:space="preserve">  (Eq. S5</w:t>
      </w:r>
      <w:r w:rsidR="00032304" w:rsidRPr="00C14D16">
        <w:rPr>
          <w:rFonts w:ascii="Times New Roman" w:eastAsia="Times New Roman" w:hAnsi="Times New Roman" w:cs="Times New Roman"/>
          <w:sz w:val="24"/>
          <w:szCs w:val="24"/>
        </w:rPr>
        <w:t>)</w:t>
      </w:r>
    </w:p>
    <w:p w14:paraId="71BC470E" w14:textId="77777777" w:rsidR="00032304" w:rsidRDefault="00032304" w:rsidP="00032304">
      <w:pPr>
        <w:spacing w:line="480" w:lineRule="auto"/>
        <w:ind w:firstLine="720"/>
        <w:rPr>
          <w:rFonts w:ascii="Times New Roman" w:eastAsia="Times New Roman" w:hAnsi="Times New Roman" w:cs="Times New Roman"/>
          <w:sz w:val="24"/>
          <w:szCs w:val="24"/>
        </w:rPr>
      </w:pPr>
    </w:p>
    <w:p w14:paraId="5EFEDA06" w14:textId="77777777" w:rsidR="00032304" w:rsidRDefault="00032304" w:rsidP="00032304">
      <w:pPr>
        <w:spacing w:line="480" w:lineRule="auto"/>
        <w:rPr>
          <w:rFonts w:ascii="Times New Roman" w:eastAsia="Gungsuh" w:hAnsi="Times New Roman" w:cs="Times New Roman"/>
          <w:i/>
          <w:sz w:val="24"/>
          <w:szCs w:val="24"/>
        </w:rPr>
      </w:pPr>
      <w:r w:rsidRPr="00C14D16">
        <w:rPr>
          <w:rFonts w:ascii="Times New Roman" w:eastAsia="Times New Roman" w:hAnsi="Times New Roman" w:cs="Times New Roman"/>
          <w:sz w:val="24"/>
          <w:szCs w:val="24"/>
        </w:rPr>
        <w:t xml:space="preserve">where </w:t>
      </w:r>
      <m:oMath>
        <m:sSub>
          <m:sSubPr>
            <m:ctrlPr>
              <w:rPr>
                <w:rFonts w:ascii="Cambria Math" w:eastAsia="Times New Roman" w:hAnsi="Cambria Math" w:cs="Times New Roman"/>
                <w:sz w:val="24"/>
                <w:szCs w:val="24"/>
              </w:rPr>
            </m:ctrlPr>
          </m:sSubPr>
          <m:e>
            <m:r>
              <w:rPr>
                <w:rFonts w:ascii="Cambria Math" w:hAnsi="Cambria Math" w:cs="Times New Roman"/>
                <w:sz w:val="24"/>
                <w:szCs w:val="24"/>
              </w:rPr>
              <m:t>β</m:t>
            </m:r>
          </m:e>
          <m:sub>
            <m:r>
              <w:rPr>
                <w:rFonts w:ascii="Cambria Math" w:eastAsia="Times New Roman" w:hAnsi="Cambria Math" w:cs="Times New Roman"/>
                <w:sz w:val="24"/>
                <w:szCs w:val="24"/>
              </w:rPr>
              <m:t>0df</m:t>
            </m:r>
          </m:sub>
        </m:sSub>
      </m:oMath>
      <w:r>
        <w:rPr>
          <w:rFonts w:ascii="Times New Roman" w:eastAsia="Times New Roman" w:hAnsi="Times New Roman" w:cs="Times New Roman"/>
          <w:sz w:val="24"/>
          <w:szCs w:val="24"/>
        </w:rPr>
        <w:t xml:space="preserve"> </w:t>
      </w:r>
      <w:r w:rsidRPr="00C14D16">
        <w:rPr>
          <w:rFonts w:ascii="Times New Roman" w:eastAsia="Times New Roman" w:hAnsi="Times New Roman" w:cs="Times New Roman"/>
          <w:sz w:val="24"/>
          <w:szCs w:val="24"/>
        </w:rPr>
        <w:t>represents the natural logarithm of the average SBD for the original top 10 cm of soil in the UFF, which we use as the reference stratum, and regression parameters (betas), covariates and residuals are analogous to those</w:t>
      </w:r>
      <w:r>
        <w:rPr>
          <w:rFonts w:ascii="Times New Roman" w:eastAsia="Times New Roman" w:hAnsi="Times New Roman" w:cs="Times New Roman"/>
          <w:sz w:val="24"/>
          <w:szCs w:val="24"/>
        </w:rPr>
        <w:t xml:space="preserve"> described for Eq. S1</w:t>
      </w:r>
      <w:r w:rsidRPr="00C14D16">
        <w:rPr>
          <w:rFonts w:ascii="Times New Roman" w:eastAsia="Times New Roman" w:hAnsi="Times New Roman" w:cs="Times New Roman"/>
          <w:sz w:val="24"/>
          <w:szCs w:val="24"/>
        </w:rPr>
        <w:t>. The final parameter in the linear equation for the log mean,</w:t>
      </w:r>
      <w:r>
        <w:rPr>
          <w:rFonts w:ascii="Times New Roman" w:eastAsia="Times New Roman" w:hAnsi="Times New Roman" w:cs="Times New Roman"/>
          <w:sz w:val="24"/>
          <w:szCs w:val="24"/>
        </w:rPr>
        <w:t xml:space="preserve"> </w:t>
      </w:r>
      <m:oMath>
        <m:sSub>
          <m:sSubPr>
            <m:ctrlPr>
              <w:rPr>
                <w:rFonts w:ascii="Cambria Math" w:hAnsi="Cambria Math" w:cs="Times New Roman"/>
                <w:sz w:val="24"/>
                <w:szCs w:val="24"/>
              </w:rPr>
            </m:ctrlPr>
          </m:sSubPr>
          <m:e>
            <m:r>
              <w:rPr>
                <w:rFonts w:ascii="Cambria Math" w:hAnsi="Cambria Math" w:cs="Times New Roman"/>
                <w:sz w:val="24"/>
                <w:szCs w:val="24"/>
              </w:rPr>
              <m:t>β</m:t>
            </m:r>
          </m:e>
          <m:sub>
            <m:sSub>
              <m:sSubPr>
                <m:ctrlPr>
                  <w:rPr>
                    <w:rFonts w:ascii="Cambria Math" w:eastAsia="Times New Roman" w:hAnsi="Cambria Math" w:cs="Times New Roman"/>
                    <w:sz w:val="24"/>
                    <w:szCs w:val="24"/>
                    <w:vertAlign w:val="subscript"/>
                  </w:rPr>
                </m:ctrlPr>
              </m:sSubPr>
              <m:e>
                <m:r>
                  <w:rPr>
                    <w:rFonts w:ascii="Cambria Math" w:eastAsia="Times New Roman" w:hAnsi="Cambria Math" w:cs="Times New Roman"/>
                    <w:sz w:val="24"/>
                    <w:szCs w:val="24"/>
                    <w:vertAlign w:val="subscript"/>
                  </w:rPr>
                  <m:t>gridrf</m:t>
                </m:r>
              </m:e>
              <m:sub>
                <m:r>
                  <w:rPr>
                    <w:rFonts w:ascii="Cambria Math" w:eastAsia="Times New Roman" w:hAnsi="Cambria Math" w:cs="Times New Roman"/>
                    <w:sz w:val="24"/>
                    <w:szCs w:val="24"/>
                    <w:vertAlign w:val="subscript"/>
                  </w:rPr>
                  <m:t>m</m:t>
                </m:r>
              </m:sub>
            </m:sSub>
          </m:sub>
        </m:sSub>
      </m:oMath>
      <w:r w:rsidRPr="00C14D16">
        <w:rPr>
          <w:rFonts w:ascii="Times New Roman" w:eastAsia="Times New Roman" w:hAnsi="Times New Roman" w:cs="Times New Roman"/>
          <w:sz w:val="24"/>
          <w:szCs w:val="24"/>
        </w:rPr>
        <w:t>, is a spatial effect modelled under a Gaussian conditi</w:t>
      </w:r>
      <w:r>
        <w:rPr>
          <w:rFonts w:ascii="Times New Roman" w:eastAsia="Times New Roman" w:hAnsi="Times New Roman" w:cs="Times New Roman"/>
          <w:sz w:val="24"/>
          <w:szCs w:val="24"/>
        </w:rPr>
        <w:t xml:space="preserve">onal autoregressive likelihood </w:t>
      </w:r>
      <w:r>
        <w:rPr>
          <w:rFonts w:ascii="Times New Roman" w:eastAsia="Times New Roman" w:hAnsi="Times New Roman" w:cs="Times New Roman"/>
          <w:sz w:val="24"/>
          <w:szCs w:val="24"/>
        </w:rPr>
        <w:fldChar w:fldCharType="begin" w:fldLock="1"/>
      </w:r>
      <w:r>
        <w:rPr>
          <w:rFonts w:ascii="Times New Roman" w:eastAsia="Times New Roman" w:hAnsi="Times New Roman" w:cs="Times New Roman"/>
          <w:sz w:val="24"/>
          <w:szCs w:val="24"/>
        </w:rPr>
        <w:instrText>ADDIN CSL_CITATION {"citationItems":[{"id":"ITEM-1","itemData":{"abstract":"There has been much recent interest in Bayesian image analysis, including such topics as removal of blur and noise, detection of object boundaries, classification of textures, and reconstruction of two- or three-dimensional scenes from noisy lower-dimensional views. Perhaps the most straightforward task is that of image restoration, though it is often suggested that this is an area of relatively minor practical importance. The present paper argues the contrary, since many problems in the analysis of spatial data can be interpreted as problems of image restoration. Furthermore, the amounts of data involved allow routine use of computer intensive methods, such as the Gibbs sampler, that are not yet practicable for conventional images. Two examples are given, one in archeology, the other in epidemiology. These are preceded by a partial review of pixel-based Bayesian image analysis.","author":[{"dropping-particle":"","family":"Besag","given":"Julian","non-dropping-particle":"","parse-names":false,"suffix":""},{"dropping-particle":"","family":"York","given":"Jeremy","non-dropping-particle":"","parse-names":false,"suffix":""},{"dropping-particle":"","family":"Mollié","given":"Annie","non-dropping-particle":"","parse-names":false,"suffix":""}],"container-title":"Annals of the Institute of Statistical Mathematics","id":"ITEM-1","issue":"1","issued":{"date-parts":[["1991"]]},"page":"1-20","publisher":"Kluwer Academic Publishers","title":"Bayesian image restoration, with two applications in spatial statistics","type":"article-journal","volume":"43"},"uris":["http://www.mendeley.com/documents/?uuid=91da49c3-9069-4599-84ec-7dffd76bcb99"]}],"mendeley":{"formattedCitation":"(Besag et al., 1991)","plainTextFormattedCitation":"(Besag et al., 1991)","previouslyFormattedCitation":"(Besag et al., 1991)"},"properties":{"noteIndex":0},"schema":"https://github.com/citation-style-language/schema/raw/master/csl-citation.json"}</w:instrText>
      </w:r>
      <w:r>
        <w:rPr>
          <w:rFonts w:ascii="Times New Roman" w:eastAsia="Times New Roman" w:hAnsi="Times New Roman" w:cs="Times New Roman"/>
          <w:sz w:val="24"/>
          <w:szCs w:val="24"/>
        </w:rPr>
        <w:fldChar w:fldCharType="separate"/>
      </w:r>
      <w:r w:rsidRPr="00473EEB">
        <w:rPr>
          <w:rFonts w:ascii="Times New Roman" w:eastAsia="Times New Roman" w:hAnsi="Times New Roman" w:cs="Times New Roman"/>
          <w:noProof/>
          <w:sz w:val="24"/>
          <w:szCs w:val="24"/>
        </w:rPr>
        <w:t>(Besag et al., 1991)</w:t>
      </w:r>
      <w:r>
        <w:rPr>
          <w:rFonts w:ascii="Times New Roman" w:eastAsia="Times New Roman" w:hAnsi="Times New Roman" w:cs="Times New Roman"/>
          <w:sz w:val="24"/>
          <w:szCs w:val="24"/>
        </w:rPr>
        <w:fldChar w:fldCharType="end"/>
      </w:r>
      <w:r w:rsidRPr="00C14D16">
        <w:rPr>
          <w:rFonts w:ascii="Times New Roman" w:eastAsia="Times New Roman" w:hAnsi="Times New Roman" w:cs="Times New Roman"/>
          <w:sz w:val="24"/>
          <w:szCs w:val="24"/>
        </w:rPr>
        <w:t xml:space="preserve"> such that for sampling location </w:t>
      </w:r>
      <w:r w:rsidRPr="00C14D16">
        <w:rPr>
          <w:rFonts w:ascii="Times New Roman" w:eastAsia="Gungsuh" w:hAnsi="Times New Roman" w:cs="Times New Roman"/>
          <w:i/>
          <w:sz w:val="24"/>
          <w:szCs w:val="24"/>
        </w:rPr>
        <w:t>m ≠ n:</w:t>
      </w:r>
    </w:p>
    <w:p w14:paraId="71FEEE6B" w14:textId="77777777" w:rsidR="00032304" w:rsidRPr="00C14D16" w:rsidRDefault="00032304" w:rsidP="00032304">
      <w:pPr>
        <w:spacing w:line="480" w:lineRule="auto"/>
        <w:ind w:firstLine="720"/>
        <w:rPr>
          <w:rFonts w:ascii="Times New Roman" w:eastAsia="Times New Roman" w:hAnsi="Times New Roman" w:cs="Times New Roman"/>
          <w:i/>
          <w:sz w:val="24"/>
          <w:szCs w:val="24"/>
        </w:rPr>
      </w:pPr>
    </w:p>
    <w:p w14:paraId="5C0D81B2" w14:textId="77777777" w:rsidR="00032304" w:rsidRPr="00C14D16" w:rsidRDefault="00221CD1" w:rsidP="00032304">
      <w:pPr>
        <w:spacing w:line="480" w:lineRule="auto"/>
        <w:ind w:left="720"/>
        <w:jc w:val="right"/>
        <w:rPr>
          <w:rFonts w:ascii="Times New Roman" w:eastAsia="Times New Roman" w:hAnsi="Times New Roman" w:cs="Times New Roman"/>
          <w:i/>
          <w:sz w:val="24"/>
          <w:szCs w:val="24"/>
        </w:rPr>
      </w:pPr>
      <m:oMath>
        <m:sSub>
          <m:sSubPr>
            <m:ctrlPr>
              <w:rPr>
                <w:rFonts w:ascii="Cambria Math" w:hAnsi="Cambria Math" w:cs="Times New Roman"/>
                <w:sz w:val="24"/>
                <w:szCs w:val="24"/>
              </w:rPr>
            </m:ctrlPr>
          </m:sSubPr>
          <m:e>
            <m:r>
              <w:rPr>
                <w:rFonts w:ascii="Cambria Math" w:hAnsi="Cambria Math" w:cs="Times New Roman"/>
                <w:sz w:val="24"/>
                <w:szCs w:val="24"/>
              </w:rPr>
              <m:t>β</m:t>
            </m:r>
          </m:e>
          <m:sub>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griddf</m:t>
                </m:r>
              </m:e>
              <m:sub>
                <m:r>
                  <w:rPr>
                    <w:rFonts w:ascii="Cambria Math" w:eastAsia="Times New Roman" w:hAnsi="Cambria Math" w:cs="Times New Roman"/>
                    <w:sz w:val="24"/>
                    <w:szCs w:val="24"/>
                  </w:rPr>
                  <m:t>m</m:t>
                </m:r>
              </m:sub>
            </m:sSub>
          </m:sub>
        </m:sSub>
        <m:r>
          <w:rPr>
            <w:rFonts w:ascii="Cambria Math" w:eastAsia="Times New Roman" w:hAnsi="Cambria Math" w:cs="Times New Roman"/>
            <w:sz w:val="24"/>
            <w:szCs w:val="24"/>
          </w:rPr>
          <m:t>|</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β</m:t>
            </m:r>
          </m:e>
          <m:sub>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griddf</m:t>
                </m:r>
              </m:e>
              <m:sub>
                <m:r>
                  <w:rPr>
                    <w:rFonts w:ascii="Cambria Math" w:eastAsia="Times New Roman" w:hAnsi="Cambria Math" w:cs="Times New Roman"/>
                    <w:sz w:val="24"/>
                    <w:szCs w:val="24"/>
                  </w:rPr>
                  <m:t>n</m:t>
                </m:r>
              </m:sub>
            </m:sSub>
          </m:sub>
        </m:sSub>
        <m:r>
          <w:rPr>
            <w:rFonts w:ascii="Cambria Math" w:eastAsia="Times New Roman" w:hAnsi="Cambria Math" w:cs="Times New Roman"/>
            <w:sz w:val="24"/>
            <w:szCs w:val="24"/>
          </w:rPr>
          <m:t>∼Normal</m:t>
        </m:r>
        <m:d>
          <m:dPr>
            <m:ctrlPr>
              <w:rPr>
                <w:rFonts w:ascii="Cambria Math" w:eastAsia="Times New Roman" w:hAnsi="Cambria Math" w:cs="Times New Roman"/>
                <w:sz w:val="24"/>
                <w:szCs w:val="24"/>
              </w:rPr>
            </m:ctrlPr>
          </m:dPr>
          <m:e>
            <m:f>
              <m:fPr>
                <m:ctrlPr>
                  <w:rPr>
                    <w:rFonts w:ascii="Cambria Math" w:eastAsia="Times New Roman" w:hAnsi="Cambria Math" w:cs="Times New Roman"/>
                    <w:sz w:val="24"/>
                    <w:szCs w:val="24"/>
                  </w:rPr>
                </m:ctrlPr>
              </m:fPr>
              <m:num>
                <m:nary>
                  <m:naryPr>
                    <m:chr m:val="∑"/>
                    <m:ctrlPr>
                      <w:rPr>
                        <w:rFonts w:ascii="Cambria Math" w:eastAsia="Times New Roman" w:hAnsi="Cambria Math" w:cs="Times New Roman"/>
                        <w:sz w:val="24"/>
                        <w:szCs w:val="24"/>
                      </w:rPr>
                    </m:ctrlPr>
                  </m:naryPr>
                  <m:sub>
                    <m:r>
                      <w:rPr>
                        <w:rFonts w:ascii="Cambria Math" w:eastAsia="Times New Roman" w:hAnsi="Cambria Math" w:cs="Times New Roman"/>
                        <w:sz w:val="24"/>
                        <w:szCs w:val="24"/>
                      </w:rPr>
                      <m:t>n=1</m:t>
                    </m:r>
                  </m:sub>
                  <m:sup>
                    <m:r>
                      <w:rPr>
                        <w:rFonts w:ascii="Cambria Math" w:eastAsia="Times New Roman" w:hAnsi="Cambria Math" w:cs="Times New Roman"/>
                        <w:sz w:val="24"/>
                        <w:szCs w:val="24"/>
                      </w:rPr>
                      <m:t>6</m:t>
                    </m:r>
                  </m:sup>
                  <m:e>
                    <m:r>
                      <w:rPr>
                        <w:rFonts w:ascii="Cambria Math" w:eastAsia="Times New Roman" w:hAnsi="Cambria Math" w:cs="Times New Roman"/>
                        <w:sz w:val="24"/>
                        <w:szCs w:val="24"/>
                      </w:rPr>
                      <m:t>n∈</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δ</m:t>
                        </m:r>
                      </m:e>
                      <m:sub>
                        <m:r>
                          <w:rPr>
                            <w:rFonts w:ascii="Cambria Math" w:eastAsia="Times New Roman" w:hAnsi="Cambria Math" w:cs="Times New Roman"/>
                            <w:sz w:val="24"/>
                            <w:szCs w:val="24"/>
                          </w:rPr>
                          <m:t>m</m:t>
                        </m:r>
                      </m:sub>
                    </m:sSub>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α</m:t>
                        </m:r>
                      </m:e>
                      <m:sub>
                        <m:r>
                          <w:rPr>
                            <w:rFonts w:ascii="Cambria Math" w:eastAsia="Times New Roman" w:hAnsi="Cambria Math" w:cs="Times New Roman"/>
                            <w:sz w:val="24"/>
                            <w:szCs w:val="24"/>
                          </w:rPr>
                          <m:t>mn</m:t>
                        </m:r>
                      </m:sub>
                    </m:sSub>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β</m:t>
                        </m:r>
                      </m:e>
                      <m:sub>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griddf</m:t>
                            </m:r>
                          </m:e>
                          <m:sub>
                            <m:r>
                              <w:rPr>
                                <w:rFonts w:ascii="Cambria Math" w:eastAsia="Times New Roman" w:hAnsi="Cambria Math" w:cs="Times New Roman"/>
                                <w:sz w:val="24"/>
                                <w:szCs w:val="24"/>
                              </w:rPr>
                              <m:t>m</m:t>
                            </m:r>
                          </m:sub>
                        </m:sSub>
                      </m:sub>
                    </m:sSub>
                  </m:e>
                </m:nary>
              </m:num>
              <m:den>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α</m:t>
                    </m:r>
                  </m:e>
                  <m:sub>
                    <m:r>
                      <w:rPr>
                        <w:rFonts w:ascii="Cambria Math" w:eastAsia="Times New Roman" w:hAnsi="Cambria Math" w:cs="Times New Roman"/>
                        <w:sz w:val="24"/>
                        <w:szCs w:val="24"/>
                      </w:rPr>
                      <m:t>m+</m:t>
                    </m:r>
                  </m:sub>
                </m:sSub>
              </m:den>
            </m:f>
            <m:r>
              <w:rPr>
                <w:rFonts w:ascii="Cambria Math" w:eastAsia="Times New Roman" w:hAnsi="Cambria Math" w:cs="Times New Roman"/>
                <w:sz w:val="24"/>
                <w:szCs w:val="24"/>
              </w:rPr>
              <m:t>,</m:t>
            </m:r>
            <m:f>
              <m:fPr>
                <m:ctrlPr>
                  <w:rPr>
                    <w:rFonts w:ascii="Cambria Math" w:eastAsia="Times New Roman" w:hAnsi="Cambria Math" w:cs="Times New Roman"/>
                    <w:sz w:val="24"/>
                    <w:szCs w:val="24"/>
                  </w:rPr>
                </m:ctrlPr>
              </m:fPr>
              <m:num>
                <m:r>
                  <w:rPr>
                    <w:rFonts w:ascii="Cambria Math" w:eastAsia="Times New Roman" w:hAnsi="Cambria Math" w:cs="Times New Roman"/>
                    <w:sz w:val="24"/>
                    <w:szCs w:val="24"/>
                  </w:rPr>
                  <m:t>1</m:t>
                </m:r>
              </m:num>
              <m:den>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α</m:t>
                    </m:r>
                  </m:e>
                  <m:sub>
                    <m:r>
                      <w:rPr>
                        <w:rFonts w:ascii="Cambria Math" w:eastAsia="Times New Roman" w:hAnsi="Cambria Math" w:cs="Times New Roman"/>
                        <w:sz w:val="24"/>
                        <w:szCs w:val="24"/>
                      </w:rPr>
                      <m:t>m+</m:t>
                    </m:r>
                  </m:sub>
                </m:sSub>
                <m:sSubSup>
                  <m:sSubSupPr>
                    <m:ctrlPr>
                      <w:rPr>
                        <w:rFonts w:ascii="Cambria Math" w:eastAsia="Times New Roman" w:hAnsi="Cambria Math" w:cs="Times New Roman"/>
                        <w:sz w:val="24"/>
                        <w:szCs w:val="24"/>
                      </w:rPr>
                    </m:ctrlPr>
                  </m:sSubSupPr>
                  <m:e>
                    <m:r>
                      <w:rPr>
                        <w:rFonts w:ascii="Cambria Math" w:eastAsia="Times New Roman" w:hAnsi="Cambria Math" w:cs="Times New Roman"/>
                        <w:sz w:val="24"/>
                        <w:szCs w:val="24"/>
                      </w:rPr>
                      <m:t>σ</m:t>
                    </m:r>
                  </m:e>
                  <m:sub>
                    <m:r>
                      <w:rPr>
                        <w:rFonts w:ascii="Cambria Math" w:eastAsia="Times New Roman" w:hAnsi="Cambria Math" w:cs="Times New Roman"/>
                        <w:sz w:val="24"/>
                        <w:szCs w:val="24"/>
                      </w:rPr>
                      <m:t>gdf</m:t>
                    </m:r>
                  </m:sub>
                  <m:sup>
                    <m:r>
                      <w:rPr>
                        <w:rFonts w:ascii="Cambria Math" w:eastAsia="Times New Roman" w:hAnsi="Cambria Math" w:cs="Times New Roman"/>
                        <w:sz w:val="24"/>
                        <w:szCs w:val="24"/>
                      </w:rPr>
                      <m:t>2</m:t>
                    </m:r>
                  </m:sup>
                </m:sSubSup>
              </m:den>
            </m:f>
          </m:e>
        </m:d>
      </m:oMath>
      <w:r w:rsidR="00032304">
        <w:rPr>
          <w:rFonts w:ascii="Times New Roman" w:eastAsia="Times New Roman" w:hAnsi="Times New Roman" w:cs="Times New Roman"/>
          <w:sz w:val="24"/>
          <w:szCs w:val="24"/>
        </w:rPr>
        <w:tab/>
      </w:r>
      <w:r w:rsidR="00032304">
        <w:rPr>
          <w:rFonts w:ascii="Times New Roman" w:eastAsia="Times New Roman" w:hAnsi="Times New Roman" w:cs="Times New Roman"/>
          <w:sz w:val="24"/>
          <w:szCs w:val="24"/>
        </w:rPr>
        <w:tab/>
        <w:t>(Eq. S6</w:t>
      </w:r>
      <w:r w:rsidR="00032304" w:rsidRPr="00C14D16">
        <w:rPr>
          <w:rFonts w:ascii="Times New Roman" w:eastAsia="Times New Roman" w:hAnsi="Times New Roman" w:cs="Times New Roman"/>
          <w:sz w:val="24"/>
          <w:szCs w:val="24"/>
        </w:rPr>
        <w:t>)</w:t>
      </w:r>
    </w:p>
    <w:p w14:paraId="0D356933" w14:textId="77777777" w:rsidR="00032304" w:rsidRDefault="00032304" w:rsidP="00032304">
      <w:pPr>
        <w:spacing w:line="480" w:lineRule="auto"/>
        <w:rPr>
          <w:rFonts w:ascii="Times New Roman" w:eastAsia="Times New Roman" w:hAnsi="Times New Roman" w:cs="Times New Roman"/>
          <w:sz w:val="24"/>
          <w:szCs w:val="24"/>
        </w:rPr>
      </w:pPr>
    </w:p>
    <w:p w14:paraId="551193B5" w14:textId="77777777" w:rsidR="00032304" w:rsidRDefault="00032304" w:rsidP="00032304">
      <w:pPr>
        <w:spacing w:line="480" w:lineRule="auto"/>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Where</w:t>
      </w:r>
      <w:r>
        <w:rPr>
          <w:rFonts w:ascii="Times New Roman" w:eastAsia="Times New Roman" w:hAnsi="Times New Roman" w:cs="Times New Roman"/>
          <w:sz w:val="24"/>
          <w:szCs w:val="24"/>
        </w:rPr>
        <w:t xml:space="preserve"> </w:t>
      </w:r>
      <m:oMath>
        <m:sSub>
          <m:sSubPr>
            <m:ctrlPr>
              <w:rPr>
                <w:rFonts w:ascii="Cambria Math" w:eastAsia="Times New Roman" w:hAnsi="Cambria Math" w:cs="Times New Roman"/>
                <w:sz w:val="24"/>
                <w:szCs w:val="24"/>
              </w:rPr>
            </m:ctrlPr>
          </m:sSubPr>
          <m:e>
            <m:r>
              <w:rPr>
                <w:rFonts w:ascii="Cambria Math" w:hAnsi="Cambria Math" w:cs="Times New Roman"/>
                <w:sz w:val="24"/>
                <w:szCs w:val="24"/>
              </w:rPr>
              <m:t>δ</m:t>
            </m:r>
          </m:e>
          <m:sub>
            <m:r>
              <w:rPr>
                <w:rFonts w:ascii="Cambria Math" w:eastAsia="Times New Roman" w:hAnsi="Cambria Math" w:cs="Times New Roman"/>
                <w:sz w:val="24"/>
                <w:szCs w:val="24"/>
              </w:rPr>
              <m:t>m</m:t>
            </m:r>
          </m:sub>
        </m:sSub>
      </m:oMath>
      <w:r>
        <w:rPr>
          <w:rFonts w:ascii="Times New Roman" w:eastAsia="Times New Roman" w:hAnsi="Times New Roman" w:cs="Times New Roman"/>
          <w:sz w:val="24"/>
          <w:szCs w:val="24"/>
        </w:rPr>
        <w:t xml:space="preserve"> </w:t>
      </w:r>
      <w:r w:rsidRPr="00C14D16">
        <w:rPr>
          <w:rFonts w:ascii="Times New Roman" w:eastAsia="Times New Roman" w:hAnsi="Times New Roman" w:cs="Times New Roman"/>
          <w:sz w:val="24"/>
          <w:szCs w:val="24"/>
        </w:rPr>
        <w:t xml:space="preserve">defines the sampling locations that are spatially adjacent to the focal cell </w:t>
      </w:r>
      <w:r w:rsidRPr="00C14D16">
        <w:rPr>
          <w:rFonts w:ascii="Times New Roman" w:eastAsia="Times New Roman" w:hAnsi="Times New Roman" w:cs="Times New Roman"/>
          <w:i/>
          <w:sz w:val="24"/>
          <w:szCs w:val="24"/>
        </w:rPr>
        <w:t>m</w:t>
      </w:r>
      <w:r w:rsidRPr="00C14D16">
        <w:rPr>
          <w:rFonts w:ascii="Times New Roman" w:eastAsia="Times New Roman" w:hAnsi="Times New Roman" w:cs="Times New Roman"/>
          <w:sz w:val="24"/>
          <w:szCs w:val="24"/>
        </w:rPr>
        <w:t xml:space="preserve">, </w:t>
      </w:r>
      <m:oMath>
        <m:sSub>
          <m:sSubPr>
            <m:ctrlPr>
              <w:rPr>
                <w:rFonts w:ascii="Cambria Math" w:eastAsia="Times New Roman" w:hAnsi="Cambria Math" w:cs="Times New Roman"/>
                <w:sz w:val="24"/>
                <w:szCs w:val="24"/>
              </w:rPr>
            </m:ctrlPr>
          </m:sSubPr>
          <m:e>
            <m:r>
              <w:rPr>
                <w:rFonts w:ascii="Cambria Math" w:hAnsi="Cambria Math" w:cs="Times New Roman"/>
                <w:sz w:val="24"/>
                <w:szCs w:val="24"/>
              </w:rPr>
              <m:t>α</m:t>
            </m:r>
          </m:e>
          <m:sub>
            <m:r>
              <w:rPr>
                <w:rFonts w:ascii="Cambria Math" w:eastAsia="Times New Roman" w:hAnsi="Cambria Math" w:cs="Times New Roman"/>
                <w:sz w:val="24"/>
                <w:szCs w:val="24"/>
              </w:rPr>
              <m:t>mn</m:t>
            </m:r>
          </m:sub>
        </m:sSub>
      </m:oMath>
      <w:r>
        <w:rPr>
          <w:rFonts w:ascii="Times New Roman" w:eastAsia="Times New Roman" w:hAnsi="Times New Roman" w:cs="Times New Roman"/>
          <w:sz w:val="24"/>
          <w:szCs w:val="24"/>
        </w:rPr>
        <w:t xml:space="preserve"> </w:t>
      </w:r>
      <w:r w:rsidRPr="00C14D16">
        <w:rPr>
          <w:rFonts w:ascii="Times New Roman" w:eastAsia="Times New Roman" w:hAnsi="Times New Roman" w:cs="Times New Roman"/>
          <w:sz w:val="24"/>
          <w:szCs w:val="24"/>
        </w:rPr>
        <w:t xml:space="preserve">is a binary operator that equals 1 only if cell </w:t>
      </w:r>
      <w:r w:rsidRPr="00C14D16">
        <w:rPr>
          <w:rFonts w:ascii="Times New Roman" w:eastAsia="Times New Roman" w:hAnsi="Times New Roman" w:cs="Times New Roman"/>
          <w:i/>
          <w:sz w:val="24"/>
          <w:szCs w:val="24"/>
        </w:rPr>
        <w:t>m</w:t>
      </w:r>
      <w:r w:rsidRPr="00C14D16">
        <w:rPr>
          <w:rFonts w:ascii="Times New Roman" w:eastAsia="Times New Roman" w:hAnsi="Times New Roman" w:cs="Times New Roman"/>
          <w:sz w:val="24"/>
          <w:szCs w:val="24"/>
        </w:rPr>
        <w:t xml:space="preserve"> is adjacent to </w:t>
      </w:r>
      <w:r w:rsidRPr="00C14D16">
        <w:rPr>
          <w:rFonts w:ascii="Times New Roman" w:eastAsia="Times New Roman" w:hAnsi="Times New Roman" w:cs="Times New Roman"/>
          <w:i/>
          <w:sz w:val="24"/>
          <w:szCs w:val="24"/>
        </w:rPr>
        <w:t>n</w:t>
      </w:r>
      <w:r w:rsidRPr="00C14D16">
        <w:rPr>
          <w:rFonts w:ascii="Times New Roman" w:eastAsia="Times New Roman" w:hAnsi="Times New Roman" w:cs="Times New Roman"/>
          <w:sz w:val="24"/>
          <w:szCs w:val="24"/>
        </w:rPr>
        <w:t xml:space="preserve">, </w:t>
      </w:r>
      <m:oMath>
        <m:sSub>
          <m:sSubPr>
            <m:ctrlPr>
              <w:rPr>
                <w:rFonts w:ascii="Cambria Math" w:eastAsia="Times New Roman" w:hAnsi="Cambria Math" w:cs="Times New Roman"/>
                <w:sz w:val="24"/>
                <w:szCs w:val="24"/>
              </w:rPr>
            </m:ctrlPr>
          </m:sSubPr>
          <m:e>
            <m:r>
              <w:rPr>
                <w:rFonts w:ascii="Cambria Math" w:hAnsi="Cambria Math" w:cs="Times New Roman"/>
                <w:sz w:val="24"/>
                <w:szCs w:val="24"/>
              </w:rPr>
              <m:t>α</m:t>
            </m:r>
          </m:e>
          <m:sub>
            <m:r>
              <w:rPr>
                <w:rFonts w:ascii="Cambria Math" w:eastAsia="Times New Roman" w:hAnsi="Cambria Math" w:cs="Times New Roman"/>
                <w:sz w:val="24"/>
                <w:szCs w:val="24"/>
              </w:rPr>
              <m:t>m+</m:t>
            </m:r>
          </m:sub>
        </m:sSub>
      </m:oMath>
      <w:r>
        <w:rPr>
          <w:rFonts w:ascii="Times New Roman" w:eastAsia="Times New Roman" w:hAnsi="Times New Roman" w:cs="Times New Roman"/>
          <w:sz w:val="24"/>
          <w:szCs w:val="24"/>
        </w:rPr>
        <w:t xml:space="preserve"> </w:t>
      </w:r>
      <w:r w:rsidRPr="00C14D16">
        <w:rPr>
          <w:rFonts w:ascii="Times New Roman" w:eastAsia="Times New Roman" w:hAnsi="Times New Roman" w:cs="Times New Roman"/>
          <w:sz w:val="24"/>
          <w:szCs w:val="24"/>
        </w:rPr>
        <w:t xml:space="preserve">is the number of cells adjoining </w:t>
      </w:r>
      <w:r w:rsidRPr="00C14D16">
        <w:rPr>
          <w:rFonts w:ascii="Times New Roman" w:eastAsia="Times New Roman" w:hAnsi="Times New Roman" w:cs="Times New Roman"/>
          <w:i/>
          <w:sz w:val="24"/>
          <w:szCs w:val="24"/>
        </w:rPr>
        <w:t>m</w:t>
      </w:r>
      <w:r w:rsidRPr="00C14D16">
        <w:rPr>
          <w:rFonts w:ascii="Times New Roman" w:eastAsia="Times New Roman" w:hAnsi="Times New Roman" w:cs="Times New Roman"/>
          <w:sz w:val="24"/>
          <w:szCs w:val="24"/>
        </w:rPr>
        <w:t xml:space="preserve">, and </w:t>
      </w:r>
      <m:oMath>
        <m:sSubSup>
          <m:sSubSupPr>
            <m:ctrlPr>
              <w:rPr>
                <w:rFonts w:ascii="Cambria Math" w:eastAsia="Times New Roman" w:hAnsi="Cambria Math" w:cs="Times New Roman"/>
                <w:sz w:val="24"/>
                <w:szCs w:val="24"/>
              </w:rPr>
            </m:ctrlPr>
          </m:sSubSupPr>
          <m:e>
            <m:r>
              <w:rPr>
                <w:rFonts w:ascii="Cambria Math" w:hAnsi="Cambria Math" w:cs="Times New Roman"/>
                <w:sz w:val="24"/>
                <w:szCs w:val="24"/>
              </w:rPr>
              <m:t>σ</m:t>
            </m:r>
          </m:e>
          <m:sub>
            <m:r>
              <w:rPr>
                <w:rFonts w:ascii="Cambria Math" w:eastAsia="Times New Roman" w:hAnsi="Cambria Math" w:cs="Times New Roman"/>
                <w:sz w:val="24"/>
                <w:szCs w:val="24"/>
              </w:rPr>
              <m:t>grf</m:t>
            </m:r>
          </m:sub>
          <m:sup>
            <m:r>
              <w:rPr>
                <w:rFonts w:ascii="Cambria Math" w:eastAsia="Times New Roman" w:hAnsi="Cambria Math" w:cs="Times New Roman"/>
                <w:sz w:val="24"/>
                <w:szCs w:val="24"/>
              </w:rPr>
              <m:t>2</m:t>
            </m:r>
          </m:sup>
        </m:sSubSup>
      </m:oMath>
      <w:r>
        <w:rPr>
          <w:rFonts w:ascii="Times New Roman" w:eastAsia="Times New Roman" w:hAnsi="Times New Roman" w:cs="Times New Roman"/>
          <w:sz w:val="24"/>
          <w:szCs w:val="24"/>
        </w:rPr>
        <w:t xml:space="preserve"> </w:t>
      </w:r>
      <w:r w:rsidRPr="00C14D16">
        <w:rPr>
          <w:rFonts w:ascii="Times New Roman" w:eastAsia="Times New Roman" w:hAnsi="Times New Roman" w:cs="Times New Roman"/>
          <w:sz w:val="24"/>
          <w:szCs w:val="24"/>
        </w:rPr>
        <w:t xml:space="preserve">is the variance of the conditional Gaussian distribution. We considered mean SBD significantly different between strata if posterior distributions for corresponding quantities fell outside the 95% credible interval of the contrasted parameter. </w:t>
      </w:r>
      <w:r>
        <w:rPr>
          <w:rFonts w:ascii="Times New Roman" w:eastAsia="Times New Roman" w:hAnsi="Times New Roman" w:cs="Times New Roman"/>
          <w:sz w:val="24"/>
          <w:szCs w:val="24"/>
        </w:rPr>
        <w:t xml:space="preserve">To compare SBD between the UFF and lawn, we fit the analogous equations to Eq. S5-6 excluding parameter and dummy variable for berm stratum to all </w:t>
      </w:r>
      <w:r>
        <w:rPr>
          <w:rFonts w:ascii="Times New Roman" w:eastAsia="Times New Roman" w:hAnsi="Times New Roman" w:cs="Times New Roman"/>
          <w:i/>
          <w:sz w:val="24"/>
          <w:szCs w:val="24"/>
        </w:rPr>
        <w:t>e=</w:t>
      </w:r>
      <w:r>
        <w:rPr>
          <w:rFonts w:ascii="Times New Roman" w:eastAsia="Times New Roman" w:hAnsi="Times New Roman" w:cs="Times New Roman"/>
          <w:sz w:val="24"/>
          <w:szCs w:val="24"/>
        </w:rPr>
        <w:t xml:space="preserve">1…64 samples from the </w:t>
      </w:r>
      <w:r>
        <w:rPr>
          <w:rFonts w:ascii="Times New Roman" w:eastAsia="Times New Roman" w:hAnsi="Times New Roman" w:cs="Times New Roman"/>
          <w:i/>
          <w:sz w:val="24"/>
          <w:szCs w:val="24"/>
        </w:rPr>
        <w:t>n=</w:t>
      </w:r>
      <w:r>
        <w:rPr>
          <w:rFonts w:ascii="Times New Roman" w:eastAsia="Times New Roman" w:hAnsi="Times New Roman" w:cs="Times New Roman"/>
          <w:sz w:val="24"/>
          <w:szCs w:val="24"/>
        </w:rPr>
        <w:t>1…32 sampling locations.</w:t>
      </w:r>
    </w:p>
    <w:p w14:paraId="1E5C59DA" w14:textId="77777777" w:rsidR="00032304" w:rsidRPr="00C14D16" w:rsidRDefault="00032304" w:rsidP="00032304">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used the same conditional autoregressive lognormal models to compare other measurements and time points. For MSRR in 2019, we excluded parameters representing lower strata, which we did not measure. For LOI in 2019 and OC in 2017, we only included the 28 locations in each area that we resampled, but otherwise used the same equations. </w:t>
      </w:r>
    </w:p>
    <w:p w14:paraId="57EFC487" w14:textId="77777777" w:rsidR="00032304" w:rsidRDefault="00032304" w:rsidP="00032304">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both areas, </w:t>
      </w:r>
      <w:r w:rsidRPr="00C14D16">
        <w:rPr>
          <w:rFonts w:ascii="Times New Roman" w:eastAsia="Times New Roman" w:hAnsi="Times New Roman" w:cs="Times New Roman"/>
          <w:sz w:val="24"/>
          <w:szCs w:val="24"/>
        </w:rPr>
        <w:t>we tested hypotheses about fine scale variation in soil carbon sequestration  by applying our spatial lo</w:t>
      </w:r>
      <w:r>
        <w:rPr>
          <w:rFonts w:ascii="Times New Roman" w:eastAsia="Times New Roman" w:hAnsi="Times New Roman" w:cs="Times New Roman"/>
          <w:sz w:val="24"/>
          <w:szCs w:val="24"/>
        </w:rPr>
        <w:t>gnormal regression models (Eq. S5 and S6</w:t>
      </w:r>
      <w:r w:rsidRPr="00C14D16">
        <w:rPr>
          <w:rFonts w:ascii="Times New Roman" w:eastAsia="Times New Roman" w:hAnsi="Times New Roman" w:cs="Times New Roman"/>
          <w:sz w:val="24"/>
          <w:szCs w:val="24"/>
        </w:rPr>
        <w:t xml:space="preserve">) in combination with our models for SOC density in 2017 and 2019 (Eq. </w:t>
      </w:r>
      <w:r>
        <w:rPr>
          <w:rFonts w:ascii="Times New Roman" w:eastAsia="Times New Roman" w:hAnsi="Times New Roman" w:cs="Times New Roman"/>
          <w:sz w:val="24"/>
          <w:szCs w:val="24"/>
        </w:rPr>
        <w:t>S1-S4</w:t>
      </w:r>
      <w:r w:rsidRPr="00C14D16">
        <w:rPr>
          <w:rFonts w:ascii="Times New Roman" w:eastAsia="Times New Roman" w:hAnsi="Times New Roman" w:cs="Times New Roman"/>
          <w:sz w:val="24"/>
          <w:szCs w:val="24"/>
        </w:rPr>
        <w:t xml:space="preserve">).  For the 84 measurements of OC in 2017, representing all three strata and 28 sampling locations, we applied the same spatial regression model described by Eq. </w:t>
      </w:r>
      <w:r>
        <w:rPr>
          <w:rFonts w:ascii="Times New Roman" w:eastAsia="Times New Roman" w:hAnsi="Times New Roman" w:cs="Times New Roman"/>
          <w:sz w:val="24"/>
          <w:szCs w:val="24"/>
        </w:rPr>
        <w:t>S5-6</w:t>
      </w:r>
      <w:r w:rsidRPr="00C14D16">
        <w:rPr>
          <w:rFonts w:ascii="Times New Roman" w:eastAsia="Times New Roman" w:hAnsi="Times New Roman" w:cs="Times New Roman"/>
          <w:sz w:val="24"/>
          <w:szCs w:val="24"/>
        </w:rPr>
        <w:t xml:space="preserve">. We applied the same imputation equation described by Eq. </w:t>
      </w:r>
      <w:r>
        <w:rPr>
          <w:rFonts w:ascii="Times New Roman" w:eastAsia="Times New Roman" w:hAnsi="Times New Roman" w:cs="Times New Roman"/>
          <w:sz w:val="24"/>
          <w:szCs w:val="24"/>
        </w:rPr>
        <w:t>S3-S4</w:t>
      </w:r>
      <w:r w:rsidRPr="00C14D16">
        <w:rPr>
          <w:rFonts w:ascii="Times New Roman" w:eastAsia="Times New Roman" w:hAnsi="Times New Roman" w:cs="Times New Roman"/>
          <w:sz w:val="24"/>
          <w:szCs w:val="24"/>
        </w:rPr>
        <w:t xml:space="preserve"> to calculate SOC density from the spatially detre</w:t>
      </w:r>
      <w:r>
        <w:rPr>
          <w:rFonts w:ascii="Times New Roman" w:eastAsia="Times New Roman" w:hAnsi="Times New Roman" w:cs="Times New Roman"/>
          <w:sz w:val="24"/>
          <w:szCs w:val="24"/>
        </w:rPr>
        <w:t>nded direct measurements of OC:</w:t>
      </w:r>
    </w:p>
    <w:p w14:paraId="2453620F" w14:textId="77777777" w:rsidR="00032304" w:rsidRDefault="00032304" w:rsidP="00032304">
      <w:pPr>
        <w:spacing w:line="480" w:lineRule="auto"/>
        <w:ind w:firstLine="720"/>
        <w:rPr>
          <w:rFonts w:ascii="Times New Roman" w:eastAsia="Times New Roman" w:hAnsi="Times New Roman" w:cs="Times New Roman"/>
          <w:sz w:val="24"/>
          <w:szCs w:val="24"/>
        </w:rPr>
      </w:pPr>
    </w:p>
    <w:p w14:paraId="2DE5AC52" w14:textId="77777777" w:rsidR="00032304" w:rsidRPr="005E24F1" w:rsidRDefault="00221CD1" w:rsidP="00032304">
      <w:pPr>
        <w:spacing w:line="480" w:lineRule="auto"/>
        <w:jc w:val="both"/>
        <w:rPr>
          <w:rFonts w:ascii="Times New Roman" w:eastAsia="Times New Roman" w:hAnsi="Times New Roman" w:cs="Times New Roman"/>
          <w:sz w:val="24"/>
          <w:szCs w:val="24"/>
        </w:rPr>
      </w:pPr>
      <m:oMathPara>
        <m:oMathParaPr>
          <m:jc m:val="left"/>
        </m:oMathParaPr>
        <m:oMath>
          <m:sSub>
            <m:sSubPr>
              <m:ctrlPr>
                <w:rPr>
                  <w:rFonts w:ascii="Cambria Math" w:eastAsia="Times New Roman" w:hAnsi="Cambria Math" w:cs="Times New Roman"/>
                  <w:sz w:val="24"/>
                  <w:szCs w:val="24"/>
                </w:rPr>
              </m:ctrlPr>
            </m:sSubPr>
            <m:e>
              <m:r>
                <m:rPr>
                  <m:sty m:val="p"/>
                </m:rPr>
                <w:rPr>
                  <w:rFonts w:ascii="Cambria Math" w:eastAsia="Times New Roman" w:hAnsi="Cambria Math" w:cs="Times New Roman"/>
                  <w:sz w:val="24"/>
                  <w:szCs w:val="24"/>
                </w:rPr>
                <m:t>SOC</m:t>
              </m:r>
              <m:r>
                <w:rPr>
                  <w:rFonts w:ascii="Cambria Math" w:eastAsia="Times New Roman" w:hAnsi="Cambria Math" w:cs="Times New Roman"/>
                  <w:sz w:val="24"/>
                  <w:szCs w:val="24"/>
                </w:rPr>
                <m:t>17</m:t>
              </m:r>
            </m:e>
            <m:sub>
              <m:r>
                <w:rPr>
                  <w:rFonts w:ascii="Cambria Math" w:eastAsia="Times New Roman" w:hAnsi="Cambria Math" w:cs="Times New Roman"/>
                  <w:sz w:val="24"/>
                  <w:szCs w:val="24"/>
                </w:rPr>
                <m:t>s,o</m:t>
              </m:r>
            </m:sub>
          </m:sSub>
          <m:r>
            <w:rPr>
              <w:rFonts w:ascii="Cambria Math" w:eastAsia="Times New Roman" w:hAnsi="Cambria Math" w:cs="Times New Roman"/>
              <w:sz w:val="24"/>
              <w:szCs w:val="24"/>
            </w:rPr>
            <m:t xml:space="preserve"> =</m:t>
          </m:r>
          <m:r>
            <m:rPr>
              <m:sty m:val="p"/>
            </m:rPr>
            <w:rPr>
              <w:rFonts w:ascii="Cambria Math" w:eastAsia="Times New Roman" w:hAnsi="Cambria Math" w:cs="Times New Roman"/>
              <w:sz w:val="24"/>
              <w:szCs w:val="24"/>
            </w:rPr>
            <m:t>exp⁡(</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β</m:t>
              </m:r>
            </m:e>
            <m:sub>
              <m:r>
                <w:rPr>
                  <w:rFonts w:ascii="Cambria Math" w:eastAsia="Times New Roman" w:hAnsi="Cambria Math" w:cs="Times New Roman"/>
                  <w:sz w:val="24"/>
                  <w:szCs w:val="24"/>
                </w:rPr>
                <m:t>o17</m:t>
              </m:r>
            </m:sub>
          </m:sSub>
          <m:r>
            <w:rPr>
              <w:rFonts w:ascii="Cambria Math" w:eastAsia="Times New Roman" w:hAnsi="Cambria Math" w:cs="Times New Roman"/>
              <w:sz w:val="24"/>
              <w:szCs w:val="24"/>
            </w:rPr>
            <m:t>+</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β</m:t>
              </m:r>
            </m:e>
            <m:sub>
              <m:r>
                <w:rPr>
                  <w:rFonts w:ascii="Cambria Math" w:eastAsia="Times New Roman" w:hAnsi="Cambria Math" w:cs="Times New Roman"/>
                  <w:sz w:val="24"/>
                  <w:szCs w:val="24"/>
                </w:rPr>
                <m:t>l17</m:t>
              </m:r>
            </m:sub>
          </m:sSub>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m:rPr>
                  <m:sty m:val="p"/>
                </m:rPr>
                <w:rPr>
                  <w:rFonts w:ascii="Cambria Math" w:eastAsia="Times New Roman" w:hAnsi="Cambria Math" w:cs="Times New Roman"/>
                  <w:sz w:val="24"/>
                  <w:szCs w:val="24"/>
                </w:rPr>
                <m:t>LOW</m:t>
              </m:r>
              <m:ctrlPr>
                <w:rPr>
                  <w:rFonts w:ascii="Cambria Math" w:eastAsia="Times New Roman" w:hAnsi="Cambria Math" w:cs="Times New Roman"/>
                  <w:sz w:val="24"/>
                  <w:szCs w:val="24"/>
                </w:rPr>
              </m:ctrlPr>
            </m:e>
            <m:sub>
              <m:r>
                <w:rPr>
                  <w:rFonts w:ascii="Cambria Math" w:eastAsia="Times New Roman" w:hAnsi="Cambria Math" w:cs="Times New Roman"/>
                  <w:sz w:val="24"/>
                  <w:szCs w:val="24"/>
                </w:rPr>
                <m:t>s</m:t>
              </m:r>
              <m:ctrlPr>
                <w:rPr>
                  <w:rFonts w:ascii="Cambria Math" w:eastAsia="Times New Roman" w:hAnsi="Cambria Math" w:cs="Times New Roman"/>
                  <w:sz w:val="24"/>
                  <w:szCs w:val="24"/>
                </w:rPr>
              </m:ctrlPr>
            </m:sub>
          </m:sSub>
          <m:r>
            <w:rPr>
              <w:rFonts w:ascii="Cambria Math" w:eastAsia="Times New Roman" w:hAnsi="Cambria Math" w:cs="Times New Roman"/>
              <w:sz w:val="24"/>
              <w:szCs w:val="24"/>
            </w:rPr>
            <m:t>+</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β</m:t>
              </m:r>
            </m:e>
            <m:sub>
              <m:r>
                <w:rPr>
                  <w:rFonts w:ascii="Cambria Math" w:eastAsia="Times New Roman" w:hAnsi="Cambria Math" w:cs="Times New Roman"/>
                  <w:sz w:val="24"/>
                  <w:szCs w:val="24"/>
                </w:rPr>
                <m:t>b17</m:t>
              </m:r>
            </m:sub>
          </m:sSub>
          <m:r>
            <w:rPr>
              <w:rFonts w:ascii="Cambria Math" w:eastAsia="Times New Roman" w:hAnsi="Cambria Math" w:cs="Times New Roman"/>
              <w:sz w:val="24"/>
              <w:szCs w:val="24"/>
            </w:rPr>
            <m:t>*</m:t>
          </m:r>
          <m:sSub>
            <m:sSubPr>
              <m:ctrlPr>
                <w:rPr>
                  <w:rFonts w:ascii="Cambria Math" w:eastAsia="Times New Roman" w:hAnsi="Cambria Math" w:cs="Times New Roman"/>
                  <w:sz w:val="24"/>
                  <w:szCs w:val="24"/>
                </w:rPr>
              </m:ctrlPr>
            </m:sSubPr>
            <m:e>
              <m:r>
                <m:rPr>
                  <m:sty m:val="p"/>
                </m:rPr>
                <w:rPr>
                  <w:rFonts w:ascii="Cambria Math" w:eastAsia="Times New Roman" w:hAnsi="Cambria Math" w:cs="Times New Roman"/>
                  <w:sz w:val="24"/>
                  <w:szCs w:val="24"/>
                </w:rPr>
                <m:t>BERM</m:t>
              </m:r>
            </m:e>
            <m:sub>
              <m:r>
                <w:rPr>
                  <w:rFonts w:ascii="Cambria Math" w:eastAsia="Times New Roman" w:hAnsi="Cambria Math" w:cs="Times New Roman"/>
                  <w:sz w:val="24"/>
                  <w:szCs w:val="24"/>
                </w:rPr>
                <m:t>s</m:t>
              </m:r>
            </m:sub>
          </m:sSub>
          <m:r>
            <w:rPr>
              <w:rFonts w:ascii="Cambria Math" w:eastAsia="Times New Roman" w:hAnsi="Cambria Math" w:cs="Times New Roman"/>
              <w:sz w:val="24"/>
              <w:szCs w:val="24"/>
            </w:rPr>
            <m:t>+</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β</m:t>
              </m:r>
            </m:e>
            <m:sub>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grid17</m:t>
                  </m:r>
                </m:e>
                <m:sub>
                  <m:r>
                    <w:rPr>
                      <w:rFonts w:ascii="Cambria Math" w:eastAsia="Times New Roman" w:hAnsi="Cambria Math" w:cs="Times New Roman"/>
                      <w:sz w:val="24"/>
                      <w:szCs w:val="24"/>
                    </w:rPr>
                    <m:t>o</m:t>
                  </m:r>
                </m:sub>
              </m:sSub>
            </m:sub>
          </m:sSub>
          <m:r>
            <w:rPr>
              <w:rFonts w:ascii="Cambria Math" w:eastAsia="Times New Roman" w:hAnsi="Cambria Math" w:cs="Times New Roman"/>
              <w:sz w:val="24"/>
              <w:szCs w:val="24"/>
            </w:rPr>
            <m:t>) *</m:t>
          </m:r>
        </m:oMath>
      </m:oMathPara>
    </w:p>
    <w:p w14:paraId="5F109B95" w14:textId="77777777" w:rsidR="00032304" w:rsidRPr="00C14D16" w:rsidRDefault="00221CD1" w:rsidP="00032304">
      <w:pPr>
        <w:spacing w:line="480" w:lineRule="auto"/>
        <w:ind w:left="1260"/>
        <w:jc w:val="both"/>
        <w:rPr>
          <w:rFonts w:ascii="Times New Roman" w:eastAsia="Times New Roman" w:hAnsi="Times New Roman" w:cs="Times New Roman"/>
          <w:sz w:val="24"/>
          <w:szCs w:val="24"/>
        </w:rPr>
      </w:pPr>
      <m:oMath>
        <m:func>
          <m:funcPr>
            <m:ctrlPr>
              <w:rPr>
                <w:rFonts w:ascii="Cambria Math" w:eastAsia="Times New Roman" w:hAnsi="Cambria Math" w:cs="Times New Roman"/>
                <w:sz w:val="24"/>
                <w:szCs w:val="24"/>
              </w:rPr>
            </m:ctrlPr>
          </m:funcPr>
          <m:fName>
            <m:r>
              <m:rPr>
                <m:sty m:val="p"/>
              </m:rPr>
              <w:rPr>
                <w:rFonts w:ascii="Cambria Math" w:eastAsia="Times New Roman" w:hAnsi="Cambria Math" w:cs="Times New Roman"/>
                <w:sz w:val="24"/>
                <w:szCs w:val="24"/>
              </w:rPr>
              <m:t>exp</m:t>
            </m:r>
          </m:fName>
          <m:e>
            <m:r>
              <w:rPr>
                <w:rFonts w:ascii="Cambria Math" w:eastAsia="Times New Roman" w:hAnsi="Cambria Math" w:cs="Times New Roman"/>
                <w:sz w:val="24"/>
                <w:szCs w:val="24"/>
              </w:rPr>
              <m:t xml:space="preserve"> </m:t>
            </m:r>
            <m:d>
              <m:dPr>
                <m:ctrlPr>
                  <w:rPr>
                    <w:rFonts w:ascii="Cambria Math" w:eastAsia="Times New Roman" w:hAnsi="Cambria Math" w:cs="Times New Roman"/>
                    <w:sz w:val="24"/>
                    <w:szCs w:val="24"/>
                  </w:rPr>
                </m:ctrlPr>
              </m:dPr>
              <m:e>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β</m:t>
                    </m:r>
                  </m:e>
                  <m:sub>
                    <m:r>
                      <w:rPr>
                        <w:rFonts w:ascii="Cambria Math" w:eastAsia="Times New Roman" w:hAnsi="Cambria Math" w:cs="Times New Roman"/>
                        <w:sz w:val="24"/>
                        <w:szCs w:val="24"/>
                      </w:rPr>
                      <m:t>sbdc</m:t>
                    </m:r>
                  </m:sub>
                </m:sSub>
                <m:r>
                  <w:rPr>
                    <w:rFonts w:ascii="Cambria Math" w:eastAsia="Times New Roman" w:hAnsi="Cambria Math" w:cs="Times New Roman"/>
                    <w:sz w:val="24"/>
                    <w:szCs w:val="24"/>
                  </w:rPr>
                  <m:t>*</m:t>
                </m:r>
                <m:d>
                  <m:dPr>
                    <m:ctrlPr>
                      <w:rPr>
                        <w:rFonts w:ascii="Cambria Math" w:eastAsia="Times New Roman" w:hAnsi="Cambria Math" w:cs="Times New Roman"/>
                        <w:i/>
                        <w:sz w:val="24"/>
                        <w:szCs w:val="24"/>
                      </w:rPr>
                    </m:ctrlPr>
                  </m:dPr>
                  <m:e>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β</m:t>
                        </m:r>
                      </m:e>
                      <m:sub>
                        <m:r>
                          <w:rPr>
                            <w:rFonts w:ascii="Cambria Math" w:eastAsia="Times New Roman" w:hAnsi="Cambria Math" w:cs="Times New Roman"/>
                            <w:sz w:val="24"/>
                            <w:szCs w:val="24"/>
                          </w:rPr>
                          <m:t>o17</m:t>
                        </m:r>
                      </m:sub>
                    </m:sSub>
                    <m:r>
                      <w:rPr>
                        <w:rFonts w:ascii="Cambria Math" w:eastAsia="Times New Roman" w:hAnsi="Cambria Math" w:cs="Times New Roman"/>
                        <w:sz w:val="24"/>
                        <w:szCs w:val="24"/>
                      </w:rPr>
                      <m:t>+</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β</m:t>
                        </m:r>
                      </m:e>
                      <m:sub>
                        <m:r>
                          <w:rPr>
                            <w:rFonts w:ascii="Cambria Math" w:eastAsia="Times New Roman" w:hAnsi="Cambria Math" w:cs="Times New Roman"/>
                            <w:sz w:val="24"/>
                            <w:szCs w:val="24"/>
                          </w:rPr>
                          <m:t>l17</m:t>
                        </m:r>
                      </m:sub>
                    </m:sSub>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m:rPr>
                            <m:sty m:val="p"/>
                          </m:rPr>
                          <w:rPr>
                            <w:rFonts w:ascii="Cambria Math" w:eastAsia="Times New Roman" w:hAnsi="Cambria Math" w:cs="Times New Roman"/>
                            <w:sz w:val="24"/>
                            <w:szCs w:val="24"/>
                          </w:rPr>
                          <m:t>LOW</m:t>
                        </m:r>
                        <m:ctrlPr>
                          <w:rPr>
                            <w:rFonts w:ascii="Cambria Math" w:eastAsia="Times New Roman" w:hAnsi="Cambria Math" w:cs="Times New Roman"/>
                            <w:sz w:val="24"/>
                            <w:szCs w:val="24"/>
                          </w:rPr>
                        </m:ctrlPr>
                      </m:e>
                      <m:sub>
                        <m:r>
                          <w:rPr>
                            <w:rFonts w:ascii="Cambria Math" w:eastAsia="Times New Roman" w:hAnsi="Cambria Math" w:cs="Times New Roman"/>
                            <w:sz w:val="24"/>
                            <w:szCs w:val="24"/>
                          </w:rPr>
                          <m:t>s</m:t>
                        </m:r>
                        <m:ctrlPr>
                          <w:rPr>
                            <w:rFonts w:ascii="Cambria Math" w:eastAsia="Times New Roman" w:hAnsi="Cambria Math" w:cs="Times New Roman"/>
                            <w:sz w:val="24"/>
                            <w:szCs w:val="24"/>
                          </w:rPr>
                        </m:ctrlPr>
                      </m:sub>
                    </m:sSub>
                    <m:r>
                      <w:rPr>
                        <w:rFonts w:ascii="Cambria Math" w:eastAsia="Times New Roman" w:hAnsi="Cambria Math" w:cs="Times New Roman"/>
                        <w:sz w:val="24"/>
                        <w:szCs w:val="24"/>
                      </w:rPr>
                      <m:t>+</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β</m:t>
                        </m:r>
                      </m:e>
                      <m:sub>
                        <m:r>
                          <w:rPr>
                            <w:rFonts w:ascii="Cambria Math" w:eastAsia="Times New Roman" w:hAnsi="Cambria Math" w:cs="Times New Roman"/>
                            <w:sz w:val="24"/>
                            <w:szCs w:val="24"/>
                          </w:rPr>
                          <m:t>b17</m:t>
                        </m:r>
                      </m:sub>
                    </m:sSub>
                    <m:r>
                      <w:rPr>
                        <w:rFonts w:ascii="Cambria Math" w:eastAsia="Times New Roman" w:hAnsi="Cambria Math" w:cs="Times New Roman"/>
                        <w:sz w:val="24"/>
                        <w:szCs w:val="24"/>
                      </w:rPr>
                      <m:t>*</m:t>
                    </m:r>
                    <m:sSub>
                      <m:sSubPr>
                        <m:ctrlPr>
                          <w:rPr>
                            <w:rFonts w:ascii="Cambria Math" w:eastAsia="Times New Roman" w:hAnsi="Cambria Math" w:cs="Times New Roman"/>
                            <w:sz w:val="24"/>
                            <w:szCs w:val="24"/>
                          </w:rPr>
                        </m:ctrlPr>
                      </m:sSubPr>
                      <m:e>
                        <m:r>
                          <m:rPr>
                            <m:sty m:val="p"/>
                          </m:rPr>
                          <w:rPr>
                            <w:rFonts w:ascii="Cambria Math" w:eastAsia="Times New Roman" w:hAnsi="Cambria Math" w:cs="Times New Roman"/>
                            <w:sz w:val="24"/>
                            <w:szCs w:val="24"/>
                          </w:rPr>
                          <m:t>BERM</m:t>
                        </m:r>
                      </m:e>
                      <m:sub>
                        <m:r>
                          <w:rPr>
                            <w:rFonts w:ascii="Cambria Math" w:eastAsia="Times New Roman" w:hAnsi="Cambria Math" w:cs="Times New Roman"/>
                            <w:sz w:val="24"/>
                            <w:szCs w:val="24"/>
                          </w:rPr>
                          <m:t>s</m:t>
                        </m:r>
                      </m:sub>
                    </m:sSub>
                    <m:r>
                      <w:rPr>
                        <w:rFonts w:ascii="Cambria Math" w:eastAsia="Times New Roman" w:hAnsi="Cambria Math" w:cs="Times New Roman"/>
                        <w:sz w:val="24"/>
                        <w:szCs w:val="24"/>
                      </w:rPr>
                      <m:t>+</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β</m:t>
                        </m:r>
                      </m:e>
                      <m:sub>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grid17</m:t>
                            </m:r>
                          </m:e>
                          <m:sub>
                            <m:r>
                              <w:rPr>
                                <w:rFonts w:ascii="Cambria Math" w:eastAsia="Times New Roman" w:hAnsi="Cambria Math" w:cs="Times New Roman"/>
                                <w:sz w:val="24"/>
                                <w:szCs w:val="24"/>
                              </w:rPr>
                              <m:t>o</m:t>
                            </m:r>
                          </m:sub>
                        </m:sSub>
                      </m:sub>
                    </m:sSub>
                  </m:e>
                </m:d>
                <m:r>
                  <w:rPr>
                    <w:rFonts w:ascii="Cambria Math" w:eastAsia="Times New Roman" w:hAnsi="Cambria Math" w:cs="Times New Roman"/>
                    <w:sz w:val="24"/>
                    <w:szCs w:val="24"/>
                  </w:rPr>
                  <m:t>+</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β</m:t>
                    </m:r>
                  </m:e>
                  <m:sub>
                    <m:r>
                      <w:rPr>
                        <w:rFonts w:ascii="Cambria Math" w:eastAsia="Times New Roman" w:hAnsi="Cambria Math" w:cs="Times New Roman"/>
                        <w:sz w:val="24"/>
                        <w:szCs w:val="24"/>
                      </w:rPr>
                      <m:t>0dc</m:t>
                    </m:r>
                  </m:sub>
                </m:sSub>
                <m:r>
                  <w:rPr>
                    <w:rFonts w:ascii="Cambria Math" w:eastAsia="Times New Roman" w:hAnsi="Cambria Math" w:cs="Times New Roman"/>
                    <w:sz w:val="24"/>
                    <w:szCs w:val="24"/>
                  </w:rPr>
                  <m:t>+</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β</m:t>
                    </m:r>
                  </m:e>
                  <m:sub>
                    <m:r>
                      <w:rPr>
                        <w:rFonts w:ascii="Cambria Math" w:eastAsia="Times New Roman" w:hAnsi="Cambria Math" w:cs="Times New Roman"/>
                        <w:sz w:val="24"/>
                        <w:szCs w:val="24"/>
                      </w:rPr>
                      <m:t>ldc</m:t>
                    </m:r>
                  </m:sub>
                </m:sSub>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m:rPr>
                        <m:sty m:val="p"/>
                      </m:rPr>
                      <w:rPr>
                        <w:rFonts w:ascii="Cambria Math" w:eastAsia="Times New Roman" w:hAnsi="Cambria Math" w:cs="Times New Roman"/>
                        <w:sz w:val="24"/>
                        <w:szCs w:val="24"/>
                      </w:rPr>
                      <m:t>LOW</m:t>
                    </m:r>
                    <m:ctrlPr>
                      <w:rPr>
                        <w:rFonts w:ascii="Cambria Math" w:eastAsia="Times New Roman" w:hAnsi="Cambria Math" w:cs="Times New Roman"/>
                        <w:sz w:val="24"/>
                        <w:szCs w:val="24"/>
                      </w:rPr>
                    </m:ctrlPr>
                  </m:e>
                  <m:sub>
                    <m:r>
                      <w:rPr>
                        <w:rFonts w:ascii="Cambria Math" w:eastAsia="Times New Roman" w:hAnsi="Cambria Math" w:cs="Times New Roman"/>
                        <w:sz w:val="24"/>
                        <w:szCs w:val="24"/>
                      </w:rPr>
                      <m:t>s</m:t>
                    </m:r>
                    <m:ctrlPr>
                      <w:rPr>
                        <w:rFonts w:ascii="Cambria Math" w:eastAsia="Times New Roman" w:hAnsi="Cambria Math" w:cs="Times New Roman"/>
                        <w:sz w:val="24"/>
                        <w:szCs w:val="24"/>
                      </w:rPr>
                    </m:ctrlPr>
                  </m:sub>
                </m:sSub>
                <m:r>
                  <w:rPr>
                    <w:rFonts w:ascii="Cambria Math" w:eastAsia="Times New Roman" w:hAnsi="Cambria Math" w:cs="Times New Roman"/>
                    <w:sz w:val="24"/>
                    <w:szCs w:val="24"/>
                  </w:rPr>
                  <m:t>+</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β</m:t>
                    </m:r>
                  </m:e>
                  <m:sub>
                    <m:r>
                      <w:rPr>
                        <w:rFonts w:ascii="Cambria Math" w:eastAsia="Times New Roman" w:hAnsi="Cambria Math" w:cs="Times New Roman"/>
                        <w:sz w:val="24"/>
                        <w:szCs w:val="24"/>
                      </w:rPr>
                      <m:t>bdc</m:t>
                    </m:r>
                  </m:sub>
                </m:sSub>
                <m:r>
                  <w:rPr>
                    <w:rFonts w:ascii="Cambria Math" w:eastAsia="Times New Roman" w:hAnsi="Cambria Math" w:cs="Times New Roman"/>
                    <w:sz w:val="24"/>
                    <w:szCs w:val="24"/>
                  </w:rPr>
                  <m:t>*</m:t>
                </m:r>
                <m:sSub>
                  <m:sSubPr>
                    <m:ctrlPr>
                      <w:rPr>
                        <w:rFonts w:ascii="Cambria Math" w:eastAsia="Times New Roman" w:hAnsi="Cambria Math" w:cs="Times New Roman"/>
                        <w:sz w:val="24"/>
                        <w:szCs w:val="24"/>
                      </w:rPr>
                    </m:ctrlPr>
                  </m:sSubPr>
                  <m:e>
                    <m:r>
                      <m:rPr>
                        <m:sty m:val="p"/>
                      </m:rPr>
                      <w:rPr>
                        <w:rFonts w:ascii="Cambria Math" w:eastAsia="Times New Roman" w:hAnsi="Cambria Math" w:cs="Times New Roman"/>
                        <w:sz w:val="24"/>
                        <w:szCs w:val="24"/>
                      </w:rPr>
                      <m:t>BERM</m:t>
                    </m:r>
                  </m:e>
                  <m:sub>
                    <m:r>
                      <w:rPr>
                        <w:rFonts w:ascii="Cambria Math" w:eastAsia="Times New Roman" w:hAnsi="Cambria Math" w:cs="Times New Roman"/>
                        <w:sz w:val="24"/>
                        <w:szCs w:val="24"/>
                      </w:rPr>
                      <m:t>s</m:t>
                    </m:r>
                  </m:sub>
                </m:sSub>
                <m:ctrlPr>
                  <w:rPr>
                    <w:rFonts w:ascii="Cambria Math" w:eastAsia="Times New Roman" w:hAnsi="Cambria Math" w:cs="Times New Roman"/>
                    <w:i/>
                    <w:sz w:val="24"/>
                    <w:szCs w:val="24"/>
                  </w:rPr>
                </m:ctrlPr>
              </m:e>
            </m:d>
          </m:e>
        </m:func>
        <m:r>
          <w:rPr>
            <w:rFonts w:ascii="Cambria Math" w:eastAsia="Times New Roman" w:hAnsi="Cambria Math" w:cs="Times New Roman"/>
            <w:sz w:val="24"/>
            <w:szCs w:val="24"/>
          </w:rPr>
          <m:t>*100</m:t>
        </m:r>
      </m:oMath>
      <w:r w:rsidR="00032304">
        <w:rPr>
          <w:rFonts w:ascii="Times New Roman" w:eastAsia="Times New Roman" w:hAnsi="Times New Roman" w:cs="Times New Roman"/>
          <w:sz w:val="24"/>
          <w:szCs w:val="24"/>
        </w:rPr>
        <w:tab/>
      </w:r>
      <w:r w:rsidR="00032304">
        <w:rPr>
          <w:rFonts w:ascii="Times New Roman" w:eastAsia="Times New Roman" w:hAnsi="Times New Roman" w:cs="Times New Roman"/>
          <w:sz w:val="24"/>
          <w:szCs w:val="24"/>
        </w:rPr>
        <w:tab/>
      </w:r>
      <w:r w:rsidR="00032304">
        <w:rPr>
          <w:rFonts w:ascii="Times New Roman" w:eastAsia="Times New Roman" w:hAnsi="Times New Roman" w:cs="Times New Roman"/>
          <w:sz w:val="24"/>
          <w:szCs w:val="24"/>
        </w:rPr>
        <w:tab/>
      </w:r>
      <w:r w:rsidR="00032304">
        <w:rPr>
          <w:rFonts w:ascii="Times New Roman" w:eastAsia="Times New Roman" w:hAnsi="Times New Roman" w:cs="Times New Roman"/>
          <w:sz w:val="24"/>
          <w:szCs w:val="24"/>
        </w:rPr>
        <w:tab/>
      </w:r>
      <w:r w:rsidR="00032304">
        <w:rPr>
          <w:rFonts w:ascii="Times New Roman" w:eastAsia="Times New Roman" w:hAnsi="Times New Roman" w:cs="Times New Roman"/>
          <w:sz w:val="24"/>
          <w:szCs w:val="24"/>
        </w:rPr>
        <w:tab/>
      </w:r>
      <w:r w:rsidR="00032304">
        <w:rPr>
          <w:rFonts w:ascii="Times New Roman" w:eastAsia="Times New Roman" w:hAnsi="Times New Roman" w:cs="Times New Roman"/>
          <w:sz w:val="24"/>
          <w:szCs w:val="24"/>
        </w:rPr>
        <w:tab/>
      </w:r>
      <w:r w:rsidR="00032304" w:rsidRPr="00C14D16">
        <w:rPr>
          <w:rFonts w:ascii="Times New Roman" w:eastAsia="Times New Roman" w:hAnsi="Times New Roman" w:cs="Times New Roman"/>
          <w:sz w:val="24"/>
          <w:szCs w:val="24"/>
        </w:rPr>
        <w:t xml:space="preserve">(Eq. </w:t>
      </w:r>
      <w:r w:rsidR="00032304">
        <w:rPr>
          <w:rFonts w:ascii="Times New Roman" w:eastAsia="Times New Roman" w:hAnsi="Times New Roman" w:cs="Times New Roman"/>
          <w:sz w:val="24"/>
          <w:szCs w:val="24"/>
        </w:rPr>
        <w:t>S7</w:t>
      </w:r>
      <w:r w:rsidR="00032304" w:rsidRPr="00C14D16">
        <w:rPr>
          <w:rFonts w:ascii="Times New Roman" w:eastAsia="Times New Roman" w:hAnsi="Times New Roman" w:cs="Times New Roman"/>
          <w:sz w:val="24"/>
          <w:szCs w:val="24"/>
        </w:rPr>
        <w:t>)</w:t>
      </w:r>
    </w:p>
    <w:p w14:paraId="1B2D7C25" w14:textId="77777777" w:rsidR="00032304" w:rsidRDefault="00032304" w:rsidP="00032304">
      <w:pPr>
        <w:spacing w:line="480" w:lineRule="auto"/>
        <w:ind w:firstLine="720"/>
        <w:rPr>
          <w:rFonts w:ascii="Times New Roman" w:eastAsia="Times New Roman" w:hAnsi="Times New Roman" w:cs="Times New Roman"/>
          <w:sz w:val="24"/>
          <w:szCs w:val="24"/>
        </w:rPr>
      </w:pPr>
    </w:p>
    <w:p w14:paraId="3B006930" w14:textId="77777777" w:rsidR="00032304" w:rsidRDefault="00032304" w:rsidP="00032304">
      <w:pPr>
        <w:spacing w:line="480" w:lineRule="auto"/>
        <w:ind w:firstLine="720"/>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To calculate spatially detrended estimates of SOC density for the same sampling locations in 2019, we used two independent spatial regressions for each of our direct measurements: SBD and LOI. We then calculated SOC density based on the spatially detrended estimates for both measures.</w:t>
      </w:r>
    </w:p>
    <w:p w14:paraId="19D036CC" w14:textId="77777777" w:rsidR="00032304" w:rsidRPr="00C14D16" w:rsidRDefault="00032304" w:rsidP="00032304">
      <w:pPr>
        <w:spacing w:line="480" w:lineRule="auto"/>
        <w:ind w:firstLine="720"/>
        <w:rPr>
          <w:rFonts w:ascii="Times New Roman" w:eastAsia="Times New Roman" w:hAnsi="Times New Roman" w:cs="Times New Roman"/>
          <w:sz w:val="24"/>
          <w:szCs w:val="24"/>
        </w:rPr>
      </w:pPr>
    </w:p>
    <w:p w14:paraId="63D2FA36" w14:textId="77777777" w:rsidR="00032304" w:rsidRPr="00C14D16" w:rsidRDefault="00221CD1" w:rsidP="00032304">
      <w:pPr>
        <w:spacing w:line="480" w:lineRule="auto"/>
        <w:rPr>
          <w:rFonts w:ascii="Times New Roman" w:eastAsia="Times New Roman" w:hAnsi="Times New Roman" w:cs="Times New Roman"/>
          <w:sz w:val="24"/>
          <w:szCs w:val="24"/>
        </w:rPr>
      </w:pPr>
      <m:oMath>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SOC19</m:t>
            </m:r>
          </m:e>
          <m:sub>
            <m:r>
              <w:rPr>
                <w:rFonts w:ascii="Cambria Math" w:eastAsia="Times New Roman" w:hAnsi="Cambria Math" w:cs="Times New Roman"/>
                <w:sz w:val="24"/>
                <w:szCs w:val="24"/>
              </w:rPr>
              <m:t>t,o</m:t>
            </m:r>
          </m:sub>
        </m:sSub>
        <m:r>
          <w:rPr>
            <w:rFonts w:ascii="Cambria Math" w:eastAsia="Times New Roman" w:hAnsi="Cambria Math" w:cs="Times New Roman"/>
            <w:sz w:val="24"/>
            <w:szCs w:val="24"/>
          </w:rPr>
          <m:t xml:space="preserve"> =</m:t>
        </m:r>
        <m:r>
          <m:rPr>
            <m:sty m:val="p"/>
          </m:rPr>
          <w:rPr>
            <w:rFonts w:ascii="Cambria Math" w:eastAsia="Times New Roman" w:hAnsi="Cambria Math" w:cs="Times New Roman"/>
            <w:sz w:val="24"/>
            <w:szCs w:val="24"/>
          </w:rPr>
          <m:t>exp⁡(</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β</m:t>
            </m:r>
          </m:e>
          <m:sub>
            <m:r>
              <w:rPr>
                <w:rFonts w:ascii="Cambria Math" w:eastAsia="Times New Roman" w:hAnsi="Cambria Math" w:cs="Times New Roman"/>
                <w:sz w:val="24"/>
                <w:szCs w:val="24"/>
              </w:rPr>
              <m:t>osbd19</m:t>
            </m:r>
          </m:sub>
        </m:sSub>
        <m:r>
          <w:rPr>
            <w:rFonts w:ascii="Cambria Math" w:eastAsia="Times New Roman" w:hAnsi="Cambria Math" w:cs="Times New Roman"/>
            <w:sz w:val="24"/>
            <w:szCs w:val="24"/>
          </w:rPr>
          <m:t>+</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β</m:t>
            </m:r>
          </m:e>
          <m:sub>
            <m:r>
              <w:rPr>
                <w:rFonts w:ascii="Cambria Math" w:eastAsia="Times New Roman" w:hAnsi="Cambria Math" w:cs="Times New Roman"/>
                <w:sz w:val="24"/>
                <w:szCs w:val="24"/>
              </w:rPr>
              <m:t>lsbd19</m:t>
            </m:r>
          </m:sub>
        </m:sSub>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m:rPr>
                <m:sty m:val="p"/>
              </m:rPr>
              <w:rPr>
                <w:rFonts w:ascii="Cambria Math" w:eastAsia="Times New Roman" w:hAnsi="Cambria Math" w:cs="Times New Roman"/>
                <w:sz w:val="24"/>
                <w:szCs w:val="24"/>
              </w:rPr>
              <m:t>LOW</m:t>
            </m:r>
            <m:ctrlPr>
              <w:rPr>
                <w:rFonts w:ascii="Cambria Math" w:eastAsia="Times New Roman" w:hAnsi="Cambria Math" w:cs="Times New Roman"/>
                <w:sz w:val="24"/>
                <w:szCs w:val="24"/>
              </w:rPr>
            </m:ctrlPr>
          </m:e>
          <m:sub>
            <m:r>
              <w:rPr>
                <w:rFonts w:ascii="Cambria Math" w:eastAsia="Times New Roman" w:hAnsi="Cambria Math" w:cs="Times New Roman"/>
                <w:sz w:val="24"/>
                <w:szCs w:val="24"/>
              </w:rPr>
              <m:t>t</m:t>
            </m:r>
            <m:ctrlPr>
              <w:rPr>
                <w:rFonts w:ascii="Cambria Math" w:eastAsia="Times New Roman" w:hAnsi="Cambria Math" w:cs="Times New Roman"/>
                <w:sz w:val="24"/>
                <w:szCs w:val="24"/>
              </w:rPr>
            </m:ctrlPr>
          </m:sub>
        </m:sSub>
        <m:r>
          <w:rPr>
            <w:rFonts w:ascii="Cambria Math" w:eastAsia="Times New Roman" w:hAnsi="Cambria Math" w:cs="Times New Roman"/>
            <w:sz w:val="24"/>
            <w:szCs w:val="24"/>
          </w:rPr>
          <m:t>+</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β</m:t>
            </m:r>
          </m:e>
          <m:sub>
            <m:r>
              <w:rPr>
                <w:rFonts w:ascii="Cambria Math" w:eastAsia="Times New Roman" w:hAnsi="Cambria Math" w:cs="Times New Roman"/>
                <w:sz w:val="24"/>
                <w:szCs w:val="24"/>
              </w:rPr>
              <m:t>bsbd19</m:t>
            </m:r>
          </m:sub>
        </m:sSub>
        <m:r>
          <w:rPr>
            <w:rFonts w:ascii="Cambria Math" w:eastAsia="Times New Roman" w:hAnsi="Cambria Math" w:cs="Times New Roman"/>
            <w:sz w:val="24"/>
            <w:szCs w:val="24"/>
          </w:rPr>
          <m:t>*</m:t>
        </m:r>
        <m:sSub>
          <m:sSubPr>
            <m:ctrlPr>
              <w:rPr>
                <w:rFonts w:ascii="Cambria Math" w:eastAsia="Times New Roman" w:hAnsi="Cambria Math" w:cs="Times New Roman"/>
                <w:sz w:val="24"/>
                <w:szCs w:val="24"/>
              </w:rPr>
            </m:ctrlPr>
          </m:sSubPr>
          <m:e>
            <m:r>
              <m:rPr>
                <m:sty m:val="p"/>
              </m:rPr>
              <w:rPr>
                <w:rFonts w:ascii="Cambria Math" w:eastAsia="Times New Roman" w:hAnsi="Cambria Math" w:cs="Times New Roman"/>
                <w:sz w:val="24"/>
                <w:szCs w:val="24"/>
              </w:rPr>
              <m:t>BERM</m:t>
            </m:r>
          </m:e>
          <m:sub>
            <m:r>
              <w:rPr>
                <w:rFonts w:ascii="Cambria Math" w:eastAsia="Times New Roman" w:hAnsi="Cambria Math" w:cs="Times New Roman"/>
                <w:sz w:val="24"/>
                <w:szCs w:val="24"/>
              </w:rPr>
              <m:t>t</m:t>
            </m:r>
          </m:sub>
        </m:sSub>
        <m:r>
          <w:rPr>
            <w:rFonts w:ascii="Cambria Math" w:eastAsia="Times New Roman" w:hAnsi="Cambria Math" w:cs="Times New Roman"/>
            <w:sz w:val="24"/>
            <w:szCs w:val="24"/>
          </w:rPr>
          <m:t>+</m:t>
        </m:r>
        <m:sSub>
          <m:sSubPr>
            <m:ctrlPr>
              <w:rPr>
                <w:rFonts w:ascii="Cambria Math" w:eastAsia="Times New Roman" w:hAnsi="Cambria Math" w:cs="Times New Roman"/>
                <w:sz w:val="24"/>
                <w:szCs w:val="24"/>
              </w:rPr>
            </m:ctrlPr>
          </m:sSubPr>
          <m:e>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β</m:t>
                </m:r>
              </m:e>
              <m:sub>
                <m:r>
                  <w:rPr>
                    <w:rFonts w:ascii="Cambria Math" w:eastAsia="Times New Roman" w:hAnsi="Cambria Math" w:cs="Times New Roman"/>
                    <w:sz w:val="24"/>
                    <w:szCs w:val="24"/>
                  </w:rPr>
                  <m:t>gridsbd19</m:t>
                </m:r>
              </m:sub>
            </m:sSub>
          </m:e>
          <m:sub>
            <m:r>
              <w:rPr>
                <w:rFonts w:ascii="Cambria Math" w:eastAsia="Times New Roman" w:hAnsi="Cambria Math" w:cs="Times New Roman"/>
                <w:sz w:val="24"/>
                <w:szCs w:val="24"/>
              </w:rPr>
              <m:t>o</m:t>
            </m:r>
          </m:sub>
        </m:sSub>
        <m:r>
          <w:rPr>
            <w:rFonts w:ascii="Cambria Math" w:eastAsia="Times New Roman" w:hAnsi="Cambria Math" w:cs="Times New Roman"/>
            <w:sz w:val="24"/>
            <w:szCs w:val="24"/>
          </w:rPr>
          <m:t>)*</m:t>
        </m:r>
      </m:oMath>
      <w:r w:rsidR="00032304" w:rsidRPr="00C14D16">
        <w:rPr>
          <w:rFonts w:ascii="Times New Roman" w:eastAsia="Times New Roman" w:hAnsi="Times New Roman" w:cs="Times New Roman"/>
          <w:sz w:val="24"/>
          <w:szCs w:val="24"/>
        </w:rPr>
        <w:tab/>
      </w:r>
    </w:p>
    <w:p w14:paraId="2FD5DC1C" w14:textId="77777777" w:rsidR="00032304" w:rsidRDefault="00032304" w:rsidP="00032304">
      <w:pPr>
        <w:spacing w:line="480" w:lineRule="auto"/>
        <w:ind w:left="1260"/>
        <w:rPr>
          <w:rFonts w:ascii="Times New Roman" w:eastAsia="Times New Roman" w:hAnsi="Times New Roman" w:cs="Times New Roman"/>
          <w:sz w:val="24"/>
          <w:szCs w:val="24"/>
        </w:rPr>
      </w:pPr>
      <m:oMath>
        <m:r>
          <m:rPr>
            <m:sty m:val="p"/>
          </m:rPr>
          <w:rPr>
            <w:rFonts w:ascii="Cambria Math" w:eastAsia="Times New Roman" w:hAnsi="Cambria Math" w:cs="Times New Roman"/>
            <w:sz w:val="24"/>
            <w:szCs w:val="24"/>
          </w:rPr>
          <m:t>exp⁡(</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β</m:t>
            </m:r>
          </m:e>
          <m:sub>
            <m:r>
              <w:rPr>
                <w:rFonts w:ascii="Cambria Math" w:eastAsia="Times New Roman" w:hAnsi="Cambria Math" w:cs="Times New Roman"/>
                <w:sz w:val="24"/>
                <w:szCs w:val="24"/>
              </w:rPr>
              <m:t>loic</m:t>
            </m:r>
          </m:sub>
        </m:sSub>
        <m:r>
          <w:rPr>
            <w:rFonts w:ascii="Cambria Math" w:eastAsia="Times New Roman" w:hAnsi="Cambria Math" w:cs="Times New Roman"/>
            <w:sz w:val="24"/>
            <w:szCs w:val="24"/>
          </w:rPr>
          <m:t>*(</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β</m:t>
            </m:r>
          </m:e>
          <m:sub>
            <m:r>
              <w:rPr>
                <w:rFonts w:ascii="Cambria Math" w:eastAsia="Times New Roman" w:hAnsi="Cambria Math" w:cs="Times New Roman"/>
                <w:sz w:val="24"/>
                <w:szCs w:val="24"/>
              </w:rPr>
              <m:t>oloi19</m:t>
            </m:r>
          </m:sub>
        </m:sSub>
        <m:r>
          <w:rPr>
            <w:rFonts w:ascii="Cambria Math" w:eastAsia="Times New Roman" w:hAnsi="Cambria Math" w:cs="Times New Roman"/>
            <w:sz w:val="24"/>
            <w:szCs w:val="24"/>
          </w:rPr>
          <m:t>+</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β</m:t>
            </m:r>
          </m:e>
          <m:sub>
            <m:r>
              <w:rPr>
                <w:rFonts w:ascii="Cambria Math" w:eastAsia="Times New Roman" w:hAnsi="Cambria Math" w:cs="Times New Roman"/>
                <w:sz w:val="24"/>
                <w:szCs w:val="24"/>
              </w:rPr>
              <m:t>lloi19</m:t>
            </m:r>
          </m:sub>
        </m:sSub>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m:rPr>
                <m:sty m:val="p"/>
              </m:rPr>
              <w:rPr>
                <w:rFonts w:ascii="Cambria Math" w:eastAsia="Times New Roman" w:hAnsi="Cambria Math" w:cs="Times New Roman"/>
                <w:sz w:val="24"/>
                <w:szCs w:val="24"/>
              </w:rPr>
              <m:t>LOW</m:t>
            </m:r>
            <m:ctrlPr>
              <w:rPr>
                <w:rFonts w:ascii="Cambria Math" w:eastAsia="Times New Roman" w:hAnsi="Cambria Math" w:cs="Times New Roman"/>
                <w:sz w:val="24"/>
                <w:szCs w:val="24"/>
              </w:rPr>
            </m:ctrlPr>
          </m:e>
          <m:sub>
            <m:r>
              <w:rPr>
                <w:rFonts w:ascii="Cambria Math" w:eastAsia="Times New Roman" w:hAnsi="Cambria Math" w:cs="Times New Roman"/>
                <w:sz w:val="24"/>
                <w:szCs w:val="24"/>
              </w:rPr>
              <m:t>t</m:t>
            </m:r>
            <m:ctrlPr>
              <w:rPr>
                <w:rFonts w:ascii="Cambria Math" w:eastAsia="Times New Roman" w:hAnsi="Cambria Math" w:cs="Times New Roman"/>
                <w:sz w:val="24"/>
                <w:szCs w:val="24"/>
              </w:rPr>
            </m:ctrlPr>
          </m:sub>
        </m:sSub>
        <m:r>
          <w:rPr>
            <w:rFonts w:ascii="Cambria Math" w:eastAsia="Times New Roman" w:hAnsi="Cambria Math" w:cs="Times New Roman"/>
            <w:sz w:val="24"/>
            <w:szCs w:val="24"/>
          </w:rPr>
          <m:t>+</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β</m:t>
            </m:r>
          </m:e>
          <m:sub>
            <m:r>
              <w:rPr>
                <w:rFonts w:ascii="Cambria Math" w:eastAsia="Times New Roman" w:hAnsi="Cambria Math" w:cs="Times New Roman"/>
                <w:sz w:val="24"/>
                <w:szCs w:val="24"/>
              </w:rPr>
              <m:t>bloi19</m:t>
            </m:r>
          </m:sub>
        </m:sSub>
        <m:r>
          <w:rPr>
            <w:rFonts w:ascii="Cambria Math" w:eastAsia="Times New Roman" w:hAnsi="Cambria Math" w:cs="Times New Roman"/>
            <w:sz w:val="24"/>
            <w:szCs w:val="24"/>
          </w:rPr>
          <m:t>*</m:t>
        </m:r>
        <m:sSub>
          <m:sSubPr>
            <m:ctrlPr>
              <w:rPr>
                <w:rFonts w:ascii="Cambria Math" w:eastAsia="Times New Roman" w:hAnsi="Cambria Math" w:cs="Times New Roman"/>
                <w:sz w:val="24"/>
                <w:szCs w:val="24"/>
              </w:rPr>
            </m:ctrlPr>
          </m:sSubPr>
          <m:e>
            <m:r>
              <m:rPr>
                <m:sty m:val="p"/>
              </m:rPr>
              <w:rPr>
                <w:rFonts w:ascii="Cambria Math" w:eastAsia="Times New Roman" w:hAnsi="Cambria Math" w:cs="Times New Roman"/>
                <w:sz w:val="24"/>
                <w:szCs w:val="24"/>
              </w:rPr>
              <m:t>BERM</m:t>
            </m:r>
          </m:e>
          <m:sub>
            <m:r>
              <w:rPr>
                <w:rFonts w:ascii="Cambria Math" w:eastAsia="Times New Roman" w:hAnsi="Cambria Math" w:cs="Times New Roman"/>
                <w:sz w:val="24"/>
                <w:szCs w:val="24"/>
              </w:rPr>
              <m:t>t</m:t>
            </m:r>
          </m:sub>
        </m:sSub>
        <m:r>
          <w:rPr>
            <w:rFonts w:ascii="Cambria Math" w:eastAsia="Times New Roman" w:hAnsi="Cambria Math" w:cs="Times New Roman"/>
            <w:sz w:val="24"/>
            <w:szCs w:val="24"/>
          </w:rPr>
          <m:t>+</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β</m:t>
            </m:r>
          </m:e>
          <m:sub>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gridloi19</m:t>
                </m:r>
              </m:e>
              <m:sub>
                <m:r>
                  <w:rPr>
                    <w:rFonts w:ascii="Cambria Math" w:eastAsia="Times New Roman" w:hAnsi="Cambria Math" w:cs="Times New Roman"/>
                    <w:sz w:val="24"/>
                    <w:szCs w:val="24"/>
                  </w:rPr>
                  <m:t>o</m:t>
                </m:r>
              </m:sub>
            </m:sSub>
          </m:sub>
        </m:sSub>
        <m:r>
          <w:rPr>
            <w:rFonts w:ascii="Cambria Math" w:eastAsia="Times New Roman" w:hAnsi="Cambria Math" w:cs="Times New Roman"/>
            <w:sz w:val="24"/>
            <w:szCs w:val="24"/>
          </w:rPr>
          <m:t>)+</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β</m:t>
            </m:r>
          </m:e>
          <m:sub>
            <m:r>
              <w:rPr>
                <w:rFonts w:ascii="Cambria Math" w:eastAsia="Times New Roman" w:hAnsi="Cambria Math" w:cs="Times New Roman"/>
                <w:sz w:val="24"/>
                <w:szCs w:val="24"/>
              </w:rPr>
              <m:t>0cc</m:t>
            </m:r>
          </m:sub>
        </m:sSub>
        <m:r>
          <w:rPr>
            <w:rFonts w:ascii="Cambria Math" w:eastAsia="Times New Roman" w:hAnsi="Cambria Math" w:cs="Times New Roman"/>
            <w:sz w:val="24"/>
            <w:szCs w:val="24"/>
          </w:rPr>
          <m:t>+</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β</m:t>
            </m:r>
          </m:e>
          <m:sub>
            <m:r>
              <w:rPr>
                <w:rFonts w:ascii="Cambria Math" w:eastAsia="Times New Roman" w:hAnsi="Cambria Math" w:cs="Times New Roman"/>
                <w:sz w:val="24"/>
                <w:szCs w:val="24"/>
              </w:rPr>
              <m:t>lcc</m:t>
            </m:r>
          </m:sub>
        </m:sSub>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m:rPr>
                <m:sty m:val="p"/>
              </m:rPr>
              <w:rPr>
                <w:rFonts w:ascii="Cambria Math" w:eastAsia="Times New Roman" w:hAnsi="Cambria Math" w:cs="Times New Roman"/>
                <w:sz w:val="24"/>
                <w:szCs w:val="24"/>
              </w:rPr>
              <m:t>LOW</m:t>
            </m:r>
            <m:ctrlPr>
              <w:rPr>
                <w:rFonts w:ascii="Cambria Math" w:eastAsia="Times New Roman" w:hAnsi="Cambria Math" w:cs="Times New Roman"/>
                <w:sz w:val="24"/>
                <w:szCs w:val="24"/>
              </w:rPr>
            </m:ctrlPr>
          </m:e>
          <m:sub>
            <m:r>
              <w:rPr>
                <w:rFonts w:ascii="Cambria Math" w:eastAsia="Times New Roman" w:hAnsi="Cambria Math" w:cs="Times New Roman"/>
                <w:sz w:val="24"/>
                <w:szCs w:val="24"/>
              </w:rPr>
              <m:t>t</m:t>
            </m:r>
            <m:ctrlPr>
              <w:rPr>
                <w:rFonts w:ascii="Cambria Math" w:eastAsia="Times New Roman" w:hAnsi="Cambria Math" w:cs="Times New Roman"/>
                <w:sz w:val="24"/>
                <w:szCs w:val="24"/>
              </w:rPr>
            </m:ctrlPr>
          </m:sub>
        </m:sSub>
        <m:r>
          <w:rPr>
            <w:rFonts w:ascii="Cambria Math" w:eastAsia="Times New Roman" w:hAnsi="Cambria Math" w:cs="Times New Roman"/>
            <w:sz w:val="24"/>
            <w:szCs w:val="24"/>
          </w:rPr>
          <m:t>+</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β</m:t>
            </m:r>
          </m:e>
          <m:sub>
            <m:r>
              <w:rPr>
                <w:rFonts w:ascii="Cambria Math" w:eastAsia="Times New Roman" w:hAnsi="Cambria Math" w:cs="Times New Roman"/>
                <w:sz w:val="24"/>
                <w:szCs w:val="24"/>
              </w:rPr>
              <m:t>bcc</m:t>
            </m:r>
          </m:sub>
        </m:sSub>
        <m:r>
          <w:rPr>
            <w:rFonts w:ascii="Cambria Math" w:eastAsia="Times New Roman" w:hAnsi="Cambria Math" w:cs="Times New Roman"/>
            <w:sz w:val="24"/>
            <w:szCs w:val="24"/>
          </w:rPr>
          <m:t>*</m:t>
        </m:r>
        <m:sSub>
          <m:sSubPr>
            <m:ctrlPr>
              <w:rPr>
                <w:rFonts w:ascii="Cambria Math" w:eastAsia="Times New Roman" w:hAnsi="Cambria Math" w:cs="Times New Roman"/>
                <w:sz w:val="24"/>
                <w:szCs w:val="24"/>
              </w:rPr>
            </m:ctrlPr>
          </m:sSubPr>
          <m:e>
            <m:r>
              <m:rPr>
                <m:sty m:val="p"/>
              </m:rPr>
              <w:rPr>
                <w:rFonts w:ascii="Cambria Math" w:eastAsia="Times New Roman" w:hAnsi="Cambria Math" w:cs="Times New Roman"/>
                <w:sz w:val="24"/>
                <w:szCs w:val="24"/>
              </w:rPr>
              <m:t>BERM</m:t>
            </m:r>
          </m:e>
          <m:sub>
            <m:r>
              <w:rPr>
                <w:rFonts w:ascii="Cambria Math" w:eastAsia="Times New Roman" w:hAnsi="Cambria Math" w:cs="Times New Roman"/>
                <w:sz w:val="24"/>
                <w:szCs w:val="24"/>
              </w:rPr>
              <m:t>t</m:t>
            </m:r>
          </m:sub>
        </m:sSub>
        <m:r>
          <w:rPr>
            <w:rFonts w:ascii="Cambria Math" w:eastAsia="Times New Roman" w:hAnsi="Cambria Math" w:cs="Times New Roman"/>
            <w:sz w:val="24"/>
            <w:szCs w:val="24"/>
          </w:rPr>
          <m:t>)*100</m:t>
        </m:r>
      </m:oMath>
      <w:r w:rsidRPr="00C14D16">
        <w:rPr>
          <w:rFonts w:ascii="Times New Roman" w:eastAsia="Times New Roman" w:hAnsi="Times New Roman" w:cs="Times New Roman"/>
          <w:sz w:val="24"/>
          <w:szCs w:val="24"/>
        </w:rPr>
        <w:t xml:space="preserve"> </w:t>
      </w:r>
      <w:r w:rsidRPr="00C14D16">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Pr="00C14D16">
        <w:rPr>
          <w:rFonts w:ascii="Times New Roman" w:eastAsia="Times New Roman" w:hAnsi="Times New Roman" w:cs="Times New Roman"/>
          <w:sz w:val="24"/>
          <w:szCs w:val="24"/>
        </w:rPr>
        <w:t xml:space="preserve">(Eq. </w:t>
      </w:r>
      <w:r>
        <w:rPr>
          <w:rFonts w:ascii="Times New Roman" w:eastAsia="Times New Roman" w:hAnsi="Times New Roman" w:cs="Times New Roman"/>
          <w:sz w:val="24"/>
          <w:szCs w:val="24"/>
        </w:rPr>
        <w:t>S8</w:t>
      </w:r>
      <w:r w:rsidRPr="00C14D16">
        <w:rPr>
          <w:rFonts w:ascii="Times New Roman" w:eastAsia="Times New Roman" w:hAnsi="Times New Roman" w:cs="Times New Roman"/>
          <w:sz w:val="24"/>
          <w:szCs w:val="24"/>
        </w:rPr>
        <w:t>)</w:t>
      </w:r>
    </w:p>
    <w:p w14:paraId="3A69E6A1" w14:textId="77777777" w:rsidR="00032304" w:rsidRPr="00E824B9" w:rsidRDefault="00032304" w:rsidP="00032304">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Again, we fit analogous equations to models for SOC in lawn, excluding parameters for the berm variables. </w:t>
      </w:r>
    </w:p>
    <w:p w14:paraId="0BC17AC5" w14:textId="77777777" w:rsidR="00032304" w:rsidRPr="00C14D16" w:rsidRDefault="00032304" w:rsidP="00032304">
      <w:pPr>
        <w:spacing w:line="480" w:lineRule="auto"/>
        <w:rPr>
          <w:rFonts w:ascii="Times New Roman" w:eastAsia="Times New Roman" w:hAnsi="Times New Roman" w:cs="Times New Roman"/>
          <w:i/>
          <w:sz w:val="24"/>
          <w:szCs w:val="24"/>
        </w:rPr>
      </w:pPr>
      <w:r w:rsidRPr="00C14D16">
        <w:rPr>
          <w:rFonts w:ascii="Times New Roman" w:eastAsia="Times New Roman" w:hAnsi="Times New Roman" w:cs="Times New Roman"/>
          <w:i/>
          <w:sz w:val="24"/>
          <w:szCs w:val="24"/>
        </w:rPr>
        <w:t>Model Implementation</w:t>
      </w:r>
    </w:p>
    <w:p w14:paraId="188F8799" w14:textId="5BDEFFC8" w:rsidR="00032304" w:rsidRDefault="00032304" w:rsidP="00032304">
      <w:pPr>
        <w:spacing w:line="480" w:lineRule="auto"/>
        <w:rPr>
          <w:rFonts w:ascii="Times New Roman" w:eastAsia="Times New Roman" w:hAnsi="Times New Roman" w:cs="Times New Roman"/>
          <w:sz w:val="24"/>
          <w:szCs w:val="24"/>
        </w:rPr>
      </w:pPr>
      <w:r w:rsidRPr="00C14D16">
        <w:rPr>
          <w:rFonts w:ascii="Times New Roman" w:eastAsia="Times New Roman" w:hAnsi="Times New Roman" w:cs="Times New Roman"/>
          <w:sz w:val="24"/>
          <w:szCs w:val="24"/>
        </w:rPr>
        <w:tab/>
        <w:t xml:space="preserve">We fit the HB models described in Eq. </w:t>
      </w:r>
      <w:r w:rsidR="00F523F6">
        <w:rPr>
          <w:rFonts w:ascii="Times New Roman" w:eastAsia="Times New Roman" w:hAnsi="Times New Roman" w:cs="Times New Roman"/>
          <w:sz w:val="24"/>
          <w:szCs w:val="24"/>
        </w:rPr>
        <w:t>S</w:t>
      </w:r>
      <w:r w:rsidRPr="00C14D16">
        <w:rPr>
          <w:rFonts w:ascii="Times New Roman" w:eastAsia="Times New Roman" w:hAnsi="Times New Roman" w:cs="Times New Roman"/>
          <w:sz w:val="24"/>
          <w:szCs w:val="24"/>
        </w:rPr>
        <w:t>1-</w:t>
      </w:r>
      <w:r w:rsidR="00F523F6">
        <w:rPr>
          <w:rFonts w:ascii="Times New Roman" w:eastAsia="Times New Roman" w:hAnsi="Times New Roman" w:cs="Times New Roman"/>
          <w:sz w:val="24"/>
          <w:szCs w:val="24"/>
        </w:rPr>
        <w:t>S8</w:t>
      </w:r>
      <w:r w:rsidRPr="00C14D16">
        <w:rPr>
          <w:rFonts w:ascii="Times New Roman" w:eastAsia="Times New Roman" w:hAnsi="Times New Roman" w:cs="Times New Roman"/>
          <w:sz w:val="24"/>
          <w:szCs w:val="24"/>
        </w:rPr>
        <w:t xml:space="preserve"> in OpenBUGS v </w:t>
      </w:r>
      <w:r>
        <w:rPr>
          <w:rFonts w:ascii="Times New Roman" w:eastAsia="Times New Roman" w:hAnsi="Times New Roman" w:cs="Times New Roman"/>
          <w:sz w:val="24"/>
          <w:szCs w:val="24"/>
        </w:rPr>
        <w:fldChar w:fldCharType="begin" w:fldLock="1"/>
      </w:r>
      <w:r>
        <w:rPr>
          <w:rFonts w:ascii="Times New Roman" w:eastAsia="Times New Roman" w:hAnsi="Times New Roman" w:cs="Times New Roman"/>
          <w:sz w:val="24"/>
          <w:szCs w:val="24"/>
        </w:rPr>
        <w:instrText>ADDIN CSL_CITATION {"citationItems":[{"id":"ITEM-1","itemData":{"PMID":"19630097","abstract":"BUGS is a software package for Bayesian inference using Gibbs sampling. The software has been instrumental in raising awareness of Bayesian modelling among both academic and commercial communities internationally, and has enjoyed considerable success over its 20-year life span. Despite this, the software has a number of shortcomings and a principal aim of this paper is to provide a balanced critical appraisal, in particular highlighting how various ideas have led to unprecedented flexibility while at the same time producing negative side effects. We also present a historical overview of the BUGS project and some future perspectives.","author":[{"dropping-particle":"","family":"Lunn","given":"David","non-dropping-particle":"","parse-names":false,"suffix":""},{"dropping-particle":"","family":"Spiegelhalter","given":"David","non-dropping-particle":"","parse-names":false,"suffix":""},{"dropping-particle":"","family":"Thomas","given":"Andrew","non-dropping-particle":"","parse-names":false,"suffix":""},{"dropping-particle":"","family":"Best","given":"Nicky","non-dropping-particle":"","parse-names":false,"suffix":""}],"container-title":"Statistics in Medicine","id":"ITEM-1","issue":"25","issued":{"date-parts":[["2009"]]},"page":"3049-3067","publisher":"Wiley Online Library","title":"The BUGS project: Evolution, critique and future directions.","type":"article-journal","volume":"28"},"uris":["http://www.mendeley.com/documents/?uuid=053622a6-5476-404d-8b22-a5088836ef07"]}],"mendeley":{"formattedCitation":"(Lunn et al., 2009)","plainTextFormattedCitation":"(Lunn et al., 2009)","previouslyFormattedCitation":"(Lunn et al., 2009)"},"properties":{"noteIndex":0},"schema":"https://github.com/citation-style-language/schema/raw/master/csl-citation.json"}</w:instrText>
      </w:r>
      <w:r>
        <w:rPr>
          <w:rFonts w:ascii="Times New Roman" w:eastAsia="Times New Roman" w:hAnsi="Times New Roman" w:cs="Times New Roman"/>
          <w:sz w:val="24"/>
          <w:szCs w:val="24"/>
        </w:rPr>
        <w:fldChar w:fldCharType="separate"/>
      </w:r>
      <w:r w:rsidRPr="00473EEB">
        <w:rPr>
          <w:rFonts w:ascii="Times New Roman" w:eastAsia="Times New Roman" w:hAnsi="Times New Roman" w:cs="Times New Roman"/>
          <w:noProof/>
          <w:sz w:val="24"/>
          <w:szCs w:val="24"/>
        </w:rPr>
        <w:t>(Lunn et al., 2009)</w:t>
      </w:r>
      <w:r>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xml:space="preserve"> </w:t>
      </w:r>
      <w:r w:rsidRPr="00C14D16">
        <w:rPr>
          <w:rFonts w:ascii="Times New Roman" w:eastAsia="Times New Roman" w:hAnsi="Times New Roman" w:cs="Times New Roman"/>
          <w:sz w:val="24"/>
          <w:szCs w:val="24"/>
        </w:rPr>
        <w:t>using the R package “R2OpenBUGS”</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fldChar w:fldCharType="begin" w:fldLock="1"/>
      </w:r>
      <w:r>
        <w:rPr>
          <w:rFonts w:ascii="Times New Roman" w:eastAsia="Times New Roman" w:hAnsi="Times New Roman" w:cs="Times New Roman"/>
          <w:sz w:val="24"/>
          <w:szCs w:val="24"/>
        </w:rPr>
        <w:instrText>ADDIN CSL_CITATION {"citationItems":[{"id":"ITEM-1","itemData":{"abstract":"Using this package, it is possible to call a BUGS model,summarize inferences and con- vergence in a table and graph, and save the simulations in arrays for easy access in R","author":[{"dropping-particle":"","family":"Gelman","given":"Andrew","non-dropping-particle":"","parse-names":false,"suffix":""}],"container-title":"CRAN package","id":"ITEM-1","issued":{"date-parts":[["2012"]]},"title":"Package ‘ R2OpenBUGS ’","type":"article-journal"},"uris":["http://www.mendeley.com/documents/?uuid=7080cca7-1eaa-34ee-a8bc-8517e4a80b3d"]}],"mendeley":{"formattedCitation":"(Gelman, 2012)","plainTextFormattedCitation":"(Gelman, 2012)","previouslyFormattedCitation":"(Gelman, 2012)"},"properties":{"noteIndex":0},"schema":"https://github.com/citation-style-language/schema/raw/master/csl-citation.json"}</w:instrText>
      </w:r>
      <w:r>
        <w:rPr>
          <w:rFonts w:ascii="Times New Roman" w:eastAsia="Times New Roman" w:hAnsi="Times New Roman" w:cs="Times New Roman"/>
          <w:sz w:val="24"/>
          <w:szCs w:val="24"/>
        </w:rPr>
        <w:fldChar w:fldCharType="separate"/>
      </w:r>
      <w:r w:rsidRPr="00473EEB">
        <w:rPr>
          <w:rFonts w:ascii="Times New Roman" w:eastAsia="Times New Roman" w:hAnsi="Times New Roman" w:cs="Times New Roman"/>
          <w:noProof/>
          <w:sz w:val="24"/>
          <w:szCs w:val="24"/>
        </w:rPr>
        <w:t>(Gelman, 2012)</w:t>
      </w:r>
      <w:r>
        <w:rPr>
          <w:rFonts w:ascii="Times New Roman" w:eastAsia="Times New Roman" w:hAnsi="Times New Roman" w:cs="Times New Roman"/>
          <w:sz w:val="24"/>
          <w:szCs w:val="24"/>
        </w:rPr>
        <w:fldChar w:fldCharType="end"/>
      </w:r>
      <w:r w:rsidRPr="00C14D16">
        <w:rPr>
          <w:rFonts w:ascii="Times New Roman" w:eastAsia="Times New Roman" w:hAnsi="Times New Roman" w:cs="Times New Roman"/>
          <w:sz w:val="24"/>
          <w:szCs w:val="24"/>
        </w:rPr>
        <w:t xml:space="preserve">. For the regression parameters that corresponded to effects of strata and area in the calibration and imputation relationships (Eq. </w:t>
      </w:r>
      <w:r>
        <w:rPr>
          <w:rFonts w:ascii="Times New Roman" w:eastAsia="Times New Roman" w:hAnsi="Times New Roman" w:cs="Times New Roman"/>
          <w:sz w:val="24"/>
          <w:szCs w:val="24"/>
        </w:rPr>
        <w:t>S1</w:t>
      </w:r>
      <w:r w:rsidRPr="00C14D1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w:t>
      </w:r>
      <w:r w:rsidRPr="00C14D16">
        <w:rPr>
          <w:rFonts w:ascii="Times New Roman" w:eastAsia="Times New Roman" w:hAnsi="Times New Roman" w:cs="Times New Roman"/>
          <w:sz w:val="24"/>
          <w:szCs w:val="24"/>
        </w:rPr>
        <w:t xml:space="preserve">4), as well as the inferential model (Eq. </w:t>
      </w:r>
      <w:r>
        <w:rPr>
          <w:rFonts w:ascii="Times New Roman" w:eastAsia="Times New Roman" w:hAnsi="Times New Roman" w:cs="Times New Roman"/>
          <w:sz w:val="24"/>
          <w:szCs w:val="24"/>
        </w:rPr>
        <w:t>S5, S6</w:t>
      </w:r>
      <w:r w:rsidRPr="00C14D16">
        <w:rPr>
          <w:rFonts w:ascii="Times New Roman" w:eastAsia="Times New Roman" w:hAnsi="Times New Roman" w:cs="Times New Roman"/>
          <w:sz w:val="24"/>
          <w:szCs w:val="24"/>
        </w:rPr>
        <w:t xml:space="preserve">), we used vague normal (0,1000) priors with one exception. For the intercept of the inferential models (e.g. </w:t>
      </w:r>
      <m:oMath>
        <m:sSub>
          <m:sSubPr>
            <m:ctrlPr>
              <w:rPr>
                <w:rFonts w:ascii="Cambria Math" w:eastAsia="Times New Roman" w:hAnsi="Cambria Math" w:cs="Times New Roman"/>
                <w:sz w:val="24"/>
                <w:szCs w:val="24"/>
              </w:rPr>
            </m:ctrlPr>
          </m:sSubPr>
          <m:e>
            <m:r>
              <w:rPr>
                <w:rFonts w:ascii="Cambria Math" w:hAnsi="Cambria Math" w:cs="Times New Roman"/>
                <w:sz w:val="24"/>
                <w:szCs w:val="24"/>
              </w:rPr>
              <m:t>β</m:t>
            </m:r>
          </m:e>
          <m:sub>
            <m:r>
              <w:rPr>
                <w:rFonts w:ascii="Cambria Math" w:eastAsia="Times New Roman" w:hAnsi="Cambria Math" w:cs="Times New Roman"/>
                <w:sz w:val="24"/>
                <w:szCs w:val="24"/>
              </w:rPr>
              <m:t>0rf</m:t>
            </m:r>
          </m:sub>
        </m:sSub>
      </m:oMath>
      <w:r>
        <w:rPr>
          <w:rFonts w:ascii="Times New Roman" w:eastAsia="Times New Roman" w:hAnsi="Times New Roman" w:cs="Times New Roman"/>
          <w:sz w:val="24"/>
          <w:szCs w:val="24"/>
        </w:rPr>
        <w:t xml:space="preserve"> in Eq. S5</w:t>
      </w:r>
      <w:r w:rsidRPr="00C14D16">
        <w:rPr>
          <w:rFonts w:ascii="Times New Roman" w:eastAsia="Times New Roman" w:hAnsi="Times New Roman" w:cs="Times New Roman"/>
          <w:sz w:val="24"/>
          <w:szCs w:val="24"/>
        </w:rPr>
        <w:t>) we used an improper flat prior as recommended fo</w:t>
      </w:r>
      <w:r>
        <w:rPr>
          <w:rFonts w:ascii="Times New Roman" w:eastAsia="Times New Roman" w:hAnsi="Times New Roman" w:cs="Times New Roman"/>
          <w:sz w:val="24"/>
          <w:szCs w:val="24"/>
        </w:rPr>
        <w:t xml:space="preserve">r intercepts in spatial models </w:t>
      </w:r>
      <w:r>
        <w:rPr>
          <w:rFonts w:ascii="Times New Roman" w:eastAsia="Times New Roman" w:hAnsi="Times New Roman" w:cs="Times New Roman"/>
          <w:sz w:val="24"/>
          <w:szCs w:val="24"/>
        </w:rPr>
        <w:fldChar w:fldCharType="begin" w:fldLock="1"/>
      </w:r>
      <w:r>
        <w:rPr>
          <w:rFonts w:ascii="Times New Roman" w:eastAsia="Times New Roman" w:hAnsi="Times New Roman" w:cs="Times New Roman"/>
          <w:sz w:val="24"/>
          <w:szCs w:val="24"/>
        </w:rPr>
        <w:instrText>ADDIN CSL_CITATION {"citationItems":[{"id":"ITEM-1","itemData":{"PMID":"19630097","abstract":"BUGS is a software package for Bayesian inference using Gibbs sampling. The software has been instrumental in raising awareness of Bayesian modelling among both academic and commercial communities internationally, and has enjoyed considerable success over its 20-year life span. Despite this, the software has a number of shortcomings and a principal aim of this paper is to provide a balanced critical appraisal, in particular highlighting how various ideas have led to unprecedented flexibility while at the same time producing negative side effects. We also present a historical overview of the BUGS project and some future perspectives.","author":[{"dropping-particle":"","family":"Lunn","given":"David","non-dropping-particle":"","parse-names":false,"suffix":""},{"dropping-particle":"","family":"Spiegelhalter","given":"David","non-dropping-particle":"","parse-names":false,"suffix":""},{"dropping-particle":"","family":"Thomas","given":"Andrew","non-dropping-particle":"","parse-names":false,"suffix":""},{"dropping-particle":"","family":"Best","given":"Nicky","non-dropping-particle":"","parse-names":false,"suffix":""}],"container-title":"Statistics in Medicine","id":"ITEM-1","issue":"25","issued":{"date-parts":[["2009"]]},"page":"3049-3067","publisher":"Wiley Online Library","title":"The BUGS project: Evolution, critique and future directions.","type":"article-journal","volume":"28"},"uris":["http://www.mendeley.com/documents/?uuid=053622a6-5476-404d-8b22-a5088836ef07"]}],"mendeley":{"formattedCitation":"(Lunn et al., 2009)","plainTextFormattedCitation":"(Lunn et al., 2009)"},"properties":{"noteIndex":0},"schema":"https://github.com/citation-style-language/schema/raw/master/csl-citation.json"}</w:instrText>
      </w:r>
      <w:r>
        <w:rPr>
          <w:rFonts w:ascii="Times New Roman" w:eastAsia="Times New Roman" w:hAnsi="Times New Roman" w:cs="Times New Roman"/>
          <w:sz w:val="24"/>
          <w:szCs w:val="24"/>
        </w:rPr>
        <w:fldChar w:fldCharType="separate"/>
      </w:r>
      <w:r w:rsidRPr="000E323D">
        <w:rPr>
          <w:rFonts w:ascii="Times New Roman" w:eastAsia="Times New Roman" w:hAnsi="Times New Roman" w:cs="Times New Roman"/>
          <w:noProof/>
          <w:sz w:val="24"/>
          <w:szCs w:val="24"/>
        </w:rPr>
        <w:t>(Lunn et al., 2009)</w:t>
      </w:r>
      <w:r>
        <w:rPr>
          <w:rFonts w:ascii="Times New Roman" w:eastAsia="Times New Roman" w:hAnsi="Times New Roman" w:cs="Times New Roman"/>
          <w:sz w:val="24"/>
          <w:szCs w:val="24"/>
        </w:rPr>
        <w:fldChar w:fldCharType="end"/>
      </w:r>
      <w:r w:rsidRPr="00C14D16">
        <w:rPr>
          <w:rFonts w:ascii="Times New Roman" w:eastAsia="Times New Roman" w:hAnsi="Times New Roman" w:cs="Times New Roman"/>
          <w:sz w:val="24"/>
          <w:szCs w:val="24"/>
        </w:rPr>
        <w:t xml:space="preserve">. For the error variances in the calibration and imputation relationships, as well as in the inferential model, we placed broad uniform (0,100) priors over the standard deviations. Finally we assigned the conditional error variance of the spatial effects (e.g. </w:t>
      </w:r>
      <m:oMath>
        <m:sSubSup>
          <m:sSubSupPr>
            <m:ctrlPr>
              <w:rPr>
                <w:rFonts w:ascii="Cambria Math" w:eastAsia="Times New Roman" w:hAnsi="Cambria Math" w:cs="Times New Roman"/>
                <w:sz w:val="24"/>
                <w:szCs w:val="24"/>
              </w:rPr>
            </m:ctrlPr>
          </m:sSubSupPr>
          <m:e>
            <m:r>
              <w:rPr>
                <w:rFonts w:ascii="Cambria Math" w:hAnsi="Cambria Math" w:cs="Times New Roman"/>
                <w:sz w:val="24"/>
                <w:szCs w:val="24"/>
              </w:rPr>
              <m:t>σ</m:t>
            </m:r>
          </m:e>
          <m:sub>
            <m:r>
              <w:rPr>
                <w:rFonts w:ascii="Cambria Math" w:eastAsia="Times New Roman" w:hAnsi="Cambria Math" w:cs="Times New Roman"/>
                <w:sz w:val="24"/>
                <w:szCs w:val="24"/>
              </w:rPr>
              <m:t>grf</m:t>
            </m:r>
          </m:sub>
          <m:sup>
            <m:r>
              <w:rPr>
                <w:rFonts w:ascii="Cambria Math" w:eastAsia="Times New Roman" w:hAnsi="Cambria Math" w:cs="Times New Roman"/>
                <w:sz w:val="24"/>
                <w:szCs w:val="24"/>
              </w:rPr>
              <m:t>2</m:t>
            </m:r>
          </m:sup>
        </m:sSubSup>
      </m:oMath>
      <w:r>
        <w:rPr>
          <w:rFonts w:ascii="Times New Roman" w:eastAsia="Times New Roman" w:hAnsi="Times New Roman" w:cs="Times New Roman"/>
          <w:sz w:val="24"/>
          <w:szCs w:val="24"/>
        </w:rPr>
        <w:t xml:space="preserve"> in Eq. S6) a G</w:t>
      </w:r>
      <w:r w:rsidRPr="00C14D16">
        <w:rPr>
          <w:rFonts w:ascii="Times New Roman" w:eastAsia="Times New Roman" w:hAnsi="Times New Roman" w:cs="Times New Roman"/>
          <w:sz w:val="24"/>
          <w:szCs w:val="24"/>
        </w:rPr>
        <w:t>amma (0.5,</w:t>
      </w:r>
      <w:r>
        <w:rPr>
          <w:rFonts w:ascii="Times New Roman" w:eastAsia="Times New Roman" w:hAnsi="Times New Roman" w:cs="Times New Roman"/>
          <w:sz w:val="24"/>
          <w:szCs w:val="24"/>
        </w:rPr>
        <w:t xml:space="preserve"> </w:t>
      </w:r>
      <w:r w:rsidRPr="00C14D16">
        <w:rPr>
          <w:rFonts w:ascii="Times New Roman" w:eastAsia="Times New Roman" w:hAnsi="Times New Roman" w:cs="Times New Roman"/>
          <w:sz w:val="24"/>
          <w:szCs w:val="24"/>
        </w:rPr>
        <w:t xml:space="preserve">0.5) prior. We estimated posterior distributions using three Markov Chain Monte Carlo chains, discarding the first 1000 samples as burn-in, followed by 4,000 additional samples, with a thinning interval of 10 to reduce within-chain autocorrelation. We assessed convergence by visually examining the trace plots and by ensuring that the Brooks Gelman Rubin Statistic </w:t>
      </w:r>
      <w:r>
        <w:rPr>
          <w:rFonts w:ascii="Times New Roman" w:eastAsia="Times New Roman" w:hAnsi="Times New Roman" w:cs="Times New Roman"/>
          <w:sz w:val="24"/>
          <w:szCs w:val="24"/>
        </w:rPr>
        <w:fldChar w:fldCharType="begin" w:fldLock="1"/>
      </w:r>
      <w:r>
        <w:rPr>
          <w:rFonts w:ascii="Times New Roman" w:eastAsia="Times New Roman" w:hAnsi="Times New Roman" w:cs="Times New Roman"/>
          <w:sz w:val="24"/>
          <w:szCs w:val="24"/>
        </w:rPr>
        <w:instrText>ADDIN CSL_CITATION {"citationItems":[{"id":"ITEM-1","itemData":{"DOI":"10.2307/1390675","ISBN":"0780308239","ISSN":"10618600","PMID":"1390675","abstract":"We generalize the method proposed by Gelman and Rubin (1992a) for monitoring the convergence of iterative simulations by comparing between and within variances of multiple chains, in order to obtain a family of tests for convergence. We review methods of inference from simulations in order to develop convergence-monitoring summaries that are relevant for the purposes for which the simulations are used. We recommend applying a battery of tests for mixing based on the comparison of inferences from individual sequences and from the mixture of sequences. Finally, we discuss multivariate analogues, for assessing convergence of several parameters simultaneously.","author":[{"dropping-particle":"","family":"Brooks","given":"Stephen P","non-dropping-particle":"","parse-names":false,"suffix":""},{"dropping-particle":"","family":"Gelman","given":"Andrew","non-dropping-particle":"","parse-names":false,"suffix":""}],"container-title":"Journal Of Computational And Graphical Statistics","id":"ITEM-1","issue":"4","issued":{"date-parts":[["1998"]]},"page":"434-455","publisher":"JSTOR","title":"General Methods for Monitoring Convergence of Iterative Simulations","type":"article-journal","volume":"7"},"uris":["http://www.mendeley.com/documents/?uuid=464c803d-4c6c-4be5-8124-90cd84fad9c4"]}],"mendeley":{"formattedCitation":"(Brooks and Gelman, 1998)","plainTextFormattedCitation":"(Brooks and Gelman, 1998)","previouslyFormattedCitation":"(Brooks and Gelman, 1998)"},"properties":{"noteIndex":0},"schema":"https://github.com/citation-style-language/schema/raw/master/csl-citation.json"}</w:instrText>
      </w:r>
      <w:r>
        <w:rPr>
          <w:rFonts w:ascii="Times New Roman" w:eastAsia="Times New Roman" w:hAnsi="Times New Roman" w:cs="Times New Roman"/>
          <w:sz w:val="24"/>
          <w:szCs w:val="24"/>
        </w:rPr>
        <w:fldChar w:fldCharType="separate"/>
      </w:r>
      <w:r w:rsidRPr="00473EEB">
        <w:rPr>
          <w:rFonts w:ascii="Times New Roman" w:eastAsia="Times New Roman" w:hAnsi="Times New Roman" w:cs="Times New Roman"/>
          <w:noProof/>
          <w:sz w:val="24"/>
          <w:szCs w:val="24"/>
        </w:rPr>
        <w:t>(Brooks and Gelman, 1998)</w:t>
      </w:r>
      <w:r>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xml:space="preserve"> </w:t>
      </w:r>
      <w:r w:rsidRPr="00C14D16">
        <w:rPr>
          <w:rFonts w:ascii="Times New Roman" w:eastAsia="Times New Roman" w:hAnsi="Times New Roman" w:cs="Times New Roman"/>
          <w:sz w:val="24"/>
          <w:szCs w:val="24"/>
        </w:rPr>
        <w:t>was less than 1.01. We ensured that the effective sample size for eve</w:t>
      </w:r>
      <w:r>
        <w:rPr>
          <w:rFonts w:ascii="Times New Roman" w:eastAsia="Times New Roman" w:hAnsi="Times New Roman" w:cs="Times New Roman"/>
          <w:sz w:val="24"/>
          <w:szCs w:val="24"/>
        </w:rPr>
        <w:t>ry quantity was at least 1000.</w:t>
      </w:r>
    </w:p>
    <w:p w14:paraId="5551BC9E" w14:textId="77777777" w:rsidR="00032304" w:rsidRDefault="00032304" w:rsidP="00032304">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References</w:t>
      </w:r>
    </w:p>
    <w:p w14:paraId="3BBDD08A" w14:textId="77777777" w:rsidR="00032304" w:rsidRPr="000E323D" w:rsidRDefault="00032304" w:rsidP="00032304">
      <w:pPr>
        <w:widowControl w:val="0"/>
        <w:autoSpaceDE w:val="0"/>
        <w:autoSpaceDN w:val="0"/>
        <w:adjustRightInd w:val="0"/>
        <w:spacing w:line="480" w:lineRule="auto"/>
        <w:ind w:left="480" w:hanging="480"/>
        <w:rPr>
          <w:rFonts w:ascii="Times New Roman" w:hAnsi="Times New Roman" w:cs="Times New Roman"/>
          <w:noProof/>
          <w:sz w:val="24"/>
          <w:szCs w:val="24"/>
        </w:rPr>
      </w:pPr>
      <w:r w:rsidRPr="000E323D">
        <w:rPr>
          <w:rFonts w:ascii="Times New Roman" w:hAnsi="Times New Roman" w:cs="Times New Roman"/>
          <w:noProof/>
          <w:sz w:val="24"/>
          <w:szCs w:val="24"/>
        </w:rPr>
        <w:t>Besag, J., York, J., Mollié, A., 1991. Bayesian image restoration, with two applications in spatial statistics. Ann. Inst. Stat. Math. 43, 1–20.</w:t>
      </w:r>
    </w:p>
    <w:p w14:paraId="7BF6217C" w14:textId="77777777" w:rsidR="00032304" w:rsidRPr="000E323D" w:rsidRDefault="00032304" w:rsidP="00032304">
      <w:pPr>
        <w:widowControl w:val="0"/>
        <w:autoSpaceDE w:val="0"/>
        <w:autoSpaceDN w:val="0"/>
        <w:adjustRightInd w:val="0"/>
        <w:spacing w:line="480" w:lineRule="auto"/>
        <w:ind w:left="480" w:hanging="480"/>
        <w:rPr>
          <w:rFonts w:ascii="Times New Roman" w:hAnsi="Times New Roman" w:cs="Times New Roman"/>
          <w:noProof/>
          <w:sz w:val="24"/>
          <w:szCs w:val="24"/>
        </w:rPr>
      </w:pPr>
      <w:r w:rsidRPr="000E323D">
        <w:rPr>
          <w:rFonts w:ascii="Times New Roman" w:hAnsi="Times New Roman" w:cs="Times New Roman"/>
          <w:noProof/>
          <w:sz w:val="24"/>
          <w:szCs w:val="24"/>
        </w:rPr>
        <w:t>Brooks, S.P., Gelman, A., 1998. General Methods for Monitoring Convergence of Iterative Simulations. J. Comput. Graph. Stat. 7, 434–455. https://doi.org/10.2307/1390675</w:t>
      </w:r>
    </w:p>
    <w:p w14:paraId="2C6F8CB5" w14:textId="77777777" w:rsidR="00032304" w:rsidRPr="000E323D" w:rsidRDefault="00032304" w:rsidP="00032304">
      <w:pPr>
        <w:widowControl w:val="0"/>
        <w:autoSpaceDE w:val="0"/>
        <w:autoSpaceDN w:val="0"/>
        <w:adjustRightInd w:val="0"/>
        <w:spacing w:line="480" w:lineRule="auto"/>
        <w:ind w:left="480" w:hanging="480"/>
        <w:rPr>
          <w:rFonts w:ascii="Times New Roman" w:hAnsi="Times New Roman" w:cs="Times New Roman"/>
          <w:noProof/>
          <w:sz w:val="24"/>
          <w:szCs w:val="24"/>
        </w:rPr>
      </w:pPr>
      <w:r w:rsidRPr="000E323D">
        <w:rPr>
          <w:rFonts w:ascii="Times New Roman" w:hAnsi="Times New Roman" w:cs="Times New Roman"/>
          <w:noProof/>
          <w:sz w:val="24"/>
          <w:szCs w:val="24"/>
        </w:rPr>
        <w:t>Gelman, A., 2012. Package ‘ R2OpenBUGS .’ CRAN Packag.</w:t>
      </w:r>
    </w:p>
    <w:p w14:paraId="41553330" w14:textId="0008A3EB" w:rsidR="00032304" w:rsidRPr="00522B09" w:rsidRDefault="00032304" w:rsidP="00522B09">
      <w:pPr>
        <w:widowControl w:val="0"/>
        <w:autoSpaceDE w:val="0"/>
        <w:autoSpaceDN w:val="0"/>
        <w:adjustRightInd w:val="0"/>
        <w:spacing w:line="480" w:lineRule="auto"/>
        <w:ind w:left="480" w:hanging="480"/>
        <w:rPr>
          <w:rFonts w:ascii="Times New Roman" w:hAnsi="Times New Roman" w:cs="Times New Roman"/>
          <w:noProof/>
          <w:sz w:val="24"/>
          <w:szCs w:val="24"/>
        </w:rPr>
      </w:pPr>
      <w:r w:rsidRPr="000E323D">
        <w:rPr>
          <w:rFonts w:ascii="Times New Roman" w:hAnsi="Times New Roman" w:cs="Times New Roman"/>
          <w:noProof/>
          <w:sz w:val="24"/>
          <w:szCs w:val="24"/>
        </w:rPr>
        <w:t>Lunn, D., Spiegelhalter, D., Thomas, A., Best, N., 2009. The BUGS project: Evolution, critique and future directions. Stat. Med. 28, 3049–3067.</w:t>
      </w:r>
    </w:p>
    <w:sectPr w:rsidR="00032304" w:rsidRPr="00522B09" w:rsidSect="0071100E">
      <w:pgSz w:w="12240" w:h="15840"/>
      <w:pgMar w:top="1440" w:right="1440" w:bottom="1440" w:left="1440" w:header="720" w:footer="720" w:gutter="0"/>
      <w:lnNumType w:countBy="1" w:restart="continuou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D491C8" w14:textId="77777777" w:rsidR="00221CD1" w:rsidRDefault="00221CD1">
      <w:pPr>
        <w:spacing w:line="240" w:lineRule="auto"/>
      </w:pPr>
      <w:r>
        <w:separator/>
      </w:r>
    </w:p>
  </w:endnote>
  <w:endnote w:type="continuationSeparator" w:id="0">
    <w:p w14:paraId="5810E036" w14:textId="77777777" w:rsidR="00221CD1" w:rsidRDefault="00221CD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altName w:val="Arial"/>
    <w:panose1 w:val="020B0502040204020203"/>
    <w:charset w:val="00"/>
    <w:family w:val="swiss"/>
    <w:pitch w:val="variable"/>
    <w:sig w:usb0="E4002EFF" w:usb1="C000E47F" w:usb2="00000009" w:usb3="00000000" w:csb0="000001FF" w:csb1="00000000"/>
  </w:font>
  <w:font w:name="Arial Unicode MS">
    <w:panose1 w:val="020B0604020202020204"/>
    <w:charset w:val="00"/>
    <w:family w:val="auto"/>
    <w:pitch w:val="default"/>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Gungsuh">
    <w:altName w:val="Malgun Gothic Semilight"/>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BCBF12" w14:textId="77777777" w:rsidR="00221CD1" w:rsidRDefault="00221CD1">
      <w:pPr>
        <w:spacing w:line="240" w:lineRule="auto"/>
      </w:pPr>
      <w:r>
        <w:separator/>
      </w:r>
    </w:p>
  </w:footnote>
  <w:footnote w:type="continuationSeparator" w:id="0">
    <w:p w14:paraId="7ACF6D22" w14:textId="77777777" w:rsidR="00221CD1" w:rsidRDefault="00221CD1">
      <w:pPr>
        <w:spacing w:line="240" w:lineRule="auto"/>
      </w:pPr>
      <w:r>
        <w:continuationSeparator/>
      </w:r>
    </w:p>
  </w:footnote>
  <w:footnote w:id="1">
    <w:p w14:paraId="44C4719C" w14:textId="5819451B" w:rsidR="00221CD1" w:rsidRPr="005A0482" w:rsidRDefault="00221CD1">
      <w:pPr>
        <w:pStyle w:val="FootnoteText"/>
        <w:rPr>
          <w:lang w:val="en-US"/>
        </w:rPr>
      </w:pPr>
      <w:r>
        <w:rPr>
          <w:rStyle w:val="FootnoteReference"/>
        </w:rPr>
        <w:footnoteRef/>
      </w:r>
      <w:r>
        <w:t xml:space="preserve"> Abbreviations: </w:t>
      </w:r>
      <w:r>
        <w:rPr>
          <w:lang w:val="en-US"/>
        </w:rPr>
        <w:t>Urban Food Forest (UFF)</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F31274" w14:textId="7B0314CA" w:rsidR="00221CD1" w:rsidRDefault="00221CD1">
    <w:pPr>
      <w:jc w:val="right"/>
    </w:pPr>
    <w:r>
      <w:t>Bressan, McWilliams, D</w:t>
    </w:r>
    <w:r>
      <w:rPr>
        <w:rFonts w:ascii="Times New Roman" w:eastAsia="Times New Roman" w:hAnsi="Times New Roman" w:cs="Times New Roman"/>
        <w:sz w:val="24"/>
        <w:szCs w:val="24"/>
        <w:lang w:val="es-ES"/>
      </w:rPr>
      <w:t>í</w:t>
    </w:r>
    <w:r>
      <w:t xml:space="preserve">az-Almeyda and Oberle </w:t>
    </w:r>
    <w:r>
      <w:fldChar w:fldCharType="begin"/>
    </w:r>
    <w:r>
      <w:instrText>PAGE</w:instrText>
    </w:r>
    <w:r>
      <w:fldChar w:fldCharType="separate"/>
    </w:r>
    <w:r w:rsidR="00471FA4">
      <w:rPr>
        <w:noProof/>
      </w:rPr>
      <w:t>20</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C020B5"/>
    <w:multiLevelType w:val="hybridMultilevel"/>
    <w:tmpl w:val="06B488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1880"/>
    <w:rsid w:val="00003022"/>
    <w:rsid w:val="00006296"/>
    <w:rsid w:val="000216F1"/>
    <w:rsid w:val="00030CF4"/>
    <w:rsid w:val="00032304"/>
    <w:rsid w:val="0004420D"/>
    <w:rsid w:val="00044E9A"/>
    <w:rsid w:val="0004577C"/>
    <w:rsid w:val="000828C7"/>
    <w:rsid w:val="00082D98"/>
    <w:rsid w:val="000A44AC"/>
    <w:rsid w:val="000A58F4"/>
    <w:rsid w:val="000B10F9"/>
    <w:rsid w:val="000B4A11"/>
    <w:rsid w:val="000C03E6"/>
    <w:rsid w:val="000D0D8D"/>
    <w:rsid w:val="000E1B28"/>
    <w:rsid w:val="00151FD9"/>
    <w:rsid w:val="0017721D"/>
    <w:rsid w:val="001815BA"/>
    <w:rsid w:val="001930FE"/>
    <w:rsid w:val="001D1625"/>
    <w:rsid w:val="001E23CE"/>
    <w:rsid w:val="001E26EF"/>
    <w:rsid w:val="001E64A2"/>
    <w:rsid w:val="001F7D79"/>
    <w:rsid w:val="001F7E92"/>
    <w:rsid w:val="002179FD"/>
    <w:rsid w:val="00221CD1"/>
    <w:rsid w:val="002323C0"/>
    <w:rsid w:val="00237F5F"/>
    <w:rsid w:val="00241C51"/>
    <w:rsid w:val="00256CFB"/>
    <w:rsid w:val="002929A6"/>
    <w:rsid w:val="002A103A"/>
    <w:rsid w:val="002A723B"/>
    <w:rsid w:val="002B3DD1"/>
    <w:rsid w:val="002E61FD"/>
    <w:rsid w:val="00303BED"/>
    <w:rsid w:val="00312CAF"/>
    <w:rsid w:val="00324739"/>
    <w:rsid w:val="00326FD5"/>
    <w:rsid w:val="00327A69"/>
    <w:rsid w:val="00343E40"/>
    <w:rsid w:val="00353B33"/>
    <w:rsid w:val="00361978"/>
    <w:rsid w:val="003744C8"/>
    <w:rsid w:val="003A565C"/>
    <w:rsid w:val="003C5746"/>
    <w:rsid w:val="00400A71"/>
    <w:rsid w:val="00411E9E"/>
    <w:rsid w:val="0041749D"/>
    <w:rsid w:val="00430620"/>
    <w:rsid w:val="0045150D"/>
    <w:rsid w:val="00463B81"/>
    <w:rsid w:val="00471FA4"/>
    <w:rsid w:val="00473EEB"/>
    <w:rsid w:val="004954BF"/>
    <w:rsid w:val="004A7870"/>
    <w:rsid w:val="00500DC1"/>
    <w:rsid w:val="00515105"/>
    <w:rsid w:val="00522B09"/>
    <w:rsid w:val="005324BC"/>
    <w:rsid w:val="00534A1D"/>
    <w:rsid w:val="0053505F"/>
    <w:rsid w:val="00561692"/>
    <w:rsid w:val="005A0482"/>
    <w:rsid w:val="005A2E0E"/>
    <w:rsid w:val="005A63C1"/>
    <w:rsid w:val="005E24F1"/>
    <w:rsid w:val="005E6358"/>
    <w:rsid w:val="005F029E"/>
    <w:rsid w:val="00610611"/>
    <w:rsid w:val="00627545"/>
    <w:rsid w:val="0064098D"/>
    <w:rsid w:val="0065411D"/>
    <w:rsid w:val="00656029"/>
    <w:rsid w:val="006A5D38"/>
    <w:rsid w:val="006C1F26"/>
    <w:rsid w:val="006E0412"/>
    <w:rsid w:val="006F4F15"/>
    <w:rsid w:val="0071100E"/>
    <w:rsid w:val="0071632D"/>
    <w:rsid w:val="007214D4"/>
    <w:rsid w:val="00723C7E"/>
    <w:rsid w:val="007401DA"/>
    <w:rsid w:val="00741619"/>
    <w:rsid w:val="00746E7D"/>
    <w:rsid w:val="00787BC5"/>
    <w:rsid w:val="007C4764"/>
    <w:rsid w:val="007D66DB"/>
    <w:rsid w:val="007E0456"/>
    <w:rsid w:val="007E10E6"/>
    <w:rsid w:val="007E14BC"/>
    <w:rsid w:val="008157CE"/>
    <w:rsid w:val="00823B46"/>
    <w:rsid w:val="008527F6"/>
    <w:rsid w:val="00866C4C"/>
    <w:rsid w:val="008814E4"/>
    <w:rsid w:val="00883482"/>
    <w:rsid w:val="0089401E"/>
    <w:rsid w:val="008A4190"/>
    <w:rsid w:val="008B5F87"/>
    <w:rsid w:val="008C5CCC"/>
    <w:rsid w:val="008D7DD5"/>
    <w:rsid w:val="008E73F4"/>
    <w:rsid w:val="0093497E"/>
    <w:rsid w:val="00951927"/>
    <w:rsid w:val="00971006"/>
    <w:rsid w:val="00995A42"/>
    <w:rsid w:val="009B6668"/>
    <w:rsid w:val="009B6A1B"/>
    <w:rsid w:val="009C03F2"/>
    <w:rsid w:val="00A04D58"/>
    <w:rsid w:val="00A0674C"/>
    <w:rsid w:val="00A12CA1"/>
    <w:rsid w:val="00A131F1"/>
    <w:rsid w:val="00A37896"/>
    <w:rsid w:val="00A6248F"/>
    <w:rsid w:val="00A768D7"/>
    <w:rsid w:val="00AE02AC"/>
    <w:rsid w:val="00AF2D43"/>
    <w:rsid w:val="00B00C7F"/>
    <w:rsid w:val="00B119EF"/>
    <w:rsid w:val="00B439C2"/>
    <w:rsid w:val="00B505EC"/>
    <w:rsid w:val="00B55B51"/>
    <w:rsid w:val="00B5680C"/>
    <w:rsid w:val="00B6115D"/>
    <w:rsid w:val="00B92A49"/>
    <w:rsid w:val="00BD62D7"/>
    <w:rsid w:val="00C14D16"/>
    <w:rsid w:val="00C33986"/>
    <w:rsid w:val="00C41A22"/>
    <w:rsid w:val="00C52239"/>
    <w:rsid w:val="00CA1FC0"/>
    <w:rsid w:val="00CB233C"/>
    <w:rsid w:val="00CB488B"/>
    <w:rsid w:val="00CB6DCF"/>
    <w:rsid w:val="00CF3FCF"/>
    <w:rsid w:val="00D2674E"/>
    <w:rsid w:val="00D427E5"/>
    <w:rsid w:val="00D478A7"/>
    <w:rsid w:val="00D85446"/>
    <w:rsid w:val="00D97C90"/>
    <w:rsid w:val="00DA3E80"/>
    <w:rsid w:val="00DB7A79"/>
    <w:rsid w:val="00DE2AA5"/>
    <w:rsid w:val="00DE3D1B"/>
    <w:rsid w:val="00E31B09"/>
    <w:rsid w:val="00E534AD"/>
    <w:rsid w:val="00E60E42"/>
    <w:rsid w:val="00E64307"/>
    <w:rsid w:val="00E775ED"/>
    <w:rsid w:val="00EA2446"/>
    <w:rsid w:val="00EE6A65"/>
    <w:rsid w:val="00F07F64"/>
    <w:rsid w:val="00F17894"/>
    <w:rsid w:val="00F436C9"/>
    <w:rsid w:val="00F51880"/>
    <w:rsid w:val="00F523F6"/>
    <w:rsid w:val="00F76594"/>
    <w:rsid w:val="00FC1386"/>
    <w:rsid w:val="00FC1D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66D03DB5"/>
  <w15:docId w15:val="{10694F5F-15D6-4DC4-BE00-5AEBA985B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2B3DD1"/>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3DD1"/>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1E23CE"/>
    <w:rPr>
      <w:b/>
      <w:bCs/>
    </w:rPr>
  </w:style>
  <w:style w:type="character" w:customStyle="1" w:styleId="CommentSubjectChar">
    <w:name w:val="Comment Subject Char"/>
    <w:basedOn w:val="CommentTextChar"/>
    <w:link w:val="CommentSubject"/>
    <w:uiPriority w:val="99"/>
    <w:semiHidden/>
    <w:rsid w:val="001E23CE"/>
    <w:rPr>
      <w:b/>
      <w:bCs/>
      <w:sz w:val="20"/>
      <w:szCs w:val="20"/>
    </w:rPr>
  </w:style>
  <w:style w:type="character" w:styleId="Hyperlink">
    <w:name w:val="Hyperlink"/>
    <w:basedOn w:val="DefaultParagraphFont"/>
    <w:uiPriority w:val="99"/>
    <w:semiHidden/>
    <w:unhideWhenUsed/>
    <w:rsid w:val="00971006"/>
    <w:rPr>
      <w:color w:val="0000FF"/>
      <w:u w:val="single"/>
    </w:rPr>
  </w:style>
  <w:style w:type="paragraph" w:styleId="Header">
    <w:name w:val="header"/>
    <w:basedOn w:val="Normal"/>
    <w:link w:val="HeaderChar"/>
    <w:uiPriority w:val="99"/>
    <w:unhideWhenUsed/>
    <w:rsid w:val="00FC1386"/>
    <w:pPr>
      <w:tabs>
        <w:tab w:val="center" w:pos="4680"/>
        <w:tab w:val="right" w:pos="9360"/>
      </w:tabs>
      <w:spacing w:line="240" w:lineRule="auto"/>
    </w:pPr>
  </w:style>
  <w:style w:type="character" w:customStyle="1" w:styleId="HeaderChar">
    <w:name w:val="Header Char"/>
    <w:basedOn w:val="DefaultParagraphFont"/>
    <w:link w:val="Header"/>
    <w:uiPriority w:val="99"/>
    <w:rsid w:val="00FC1386"/>
  </w:style>
  <w:style w:type="paragraph" w:styleId="Footer">
    <w:name w:val="footer"/>
    <w:basedOn w:val="Normal"/>
    <w:link w:val="FooterChar"/>
    <w:uiPriority w:val="99"/>
    <w:unhideWhenUsed/>
    <w:rsid w:val="00FC1386"/>
    <w:pPr>
      <w:tabs>
        <w:tab w:val="center" w:pos="4680"/>
        <w:tab w:val="right" w:pos="9360"/>
      </w:tabs>
      <w:spacing w:line="240" w:lineRule="auto"/>
    </w:pPr>
  </w:style>
  <w:style w:type="character" w:customStyle="1" w:styleId="FooterChar">
    <w:name w:val="Footer Char"/>
    <w:basedOn w:val="DefaultParagraphFont"/>
    <w:link w:val="Footer"/>
    <w:uiPriority w:val="99"/>
    <w:rsid w:val="00FC1386"/>
  </w:style>
  <w:style w:type="paragraph" w:styleId="ListParagraph">
    <w:name w:val="List Paragraph"/>
    <w:basedOn w:val="Normal"/>
    <w:uiPriority w:val="34"/>
    <w:qFormat/>
    <w:rsid w:val="0017721D"/>
    <w:pPr>
      <w:ind w:left="720"/>
      <w:contextualSpacing/>
    </w:pPr>
  </w:style>
  <w:style w:type="paragraph" w:styleId="FootnoteText">
    <w:name w:val="footnote text"/>
    <w:basedOn w:val="Normal"/>
    <w:link w:val="FootnoteTextChar"/>
    <w:uiPriority w:val="99"/>
    <w:semiHidden/>
    <w:unhideWhenUsed/>
    <w:rsid w:val="005A0482"/>
    <w:pPr>
      <w:spacing w:line="240" w:lineRule="auto"/>
    </w:pPr>
    <w:rPr>
      <w:sz w:val="20"/>
      <w:szCs w:val="20"/>
    </w:rPr>
  </w:style>
  <w:style w:type="character" w:customStyle="1" w:styleId="FootnoteTextChar">
    <w:name w:val="Footnote Text Char"/>
    <w:basedOn w:val="DefaultParagraphFont"/>
    <w:link w:val="FootnoteText"/>
    <w:uiPriority w:val="99"/>
    <w:semiHidden/>
    <w:rsid w:val="005A0482"/>
    <w:rPr>
      <w:sz w:val="20"/>
      <w:szCs w:val="20"/>
    </w:rPr>
  </w:style>
  <w:style w:type="character" w:styleId="FootnoteReference">
    <w:name w:val="footnote reference"/>
    <w:basedOn w:val="DefaultParagraphFont"/>
    <w:uiPriority w:val="99"/>
    <w:semiHidden/>
    <w:unhideWhenUsed/>
    <w:rsid w:val="005A0482"/>
    <w:rPr>
      <w:vertAlign w:val="superscript"/>
    </w:rPr>
  </w:style>
  <w:style w:type="character" w:customStyle="1" w:styleId="apple-converted-space">
    <w:name w:val="apple-converted-space"/>
    <w:basedOn w:val="DefaultParagraphFont"/>
    <w:rsid w:val="00B5680C"/>
  </w:style>
  <w:style w:type="paragraph" w:styleId="Revision">
    <w:name w:val="Revision"/>
    <w:hidden/>
    <w:uiPriority w:val="99"/>
    <w:semiHidden/>
    <w:rsid w:val="00DE3D1B"/>
    <w:pPr>
      <w:spacing w:line="240" w:lineRule="auto"/>
    </w:pPr>
  </w:style>
  <w:style w:type="character" w:styleId="LineNumber">
    <w:name w:val="line number"/>
    <w:basedOn w:val="DefaultParagraphFont"/>
    <w:uiPriority w:val="99"/>
    <w:semiHidden/>
    <w:unhideWhenUsed/>
    <w:rsid w:val="000323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94690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5.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e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3A4FEE-640A-4A11-9081-BB2ADCFFA0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48</Pages>
  <Words>36628</Words>
  <Characters>208782</Characters>
  <Application>Microsoft Office Word</Application>
  <DocSecurity>0</DocSecurity>
  <Lines>1739</Lines>
  <Paragraphs>489</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244921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Brad Oberle</dc:creator>
  <cp:lastModifiedBy>Brad Oberle</cp:lastModifiedBy>
  <cp:revision>8</cp:revision>
  <dcterms:created xsi:type="dcterms:W3CDTF">2022-03-21T13:03:00Z</dcterms:created>
  <dcterms:modified xsi:type="dcterms:W3CDTF">2022-03-21T14:03:00Z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http://www.zotero.org/styles/urban-forestry-and-urban-greening</vt:lpwstr>
  </property>
  <property fmtid="{D5CDD505-2E9C-101B-9397-08002B2CF9AE}" pid="4" name="Mendeley Unique User Id_1">
    <vt:lpwstr>c7335a24-8583-3e3d-8d37-0841248edef3</vt:lpwstr>
  </property>
  <property fmtid="{D5CDD505-2E9C-101B-9397-08002B2CF9AE}" pid="5" name="Mendeley Recent Style Id 0_1">
    <vt:lpwstr>http://www.zotero.org/styles/american-political-science-association</vt:lpwstr>
  </property>
  <property fmtid="{D5CDD505-2E9C-101B-9397-08002B2CF9AE}" pid="6" name="Mendeley Recent Style Name 0_1">
    <vt:lpwstr>American Political Science Association</vt:lpwstr>
  </property>
  <property fmtid="{D5CDD505-2E9C-101B-9397-08002B2CF9AE}" pid="7" name="Mendeley Recent Style Id 1_1">
    <vt:lpwstr>http://www.zotero.org/styles/american-sociological-association</vt:lpwstr>
  </property>
  <property fmtid="{D5CDD505-2E9C-101B-9397-08002B2CF9AE}" pid="8" name="Mendeley Recent Style Name 1_1">
    <vt:lpwstr>American Sociological Association</vt:lpwstr>
  </property>
  <property fmtid="{D5CDD505-2E9C-101B-9397-08002B2CF9AE}" pid="9" name="Mendeley Recent Style Id 2_1">
    <vt:lpwstr>http://www.zotero.org/styles/chicago-author-date</vt:lpwstr>
  </property>
  <property fmtid="{D5CDD505-2E9C-101B-9397-08002B2CF9AE}" pid="10" name="Mendeley Recent Style Name 2_1">
    <vt:lpwstr>Chicago Manual of Style 17th edition (author-date)</vt:lpwstr>
  </property>
  <property fmtid="{D5CDD505-2E9C-101B-9397-08002B2CF9AE}" pid="11" name="Mendeley Recent Style Id 3_1">
    <vt:lpwstr>http://www.zotero.org/styles/harvard-cite-them-right</vt:lpwstr>
  </property>
  <property fmtid="{D5CDD505-2E9C-101B-9397-08002B2CF9AE}" pid="12" name="Mendeley Recent Style Name 3_1">
    <vt:lpwstr>Cite Them Right 10th edition - Harvard</vt:lpwstr>
  </property>
  <property fmtid="{D5CDD505-2E9C-101B-9397-08002B2CF9AE}" pid="13" name="Mendeley Recent Style Id 4_1">
    <vt:lpwstr>http://www.zotero.org/styles/ecological-applications</vt:lpwstr>
  </property>
  <property fmtid="{D5CDD505-2E9C-101B-9397-08002B2CF9AE}" pid="14" name="Mendeley Recent Style Name 4_1">
    <vt:lpwstr>Ecological Applications</vt:lpwstr>
  </property>
  <property fmtid="{D5CDD505-2E9C-101B-9397-08002B2CF9AE}" pid="15" name="Mendeley Recent Style Id 5_1">
    <vt:lpwstr>http://www.zotero.org/styles/ieee</vt:lpwstr>
  </property>
  <property fmtid="{D5CDD505-2E9C-101B-9397-08002B2CF9AE}" pid="16" name="Mendeley Recent Style Name 5_1">
    <vt:lpwstr>IEEE</vt:lpwstr>
  </property>
  <property fmtid="{D5CDD505-2E9C-101B-9397-08002B2CF9AE}" pid="17" name="Mendeley Recent Style Id 6_1">
    <vt:lpwstr>http://www.zotero.org/styles/modern-humanities-research-association</vt:lpwstr>
  </property>
  <property fmtid="{D5CDD505-2E9C-101B-9397-08002B2CF9AE}" pid="18" name="Mendeley Recent Style Name 6_1">
    <vt:lpwstr>Modern Humanities Research Association 3rd edition (note with bibliography)</vt:lpwstr>
  </property>
  <property fmtid="{D5CDD505-2E9C-101B-9397-08002B2CF9AE}" pid="19" name="Mendeley Recent Style Id 7_1">
    <vt:lpwstr>http://www.zotero.org/styles/modern-language-association</vt:lpwstr>
  </property>
  <property fmtid="{D5CDD505-2E9C-101B-9397-08002B2CF9AE}" pid="20" name="Mendeley Recent Style Name 7_1">
    <vt:lpwstr>Modern Language Association 8th edition</vt:lpwstr>
  </property>
  <property fmtid="{D5CDD505-2E9C-101B-9397-08002B2CF9AE}" pid="21" name="Mendeley Recent Style Id 8_1">
    <vt:lpwstr>http://www.zotero.org/styles/restoration-ecology</vt:lpwstr>
  </property>
  <property fmtid="{D5CDD505-2E9C-101B-9397-08002B2CF9AE}" pid="22" name="Mendeley Recent Style Name 8_1">
    <vt:lpwstr>Restoration Ecology</vt:lpwstr>
  </property>
  <property fmtid="{D5CDD505-2E9C-101B-9397-08002B2CF9AE}" pid="23" name="Mendeley Recent Style Id 9_1">
    <vt:lpwstr>http://www.zotero.org/styles/urban-forestry-and-urban-greening</vt:lpwstr>
  </property>
  <property fmtid="{D5CDD505-2E9C-101B-9397-08002B2CF9AE}" pid="24" name="Mendeley Recent Style Name 9_1">
    <vt:lpwstr>Urban Forestry &amp; Urban Greening</vt:lpwstr>
  </property>
</Properties>
</file>