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Override PartName="/word/footer1.xml" ContentType="application/vnd.openxmlformats-officedocument.wordprocessingml.footer+xml"/>
  <Override PartName="/word/media/rId77.jpg" ContentType="image/jpeg"/>
  <Override PartName="/word/media/rId80.jpg" ContentType="image/jpeg"/>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w:t>
      </w:r>
      <w:r>
        <w:t xml:space="preserve"> </w:t>
      </w:r>
      <w:r>
        <w:t xml:space="preserve">easyclimate</w:t>
      </w:r>
      <w:r>
        <w:t xml:space="preserve"> </w:t>
      </w:r>
      <w:r>
        <w:t xml:space="preserve">R</w:t>
      </w:r>
      <w:r>
        <w:t xml:space="preserve"> </w:t>
      </w:r>
      <w:r>
        <w:t xml:space="preserve">package:</w:t>
      </w:r>
      <w:r>
        <w:t xml:space="preserve"> </w:t>
      </w:r>
      <w:r>
        <w:t xml:space="preserve">easy</w:t>
      </w:r>
      <w:r>
        <w:t xml:space="preserve"> </w:t>
      </w:r>
      <w:r>
        <w:t xml:space="preserve">access</w:t>
      </w:r>
      <w:r>
        <w:t xml:space="preserve"> </w:t>
      </w:r>
      <w:r>
        <w:t xml:space="preserve">to</w:t>
      </w:r>
      <w:r>
        <w:t xml:space="preserve"> </w:t>
      </w:r>
      <w:r>
        <w:t xml:space="preserve">high-resolution</w:t>
      </w:r>
      <w:r>
        <w:t xml:space="preserve"> </w:t>
      </w:r>
      <w:r>
        <w:t xml:space="preserve">daily</w:t>
      </w:r>
      <w:r>
        <w:t xml:space="preserve"> </w:t>
      </w:r>
      <w:r>
        <w:t xml:space="preserve">climate</w:t>
      </w:r>
      <w:r>
        <w:t xml:space="preserve"> </w:t>
      </w:r>
      <w:r>
        <w:t xml:space="preserve">data</w:t>
      </w:r>
      <w:r>
        <w:t xml:space="preserve"> </w:t>
      </w:r>
      <w:r>
        <w:t xml:space="preserve">for</w:t>
      </w:r>
      <w:r>
        <w:t xml:space="preserve"> </w:t>
      </w:r>
      <w:r>
        <w:t xml:space="preserve">Europe</w:t>
      </w:r>
    </w:p>
    <w:p>
      <w:pPr>
        <w:pStyle w:val="Author"/>
      </w:pPr>
      <w:r>
        <w:t xml:space="preserve">Verónica</w:t>
      </w:r>
      <w:r>
        <w:t xml:space="preserve"> </w:t>
      </w:r>
      <w:r>
        <w:t xml:space="preserve">Cruz-Alonso</w:t>
      </w:r>
      <w:r>
        <w:t xml:space="preserve"> </w:t>
      </w:r>
      <w:r>
        <w:t xml:space="preserve">(ORCID:</w:t>
      </w:r>
      <w:r>
        <w:t xml:space="preserve"> </w:t>
      </w:r>
      <w:r>
        <w:t xml:space="preserve">0000-0002-0642-036X)</w:t>
      </w:r>
      <w:r>
        <w:t xml:space="preserve"> </w:t>
      </w:r>
      <w:r>
        <w:rPr>
          <w:vertAlign w:val="superscript"/>
        </w:rPr>
        <w:t xml:space="preserve">1,2</w:t>
      </w:r>
      <w:r>
        <w:t xml:space="preserve"> </w:t>
      </w:r>
      <w:r>
        <w:t xml:space="preserve">§,</w:t>
      </w:r>
      <w:r>
        <w:t xml:space="preserve"> </w:t>
      </w:r>
      <w:r>
        <w:t xml:space="preserve">Christoph</w:t>
      </w:r>
      <w:r>
        <w:t xml:space="preserve"> </w:t>
      </w:r>
      <w:r>
        <w:t xml:space="preserve">Pucher</w:t>
      </w:r>
      <w:r>
        <w:t xml:space="preserve"> </w:t>
      </w:r>
      <w:r>
        <w:t xml:space="preserve">(ORCID:</w:t>
      </w:r>
      <w:r>
        <w:t xml:space="preserve"> </w:t>
      </w:r>
      <w:r>
        <w:t xml:space="preserve">0000-0002-9269-1907)</w:t>
      </w:r>
      <w:r>
        <w:t xml:space="preserve"> </w:t>
      </w:r>
      <w:r>
        <w:rPr>
          <w:vertAlign w:val="superscript"/>
        </w:rPr>
        <w:t xml:space="preserve">3</w:t>
      </w:r>
      <w:r>
        <w:t xml:space="preserve"> </w:t>
      </w:r>
      <w:r>
        <w:t xml:space="preserve">§,</w:t>
      </w:r>
      <w:r>
        <w:t xml:space="preserve"> </w:t>
      </w:r>
      <w:r>
        <w:t xml:space="preserve">Sophia</w:t>
      </w:r>
      <w:r>
        <w:t xml:space="preserve"> </w:t>
      </w:r>
      <w:r>
        <w:t xml:space="preserve">Ratcliffe</w:t>
      </w:r>
      <w:r>
        <w:t xml:space="preserve"> </w:t>
      </w:r>
      <w:r>
        <w:t xml:space="preserve">(ORCID:</w:t>
      </w:r>
      <w:r>
        <w:t xml:space="preserve"> </w:t>
      </w:r>
      <w:r>
        <w:t xml:space="preserve">0000-0001-9284-7900)</w:t>
      </w:r>
      <w:r>
        <w:t xml:space="preserve"> </w:t>
      </w:r>
      <w:r>
        <w:rPr>
          <w:vertAlign w:val="superscript"/>
        </w:rPr>
        <w:t xml:space="preserve">4</w:t>
      </w:r>
      <w:r>
        <w:t xml:space="preserve">,</w:t>
      </w:r>
      <w:r>
        <w:t xml:space="preserve"> </w:t>
      </w:r>
      <w:r>
        <w:t xml:space="preserve">Paloma</w:t>
      </w:r>
      <w:r>
        <w:t xml:space="preserve"> </w:t>
      </w:r>
      <w:r>
        <w:t xml:space="preserve">Ruiz-Benito</w:t>
      </w:r>
      <w:r>
        <w:t xml:space="preserve"> </w:t>
      </w:r>
      <w:r>
        <w:t xml:space="preserve">(ORCID:</w:t>
      </w:r>
      <w:r>
        <w:t xml:space="preserve"> </w:t>
      </w:r>
      <w:r>
        <w:t xml:space="preserve">0000-0002-2781-5870)</w:t>
      </w:r>
      <w:r>
        <w:t xml:space="preserve"> </w:t>
      </w:r>
      <w:r>
        <w:rPr>
          <w:vertAlign w:val="superscript"/>
        </w:rPr>
        <w:t xml:space="preserve">2,5</w:t>
      </w:r>
      <w:r>
        <w:t xml:space="preserve">,</w:t>
      </w:r>
      <w:r>
        <w:t xml:space="preserve"> </w:t>
      </w:r>
      <w:r>
        <w:t xml:space="preserve">Julen</w:t>
      </w:r>
      <w:r>
        <w:t xml:space="preserve"> </w:t>
      </w:r>
      <w:r>
        <w:t xml:space="preserve">Astigarraga</w:t>
      </w:r>
      <w:r>
        <w:t xml:space="preserve"> </w:t>
      </w:r>
      <w:r>
        <w:t xml:space="preserve">(ORCID:</w:t>
      </w:r>
      <w:r>
        <w:t xml:space="preserve"> </w:t>
      </w:r>
      <w:r>
        <w:t xml:space="preserve">0000-0001-9520-3713)</w:t>
      </w:r>
      <w:r>
        <w:t xml:space="preserve"> </w:t>
      </w:r>
      <w:r>
        <w:rPr>
          <w:vertAlign w:val="superscript"/>
        </w:rPr>
        <w:t xml:space="preserve">2</w:t>
      </w:r>
      <w:r>
        <w:t xml:space="preserve">,</w:t>
      </w:r>
      <w:r>
        <w:t xml:space="preserve"> </w:t>
      </w:r>
      <w:r>
        <w:t xml:space="preserve">Mathias</w:t>
      </w:r>
      <w:r>
        <w:t xml:space="preserve"> </w:t>
      </w:r>
      <w:r>
        <w:t xml:space="preserve">Neumann</w:t>
      </w:r>
      <w:r>
        <w:t xml:space="preserve"> </w:t>
      </w:r>
      <w:r>
        <w:t xml:space="preserve">(ORCID:</w:t>
      </w:r>
      <w:r>
        <w:t xml:space="preserve"> </w:t>
      </w:r>
      <w:r>
        <w:t xml:space="preserve">0000-0003-2472-943X)</w:t>
      </w:r>
      <w:r>
        <w:t xml:space="preserve"> </w:t>
      </w:r>
      <w:r>
        <w:rPr>
          <w:vertAlign w:val="superscript"/>
        </w:rPr>
        <w:t xml:space="preserve">3</w:t>
      </w:r>
      <w:r>
        <w:t xml:space="preserve">,</w:t>
      </w:r>
      <w:r>
        <w:t xml:space="preserve"> </w:t>
      </w:r>
      <w:r>
        <w:t xml:space="preserve">Hubert</w:t>
      </w:r>
      <w:r>
        <w:t xml:space="preserve"> </w:t>
      </w:r>
      <w:r>
        <w:t xml:space="preserve">Hasenauer</w:t>
      </w:r>
      <w:r>
        <w:t xml:space="preserve"> </w:t>
      </w:r>
      <w:r>
        <w:t xml:space="preserve">(ORCID:</w:t>
      </w:r>
      <w:r>
        <w:t xml:space="preserve"> </w:t>
      </w:r>
      <w:r>
        <w:t xml:space="preserve">0000-0003-3469-4031)</w:t>
      </w:r>
      <w:r>
        <w:t xml:space="preserve"> </w:t>
      </w:r>
      <w:r>
        <w:rPr>
          <w:vertAlign w:val="superscript"/>
        </w:rPr>
        <w:t xml:space="preserve">3</w:t>
      </w:r>
      <w:r>
        <w:t xml:space="preserve">,</w:t>
      </w:r>
      <w:r>
        <w:t xml:space="preserve"> </w:t>
      </w:r>
      <w:r>
        <w:t xml:space="preserve">Francisco</w:t>
      </w:r>
      <w:r>
        <w:t xml:space="preserve"> </w:t>
      </w:r>
      <w:r>
        <w:t xml:space="preserve">Rodríguez-Sánchez</w:t>
      </w:r>
      <w:r>
        <w:t xml:space="preserve"> </w:t>
      </w:r>
      <w:r>
        <w:t xml:space="preserve">(ORCID:</w:t>
      </w:r>
      <w:r>
        <w:t xml:space="preserve"> </w:t>
      </w:r>
      <w:r>
        <w:t xml:space="preserve">0000-0002-7981-1599)</w:t>
      </w:r>
      <w:r>
        <w:t xml:space="preserve"> </w:t>
      </w:r>
      <w:r>
        <w:rPr>
          <w:vertAlign w:val="superscript"/>
        </w:rPr>
        <w:t xml:space="preserve">6,7</w:t>
      </w:r>
    </w:p>
    <w:p>
      <w:pPr>
        <w:pStyle w:val="FirstParagraph"/>
      </w:pPr>
      <w:r>
        <w:rPr>
          <w:vertAlign w:val="superscript"/>
        </w:rPr>
        <w:t xml:space="preserve">1</w:t>
      </w:r>
      <w:r>
        <w:t xml:space="preserve"> </w:t>
      </w:r>
      <w:r>
        <w:t xml:space="preserve">Department of Landscape Architecture, Graduate School of Design, Harvard University, USA</w:t>
      </w:r>
    </w:p>
    <w:p>
      <w:pPr>
        <w:pStyle w:val="BodyText"/>
      </w:pPr>
      <w:r>
        <w:rPr>
          <w:vertAlign w:val="superscript"/>
        </w:rPr>
        <w:t xml:space="preserve">2</w:t>
      </w:r>
      <w:r>
        <w:t xml:space="preserve"> </w:t>
      </w:r>
      <w:r>
        <w:t xml:space="preserve">Universidad de Alcalá, Grupo de Ecología Forestal y Restauración (FORECO), Departamento de Ciencias de la Vida, Spain</w:t>
      </w:r>
    </w:p>
    <w:p>
      <w:pPr>
        <w:pStyle w:val="BodyText"/>
      </w:pPr>
      <w:r>
        <w:rPr>
          <w:vertAlign w:val="superscript"/>
        </w:rPr>
        <w:t xml:space="preserve">3</w:t>
      </w:r>
      <w:r>
        <w:t xml:space="preserve"> </w:t>
      </w:r>
      <w:r>
        <w:t xml:space="preserve">Institute of Silviculture, Department of Forest and Soil Sciences, University of Natural Resources and Life Sciences, Austria</w:t>
      </w:r>
    </w:p>
    <w:p>
      <w:pPr>
        <w:pStyle w:val="BodyText"/>
      </w:pPr>
      <w:r>
        <w:rPr>
          <w:vertAlign w:val="superscript"/>
        </w:rPr>
        <w:t xml:space="preserve">4</w:t>
      </w:r>
      <w:r>
        <w:t xml:space="preserve"> </w:t>
      </w:r>
      <w:r>
        <w:t xml:space="preserve">National Biodiversity Network Trust (NBN Trust), Nottingham, UK</w:t>
      </w:r>
    </w:p>
    <w:p>
      <w:pPr>
        <w:pStyle w:val="BodyText"/>
      </w:pPr>
      <w:r>
        <w:rPr>
          <w:vertAlign w:val="superscript"/>
        </w:rPr>
        <w:t xml:space="preserve">5</w:t>
      </w:r>
      <w:r>
        <w:t xml:space="preserve"> </w:t>
      </w:r>
      <w:r>
        <w:t xml:space="preserve">Universidad de Alcalá, Grupo de Investigación en Teledetección Ambiental (GITA), Spain.</w:t>
      </w:r>
    </w:p>
    <w:p>
      <w:pPr>
        <w:pStyle w:val="BodyText"/>
      </w:pPr>
      <w:r>
        <w:rPr>
          <w:vertAlign w:val="superscript"/>
        </w:rPr>
        <w:t xml:space="preserve">6</w:t>
      </w:r>
      <w:r>
        <w:t xml:space="preserve"> </w:t>
      </w:r>
      <w:r>
        <w:t xml:space="preserve">Departamento de Biología Vegetal y Ecología, Universidad de Sevilla, Spain.</w:t>
      </w:r>
    </w:p>
    <w:p>
      <w:pPr>
        <w:pStyle w:val="BodyText"/>
      </w:pPr>
      <w:r>
        <w:rPr>
          <w:vertAlign w:val="superscript"/>
        </w:rPr>
        <w:t xml:space="preserve">7</w:t>
      </w:r>
      <w:r>
        <w:t xml:space="preserve"> </w:t>
      </w:r>
      <w:r>
        <w:t xml:space="preserve">Estación Biológica de Doñana, Consejo Superior de Investigaciones Científicas, Spain.</w:t>
      </w:r>
    </w:p>
    <w:p>
      <w:pPr>
        <w:pStyle w:val="BodyText"/>
      </w:pPr>
      <w:r>
        <w:t xml:space="preserve">§ These authors share the first-author position.</w:t>
      </w:r>
    </w:p>
    <w:p>
      <w:pPr>
        <w:pStyle w:val="BodyText"/>
      </w:pPr>
      <w:r>
        <w:t xml:space="preserve">Correspondence:</w:t>
      </w:r>
    </w:p>
    <w:p>
      <w:pPr>
        <w:pStyle w:val="BodyText"/>
      </w:pPr>
      <w:r>
        <w:t xml:space="preserve">Verónica Cruz-Alonso, Harvard University, Cambridge, MA, USA. Email:</w:t>
      </w:r>
      <w:r>
        <w:t xml:space="preserve"> </w:t>
      </w:r>
      <w:hyperlink r:id="rId20">
        <w:r>
          <w:rPr>
            <w:rStyle w:val="Hyperlink"/>
          </w:rPr>
          <w:t xml:space="preserve">veronica.cral@gmail.com</w:t>
        </w:r>
      </w:hyperlink>
    </w:p>
    <w:bookmarkStart w:id="21" w:name="funding-information"/>
    <w:p>
      <w:pPr>
        <w:pStyle w:val="Heading1"/>
      </w:pPr>
      <w:r>
        <w:t xml:space="preserve">FUNDING INFORMATION</w:t>
      </w:r>
    </w:p>
    <w:p>
      <w:pPr>
        <w:pStyle w:val="FirstParagraph"/>
      </w:pPr>
      <w:r>
        <w:t xml:space="preserve">VCA was supported by the Real Colegio Complutense Postdoctoral Fellowship 2020. CP, MN and HH acknowledge the financial support by the Bio Based Industries Joint Undertaking under the European Union’s Horizon 2020 research and innovation program TECH4EFFECT (Techniques and Technologies for Effective Wood Procurement project; Grant Number 720757). PRB was supported by the Community of Madrid Region and the Universidad de Alcalá (Stimulus to Excellence for Permanent University Professors, EPU-INV/2020/010;</w:t>
      </w:r>
      <w:r>
        <w:t xml:space="preserve"> </w:t>
      </w:r>
      <w:r>
        <w:t xml:space="preserve">“</w:t>
      </w:r>
      <w:r>
        <w:t xml:space="preserve">Ayudas para la realización de Proyectos para potenciar la Creación y Consolidación de Grupos de Investigación,</w:t>
      </w:r>
      <w:r>
        <w:t xml:space="preserve">”</w:t>
      </w:r>
      <w:r>
        <w:t xml:space="preserve"> </w:t>
      </w:r>
      <w:r>
        <w:t xml:space="preserve">CG20/CC-005). JA was supported by the FPI fellowship of the Department of Education of the Basque Government. FRS was supported by the VI Plan Propio de Investigación of Universidad de Sevilla (VI PPIT-US) and by MICINN through European Regional Development Fund [SUMHAL, LIFEWATCH-2019-09-CSIC-13, POPE 2014-2020].</w:t>
      </w:r>
    </w:p>
    <w:bookmarkEnd w:id="21"/>
    <w:bookmarkStart w:id="22" w:name="abstract"/>
    <w:p>
      <w:pPr>
        <w:pStyle w:val="Heading1"/>
      </w:pPr>
      <w:r>
        <w:t xml:space="preserve">ABSTRACT</w:t>
      </w:r>
    </w:p>
    <w:p>
      <w:pPr>
        <w:pStyle w:val="FirstParagraph"/>
      </w:pPr>
      <w:r>
        <w:t xml:space="preserve">In recent decades there has been an increasing demand by ecologists for harmonized climatic data at large spatial scales and spanning long periods. Here we present</w:t>
      </w:r>
      <w:r>
        <w:t xml:space="preserve"> </w:t>
      </w:r>
      <w:r>
        <w:rPr>
          <w:iCs/>
          <w:i/>
        </w:rPr>
        <w:t xml:space="preserve">easyclimate</w:t>
      </w:r>
      <w:r>
        <w:t xml:space="preserve">, a software package to obtain daily climatic data at high resolution (0.0083º, ~1 km) with R. The package facilitates the downloading and processing of precipitation, minimum and maximum temperatures for Europe from 1950 to 2020. Using</w:t>
      </w:r>
      <w:r>
        <w:t xml:space="preserve"> </w:t>
      </w:r>
      <w:r>
        <w:rPr>
          <w:iCs/>
          <w:i/>
        </w:rPr>
        <w:t xml:space="preserve">easyclimate</w:t>
      </w:r>
      <w:r>
        <w:t xml:space="preserve"> </w:t>
      </w:r>
      <w:r>
        <w:t xml:space="preserve">and given a set of coordinates (points or polygons) and dates (days or years), the user can download the climatic information as a tidy table or a raster object. In this package we implemented Cloud-Optimized GeoTIFFs which provide access to daily climate data for thousands of sites/days within minutes, without having to download huge rasters. Daily climate data are not available in many of the current climate databases and are essential for many ecological research questions and applications, including the study of the effects of extreme climatic events related to late-spring frosts, heat waves, or dry periods on plant performance.</w:t>
      </w:r>
      <w:r>
        <w:t xml:space="preserve"> </w:t>
      </w:r>
      <w:r>
        <w:rPr>
          <w:iCs/>
          <w:i/>
        </w:rPr>
        <w:t xml:space="preserve">easyclimate</w:t>
      </w:r>
      <w:r>
        <w:t xml:space="preserve"> </w:t>
      </w:r>
      <w:r>
        <w:t xml:space="preserve">taps the potential for climatic data and enables multiple applications in forestry, ecological and vegetation studies across Europe.</w:t>
      </w:r>
    </w:p>
    <w:p>
      <w:pPr>
        <w:pStyle w:val="BodyText"/>
      </w:pPr>
      <w:r>
        <w:rPr>
          <w:iCs/>
          <w:i/>
        </w:rPr>
        <w:t xml:space="preserve">Keywords</w:t>
      </w:r>
      <w:r>
        <w:t xml:space="preserve">: R package, climate, Europe, extreme climatic events, reproducibility, cloud-optimized geoTIFF, daily data, temperature, precipitation</w:t>
      </w:r>
    </w:p>
    <w:bookmarkEnd w:id="22"/>
    <w:bookmarkStart w:id="28" w:name="introduction"/>
    <w:p>
      <w:pPr>
        <w:pStyle w:val="Heading1"/>
      </w:pPr>
      <w:r>
        <w:t xml:space="preserve">INTRODUCTION</w:t>
      </w:r>
    </w:p>
    <w:p>
      <w:pPr>
        <w:pStyle w:val="FirstParagraph"/>
      </w:pPr>
      <w:r>
        <w:t xml:space="preserve">In recent decades there has been an increasing demand for harmonized daily gridded climatic data at wide spatial scales and spanning long temporal periods. Such data is invaluable for vegetation, wildlife, climatic and hydrological studies and Earth system modelling</w:t>
      </w:r>
      <w:r>
        <w:t xml:space="preserve"> </w:t>
      </w:r>
      <w:r>
        <w:t xml:space="preserve">(Hasenauer et al. 2003; Thornton et al. 2021)</w:t>
      </w:r>
      <w:r>
        <w:t xml:space="preserve">. Examples are the assesment of climate effects and climate change impacts on European forests</w:t>
      </w:r>
      <w:r>
        <w:t xml:space="preserve"> </w:t>
      </w:r>
      <w:r>
        <w:t xml:space="preserve">(Hlásny et al. 2017; Neumann et al. 2017; Moreno et al. 2018; Archambeau et al. 2020; Ruiz-Benito et al. 2020; George et al. 2021)</w:t>
      </w:r>
      <w:r>
        <w:t xml:space="preserve">, the initialization of large-scale carbon cycle models</w:t>
      </w:r>
      <w:r>
        <w:t xml:space="preserve"> </w:t>
      </w:r>
      <w:r>
        <w:t xml:space="preserve">(Pietsch &amp; Hasenauer 2006)</w:t>
      </w:r>
      <w:r>
        <w:t xml:space="preserve">, the spatial-temporal variability of rainfall erosivity</w:t>
      </w:r>
      <w:r>
        <w:t xml:space="preserve"> </w:t>
      </w:r>
      <w:r>
        <w:t xml:space="preserve">(Micić Ponjiger et al. 2021)</w:t>
      </w:r>
      <w:r>
        <w:t xml:space="preserve"> </w:t>
      </w:r>
      <w:r>
        <w:t xml:space="preserve">or the creation of a European net primary production dataset</w:t>
      </w:r>
      <w:r>
        <w:t xml:space="preserve"> </w:t>
      </w:r>
      <w:r>
        <w:t xml:space="preserve">(Neumann et al. 2016)</w:t>
      </w:r>
      <w:r>
        <w:t xml:space="preserve">.</w:t>
      </w:r>
    </w:p>
    <w:p>
      <w:pPr>
        <w:pStyle w:val="BodyText"/>
      </w:pPr>
      <w:r>
        <w:t xml:space="preserve">Here we present</w:t>
      </w:r>
      <w:r>
        <w:t xml:space="preserve"> </w:t>
      </w:r>
      <w:r>
        <w:rPr>
          <w:iCs/>
          <w:i/>
        </w:rPr>
        <w:t xml:space="preserve">easyclimate</w:t>
      </w:r>
      <w:r>
        <w:t xml:space="preserve"> </w:t>
      </w:r>
      <w:r>
        <w:t xml:space="preserve">(Cruz-Alonso et al. 2021)</w:t>
      </w:r>
      <w:r>
        <w:t xml:space="preserve">, a software package (available from GitHub:</w:t>
      </w:r>
      <w:r>
        <w:t xml:space="preserve"> </w:t>
      </w:r>
      <w:hyperlink r:id="rId23">
        <w:r>
          <w:rPr>
            <w:rStyle w:val="Hyperlink"/>
          </w:rPr>
          <w:t xml:space="preserve">https://github.com/VeruGHub/easyclimate</w:t>
        </w:r>
      </w:hyperlink>
      <w:r>
        <w:t xml:space="preserve">) to download and process climate data with R</w:t>
      </w:r>
      <w:r>
        <w:t xml:space="preserve"> </w:t>
      </w:r>
      <w:r>
        <w:t xml:space="preserve">(R Core Team 2021)</w:t>
      </w:r>
      <w:r>
        <w:t xml:space="preserve">.</w:t>
      </w:r>
      <w:r>
        <w:t xml:space="preserve"> </w:t>
      </w:r>
      <w:r>
        <w:rPr>
          <w:iCs/>
          <w:i/>
        </w:rPr>
        <w:t xml:space="preserve">easyclimate</w:t>
      </w:r>
      <w:r>
        <w:t xml:space="preserve"> </w:t>
      </w:r>
      <w:r>
        <w:t xml:space="preserve">has been developed to facilitate the use of high-resolution (0.0083º × 0.0083º, ~1 km</w:t>
      </w:r>
      <w:r>
        <w:rPr>
          <w:vertAlign w:val="superscript"/>
        </w:rPr>
        <w:t xml:space="preserve">2</w:t>
      </w:r>
      <w:r>
        <w:t xml:space="preserve">) daily climate for Europe (longitude: -24.5º - 45.25º; latitude: 25.25º - 75.5º; Figure 1). Daily precipitation and minimum and maximum temperature data are currently available from 1950 to 2020 and hosted at</w:t>
      </w:r>
      <w:r>
        <w:t xml:space="preserve"> </w:t>
      </w:r>
      <w:hyperlink r:id="rId24">
        <w:r>
          <w:rPr>
            <w:rStyle w:val="Hyperlink"/>
          </w:rPr>
          <w:t xml:space="preserve">University of Natural Resources and Life Sciences, Vienna, Austria</w:t>
        </w:r>
      </w:hyperlink>
      <w:r>
        <w:t xml:space="preserve">.</w:t>
      </w:r>
    </w:p>
    <w:p>
      <w:pPr>
        <w:pStyle w:val="BodyText"/>
      </w:pPr>
      <w:r>
        <w:t xml:space="preserve">The climatic dataset was originally produced by Moreno and Hasenauer</w:t>
      </w:r>
      <w:r>
        <w:t xml:space="preserve"> </w:t>
      </w:r>
      <w:r>
        <w:t xml:space="preserve">(2016)</w:t>
      </w:r>
      <w:r>
        <w:t xml:space="preserve">. For the production, the coarse daily</w:t>
      </w:r>
      <w:r>
        <w:t xml:space="preserve"> </w:t>
      </w:r>
      <w:hyperlink r:id="rId25">
        <w:r>
          <w:rPr>
            <w:rStyle w:val="Hyperlink"/>
          </w:rPr>
          <w:t xml:space="preserve">E-Obs</w:t>
        </w:r>
      </w:hyperlink>
      <w:r>
        <w:t xml:space="preserve"> </w:t>
      </w:r>
      <w:r>
        <w:t xml:space="preserve">climate data</w:t>
      </w:r>
      <w:r>
        <w:t xml:space="preserve"> </w:t>
      </w:r>
      <w:r>
        <w:t xml:space="preserve">(Cornes et al. 2018)</w:t>
      </w:r>
      <w:r>
        <w:t xml:space="preserve"> </w:t>
      </w:r>
      <w:r>
        <w:t xml:space="preserve">was downscaled by using the finer-resolution</w:t>
      </w:r>
      <w:r>
        <w:t xml:space="preserve"> </w:t>
      </w:r>
      <w:hyperlink r:id="rId26">
        <w:r>
          <w:rPr>
            <w:rStyle w:val="Hyperlink"/>
          </w:rPr>
          <w:t xml:space="preserve">WorldClim</w:t>
        </w:r>
      </w:hyperlink>
      <w:r>
        <w:t xml:space="preserve"> </w:t>
      </w:r>
      <w:r>
        <w:t xml:space="preserve">data</w:t>
      </w:r>
      <w:r>
        <w:t xml:space="preserve"> </w:t>
      </w:r>
      <w:r>
        <w:t xml:space="preserve">(Fick &amp; Hijmans 2017)</w:t>
      </w:r>
      <w:r>
        <w:t xml:space="preserve">. WorldClim provides global long-term monthly averages of several climatic variables at 0.0083° resolution (approximately 1 km). E-Obs provides gridded daily climate data for Europe at 0.25° resolution (approximately 30 km) by interpolating around 3700 weather stations for temperature and around 9000 stations for precipitation. Downscaling was performed by applying a spatial delta method with a monotone cubic interpolation of anomalies</w:t>
      </w:r>
      <w:r>
        <w:t xml:space="preserve"> </w:t>
      </w:r>
      <w:r>
        <w:t xml:space="preserve">(Mosier et al. 2014; Moreno &amp; Hasenauer 2016)</w:t>
      </w:r>
      <w:r>
        <w:t xml:space="preserve">. Since its original release, the downscaled climate data has been further developed and updated, and two further releases (v2 and v3) have been published (see the main additions in the releases in the associated documentation in</w:t>
      </w:r>
      <w:r>
        <w:t xml:space="preserve"> </w:t>
      </w:r>
      <w:r>
        <w:t xml:space="preserve">Rammer et al. (2022)</w:t>
      </w:r>
      <w:r>
        <w:t xml:space="preserve"> </w:t>
      </w:r>
      <w:r>
        <w:t xml:space="preserve">and</w:t>
      </w:r>
      <w:r>
        <w:t xml:space="preserve"> </w:t>
      </w:r>
      <w:r>
        <w:t xml:space="preserve">Pucher &amp; Neumann (2022)</w:t>
      </w:r>
      <w:r>
        <w:t xml:space="preserve">). The</w:t>
      </w:r>
      <w:r>
        <w:t xml:space="preserve"> </w:t>
      </w:r>
      <w:r>
        <w:rPr>
          <w:iCs/>
          <w:i/>
        </w:rPr>
        <w:t xml:space="preserve">easyclimate</w:t>
      </w:r>
      <w:r>
        <w:t xml:space="preserve"> </w:t>
      </w:r>
      <w:r>
        <w:t xml:space="preserve">R package enables easy and fast access to the latest version of the downscaled climate data (v3). We achieved this by implementing Cloud-Optimized GeoTIFFs (</w:t>
      </w:r>
      <w:hyperlink r:id="rId27">
        <w:r>
          <w:rPr>
            <w:rStyle w:val="Hyperlink"/>
          </w:rPr>
          <w:t xml:space="preserve">https://www.cogeo.org</w:t>
        </w:r>
      </w:hyperlink>
      <w:r>
        <w:t xml:space="preserve">) which provide access to daily climate data for thousands of sites and days within minutes, without having to download huge rasters.</w:t>
      </w:r>
    </w:p>
    <w:bookmarkEnd w:id="28"/>
    <w:bookmarkStart w:id="34" w:name="functionality"/>
    <w:p>
      <w:pPr>
        <w:pStyle w:val="Heading1"/>
      </w:pPr>
      <w:r>
        <w:t xml:space="preserve">FUNCTIONALITY</w:t>
      </w:r>
    </w:p>
    <w:p>
      <w:pPr>
        <w:pStyle w:val="FirstParagraph"/>
      </w:pPr>
      <w:r>
        <w:t xml:space="preserve">The main function in</w:t>
      </w:r>
      <w:r>
        <w:t xml:space="preserve"> </w:t>
      </w:r>
      <w:r>
        <w:rPr>
          <w:iCs/>
          <w:i/>
        </w:rPr>
        <w:t xml:space="preserve">easyclimate</w:t>
      </w:r>
      <w:r>
        <w:t xml:space="preserve"> </w:t>
      </w:r>
      <w:r>
        <w:t xml:space="preserve">is</w:t>
      </w:r>
      <w:r>
        <w:t xml:space="preserve"> </w:t>
      </w:r>
      <w:r>
        <w:rPr>
          <w:iCs/>
          <w:i/>
        </w:rPr>
        <w:t xml:space="preserve">get_daily_climate</w:t>
      </w:r>
      <w:r>
        <w:t xml:space="preserve">, which extracts daily climate data for a given set of coordinates (points or polygons) and a given period of days or years (see examples in</w:t>
      </w:r>
      <w:r>
        <w:t xml:space="preserve"> </w:t>
      </w:r>
      <w:r>
        <w:rPr>
          <w:iCs/>
          <w:i/>
        </w:rPr>
        <w:t xml:space="preserve">get_daily_climate</w:t>
      </w:r>
      <w:r>
        <w:t xml:space="preserve"> </w:t>
      </w:r>
      <w:hyperlink r:id="rId29">
        <w:r>
          <w:rPr>
            <w:rStyle w:val="Hyperlink"/>
          </w:rPr>
          <w:t xml:space="preserve">help page</w:t>
        </w:r>
      </w:hyperlink>
      <w:r>
        <w:t xml:space="preserve">, and the vignettes</w:t>
      </w:r>
      <w:r>
        <w:t xml:space="preserve"> </w:t>
      </w:r>
      <w:hyperlink r:id="rId30">
        <w:r>
          <w:rPr>
            <w:rStyle w:val="Hyperlink"/>
          </w:rPr>
          <w:t xml:space="preserve">Analysing the climate at spatial points for a given period</w:t>
        </w:r>
      </w:hyperlink>
      <w:r>
        <w:t xml:space="preserve"> </w:t>
      </w:r>
      <w:r>
        <w:t xml:space="preserve">and</w:t>
      </w:r>
      <w:r>
        <w:t xml:space="preserve"> </w:t>
      </w:r>
      <w:hyperlink r:id="rId31">
        <w:r>
          <w:rPr>
            <w:rStyle w:val="Hyperlink"/>
          </w:rPr>
          <w:t xml:space="preserve">Analysing the climate of an area for a given period</w:t>
        </w:r>
      </w:hyperlink>
      <w:r>
        <w:t xml:space="preserve">). The output can be either a</w:t>
      </w:r>
      <w:r>
        <w:t xml:space="preserve"> </w:t>
      </w:r>
      <w:r>
        <w:rPr>
          <w:rStyle w:val="VerbatimChar"/>
        </w:rPr>
        <w:t xml:space="preserve">data.frame</w:t>
      </w:r>
      <w:r>
        <w:t xml:space="preserve"> </w:t>
      </w:r>
      <w:r>
        <w:t xml:space="preserve">(Table</w:t>
      </w:r>
      <w:r>
        <w:t xml:space="preserve"> </w:t>
      </w:r>
      <w:r>
        <w:t xml:space="preserve">1</w:t>
      </w:r>
      <w:r>
        <w:t xml:space="preserve">) or a (multilayer)</w:t>
      </w:r>
      <w:r>
        <w:t xml:space="preserve"> </w:t>
      </w:r>
      <w:r>
        <w:rPr>
          <w:rStyle w:val="VerbatimChar"/>
        </w:rPr>
        <w:t xml:space="preserve">SpatRaster</w:t>
      </w:r>
      <w:r>
        <w:t xml:space="preserve"> </w:t>
      </w:r>
      <w:r>
        <w:t xml:space="preserve">object (see Figure 2) with daily climatic values for each point or polygon.</w:t>
      </w:r>
    </w:p>
    <w:p>
      <w:pPr>
        <w:pStyle w:val="BodyText"/>
      </w:pPr>
      <w:r>
        <w:t xml:space="preserve">For example, to obtain precipitation data for a single site between 1</w:t>
      </w:r>
      <w:r>
        <w:rPr>
          <w:vertAlign w:val="superscript"/>
        </w:rPr>
        <w:t xml:space="preserve">st</w:t>
      </w:r>
      <w:r>
        <w:t xml:space="preserve"> </w:t>
      </w:r>
      <w:r>
        <w:t xml:space="preserve">and 3</w:t>
      </w:r>
      <w:r>
        <w:rPr>
          <w:vertAlign w:val="superscript"/>
        </w:rPr>
        <w:t xml:space="preserve">rd</w:t>
      </w:r>
      <w:r>
        <w:t xml:space="preserve"> </w:t>
      </w:r>
      <w:r>
        <w:t xml:space="preserve">of January 2001 we can run the next script:</w:t>
      </w:r>
    </w:p>
    <w:p>
      <w:pPr>
        <w:pStyle w:val="SourceCode"/>
      </w:pPr>
      <w:r>
        <w:rPr>
          <w:rStyle w:val="FunctionTok0"/>
        </w:rPr>
        <w:t xml:space="preserve">library</w:t>
      </w:r>
      <w:r>
        <w:rPr>
          <w:rStyle w:val="NormalTok0"/>
        </w:rPr>
        <w:t xml:space="preserve">(easyclimate)</w:t>
      </w:r>
      <w:r>
        <w:br/>
      </w:r>
      <w:r>
        <w:br/>
      </w:r>
      <w:r>
        <w:rPr>
          <w:rStyle w:val="NormalTok0"/>
        </w:rPr>
        <w:t xml:space="preserve">coords </w:t>
      </w:r>
      <w:r>
        <w:rPr>
          <w:rStyle w:val="OtherTok0"/>
        </w:rPr>
        <w:t xml:space="preserve">&lt;-</w:t>
      </w:r>
      <w:r>
        <w:rPr>
          <w:rStyle w:val="NormalTok0"/>
        </w:rPr>
        <w:t xml:space="preserve"> </w:t>
      </w:r>
      <w:r>
        <w:rPr>
          <w:rStyle w:val="FunctionTok0"/>
        </w:rPr>
        <w:t xml:space="preserve">data.frame</w:t>
      </w:r>
      <w:r>
        <w:rPr>
          <w:rStyle w:val="NormalTok0"/>
        </w:rPr>
        <w:t xml:space="preserve">(</w:t>
      </w:r>
      <w:r>
        <w:rPr>
          <w:rStyle w:val="AttributeTok"/>
        </w:rPr>
        <w:t xml:space="preserve">lon =</w:t>
      </w:r>
      <w:r>
        <w:rPr>
          <w:rStyle w:val="NormalTok0"/>
        </w:rPr>
        <w:t xml:space="preserve"> </w:t>
      </w:r>
      <w:r>
        <w:rPr>
          <w:rStyle w:val="SpecialCharTok"/>
        </w:rPr>
        <w:t xml:space="preserve">-</w:t>
      </w:r>
      <w:r>
        <w:rPr>
          <w:rStyle w:val="FloatTok0"/>
        </w:rPr>
        <w:t xml:space="preserve">5.36</w:t>
      </w:r>
      <w:r>
        <w:rPr>
          <w:rStyle w:val="NormalTok0"/>
        </w:rPr>
        <w:t xml:space="preserve">, </w:t>
      </w:r>
      <w:r>
        <w:rPr>
          <w:rStyle w:val="AttributeTok"/>
        </w:rPr>
        <w:t xml:space="preserve">lat =</w:t>
      </w:r>
      <w:r>
        <w:rPr>
          <w:rStyle w:val="NormalTok0"/>
        </w:rPr>
        <w:t xml:space="preserve"> </w:t>
      </w:r>
      <w:r>
        <w:rPr>
          <w:rStyle w:val="FloatTok0"/>
        </w:rPr>
        <w:t xml:space="preserve">37.40</w:t>
      </w:r>
      <w:r>
        <w:rPr>
          <w:rStyle w:val="NormalTok0"/>
        </w:rPr>
        <w:t xml:space="preserve">)</w:t>
      </w:r>
      <w:r>
        <w:br/>
      </w:r>
      <w:r>
        <w:br/>
      </w:r>
      <w:r>
        <w:rPr>
          <w:rStyle w:val="NormalTok0"/>
        </w:rPr>
        <w:t xml:space="preserve">precip </w:t>
      </w:r>
      <w:r>
        <w:rPr>
          <w:rStyle w:val="OtherTok0"/>
        </w:rPr>
        <w:t xml:space="preserve">&lt;-</w:t>
      </w:r>
      <w:r>
        <w:rPr>
          <w:rStyle w:val="NormalTok0"/>
        </w:rPr>
        <w:t xml:space="preserve"> </w:t>
      </w:r>
      <w:r>
        <w:rPr>
          <w:rStyle w:val="FunctionTok0"/>
        </w:rPr>
        <w:t xml:space="preserve">get_daily_climate</w:t>
      </w:r>
      <w:r>
        <w:rPr>
          <w:rStyle w:val="NormalTok0"/>
        </w:rPr>
        <w:t xml:space="preserve">(coords,</w:t>
      </w:r>
      <w:r>
        <w:br/>
      </w:r>
      <w:r>
        <w:rPr>
          <w:rStyle w:val="NormalTok0"/>
        </w:rPr>
        <w:t xml:space="preserve">                          </w:t>
      </w:r>
      <w:r>
        <w:rPr>
          <w:rStyle w:val="AttributeTok"/>
        </w:rPr>
        <w:t xml:space="preserve">period =</w:t>
      </w:r>
      <w:r>
        <w:rPr>
          <w:rStyle w:val="NormalTok0"/>
        </w:rPr>
        <w:t xml:space="preserve"> </w:t>
      </w:r>
      <w:r>
        <w:rPr>
          <w:rStyle w:val="StringTok0"/>
        </w:rPr>
        <w:t xml:space="preserve">"2001-01-01:2001-01-03"</w:t>
      </w:r>
      <w:r>
        <w:rPr>
          <w:rStyle w:val="NormalTok0"/>
        </w:rPr>
        <w:t xml:space="preserve">,</w:t>
      </w:r>
      <w:r>
        <w:br/>
      </w:r>
      <w:r>
        <w:rPr>
          <w:rStyle w:val="NormalTok0"/>
        </w:rPr>
        <w:t xml:space="preserve">                          </w:t>
      </w:r>
      <w:r>
        <w:rPr>
          <w:rStyle w:val="AttributeTok"/>
        </w:rPr>
        <w:t xml:space="preserve">climatic_var =</w:t>
      </w:r>
      <w:r>
        <w:rPr>
          <w:rStyle w:val="NormalTok0"/>
        </w:rPr>
        <w:t xml:space="preserve"> </w:t>
      </w:r>
      <w:r>
        <w:rPr>
          <w:rStyle w:val="StringTok0"/>
        </w:rPr>
        <w:t xml:space="preserve">"Prcp"</w:t>
      </w:r>
      <w:r>
        <w:rPr>
          <w:rStyle w:val="NormalTok0"/>
        </w:rPr>
        <w:t xml:space="preserve">)</w:t>
      </w:r>
    </w:p>
    <w:p>
      <w:pPr>
        <w:pStyle w:val="FirstParagraph"/>
      </w:pPr>
      <w:r>
        <w:t xml:space="preserve">To obtain a multilayer raster with values of maximum temperature for two days (1</w:t>
      </w:r>
      <w:r>
        <w:rPr>
          <w:vertAlign w:val="superscript"/>
        </w:rPr>
        <w:t xml:space="preserve">st</w:t>
      </w:r>
      <w:r>
        <w:t xml:space="preserve"> </w:t>
      </w:r>
      <w:r>
        <w:t xml:space="preserve">January and 7</w:t>
      </w:r>
      <w:r>
        <w:rPr>
          <w:vertAlign w:val="superscript"/>
        </w:rPr>
        <w:t xml:space="preserve">th</w:t>
      </w:r>
      <w:r>
        <w:t xml:space="preserve"> </w:t>
      </w:r>
      <w:r>
        <w:t xml:space="preserve">August 2012) for a region delimited by a polygon, we can do:</w:t>
      </w:r>
    </w:p>
    <w:p>
      <w:pPr>
        <w:pStyle w:val="SourceCode"/>
      </w:pPr>
      <w:r>
        <w:rPr>
          <w:rStyle w:val="FunctionTok0"/>
        </w:rPr>
        <w:t xml:space="preserve">library</w:t>
      </w:r>
      <w:r>
        <w:rPr>
          <w:rStyle w:val="NormalTok0"/>
        </w:rPr>
        <w:t xml:space="preserve">(terra)</w:t>
      </w:r>
      <w:r>
        <w:br/>
      </w:r>
      <w:r>
        <w:br/>
      </w:r>
      <w:r>
        <w:rPr>
          <w:rStyle w:val="NormalTok0"/>
        </w:rPr>
        <w:t xml:space="preserve">coords.poly </w:t>
      </w:r>
      <w:r>
        <w:rPr>
          <w:rStyle w:val="OtherTok0"/>
        </w:rPr>
        <w:t xml:space="preserve">&lt;-</w:t>
      </w:r>
      <w:r>
        <w:rPr>
          <w:rStyle w:val="NormalTok0"/>
        </w:rPr>
        <w:t xml:space="preserve"> </w:t>
      </w:r>
      <w:r>
        <w:rPr>
          <w:rStyle w:val="FunctionTok0"/>
        </w:rPr>
        <w:t xml:space="preserve">vect</w:t>
      </w:r>
      <w:r>
        <w:rPr>
          <w:rStyle w:val="NormalTok0"/>
        </w:rPr>
        <w:t xml:space="preserve">(</w:t>
      </w:r>
      <w:r>
        <w:rPr>
          <w:rStyle w:val="StringTok0"/>
        </w:rPr>
        <w:t xml:space="preserve">"POLYGON ((-5.37 40.30, -5.17 40.30, -5.17 40.15, -5.37 40.15))"</w:t>
      </w:r>
      <w:r>
        <w:rPr>
          <w:rStyle w:val="NormalTok0"/>
        </w:rPr>
        <w:t xml:space="preserve">)</w:t>
      </w:r>
      <w:r>
        <w:br/>
      </w:r>
      <w:r>
        <w:br/>
      </w:r>
      <w:r>
        <w:rPr>
          <w:rStyle w:val="NormalTok0"/>
        </w:rPr>
        <w:t xml:space="preserve">ras_tmax </w:t>
      </w:r>
      <w:r>
        <w:rPr>
          <w:rStyle w:val="OtherTok0"/>
        </w:rPr>
        <w:t xml:space="preserve">&lt;-</w:t>
      </w:r>
      <w:r>
        <w:rPr>
          <w:rStyle w:val="NormalTok0"/>
        </w:rPr>
        <w:t xml:space="preserve"> </w:t>
      </w:r>
      <w:r>
        <w:rPr>
          <w:rStyle w:val="FunctionTok0"/>
        </w:rPr>
        <w:t xml:space="preserve">get_daily_climate</w:t>
      </w:r>
      <w:r>
        <w:rPr>
          <w:rStyle w:val="NormalTok0"/>
        </w:rPr>
        <w:t xml:space="preserve">(</w:t>
      </w:r>
      <w:r>
        <w:br/>
      </w:r>
      <w:r>
        <w:rPr>
          <w:rStyle w:val="NormalTok0"/>
        </w:rPr>
        <w:t xml:space="preserve">  coords.poly,</w:t>
      </w:r>
      <w:r>
        <w:br/>
      </w:r>
      <w:r>
        <w:rPr>
          <w:rStyle w:val="NormalTok0"/>
        </w:rPr>
        <w:t xml:space="preserve">  </w:t>
      </w:r>
      <w:r>
        <w:rPr>
          <w:rStyle w:val="AttributeTok"/>
        </w:rPr>
        <w:t xml:space="preserve">period =</w:t>
      </w:r>
      <w:r>
        <w:rPr>
          <w:rStyle w:val="NormalTok0"/>
        </w:rPr>
        <w:t xml:space="preserve"> </w:t>
      </w:r>
      <w:r>
        <w:rPr>
          <w:rStyle w:val="FunctionTok0"/>
        </w:rPr>
        <w:t xml:space="preserve">c</w:t>
      </w:r>
      <w:r>
        <w:rPr>
          <w:rStyle w:val="NormalTok0"/>
        </w:rPr>
        <w:t xml:space="preserve">(</w:t>
      </w:r>
      <w:r>
        <w:rPr>
          <w:rStyle w:val="StringTok0"/>
        </w:rPr>
        <w:t xml:space="preserve">"2012-01-01"</w:t>
      </w:r>
      <w:r>
        <w:rPr>
          <w:rStyle w:val="NormalTok0"/>
        </w:rPr>
        <w:t xml:space="preserve">, </w:t>
      </w:r>
      <w:r>
        <w:rPr>
          <w:rStyle w:val="StringTok0"/>
        </w:rPr>
        <w:t xml:space="preserve">"2012-08-07"</w:t>
      </w:r>
      <w:r>
        <w:rPr>
          <w:rStyle w:val="NormalTok0"/>
        </w:rPr>
        <w:t xml:space="preserve">),</w:t>
      </w:r>
      <w:r>
        <w:br/>
      </w:r>
      <w:r>
        <w:rPr>
          <w:rStyle w:val="NormalTok0"/>
        </w:rPr>
        <w:t xml:space="preserve">  </w:t>
      </w:r>
      <w:r>
        <w:rPr>
          <w:rStyle w:val="AttributeTok"/>
        </w:rPr>
        <w:t xml:space="preserve">climatic_var =</w:t>
      </w:r>
      <w:r>
        <w:rPr>
          <w:rStyle w:val="NormalTok0"/>
        </w:rPr>
        <w:t xml:space="preserve"> </w:t>
      </w:r>
      <w:r>
        <w:rPr>
          <w:rStyle w:val="StringTok0"/>
        </w:rPr>
        <w:t xml:space="preserve">"Tmax"</w:t>
      </w:r>
      <w:r>
        <w:rPr>
          <w:rStyle w:val="NormalTok0"/>
        </w:rPr>
        <w:t xml:space="preserve">,</w:t>
      </w:r>
      <w:r>
        <w:br/>
      </w:r>
      <w:r>
        <w:rPr>
          <w:rStyle w:val="NormalTok0"/>
        </w:rPr>
        <w:t xml:space="preserve">  </w:t>
      </w:r>
      <w:r>
        <w:rPr>
          <w:rStyle w:val="AttributeTok"/>
        </w:rPr>
        <w:t xml:space="preserve">output =</w:t>
      </w:r>
      <w:r>
        <w:rPr>
          <w:rStyle w:val="NormalTok0"/>
        </w:rPr>
        <w:t xml:space="preserve"> </w:t>
      </w:r>
      <w:r>
        <w:rPr>
          <w:rStyle w:val="StringTok0"/>
        </w:rPr>
        <w:t xml:space="preserve">"raster"</w:t>
      </w:r>
      <w:r>
        <w:br/>
      </w:r>
      <w:r>
        <w:rPr>
          <w:rStyle w:val="NormalTok0"/>
        </w:rPr>
        <w:t xml:space="preserve">  )</w:t>
      </w:r>
    </w:p>
    <w:p>
      <w:pPr>
        <w:pStyle w:val="FirstParagraph"/>
      </w:pPr>
      <w:r>
        <w:t xml:space="preserve">By design,</w:t>
      </w:r>
      <w:r>
        <w:t xml:space="preserve"> </w:t>
      </w:r>
      <w:r>
        <w:rPr>
          <w:iCs/>
          <w:i/>
        </w:rPr>
        <w:t xml:space="preserve">easyclimate</w:t>
      </w:r>
      <w:r>
        <w:t xml:space="preserve"> </w:t>
      </w:r>
      <w:r>
        <w:t xml:space="preserve">yields tidy datasets</w:t>
      </w:r>
      <w:r>
        <w:t xml:space="preserve"> </w:t>
      </w:r>
      <w:r>
        <w:t xml:space="preserve">(Wickham 2014)</w:t>
      </w:r>
      <w:r>
        <w:t xml:space="preserve"> </w:t>
      </w:r>
      <w:r>
        <w:t xml:space="preserve">that facilitate calculation of alternative climatic variables and indices following the</w:t>
      </w:r>
      <w:r>
        <w:t xml:space="preserve"> </w:t>
      </w:r>
      <w:hyperlink r:id="rId32">
        <w:r>
          <w:rPr>
            <w:rStyle w:val="Hyperlink"/>
          </w:rPr>
          <w:t xml:space="preserve">tidyverse</w:t>
        </w:r>
      </w:hyperlink>
      <w:r>
        <w:t xml:space="preserve"> </w:t>
      </w:r>
      <w:r>
        <w:t xml:space="preserve">philosophy. In the next example we download daily climatic data (precipitation, minimum and maximum temperature) for a five-year period for a specific location and store them in a</w:t>
      </w:r>
      <w:r>
        <w:t xml:space="preserve"> </w:t>
      </w:r>
      <w:r>
        <w:rPr>
          <w:rStyle w:val="VerbatimChar"/>
        </w:rPr>
        <w:t xml:space="preserve">data.frame</w:t>
      </w:r>
      <w:r>
        <w:t xml:space="preserve">. Then we calculate the mean temperature.</w:t>
      </w:r>
    </w:p>
    <w:p>
      <w:pPr>
        <w:pStyle w:val="SourceCode"/>
      </w:pPr>
      <w:r>
        <w:rPr>
          <w:rStyle w:val="FunctionTok0"/>
        </w:rPr>
        <w:t xml:space="preserve">library</w:t>
      </w:r>
      <w:r>
        <w:rPr>
          <w:rStyle w:val="NormalTok0"/>
        </w:rPr>
        <w:t xml:space="preserve">(dplyr)</w:t>
      </w:r>
      <w:r>
        <w:br/>
      </w:r>
      <w:r>
        <w:br/>
      </w:r>
      <w:r>
        <w:rPr>
          <w:rStyle w:val="NormalTok0"/>
        </w:rPr>
        <w:t xml:space="preserve">coords </w:t>
      </w:r>
      <w:r>
        <w:rPr>
          <w:rStyle w:val="OtherTok0"/>
        </w:rPr>
        <w:t xml:space="preserve">&lt;-</w:t>
      </w:r>
      <w:r>
        <w:rPr>
          <w:rStyle w:val="NormalTok0"/>
        </w:rPr>
        <w:t xml:space="preserve"> </w:t>
      </w:r>
      <w:r>
        <w:rPr>
          <w:rStyle w:val="FunctionTok0"/>
        </w:rPr>
        <w:t xml:space="preserve">data.frame</w:t>
      </w:r>
      <w:r>
        <w:rPr>
          <w:rStyle w:val="NormalTok0"/>
        </w:rPr>
        <w:t xml:space="preserve">(</w:t>
      </w:r>
      <w:r>
        <w:rPr>
          <w:rStyle w:val="AttributeTok"/>
        </w:rPr>
        <w:t xml:space="preserve">lon =</w:t>
      </w:r>
      <w:r>
        <w:rPr>
          <w:rStyle w:val="NormalTok0"/>
        </w:rPr>
        <w:t xml:space="preserve"> </w:t>
      </w:r>
      <w:r>
        <w:rPr>
          <w:rStyle w:val="SpecialCharTok"/>
        </w:rPr>
        <w:t xml:space="preserve">-</w:t>
      </w:r>
      <w:r>
        <w:rPr>
          <w:rStyle w:val="FloatTok0"/>
        </w:rPr>
        <w:t xml:space="preserve">4.88</w:t>
      </w:r>
      <w:r>
        <w:rPr>
          <w:rStyle w:val="NormalTok0"/>
        </w:rPr>
        <w:t xml:space="preserve">, </w:t>
      </w:r>
      <w:r>
        <w:rPr>
          <w:rStyle w:val="AttributeTok"/>
        </w:rPr>
        <w:t xml:space="preserve">lat =</w:t>
      </w:r>
      <w:r>
        <w:rPr>
          <w:rStyle w:val="NormalTok0"/>
        </w:rPr>
        <w:t xml:space="preserve"> </w:t>
      </w:r>
      <w:r>
        <w:rPr>
          <w:rStyle w:val="FloatTok0"/>
        </w:rPr>
        <w:t xml:space="preserve">40.82</w:t>
      </w:r>
      <w:r>
        <w:rPr>
          <w:rStyle w:val="NormalTok0"/>
        </w:rPr>
        <w:t xml:space="preserve">)</w:t>
      </w:r>
      <w:r>
        <w:br/>
      </w:r>
      <w:r>
        <w:br/>
      </w:r>
      <w:r>
        <w:rPr>
          <w:rStyle w:val="NormalTok0"/>
        </w:rPr>
        <w:t xml:space="preserve">daily_output </w:t>
      </w:r>
      <w:r>
        <w:rPr>
          <w:rStyle w:val="OtherTok0"/>
        </w:rPr>
        <w:t xml:space="preserve">&lt;-</w:t>
      </w:r>
      <w:r>
        <w:rPr>
          <w:rStyle w:val="NormalTok0"/>
        </w:rPr>
        <w:t xml:space="preserve"> </w:t>
      </w:r>
      <w:r>
        <w:rPr>
          <w:rStyle w:val="FunctionTok0"/>
        </w:rPr>
        <w:t xml:space="preserve">get_daily_climate</w:t>
      </w:r>
      <w:r>
        <w:rPr>
          <w:rStyle w:val="NormalTok0"/>
        </w:rPr>
        <w:t xml:space="preserve">(coords,</w:t>
      </w:r>
      <w:r>
        <w:br/>
      </w:r>
      <w:r>
        <w:rPr>
          <w:rStyle w:val="NormalTok0"/>
        </w:rPr>
        <w:t xml:space="preserve">                                  </w:t>
      </w:r>
      <w:r>
        <w:rPr>
          <w:rStyle w:val="AttributeTok"/>
        </w:rPr>
        <w:t xml:space="preserve">period =</w:t>
      </w:r>
      <w:r>
        <w:rPr>
          <w:rStyle w:val="NormalTok0"/>
        </w:rPr>
        <w:t xml:space="preserve"> </w:t>
      </w:r>
      <w:r>
        <w:rPr>
          <w:rStyle w:val="DecValTok0"/>
        </w:rPr>
        <w:t xml:space="preserve">2010</w:t>
      </w:r>
      <w:r>
        <w:rPr>
          <w:rStyle w:val="SpecialCharTok"/>
        </w:rPr>
        <w:t xml:space="preserve">:</w:t>
      </w:r>
      <w:r>
        <w:rPr>
          <w:rStyle w:val="DecValTok0"/>
        </w:rPr>
        <w:t xml:space="preserve">2015</w:t>
      </w:r>
      <w:r>
        <w:rPr>
          <w:rStyle w:val="NormalTok0"/>
        </w:rPr>
        <w:t xml:space="preserve">,</w:t>
      </w:r>
      <w:r>
        <w:br/>
      </w:r>
      <w:r>
        <w:rPr>
          <w:rStyle w:val="NormalTok0"/>
        </w:rPr>
        <w:t xml:space="preserve">                                  </w:t>
      </w:r>
      <w:r>
        <w:rPr>
          <w:rStyle w:val="AttributeTok"/>
        </w:rPr>
        <w:t xml:space="preserve">climatic_var =</w:t>
      </w:r>
      <w:r>
        <w:rPr>
          <w:rStyle w:val="NormalTok0"/>
        </w:rPr>
        <w:t xml:space="preserve"> </w:t>
      </w:r>
      <w:r>
        <w:rPr>
          <w:rStyle w:val="FunctionTok0"/>
        </w:rPr>
        <w:t xml:space="preserve">c</w:t>
      </w:r>
      <w:r>
        <w:rPr>
          <w:rStyle w:val="NormalTok0"/>
        </w:rPr>
        <w:t xml:space="preserve">(</w:t>
      </w:r>
      <w:r>
        <w:rPr>
          <w:rStyle w:val="StringTok0"/>
        </w:rPr>
        <w:t xml:space="preserve">"Prcp"</w:t>
      </w:r>
      <w:r>
        <w:rPr>
          <w:rStyle w:val="NormalTok0"/>
        </w:rPr>
        <w:t xml:space="preserve">, </w:t>
      </w:r>
      <w:r>
        <w:rPr>
          <w:rStyle w:val="StringTok0"/>
        </w:rPr>
        <w:t xml:space="preserve">"Tmin"</w:t>
      </w:r>
      <w:r>
        <w:rPr>
          <w:rStyle w:val="NormalTok0"/>
        </w:rPr>
        <w:t xml:space="preserve">, </w:t>
      </w:r>
      <w:r>
        <w:rPr>
          <w:rStyle w:val="StringTok0"/>
        </w:rPr>
        <w:t xml:space="preserve">"Tmax"</w:t>
      </w:r>
      <w:r>
        <w:rPr>
          <w:rStyle w:val="NormalTok0"/>
        </w:rPr>
        <w:t xml:space="preserve">))</w:t>
      </w:r>
      <w:r>
        <w:br/>
      </w:r>
      <w:r>
        <w:br/>
      </w:r>
      <w:r>
        <w:rPr>
          <w:rStyle w:val="NormalTok0"/>
        </w:rPr>
        <w:t xml:space="preserve">daily </w:t>
      </w:r>
      <w:r>
        <w:rPr>
          <w:rStyle w:val="OtherTok0"/>
        </w:rPr>
        <w:t xml:space="preserve">&lt;-</w:t>
      </w:r>
      <w:r>
        <w:rPr>
          <w:rStyle w:val="NormalTok0"/>
        </w:rPr>
        <w:t xml:space="preserve"> daily_output </w:t>
      </w:r>
      <w:r>
        <w:rPr>
          <w:rStyle w:val="SpecialCharTok"/>
        </w:rPr>
        <w:t xml:space="preserve">%&gt;%</w:t>
      </w:r>
      <w:r>
        <w:rPr>
          <w:rStyle w:val="NormalTok0"/>
        </w:rPr>
        <w:t xml:space="preserve"> </w:t>
      </w:r>
      <w:r>
        <w:br/>
      </w:r>
      <w:r>
        <w:rPr>
          <w:rStyle w:val="NormalTok0"/>
        </w:rPr>
        <w:t xml:space="preserve">  </w:t>
      </w:r>
      <w:r>
        <w:rPr>
          <w:rStyle w:val="FunctionTok0"/>
        </w:rPr>
        <w:t xml:space="preserve">mutate</w:t>
      </w:r>
      <w:r>
        <w:rPr>
          <w:rStyle w:val="NormalTok0"/>
        </w:rPr>
        <w:t xml:space="preserve">(</w:t>
      </w:r>
      <w:r>
        <w:rPr>
          <w:rStyle w:val="AttributeTok"/>
        </w:rPr>
        <w:t xml:space="preserve">Tmean =</w:t>
      </w:r>
      <w:r>
        <w:rPr>
          <w:rStyle w:val="NormalTok0"/>
        </w:rPr>
        <w:t xml:space="preserve"> (Tmin </w:t>
      </w:r>
      <w:r>
        <w:rPr>
          <w:rStyle w:val="SpecialCharTok"/>
        </w:rPr>
        <w:t xml:space="preserve">+</w:t>
      </w:r>
      <w:r>
        <w:rPr>
          <w:rStyle w:val="NormalTok0"/>
        </w:rPr>
        <w:t xml:space="preserve"> Tmax) </w:t>
      </w:r>
      <w:r>
        <w:rPr>
          <w:rStyle w:val="SpecialCharTok"/>
        </w:rPr>
        <w:t xml:space="preserve">/</w:t>
      </w:r>
      <w:r>
        <w:rPr>
          <w:rStyle w:val="NormalTok0"/>
        </w:rPr>
        <w:t xml:space="preserve"> </w:t>
      </w:r>
      <w:r>
        <w:rPr>
          <w:rStyle w:val="DecValTok0"/>
        </w:rPr>
        <w:t xml:space="preserve">2</w:t>
      </w:r>
      <w:r>
        <w:rPr>
          <w:rStyle w:val="NormalTok0"/>
        </w:rPr>
        <w:t xml:space="preserve">)</w:t>
      </w:r>
    </w:p>
    <w:p>
      <w:pPr>
        <w:pStyle w:val="FirstParagraph"/>
      </w:pPr>
      <w:r>
        <w:t xml:space="preserve">To calculate average temperatures and aggregated precipitation by site or time period (Table</w:t>
      </w:r>
      <w:r>
        <w:t xml:space="preserve"> </w:t>
      </w:r>
      <w:r>
        <w:t xml:space="preserve">2</w:t>
      </w:r>
      <w:r>
        <w:t xml:space="preserve">) we can use</w:t>
      </w:r>
      <w:r>
        <w:t xml:space="preserve"> </w:t>
      </w:r>
      <w:r>
        <w:rPr>
          <w:rStyle w:val="VerbatimChar"/>
        </w:rPr>
        <w:t xml:space="preserve">group_by</w:t>
      </w:r>
      <w:r>
        <w:t xml:space="preserve"> </w:t>
      </w:r>
      <w:r>
        <w:t xml:space="preserve">and</w:t>
      </w:r>
      <w:r>
        <w:t xml:space="preserve"> </w:t>
      </w:r>
      <w:r>
        <w:rPr>
          <w:rStyle w:val="VerbatimChar"/>
        </w:rPr>
        <w:t xml:space="preserve">summarise</w:t>
      </w:r>
      <w:r>
        <w:t xml:space="preserve"> </w:t>
      </w:r>
      <w:r>
        <w:t xml:space="preserve">from</w:t>
      </w:r>
      <w:r>
        <w:t xml:space="preserve"> </w:t>
      </w:r>
      <w:r>
        <w:rPr>
          <w:rStyle w:val="VerbatimChar"/>
        </w:rPr>
        <w:t xml:space="preserve">dplyr</w:t>
      </w:r>
      <w:r>
        <w:t xml:space="preserve">, or</w:t>
      </w:r>
      <w:r>
        <w:t xml:space="preserve"> </w:t>
      </w:r>
      <w:r>
        <w:rPr>
          <w:rStyle w:val="VerbatimChar"/>
        </w:rPr>
        <w:t xml:space="preserve">by</w:t>
      </w:r>
      <w:r>
        <w:t xml:space="preserve"> </w:t>
      </w:r>
      <w:r>
        <w:t xml:space="preserve">and</w:t>
      </w:r>
      <w:r>
        <w:t xml:space="preserve"> </w:t>
      </w:r>
      <w:r>
        <w:rPr>
          <w:rStyle w:val="VerbatimChar"/>
        </w:rPr>
        <w:t xml:space="preserve">aggregate</w:t>
      </w:r>
      <w:r>
        <w:t xml:space="preserve"> </w:t>
      </w:r>
      <w:r>
        <w:t xml:space="preserve">from base R:</w:t>
      </w:r>
    </w:p>
    <w:p>
      <w:pPr>
        <w:pStyle w:val="SourceCode"/>
      </w:pPr>
      <w:r>
        <w:rPr>
          <w:rStyle w:val="NormalTok0"/>
        </w:rPr>
        <w:t xml:space="preserve">yearclimate </w:t>
      </w:r>
      <w:r>
        <w:rPr>
          <w:rStyle w:val="OtherTok0"/>
        </w:rPr>
        <w:t xml:space="preserve">&lt;-</w:t>
      </w:r>
      <w:r>
        <w:rPr>
          <w:rStyle w:val="NormalTok0"/>
        </w:rPr>
        <w:t xml:space="preserve"> daily </w:t>
      </w:r>
      <w:r>
        <w:rPr>
          <w:rStyle w:val="SpecialCharTok"/>
        </w:rPr>
        <w:t xml:space="preserve">%&gt;%</w:t>
      </w:r>
      <w:r>
        <w:br/>
      </w:r>
      <w:r>
        <w:rPr>
          <w:rStyle w:val="NormalTok0"/>
        </w:rPr>
        <w:t xml:space="preserve">  </w:t>
      </w:r>
      <w:r>
        <w:rPr>
          <w:rStyle w:val="FunctionTok0"/>
        </w:rPr>
        <w:t xml:space="preserve">mutate</w:t>
      </w:r>
      <w:r>
        <w:rPr>
          <w:rStyle w:val="NormalTok0"/>
        </w:rPr>
        <w:t xml:space="preserve">(</w:t>
      </w:r>
      <w:r>
        <w:rPr>
          <w:rStyle w:val="AttributeTok"/>
        </w:rPr>
        <w:t xml:space="preserve">date =</w:t>
      </w:r>
      <w:r>
        <w:rPr>
          <w:rStyle w:val="NormalTok0"/>
        </w:rPr>
        <w:t xml:space="preserve"> </w:t>
      </w:r>
      <w:r>
        <w:rPr>
          <w:rStyle w:val="FunctionTok0"/>
        </w:rPr>
        <w:t xml:space="preserve">as.Date</w:t>
      </w:r>
      <w:r>
        <w:rPr>
          <w:rStyle w:val="NormalTok0"/>
        </w:rPr>
        <w:t xml:space="preserve">(date),</w:t>
      </w:r>
      <w:r>
        <w:br/>
      </w:r>
      <w:r>
        <w:rPr>
          <w:rStyle w:val="NormalTok0"/>
        </w:rPr>
        <w:t xml:space="preserve">         </w:t>
      </w:r>
      <w:r>
        <w:rPr>
          <w:rStyle w:val="AttributeTok"/>
        </w:rPr>
        <w:t xml:space="preserve">year =</w:t>
      </w:r>
      <w:r>
        <w:rPr>
          <w:rStyle w:val="NormalTok0"/>
        </w:rPr>
        <w:t xml:space="preserve"> </w:t>
      </w:r>
      <w:r>
        <w:rPr>
          <w:rStyle w:val="FunctionTok0"/>
        </w:rPr>
        <w:t xml:space="preserve">as.factor</w:t>
      </w:r>
      <w:r>
        <w:rPr>
          <w:rStyle w:val="NormalTok0"/>
        </w:rPr>
        <w:t xml:space="preserve">(</w:t>
      </w:r>
      <w:r>
        <w:rPr>
          <w:rStyle w:val="FunctionTok0"/>
        </w:rPr>
        <w:t xml:space="preserve">format</w:t>
      </w:r>
      <w:r>
        <w:rPr>
          <w:rStyle w:val="NormalTok0"/>
        </w:rPr>
        <w:t xml:space="preserve">(date, </w:t>
      </w:r>
      <w:r>
        <w:rPr>
          <w:rStyle w:val="AttributeTok"/>
        </w:rPr>
        <w:t xml:space="preserve">format =</w:t>
      </w:r>
      <w:r>
        <w:rPr>
          <w:rStyle w:val="NormalTok0"/>
        </w:rPr>
        <w:t xml:space="preserve"> </w:t>
      </w:r>
      <w:r>
        <w:rPr>
          <w:rStyle w:val="StringTok0"/>
        </w:rPr>
        <w:t xml:space="preserve">"%Y"</w:t>
      </w:r>
      <w:r>
        <w:rPr>
          <w:rStyle w:val="NormalTok0"/>
        </w:rPr>
        <w:t xml:space="preserve">))) </w:t>
      </w:r>
      <w:r>
        <w:rPr>
          <w:rStyle w:val="SpecialCharTok"/>
        </w:rPr>
        <w:t xml:space="preserve">%&gt;%</w:t>
      </w:r>
      <w:r>
        <w:br/>
      </w:r>
      <w:r>
        <w:rPr>
          <w:rStyle w:val="NormalTok0"/>
        </w:rPr>
        <w:t xml:space="preserve">  </w:t>
      </w:r>
      <w:r>
        <w:rPr>
          <w:rStyle w:val="FunctionTok0"/>
        </w:rPr>
        <w:t xml:space="preserve">group_by</w:t>
      </w:r>
      <w:r>
        <w:rPr>
          <w:rStyle w:val="NormalTok0"/>
        </w:rPr>
        <w:t xml:space="preserve">(year) </w:t>
      </w:r>
      <w:r>
        <w:rPr>
          <w:rStyle w:val="SpecialCharTok"/>
        </w:rPr>
        <w:t xml:space="preserve">%&gt;%</w:t>
      </w:r>
      <w:r>
        <w:br/>
      </w:r>
      <w:r>
        <w:rPr>
          <w:rStyle w:val="NormalTok0"/>
        </w:rPr>
        <w:t xml:space="preserve">  </w:t>
      </w:r>
      <w:r>
        <w:rPr>
          <w:rStyle w:val="FunctionTok0"/>
        </w:rPr>
        <w:t xml:space="preserve">summarise</w:t>
      </w:r>
      <w:r>
        <w:rPr>
          <w:rStyle w:val="NormalTok0"/>
        </w:rPr>
        <w:t xml:space="preserve">(</w:t>
      </w:r>
      <w:r>
        <w:rPr>
          <w:rStyle w:val="AttributeTok"/>
        </w:rPr>
        <w:t xml:space="preserve">Tmin.year =</w:t>
      </w:r>
      <w:r>
        <w:rPr>
          <w:rStyle w:val="NormalTok0"/>
        </w:rPr>
        <w:t xml:space="preserve"> </w:t>
      </w:r>
      <w:r>
        <w:rPr>
          <w:rStyle w:val="FunctionTok0"/>
        </w:rPr>
        <w:t xml:space="preserve">mean</w:t>
      </w:r>
      <w:r>
        <w:rPr>
          <w:rStyle w:val="NormalTok0"/>
        </w:rPr>
        <w:t xml:space="preserve">(Tmin),</w:t>
      </w:r>
      <w:r>
        <w:br/>
      </w:r>
      <w:r>
        <w:rPr>
          <w:rStyle w:val="NormalTok0"/>
        </w:rPr>
        <w:t xml:space="preserve">            </w:t>
      </w:r>
      <w:r>
        <w:rPr>
          <w:rStyle w:val="AttributeTok"/>
        </w:rPr>
        <w:t xml:space="preserve">Tmean.year =</w:t>
      </w:r>
      <w:r>
        <w:rPr>
          <w:rStyle w:val="NormalTok0"/>
        </w:rPr>
        <w:t xml:space="preserve"> </w:t>
      </w:r>
      <w:r>
        <w:rPr>
          <w:rStyle w:val="FunctionTok0"/>
        </w:rPr>
        <w:t xml:space="preserve">mean</w:t>
      </w:r>
      <w:r>
        <w:rPr>
          <w:rStyle w:val="NormalTok0"/>
        </w:rPr>
        <w:t xml:space="preserve">(Tmean),</w:t>
      </w:r>
      <w:r>
        <w:br/>
      </w:r>
      <w:r>
        <w:rPr>
          <w:rStyle w:val="NormalTok0"/>
        </w:rPr>
        <w:t xml:space="preserve">            </w:t>
      </w:r>
      <w:r>
        <w:rPr>
          <w:rStyle w:val="AttributeTok"/>
        </w:rPr>
        <w:t xml:space="preserve">Tmax.year =</w:t>
      </w:r>
      <w:r>
        <w:rPr>
          <w:rStyle w:val="NormalTok0"/>
        </w:rPr>
        <w:t xml:space="preserve"> </w:t>
      </w:r>
      <w:r>
        <w:rPr>
          <w:rStyle w:val="FunctionTok0"/>
        </w:rPr>
        <w:t xml:space="preserve">mean</w:t>
      </w:r>
      <w:r>
        <w:rPr>
          <w:rStyle w:val="NormalTok0"/>
        </w:rPr>
        <w:t xml:space="preserve">(Tmax),</w:t>
      </w:r>
      <w:r>
        <w:br/>
      </w:r>
      <w:r>
        <w:rPr>
          <w:rStyle w:val="NormalTok0"/>
        </w:rPr>
        <w:t xml:space="preserve">            </w:t>
      </w:r>
      <w:r>
        <w:rPr>
          <w:rStyle w:val="AttributeTok"/>
        </w:rPr>
        <w:t xml:space="preserve">Prcp.year =</w:t>
      </w:r>
      <w:r>
        <w:rPr>
          <w:rStyle w:val="NormalTok0"/>
        </w:rPr>
        <w:t xml:space="preserve"> </w:t>
      </w:r>
      <w:r>
        <w:rPr>
          <w:rStyle w:val="FunctionTok0"/>
        </w:rPr>
        <w:t xml:space="preserve">sum</w:t>
      </w:r>
      <w:r>
        <w:rPr>
          <w:rStyle w:val="NormalTok0"/>
        </w:rPr>
        <w:t xml:space="preserve">(Prcp))</w:t>
      </w:r>
    </w:p>
    <w:p>
      <w:pPr>
        <w:pStyle w:val="FirstParagraph"/>
      </w:pPr>
      <w:r>
        <w:t xml:space="preserve">The results of the package</w:t>
      </w:r>
      <w:r>
        <w:t xml:space="preserve"> </w:t>
      </w:r>
      <w:r>
        <w:rPr>
          <w:iCs/>
          <w:i/>
        </w:rPr>
        <w:t xml:space="preserve">easyclimate</w:t>
      </w:r>
      <w:r>
        <w:t xml:space="preserve"> </w:t>
      </w:r>
      <w:r>
        <w:t xml:space="preserve">can be used directly or serve as input to calculate climatic indices with other packages, such as ClimInd</w:t>
      </w:r>
      <w:r>
        <w:t xml:space="preserve"> </w:t>
      </w:r>
      <w:r>
        <w:t xml:space="preserve">(Reig-Gracia et al. 2021)</w:t>
      </w:r>
      <w:r>
        <w:t xml:space="preserve"> </w:t>
      </w:r>
      <w:r>
        <w:t xml:space="preserve">or SPEI</w:t>
      </w:r>
      <w:r>
        <w:t xml:space="preserve"> </w:t>
      </w:r>
      <w:r>
        <w:t xml:space="preserve">(Beguería &amp; Vicente-Serrano 2017)</w:t>
      </w:r>
      <w:r>
        <w:t xml:space="preserve"> </w:t>
      </w:r>
      <w:r>
        <w:t xml:space="preserve">(see some examples in the vignette</w:t>
      </w:r>
      <w:r>
        <w:t xml:space="preserve"> </w:t>
      </w:r>
      <w:hyperlink r:id="rId33">
        <w:r>
          <w:rPr>
            <w:rStyle w:val="Hyperlink"/>
          </w:rPr>
          <w:t xml:space="preserve">Calculating basic climatic indices with data from easyclimate</w:t>
        </w:r>
      </w:hyperlink>
      <w:r>
        <w:t xml:space="preserve">).</w:t>
      </w:r>
    </w:p>
    <w:bookmarkEnd w:id="34"/>
    <w:bookmarkStart w:id="36" w:name="easyclimate-advantages"/>
    <w:p>
      <w:pPr>
        <w:pStyle w:val="Heading1"/>
      </w:pPr>
      <w:r>
        <w:rPr>
          <w:iCs/>
          <w:i/>
        </w:rPr>
        <w:t xml:space="preserve">easyclimate</w:t>
      </w:r>
      <w:r>
        <w:t xml:space="preserve"> </w:t>
      </w:r>
      <w:r>
        <w:t xml:space="preserve">ADVANTAGES</w:t>
      </w:r>
    </w:p>
    <w:p>
      <w:pPr>
        <w:pStyle w:val="FirstParagraph"/>
      </w:pPr>
      <w:r>
        <w:t xml:space="preserve">Although the entire downscaled climatic data is available for download as GeoTIFF raster layers in a public FTP server (</w:t>
      </w:r>
      <w:hyperlink r:id="rId35">
        <w:r>
          <w:rPr>
            <w:rStyle w:val="Hyperlink"/>
          </w:rPr>
          <w:t xml:space="preserve">ftp://palantir.boku.ac.at/Public/ClimateData/</w:t>
        </w:r>
      </w:hyperlink>
      <w:r>
        <w:t xml:space="preserve">), for small to moderately-sized areas (e.g. less than 10000 sites or 10000 km</w:t>
      </w:r>
      <w:r>
        <w:rPr>
          <w:vertAlign w:val="superscript"/>
        </w:rPr>
        <w:t xml:space="preserve">2</w:t>
      </w:r>
      <w:r>
        <w:t xml:space="preserve">), the Cloud-Optimised GeoTIFF technology implemented in</w:t>
      </w:r>
      <w:r>
        <w:t xml:space="preserve"> </w:t>
      </w:r>
      <w:r>
        <w:rPr>
          <w:iCs/>
          <w:i/>
        </w:rPr>
        <w:t xml:space="preserve">easyclimate</w:t>
      </w:r>
      <w:r>
        <w:t xml:space="preserve"> </w:t>
      </w:r>
      <w:r>
        <w:t xml:space="preserve">allows to efficiently extract the data and can save significant time. Furthermore, with</w:t>
      </w:r>
      <w:r>
        <w:t xml:space="preserve"> </w:t>
      </w:r>
      <w:r>
        <w:rPr>
          <w:iCs/>
          <w:i/>
        </w:rPr>
        <w:t xml:space="preserve">easyclimate</w:t>
      </w:r>
      <w:r>
        <w:t xml:space="preserve"> </w:t>
      </w:r>
      <w:r>
        <w:t xml:space="preserve">we avoid downloading large rasters (several GB for each year) requiring storage space on local or remote servers, energy and resources</w:t>
      </w:r>
      <w:r>
        <w:t xml:space="preserve"> </w:t>
      </w:r>
      <w:r>
        <w:t xml:space="preserve">(Hischier et al. 2015; Hilty &amp; Aebischer 2015)</w:t>
      </w:r>
      <w:r>
        <w:t xml:space="preserve">. In this sense,</w:t>
      </w:r>
      <w:r>
        <w:t xml:space="preserve"> </w:t>
      </w:r>
      <w:r>
        <w:rPr>
          <w:iCs/>
          <w:i/>
        </w:rPr>
        <w:t xml:space="preserve">easyclimate</w:t>
      </w:r>
      <w:r>
        <w:t xml:space="preserve"> </w:t>
      </w:r>
      <w:r>
        <w:t xml:space="preserve">becomes even more efficient if we are interested in climate data for multiple years and a small number of sites. For querying climate data from larger areas, it is recommended to download the raster layers and extract the data to local storage (e.g. using the</w:t>
      </w:r>
      <w:r>
        <w:t xml:space="preserve"> </w:t>
      </w:r>
      <w:r>
        <w:rPr>
          <w:rStyle w:val="VerbatimChar"/>
        </w:rPr>
        <w:t xml:space="preserve">extract</w:t>
      </w:r>
      <w:r>
        <w:t xml:space="preserve"> </w:t>
      </w:r>
      <w:r>
        <w:t xml:space="preserve">function from</w:t>
      </w:r>
      <w:r>
        <w:t xml:space="preserve"> </w:t>
      </w:r>
      <w:r>
        <w:rPr>
          <w:rStyle w:val="VerbatimChar"/>
        </w:rPr>
        <w:t xml:space="preserve">terra</w:t>
      </w:r>
      <w:r>
        <w:t xml:space="preserve"> </w:t>
      </w:r>
      <w:r>
        <w:t xml:space="preserve">R package,</w:t>
      </w:r>
      <w:r>
        <w:t xml:space="preserve"> </w:t>
      </w:r>
      <w:r>
        <w:t xml:space="preserve">Hijmans (2021)</w:t>
      </w:r>
      <w:r>
        <w:t xml:space="preserve">), to avoid overloading the FTP server.</w:t>
      </w:r>
    </w:p>
    <w:p>
      <w:pPr>
        <w:pStyle w:val="BodyText"/>
      </w:pPr>
      <w:r>
        <w:t xml:space="preserve">As a test comparing the two methodologies (i.e. raster downloading and local extraction and the</w:t>
      </w:r>
      <w:r>
        <w:t xml:space="preserve"> </w:t>
      </w:r>
      <w:r>
        <w:rPr>
          <w:iCs/>
          <w:i/>
        </w:rPr>
        <w:t xml:space="preserve">easyclimate</w:t>
      </w:r>
      <w:r>
        <w:t xml:space="preserve"> </w:t>
      </w:r>
      <w:r>
        <w:t xml:space="preserve">method), we downloaded daily precipitation data for one year in an area of</w:t>
      </w:r>
      <w:r>
        <w:t xml:space="preserve"> </w:t>
      </w:r>
      <w:r>
        <w:rPr>
          <w:iCs/>
          <w:i/>
        </w:rPr>
        <w:t xml:space="preserve">ca</w:t>
      </w:r>
      <w:r>
        <w:t xml:space="preserve">. 100 km</w:t>
      </w:r>
      <w:r>
        <w:rPr>
          <w:vertAlign w:val="superscript"/>
        </w:rPr>
        <w:t xml:space="preserve">2</w:t>
      </w:r>
      <w:r>
        <w:t xml:space="preserve">. While the local download and extraction took 9-10 minutes in a laptop with good internet connection and stored ~5960 Mb,</w:t>
      </w:r>
      <w:r>
        <w:t xml:space="preserve"> </w:t>
      </w:r>
      <w:r>
        <w:rPr>
          <w:iCs/>
          <w:i/>
        </w:rPr>
        <w:t xml:space="preserve">easyclimate</w:t>
      </w:r>
      <w:r>
        <w:t xml:space="preserve"> </w:t>
      </w:r>
      <w:r>
        <w:t xml:space="preserve">took ~17 seconds to obtain the same data storing only the final dataset (2.3 Mb).</w:t>
      </w:r>
    </w:p>
    <w:p>
      <w:pPr>
        <w:pStyle w:val="SourceCode"/>
      </w:pPr>
      <w:r>
        <w:rPr>
          <w:rStyle w:val="FunctionTok0"/>
        </w:rPr>
        <w:t xml:space="preserve">library</w:t>
      </w:r>
      <w:r>
        <w:rPr>
          <w:rStyle w:val="NormalTok0"/>
        </w:rPr>
        <w:t xml:space="preserve">(terra)</w:t>
      </w:r>
      <w:r>
        <w:br/>
      </w:r>
      <w:r>
        <w:br/>
      </w:r>
      <w:r>
        <w:rPr>
          <w:rStyle w:val="CommentTok0"/>
        </w:rPr>
        <w:t xml:space="preserve"># Method 1: Raster downloading and local data extraction</w:t>
      </w:r>
      <w:r>
        <w:br/>
      </w:r>
      <w:r>
        <w:br/>
      </w:r>
      <w:r>
        <w:rPr>
          <w:rStyle w:val="NormalTok0"/>
        </w:rPr>
        <w:t xml:space="preserve">coords.poly </w:t>
      </w:r>
      <w:r>
        <w:rPr>
          <w:rStyle w:val="OtherTok0"/>
        </w:rPr>
        <w:t xml:space="preserve">&lt;-</w:t>
      </w:r>
      <w:r>
        <w:rPr>
          <w:rStyle w:val="NormalTok0"/>
        </w:rPr>
        <w:t xml:space="preserve"> terra</w:t>
      </w:r>
      <w:r>
        <w:rPr>
          <w:rStyle w:val="SpecialCharTok"/>
        </w:rPr>
        <w:t xml:space="preserve">::</w:t>
      </w:r>
      <w:r>
        <w:rPr>
          <w:rStyle w:val="FunctionTok0"/>
        </w:rPr>
        <w:t xml:space="preserve">vect</w:t>
      </w:r>
      <w:r>
        <w:rPr>
          <w:rStyle w:val="NormalTok0"/>
        </w:rPr>
        <w:t xml:space="preserve">(</w:t>
      </w:r>
      <w:r>
        <w:rPr>
          <w:rStyle w:val="StringTok0"/>
        </w:rPr>
        <w:t xml:space="preserve">"POLYGON ((-5.039 40.913, -4.919 40.913, -4.918 40.825, -5.039 40.825))"</w:t>
      </w:r>
      <w:r>
        <w:rPr>
          <w:rStyle w:val="NormalTok0"/>
        </w:rPr>
        <w:t xml:space="preserve">)</w:t>
      </w:r>
      <w:r>
        <w:br/>
      </w:r>
      <w:r>
        <w:rPr>
          <w:rStyle w:val="NormalTok0"/>
        </w:rPr>
        <w:t xml:space="preserve"> </w:t>
      </w:r>
      <w:r>
        <w:br/>
      </w:r>
      <w:r>
        <w:rPr>
          <w:rStyle w:val="NormalTok0"/>
        </w:rPr>
        <w:t xml:space="preserve">raster.url </w:t>
      </w:r>
      <w:r>
        <w:rPr>
          <w:rStyle w:val="OtherTok0"/>
        </w:rPr>
        <w:t xml:space="preserve">&lt;-</w:t>
      </w:r>
      <w:r>
        <w:rPr>
          <w:rStyle w:val="NormalTok0"/>
        </w:rPr>
        <w:t xml:space="preserve"> </w:t>
      </w:r>
      <w:r>
        <w:rPr>
          <w:rStyle w:val="StringTok0"/>
        </w:rPr>
        <w:t xml:space="preserve">"ftp://palantir.boku.ac.at/Public/ClimateData/v3/AllDataRasters/prec/DownscaledPrcp2010.tif"</w:t>
      </w:r>
      <w:r>
        <w:br/>
      </w:r>
      <w:r>
        <w:rPr>
          <w:rStyle w:val="NormalTok0"/>
        </w:rPr>
        <w:t xml:space="preserve"> </w:t>
      </w:r>
      <w:r>
        <w:br/>
      </w:r>
      <w:r>
        <w:rPr>
          <w:rStyle w:val="FunctionTok0"/>
        </w:rPr>
        <w:t xml:space="preserve">options</w:t>
      </w:r>
      <w:r>
        <w:rPr>
          <w:rStyle w:val="NormalTok0"/>
        </w:rPr>
        <w:t xml:space="preserve">(</w:t>
      </w:r>
      <w:r>
        <w:rPr>
          <w:rStyle w:val="AttributeTok"/>
        </w:rPr>
        <w:t xml:space="preserve">timeout =</w:t>
      </w:r>
      <w:r>
        <w:rPr>
          <w:rStyle w:val="NormalTok0"/>
        </w:rPr>
        <w:t xml:space="preserve"> </w:t>
      </w:r>
      <w:r>
        <w:rPr>
          <w:rStyle w:val="FunctionTok0"/>
        </w:rPr>
        <w:t xml:space="preserve">max</w:t>
      </w:r>
      <w:r>
        <w:rPr>
          <w:rStyle w:val="NormalTok0"/>
        </w:rPr>
        <w:t xml:space="preserve">(</w:t>
      </w:r>
      <w:r>
        <w:rPr>
          <w:rStyle w:val="DecValTok0"/>
        </w:rPr>
        <w:t xml:space="preserve">10000</w:t>
      </w:r>
      <w:r>
        <w:rPr>
          <w:rStyle w:val="NormalTok0"/>
        </w:rPr>
        <w:t xml:space="preserve">, </w:t>
      </w:r>
      <w:r>
        <w:rPr>
          <w:rStyle w:val="FunctionTok0"/>
        </w:rPr>
        <w:t xml:space="preserve">getOption</w:t>
      </w:r>
      <w:r>
        <w:rPr>
          <w:rStyle w:val="NormalTok0"/>
        </w:rPr>
        <w:t xml:space="preserve">(</w:t>
      </w:r>
      <w:r>
        <w:rPr>
          <w:rStyle w:val="StringTok0"/>
        </w:rPr>
        <w:t xml:space="preserve">"timeout"</w:t>
      </w:r>
      <w:r>
        <w:rPr>
          <w:rStyle w:val="NormalTok0"/>
        </w:rPr>
        <w:t xml:space="preserve">)))</w:t>
      </w:r>
      <w:r>
        <w:br/>
      </w:r>
      <w:r>
        <w:rPr>
          <w:rStyle w:val="NormalTok0"/>
        </w:rPr>
        <w:t xml:space="preserve"> </w:t>
      </w:r>
      <w:r>
        <w:br/>
      </w:r>
      <w:r>
        <w:rPr>
          <w:rStyle w:val="FunctionTok0"/>
        </w:rPr>
        <w:t xml:space="preserve">system.time</w:t>
      </w:r>
      <w:r>
        <w:rPr>
          <w:rStyle w:val="NormalTok0"/>
        </w:rPr>
        <w:t xml:space="preserve">({</w:t>
      </w:r>
      <w:r>
        <w:br/>
      </w:r>
      <w:r>
        <w:rPr>
          <w:rStyle w:val="NormalTok0"/>
        </w:rPr>
        <w:t xml:space="preserve">   </w:t>
      </w:r>
      <w:r>
        <w:rPr>
          <w:rStyle w:val="FunctionTok0"/>
        </w:rPr>
        <w:t xml:space="preserve">download.file</w:t>
      </w:r>
      <w:r>
        <w:rPr>
          <w:rStyle w:val="NormalTok0"/>
        </w:rPr>
        <w:t xml:space="preserve">(raster.url, </w:t>
      </w:r>
      <w:r>
        <w:rPr>
          <w:rStyle w:val="AttributeTok"/>
        </w:rPr>
        <w:t xml:space="preserve">destfile =</w:t>
      </w:r>
      <w:r>
        <w:rPr>
          <w:rStyle w:val="NormalTok0"/>
        </w:rPr>
        <w:t xml:space="preserve"> </w:t>
      </w:r>
      <w:r>
        <w:rPr>
          <w:rStyle w:val="StringTok0"/>
        </w:rPr>
        <w:t xml:space="preserve">"prcp2010.tif"</w:t>
      </w:r>
      <w:r>
        <w:rPr>
          <w:rStyle w:val="NormalTok0"/>
        </w:rPr>
        <w:t xml:space="preserve">, </w:t>
      </w:r>
      <w:r>
        <w:rPr>
          <w:rStyle w:val="AttributeTok"/>
        </w:rPr>
        <w:t xml:space="preserve">mode =</w:t>
      </w:r>
      <w:r>
        <w:rPr>
          <w:rStyle w:val="NormalTok0"/>
        </w:rPr>
        <w:t xml:space="preserve"> </w:t>
      </w:r>
      <w:r>
        <w:rPr>
          <w:rStyle w:val="StringTok0"/>
        </w:rPr>
        <w:t xml:space="preserve">"wb"</w:t>
      </w:r>
      <w:r>
        <w:rPr>
          <w:rStyle w:val="NormalTok0"/>
        </w:rPr>
        <w:t xml:space="preserve">)</w:t>
      </w:r>
      <w:r>
        <w:br/>
      </w:r>
      <w:r>
        <w:rPr>
          <w:rStyle w:val="NormalTok0"/>
        </w:rPr>
        <w:t xml:space="preserve">   prcp2010.ras </w:t>
      </w:r>
      <w:r>
        <w:rPr>
          <w:rStyle w:val="OtherTok0"/>
        </w:rPr>
        <w:t xml:space="preserve">&lt;-</w:t>
      </w:r>
      <w:r>
        <w:rPr>
          <w:rStyle w:val="NormalTok0"/>
        </w:rPr>
        <w:t xml:space="preserve"> terra</w:t>
      </w:r>
      <w:r>
        <w:rPr>
          <w:rStyle w:val="SpecialCharTok"/>
        </w:rPr>
        <w:t xml:space="preserve">::</w:t>
      </w:r>
      <w:r>
        <w:rPr>
          <w:rStyle w:val="FunctionTok0"/>
        </w:rPr>
        <w:t xml:space="preserve">rast</w:t>
      </w:r>
      <w:r>
        <w:rPr>
          <w:rStyle w:val="NormalTok0"/>
        </w:rPr>
        <w:t xml:space="preserve">(</w:t>
      </w:r>
      <w:r>
        <w:rPr>
          <w:rStyle w:val="StringTok0"/>
        </w:rPr>
        <w:t xml:space="preserve">"prcp2010.tif"</w:t>
      </w:r>
      <w:r>
        <w:rPr>
          <w:rStyle w:val="NormalTok0"/>
        </w:rPr>
        <w:t xml:space="preserve">) </w:t>
      </w:r>
      <w:r>
        <w:br/>
      </w:r>
      <w:r>
        <w:rPr>
          <w:rStyle w:val="NormalTok0"/>
        </w:rPr>
        <w:t xml:space="preserve">   prcp2010.data </w:t>
      </w:r>
      <w:r>
        <w:rPr>
          <w:rStyle w:val="OtherTok0"/>
        </w:rPr>
        <w:t xml:space="preserve">&lt;-</w:t>
      </w:r>
      <w:r>
        <w:rPr>
          <w:rStyle w:val="NormalTok0"/>
        </w:rPr>
        <w:t xml:space="preserve"> terra</w:t>
      </w:r>
      <w:r>
        <w:rPr>
          <w:rStyle w:val="SpecialCharTok"/>
        </w:rPr>
        <w:t xml:space="preserve">::</w:t>
      </w:r>
      <w:r>
        <w:rPr>
          <w:rStyle w:val="FunctionTok0"/>
        </w:rPr>
        <w:t xml:space="preserve">extract</w:t>
      </w:r>
      <w:r>
        <w:rPr>
          <w:rStyle w:val="NormalTok0"/>
        </w:rPr>
        <w:t xml:space="preserve">(prcp2010.ras, coords.poly, </w:t>
      </w:r>
      <w:r>
        <w:rPr>
          <w:rStyle w:val="AttributeTok"/>
        </w:rPr>
        <w:t xml:space="preserve">xy =</w:t>
      </w:r>
      <w:r>
        <w:rPr>
          <w:rStyle w:val="NormalTok0"/>
        </w:rPr>
        <w:t xml:space="preserve"> </w:t>
      </w:r>
      <w:r>
        <w:rPr>
          <w:rStyle w:val="ConstantTok"/>
        </w:rPr>
        <w:t xml:space="preserve">TRUE</w:t>
      </w:r>
      <w:r>
        <w:rPr>
          <w:rStyle w:val="NormalTok0"/>
        </w:rPr>
        <w:t xml:space="preserve">)</w:t>
      </w:r>
      <w:r>
        <w:br/>
      </w:r>
      <w:r>
        <w:rPr>
          <w:rStyle w:val="NormalTok0"/>
        </w:rPr>
        <w:t xml:space="preserve"> })</w:t>
      </w:r>
    </w:p>
    <w:p>
      <w:pPr>
        <w:pStyle w:val="SourceCode"/>
      </w:pPr>
      <w:r>
        <w:rPr>
          <w:rStyle w:val="VerbatimChar"/>
        </w:rPr>
        <w:t xml:space="preserve">   user  system elapsed </w:t>
      </w:r>
      <w:r>
        <w:br/>
      </w:r>
      <w:r>
        <w:rPr>
          <w:rStyle w:val="VerbatimChar"/>
        </w:rPr>
        <w:t xml:space="preserve">  18.55   76.25  562.56 </w:t>
      </w:r>
    </w:p>
    <w:p>
      <w:pPr>
        <w:pStyle w:val="SourceCode"/>
      </w:pPr>
      <w:r>
        <w:rPr>
          <w:rStyle w:val="CommentTok0"/>
        </w:rPr>
        <w:t xml:space="preserve"># Method 2: Obtain the same data using easyclimate</w:t>
      </w:r>
      <w:r>
        <w:br/>
      </w:r>
      <w:r>
        <w:br/>
      </w:r>
      <w:r>
        <w:rPr>
          <w:rStyle w:val="FunctionTok0"/>
        </w:rPr>
        <w:t xml:space="preserve">system.time</w:t>
      </w:r>
      <w:r>
        <w:rPr>
          <w:rStyle w:val="NormalTok0"/>
        </w:rPr>
        <w:t xml:space="preserve">(</w:t>
      </w:r>
      <w:r>
        <w:br/>
      </w:r>
      <w:r>
        <w:rPr>
          <w:rStyle w:val="NormalTok0"/>
        </w:rPr>
        <w:t xml:space="preserve">   prcp2010.data_2 </w:t>
      </w:r>
      <w:r>
        <w:rPr>
          <w:rStyle w:val="OtherTok0"/>
        </w:rPr>
        <w:t xml:space="preserve">&lt;-</w:t>
      </w:r>
      <w:r>
        <w:rPr>
          <w:rStyle w:val="NormalTok0"/>
        </w:rPr>
        <w:t xml:space="preserve"> </w:t>
      </w:r>
      <w:r>
        <w:rPr>
          <w:rStyle w:val="FunctionTok0"/>
        </w:rPr>
        <w:t xml:space="preserve">get_daily_climate</w:t>
      </w:r>
      <w:r>
        <w:rPr>
          <w:rStyle w:val="NormalTok0"/>
        </w:rPr>
        <w:t xml:space="preserve">(</w:t>
      </w:r>
      <w:r>
        <w:br/>
      </w:r>
      <w:r>
        <w:rPr>
          <w:rStyle w:val="NormalTok0"/>
        </w:rPr>
        <w:t xml:space="preserve">     coords.poly,</w:t>
      </w:r>
      <w:r>
        <w:br/>
      </w:r>
      <w:r>
        <w:rPr>
          <w:rStyle w:val="NormalTok0"/>
        </w:rPr>
        <w:t xml:space="preserve">     </w:t>
      </w:r>
      <w:r>
        <w:rPr>
          <w:rStyle w:val="AttributeTok"/>
        </w:rPr>
        <w:t xml:space="preserve">period =</w:t>
      </w:r>
      <w:r>
        <w:rPr>
          <w:rStyle w:val="NormalTok0"/>
        </w:rPr>
        <w:t xml:space="preserve"> </w:t>
      </w:r>
      <w:r>
        <w:rPr>
          <w:rStyle w:val="DecValTok0"/>
        </w:rPr>
        <w:t xml:space="preserve">2010</w:t>
      </w:r>
      <w:r>
        <w:rPr>
          <w:rStyle w:val="NormalTok0"/>
        </w:rPr>
        <w:t xml:space="preserve">,</w:t>
      </w:r>
      <w:r>
        <w:br/>
      </w:r>
      <w:r>
        <w:rPr>
          <w:rStyle w:val="NormalTok0"/>
        </w:rPr>
        <w:t xml:space="preserve">     </w:t>
      </w:r>
      <w:r>
        <w:rPr>
          <w:rStyle w:val="AttributeTok"/>
        </w:rPr>
        <w:t xml:space="preserve">climatic_var =</w:t>
      </w:r>
      <w:r>
        <w:rPr>
          <w:rStyle w:val="NormalTok0"/>
        </w:rPr>
        <w:t xml:space="preserve"> </w:t>
      </w:r>
      <w:r>
        <w:rPr>
          <w:rStyle w:val="StringTok0"/>
        </w:rPr>
        <w:t xml:space="preserve">"Prcp"</w:t>
      </w:r>
      <w:r>
        <w:br/>
      </w:r>
      <w:r>
        <w:rPr>
          <w:rStyle w:val="NormalTok0"/>
        </w:rPr>
        <w:t xml:space="preserve">   )</w:t>
      </w:r>
      <w:r>
        <w:br/>
      </w:r>
      <w:r>
        <w:rPr>
          <w:rStyle w:val="NormalTok0"/>
        </w:rPr>
        <w:t xml:space="preserve"> )</w:t>
      </w:r>
    </w:p>
    <w:p>
      <w:pPr>
        <w:pStyle w:val="SourceCode"/>
      </w:pPr>
      <w:r>
        <w:rPr>
          <w:rStyle w:val="VerbatimChar"/>
        </w:rPr>
        <w:t xml:space="preserve">   user  system elapsed </w:t>
      </w:r>
      <w:r>
        <w:br/>
      </w:r>
      <w:r>
        <w:rPr>
          <w:rStyle w:val="VerbatimChar"/>
        </w:rPr>
        <w:t xml:space="preserve">   2.14    2.76   17.21 </w:t>
      </w:r>
    </w:p>
    <w:bookmarkEnd w:id="36"/>
    <w:bookmarkStart w:id="42" w:name="applications-in-plant-sciences"/>
    <w:p>
      <w:pPr>
        <w:pStyle w:val="Heading1"/>
      </w:pPr>
      <w:r>
        <w:t xml:space="preserve">APPLICATIONS IN PLANT SCIENCES</w:t>
      </w:r>
    </w:p>
    <w:p>
      <w:pPr>
        <w:pStyle w:val="FirstParagraph"/>
      </w:pPr>
      <w:r>
        <w:t xml:space="preserve">Plant distribution as well as plant growth, phenology, respiration and mortality are strongly driven by weather conditions</w:t>
      </w:r>
      <w:r>
        <w:t xml:space="preserve"> </w:t>
      </w:r>
      <w:r>
        <w:t xml:space="preserve">(e.g. Kunstler et al. 2021)</w:t>
      </w:r>
      <w:r>
        <w:t xml:space="preserve">. Any aggregation of climate data to average monthly or annual numbers may hide important climate effects on plants specifically if we expect changing environmental conditions. In this sense, daily climate data are of interest for many ecological research questions and applications, including the study of the effects of late-spring frosts</w:t>
      </w:r>
      <w:r>
        <w:t xml:space="preserve"> </w:t>
      </w:r>
      <w:r>
        <w:t xml:space="preserve">(Zohner et al. 2020)</w:t>
      </w:r>
      <w:r>
        <w:t xml:space="preserve">, heat waves or dry periods on plant performance</w:t>
      </w:r>
      <w:r>
        <w:t xml:space="preserve"> </w:t>
      </w:r>
      <w:r>
        <w:t xml:space="preserve">(Cruz‐Alonso et al. 2020)</w:t>
      </w:r>
      <w:r>
        <w:t xml:space="preserve">. However, accessing and processing such daily climate data is often cumbersome, even more if harmonized data are required at large spatial scales, and instead researchers use monthly or annual climate data.</w:t>
      </w:r>
    </w:p>
    <w:p>
      <w:pPr>
        <w:pStyle w:val="BodyText"/>
      </w:pPr>
      <w:r>
        <w:t xml:space="preserve">In the next example we show how we can easily calculate the number of spring days with freezing temperatures (below zero), and the mean minimum temperature reached over several years (Table</w:t>
      </w:r>
      <w:r>
        <w:t xml:space="preserve"> </w:t>
      </w:r>
      <w:r>
        <w:t xml:space="preserve">3</w:t>
      </w:r>
      <w:r>
        <w:t xml:space="preserve">; see</w:t>
      </w:r>
      <w:r>
        <w:t xml:space="preserve"> </w:t>
      </w:r>
      <w:hyperlink r:id="rId37">
        <w:r>
          <w:rPr>
            <w:rStyle w:val="Hyperlink"/>
          </w:rPr>
          <w:t xml:space="preserve">“</w:t>
        </w:r>
        <w:r>
          <w:rPr>
            <w:rStyle w:val="Hyperlink"/>
          </w:rPr>
          <w:t xml:space="preserve">Calculating basic climatic indices with data from easyclimate</w:t>
        </w:r>
        <w:r>
          <w:rPr>
            <w:rStyle w:val="Hyperlink"/>
          </w:rPr>
          <w:t xml:space="preserve">”</w:t>
        </w:r>
      </w:hyperlink>
      <w:r>
        <w:t xml:space="preserve"> </w:t>
      </w:r>
      <w:r>
        <w:t xml:space="preserve">vignette for other examples).</w:t>
      </w:r>
    </w:p>
    <w:p>
      <w:pPr>
        <w:pStyle w:val="SourceCode"/>
      </w:pPr>
      <w:r>
        <w:rPr>
          <w:rStyle w:val="NormalTok0"/>
        </w:rPr>
        <w:t xml:space="preserve">spring.months </w:t>
      </w:r>
      <w:r>
        <w:rPr>
          <w:rStyle w:val="OtherTok0"/>
        </w:rPr>
        <w:t xml:space="preserve">&lt;-</w:t>
      </w:r>
      <w:r>
        <w:rPr>
          <w:rStyle w:val="NormalTok0"/>
        </w:rPr>
        <w:t xml:space="preserve"> </w:t>
      </w:r>
      <w:r>
        <w:rPr>
          <w:rStyle w:val="FunctionTok0"/>
        </w:rPr>
        <w:t xml:space="preserve">c</w:t>
      </w:r>
      <w:r>
        <w:rPr>
          <w:rStyle w:val="NormalTok0"/>
        </w:rPr>
        <w:t xml:space="preserve">(</w:t>
      </w:r>
      <w:r>
        <w:rPr>
          <w:rStyle w:val="StringTok0"/>
        </w:rPr>
        <w:t xml:space="preserve">"03"</w:t>
      </w:r>
      <w:r>
        <w:rPr>
          <w:rStyle w:val="NormalTok0"/>
        </w:rPr>
        <w:t xml:space="preserve">,</w:t>
      </w:r>
      <w:r>
        <w:rPr>
          <w:rStyle w:val="StringTok0"/>
        </w:rPr>
        <w:t xml:space="preserve">"04"</w:t>
      </w:r>
      <w:r>
        <w:rPr>
          <w:rStyle w:val="NormalTok0"/>
        </w:rPr>
        <w:t xml:space="preserve">,</w:t>
      </w:r>
      <w:r>
        <w:rPr>
          <w:rStyle w:val="StringTok0"/>
        </w:rPr>
        <w:t xml:space="preserve">"05"</w:t>
      </w:r>
      <w:r>
        <w:rPr>
          <w:rStyle w:val="NormalTok0"/>
        </w:rPr>
        <w:t xml:space="preserve">) </w:t>
      </w:r>
      <w:r>
        <w:rPr>
          <w:rStyle w:val="CommentTok0"/>
        </w:rPr>
        <w:t xml:space="preserve"># March to May</w:t>
      </w:r>
      <w:r>
        <w:br/>
      </w:r>
      <w:r>
        <w:rPr>
          <w:rStyle w:val="NormalTok0"/>
        </w:rPr>
        <w:t xml:space="preserve"> </w:t>
      </w:r>
      <w:r>
        <w:br/>
      </w:r>
      <w:r>
        <w:rPr>
          <w:rStyle w:val="NormalTok0"/>
        </w:rPr>
        <w:t xml:space="preserve">springfrost_event </w:t>
      </w:r>
      <w:r>
        <w:rPr>
          <w:rStyle w:val="OtherTok0"/>
        </w:rPr>
        <w:t xml:space="preserve">&lt;-</w:t>
      </w:r>
      <w:r>
        <w:rPr>
          <w:rStyle w:val="NormalTok0"/>
        </w:rPr>
        <w:t xml:space="preserve"> daily </w:t>
      </w:r>
      <w:r>
        <w:rPr>
          <w:rStyle w:val="SpecialCharTok"/>
        </w:rPr>
        <w:t xml:space="preserve">%&gt;%</w:t>
      </w:r>
      <w:r>
        <w:rPr>
          <w:rStyle w:val="NormalTok0"/>
        </w:rPr>
        <w:t xml:space="preserve"> </w:t>
      </w:r>
      <w:r>
        <w:br/>
      </w:r>
      <w:r>
        <w:rPr>
          <w:rStyle w:val="NormalTok0"/>
        </w:rPr>
        <w:t xml:space="preserve">  </w:t>
      </w:r>
      <w:r>
        <w:rPr>
          <w:rStyle w:val="FunctionTok0"/>
        </w:rPr>
        <w:t xml:space="preserve">mutate</w:t>
      </w:r>
      <w:r>
        <w:rPr>
          <w:rStyle w:val="NormalTok0"/>
        </w:rPr>
        <w:t xml:space="preserve">(</w:t>
      </w:r>
      <w:r>
        <w:rPr>
          <w:rStyle w:val="AttributeTok"/>
        </w:rPr>
        <w:t xml:space="preserve">date =</w:t>
      </w:r>
      <w:r>
        <w:rPr>
          <w:rStyle w:val="NormalTok0"/>
        </w:rPr>
        <w:t xml:space="preserve"> </w:t>
      </w:r>
      <w:r>
        <w:rPr>
          <w:rStyle w:val="FunctionTok0"/>
        </w:rPr>
        <w:t xml:space="preserve">as.Date</w:t>
      </w:r>
      <w:r>
        <w:rPr>
          <w:rStyle w:val="NormalTok0"/>
        </w:rPr>
        <w:t xml:space="preserve">(date),</w:t>
      </w:r>
      <w:r>
        <w:br/>
      </w:r>
      <w:r>
        <w:rPr>
          <w:rStyle w:val="NormalTok0"/>
        </w:rPr>
        <w:t xml:space="preserve">         </w:t>
      </w:r>
      <w:r>
        <w:rPr>
          <w:rStyle w:val="AttributeTok"/>
        </w:rPr>
        <w:t xml:space="preserve">month =</w:t>
      </w:r>
      <w:r>
        <w:rPr>
          <w:rStyle w:val="NormalTok0"/>
        </w:rPr>
        <w:t xml:space="preserve"> </w:t>
      </w:r>
      <w:r>
        <w:rPr>
          <w:rStyle w:val="FunctionTok0"/>
        </w:rPr>
        <w:t xml:space="preserve">format</w:t>
      </w:r>
      <w:r>
        <w:rPr>
          <w:rStyle w:val="NormalTok0"/>
        </w:rPr>
        <w:t xml:space="preserve">(date, </w:t>
      </w:r>
      <w:r>
        <w:rPr>
          <w:rStyle w:val="AttributeTok"/>
        </w:rPr>
        <w:t xml:space="preserve">format =</w:t>
      </w:r>
      <w:r>
        <w:rPr>
          <w:rStyle w:val="NormalTok0"/>
        </w:rPr>
        <w:t xml:space="preserve"> </w:t>
      </w:r>
      <w:r>
        <w:rPr>
          <w:rStyle w:val="StringTok0"/>
        </w:rPr>
        <w:t xml:space="preserve">"%m"</w:t>
      </w:r>
      <w:r>
        <w:rPr>
          <w:rStyle w:val="NormalTok0"/>
        </w:rPr>
        <w:t xml:space="preserve">),</w:t>
      </w:r>
      <w:r>
        <w:br/>
      </w:r>
      <w:r>
        <w:rPr>
          <w:rStyle w:val="NormalTok0"/>
        </w:rPr>
        <w:t xml:space="preserve">         </w:t>
      </w:r>
      <w:r>
        <w:rPr>
          <w:rStyle w:val="AttributeTok"/>
        </w:rPr>
        <w:t xml:space="preserve">year =</w:t>
      </w:r>
      <w:r>
        <w:rPr>
          <w:rStyle w:val="NormalTok0"/>
        </w:rPr>
        <w:t xml:space="preserve"> </w:t>
      </w:r>
      <w:r>
        <w:rPr>
          <w:rStyle w:val="FunctionTok0"/>
        </w:rPr>
        <w:t xml:space="preserve">as.factor</w:t>
      </w:r>
      <w:r>
        <w:rPr>
          <w:rStyle w:val="NormalTok0"/>
        </w:rPr>
        <w:t xml:space="preserve">(</w:t>
      </w:r>
      <w:r>
        <w:rPr>
          <w:rStyle w:val="FunctionTok0"/>
        </w:rPr>
        <w:t xml:space="preserve">format</w:t>
      </w:r>
      <w:r>
        <w:rPr>
          <w:rStyle w:val="NormalTok0"/>
        </w:rPr>
        <w:t xml:space="preserve">(date, </w:t>
      </w:r>
      <w:r>
        <w:rPr>
          <w:rStyle w:val="AttributeTok"/>
        </w:rPr>
        <w:t xml:space="preserve">format =</w:t>
      </w:r>
      <w:r>
        <w:rPr>
          <w:rStyle w:val="NormalTok0"/>
        </w:rPr>
        <w:t xml:space="preserve"> </w:t>
      </w:r>
      <w:r>
        <w:rPr>
          <w:rStyle w:val="StringTok0"/>
        </w:rPr>
        <w:t xml:space="preserve">"%Y"</w:t>
      </w:r>
      <w:r>
        <w:rPr>
          <w:rStyle w:val="NormalTok0"/>
        </w:rPr>
        <w:t xml:space="preserve">))) </w:t>
      </w:r>
      <w:r>
        <w:rPr>
          <w:rStyle w:val="SpecialCharTok"/>
        </w:rPr>
        <w:t xml:space="preserve">%&gt;%</w:t>
      </w:r>
      <w:r>
        <w:rPr>
          <w:rStyle w:val="NormalTok0"/>
        </w:rPr>
        <w:t xml:space="preserve"> </w:t>
      </w:r>
      <w:r>
        <w:br/>
      </w:r>
      <w:r>
        <w:rPr>
          <w:rStyle w:val="NormalTok0"/>
        </w:rPr>
        <w:t xml:space="preserve">   </w:t>
      </w:r>
      <w:r>
        <w:rPr>
          <w:rStyle w:val="FunctionTok0"/>
        </w:rPr>
        <w:t xml:space="preserve">filter</w:t>
      </w:r>
      <w:r>
        <w:rPr>
          <w:rStyle w:val="NormalTok0"/>
        </w:rPr>
        <w:t xml:space="preserve">(month </w:t>
      </w:r>
      <w:r>
        <w:rPr>
          <w:rStyle w:val="SpecialCharTok"/>
        </w:rPr>
        <w:t xml:space="preserve">%in%</w:t>
      </w:r>
      <w:r>
        <w:rPr>
          <w:rStyle w:val="NormalTok0"/>
        </w:rPr>
        <w:t xml:space="preserve"> spring.months) </w:t>
      </w:r>
      <w:r>
        <w:rPr>
          <w:rStyle w:val="SpecialCharTok"/>
        </w:rPr>
        <w:t xml:space="preserve">%&gt;%</w:t>
      </w:r>
      <w:r>
        <w:rPr>
          <w:rStyle w:val="NormalTok0"/>
        </w:rPr>
        <w:t xml:space="preserve"> </w:t>
      </w:r>
      <w:r>
        <w:br/>
      </w:r>
      <w:r>
        <w:rPr>
          <w:rStyle w:val="NormalTok0"/>
        </w:rPr>
        <w:t xml:space="preserve">   </w:t>
      </w:r>
      <w:r>
        <w:rPr>
          <w:rStyle w:val="FunctionTok0"/>
        </w:rPr>
        <w:t xml:space="preserve">mutate</w:t>
      </w:r>
      <w:r>
        <w:rPr>
          <w:rStyle w:val="NormalTok0"/>
        </w:rPr>
        <w:t xml:space="preserve">(</w:t>
      </w:r>
      <w:r>
        <w:rPr>
          <w:rStyle w:val="AttributeTok"/>
        </w:rPr>
        <w:t xml:space="preserve">event =</w:t>
      </w:r>
      <w:r>
        <w:rPr>
          <w:rStyle w:val="NormalTok0"/>
        </w:rPr>
        <w:t xml:space="preserve"> </w:t>
      </w:r>
      <w:r>
        <w:rPr>
          <w:rStyle w:val="FunctionTok0"/>
        </w:rPr>
        <w:t xml:space="preserve">ifelse</w:t>
      </w:r>
      <w:r>
        <w:rPr>
          <w:rStyle w:val="NormalTok0"/>
        </w:rPr>
        <w:t xml:space="preserve">(Tmin </w:t>
      </w:r>
      <w:r>
        <w:rPr>
          <w:rStyle w:val="SpecialCharTok"/>
        </w:rPr>
        <w:t xml:space="preserve">&lt;</w:t>
      </w:r>
      <w:r>
        <w:rPr>
          <w:rStyle w:val="NormalTok0"/>
        </w:rPr>
        <w:t xml:space="preserve"> </w:t>
      </w:r>
      <w:r>
        <w:rPr>
          <w:rStyle w:val="DecValTok0"/>
        </w:rPr>
        <w:t xml:space="preserve">0</w:t>
      </w:r>
      <w:r>
        <w:rPr>
          <w:rStyle w:val="NormalTok0"/>
        </w:rPr>
        <w:t xml:space="preserve">, </w:t>
      </w:r>
      <w:r>
        <w:rPr>
          <w:rStyle w:val="DecValTok0"/>
        </w:rPr>
        <w:t xml:space="preserve">1</w:t>
      </w:r>
      <w:r>
        <w:rPr>
          <w:rStyle w:val="NormalTok0"/>
        </w:rPr>
        <w:t xml:space="preserve">, </w:t>
      </w:r>
      <w:r>
        <w:rPr>
          <w:rStyle w:val="DecValTok0"/>
        </w:rPr>
        <w:t xml:space="preserve">0</w:t>
      </w:r>
      <w:r>
        <w:rPr>
          <w:rStyle w:val="NormalTok0"/>
        </w:rPr>
        <w:t xml:space="preserve">)) </w:t>
      </w:r>
      <w:r>
        <w:br/>
      </w:r>
      <w:r>
        <w:rPr>
          <w:rStyle w:val="NormalTok0"/>
        </w:rPr>
        <w:t xml:space="preserve"> </w:t>
      </w:r>
      <w:r>
        <w:br/>
      </w:r>
      <w:r>
        <w:rPr>
          <w:rStyle w:val="NormalTok0"/>
        </w:rPr>
        <w:t xml:space="preserve">springfrost_peryear </w:t>
      </w:r>
      <w:r>
        <w:rPr>
          <w:rStyle w:val="OtherTok0"/>
        </w:rPr>
        <w:t xml:space="preserve">&lt;-</w:t>
      </w:r>
      <w:r>
        <w:rPr>
          <w:rStyle w:val="NormalTok0"/>
        </w:rPr>
        <w:t xml:space="preserve"> springfrost_event </w:t>
      </w:r>
      <w:r>
        <w:rPr>
          <w:rStyle w:val="SpecialCharTok"/>
        </w:rPr>
        <w:t xml:space="preserve">%&gt;%</w:t>
      </w:r>
      <w:r>
        <w:rPr>
          <w:rStyle w:val="NormalTok0"/>
        </w:rPr>
        <w:t xml:space="preserve"> </w:t>
      </w:r>
      <w:r>
        <w:br/>
      </w:r>
      <w:r>
        <w:rPr>
          <w:rStyle w:val="NormalTok0"/>
        </w:rPr>
        <w:t xml:space="preserve">   </w:t>
      </w:r>
      <w:r>
        <w:rPr>
          <w:rStyle w:val="FunctionTok0"/>
        </w:rPr>
        <w:t xml:space="preserve">group_by</w:t>
      </w:r>
      <w:r>
        <w:rPr>
          <w:rStyle w:val="NormalTok0"/>
        </w:rPr>
        <w:t xml:space="preserve">(year) </w:t>
      </w:r>
      <w:r>
        <w:rPr>
          <w:rStyle w:val="SpecialCharTok"/>
        </w:rPr>
        <w:t xml:space="preserve">%&gt;%</w:t>
      </w:r>
      <w:r>
        <w:rPr>
          <w:rStyle w:val="NormalTok0"/>
        </w:rPr>
        <w:t xml:space="preserve"> </w:t>
      </w:r>
      <w:r>
        <w:br/>
      </w:r>
      <w:r>
        <w:rPr>
          <w:rStyle w:val="NormalTok0"/>
        </w:rPr>
        <w:t xml:space="preserve">   </w:t>
      </w:r>
      <w:r>
        <w:rPr>
          <w:rStyle w:val="FunctionTok0"/>
        </w:rPr>
        <w:t xml:space="preserve">mutate</w:t>
      </w:r>
      <w:r>
        <w:rPr>
          <w:rStyle w:val="NormalTok0"/>
        </w:rPr>
        <w:t xml:space="preserve">(</w:t>
      </w:r>
      <w:r>
        <w:rPr>
          <w:rStyle w:val="AttributeTok"/>
        </w:rPr>
        <w:t xml:space="preserve">n.frost =</w:t>
      </w:r>
      <w:r>
        <w:rPr>
          <w:rStyle w:val="NormalTok0"/>
        </w:rPr>
        <w:t xml:space="preserve"> </w:t>
      </w:r>
      <w:r>
        <w:rPr>
          <w:rStyle w:val="FunctionTok0"/>
        </w:rPr>
        <w:t xml:space="preserve">sum</w:t>
      </w:r>
      <w:r>
        <w:rPr>
          <w:rStyle w:val="NormalTok0"/>
        </w:rPr>
        <w:t xml:space="preserve">(event)) </w:t>
      </w:r>
      <w:r>
        <w:br/>
      </w:r>
      <w:r>
        <w:rPr>
          <w:rStyle w:val="NormalTok0"/>
        </w:rPr>
        <w:t xml:space="preserve"> </w:t>
      </w:r>
      <w:r>
        <w:br/>
      </w:r>
      <w:r>
        <w:rPr>
          <w:rStyle w:val="NormalTok0"/>
        </w:rPr>
        <w:t xml:space="preserve">springfrost </w:t>
      </w:r>
      <w:r>
        <w:rPr>
          <w:rStyle w:val="OtherTok0"/>
        </w:rPr>
        <w:t xml:space="preserve">&lt;-</w:t>
      </w:r>
      <w:r>
        <w:rPr>
          <w:rStyle w:val="NormalTok0"/>
        </w:rPr>
        <w:t xml:space="preserve"> springfrost_peryear </w:t>
      </w:r>
      <w:r>
        <w:rPr>
          <w:rStyle w:val="SpecialCharTok"/>
        </w:rPr>
        <w:t xml:space="preserve">%&gt;%</w:t>
      </w:r>
      <w:r>
        <w:rPr>
          <w:rStyle w:val="NormalTok0"/>
        </w:rPr>
        <w:t xml:space="preserve"> </w:t>
      </w:r>
      <w:r>
        <w:br/>
      </w:r>
      <w:r>
        <w:rPr>
          <w:rStyle w:val="NormalTok0"/>
        </w:rPr>
        <w:t xml:space="preserve">   </w:t>
      </w:r>
      <w:r>
        <w:rPr>
          <w:rStyle w:val="FunctionTok0"/>
        </w:rPr>
        <w:t xml:space="preserve">filter</w:t>
      </w:r>
      <w:r>
        <w:rPr>
          <w:rStyle w:val="NormalTok0"/>
        </w:rPr>
        <w:t xml:space="preserve">(event </w:t>
      </w:r>
      <w:r>
        <w:rPr>
          <w:rStyle w:val="SpecialCharTok"/>
        </w:rPr>
        <w:t xml:space="preserve">==</w:t>
      </w:r>
      <w:r>
        <w:rPr>
          <w:rStyle w:val="NormalTok0"/>
        </w:rPr>
        <w:t xml:space="preserve"> </w:t>
      </w:r>
      <w:r>
        <w:rPr>
          <w:rStyle w:val="DecValTok0"/>
        </w:rPr>
        <w:t xml:space="preserve">1</w:t>
      </w:r>
      <w:r>
        <w:rPr>
          <w:rStyle w:val="NormalTok0"/>
        </w:rPr>
        <w:t xml:space="preserve">) </w:t>
      </w:r>
      <w:r>
        <w:rPr>
          <w:rStyle w:val="SpecialCharTok"/>
        </w:rPr>
        <w:t xml:space="preserve">%&gt;%</w:t>
      </w:r>
      <w:r>
        <w:rPr>
          <w:rStyle w:val="NormalTok0"/>
        </w:rPr>
        <w:t xml:space="preserve"> </w:t>
      </w:r>
      <w:r>
        <w:br/>
      </w:r>
      <w:r>
        <w:rPr>
          <w:rStyle w:val="NormalTok0"/>
        </w:rPr>
        <w:t xml:space="preserve">   </w:t>
      </w:r>
      <w:r>
        <w:rPr>
          <w:rStyle w:val="FunctionTok0"/>
        </w:rPr>
        <w:t xml:space="preserve">group_by</w:t>
      </w:r>
      <w:r>
        <w:rPr>
          <w:rStyle w:val="NormalTok0"/>
        </w:rPr>
        <w:t xml:space="preserve">(ID_coords, year, n.frost) </w:t>
      </w:r>
      <w:r>
        <w:rPr>
          <w:rStyle w:val="SpecialCharTok"/>
        </w:rPr>
        <w:t xml:space="preserve">%&gt;%</w:t>
      </w:r>
      <w:r>
        <w:rPr>
          <w:rStyle w:val="NormalTok0"/>
        </w:rPr>
        <w:t xml:space="preserve"> </w:t>
      </w:r>
      <w:r>
        <w:br/>
      </w:r>
      <w:r>
        <w:rPr>
          <w:rStyle w:val="NormalTok0"/>
        </w:rPr>
        <w:t xml:space="preserve">   </w:t>
      </w:r>
      <w:r>
        <w:rPr>
          <w:rStyle w:val="FunctionTok0"/>
        </w:rPr>
        <w:t xml:space="preserve">summarise</w:t>
      </w:r>
      <w:r>
        <w:rPr>
          <w:rStyle w:val="NormalTok0"/>
        </w:rPr>
        <w:t xml:space="preserve">(</w:t>
      </w:r>
      <w:r>
        <w:rPr>
          <w:rStyle w:val="AttributeTok"/>
        </w:rPr>
        <w:t xml:space="preserve">Tmin.frost.avg =</w:t>
      </w:r>
      <w:r>
        <w:rPr>
          <w:rStyle w:val="NormalTok0"/>
        </w:rPr>
        <w:t xml:space="preserve"> </w:t>
      </w:r>
      <w:r>
        <w:rPr>
          <w:rStyle w:val="FunctionTok0"/>
        </w:rPr>
        <w:t xml:space="preserve">mean</w:t>
      </w:r>
      <w:r>
        <w:rPr>
          <w:rStyle w:val="NormalTok0"/>
        </w:rPr>
        <w:t xml:space="preserve">(Tmin)) </w:t>
      </w:r>
    </w:p>
    <w:p>
      <w:pPr>
        <w:pStyle w:val="FirstParagraph"/>
      </w:pPr>
      <w:r>
        <w:t xml:space="preserve">By providing data with large temporal and spatial extent,</w:t>
      </w:r>
      <w:r>
        <w:t xml:space="preserve"> </w:t>
      </w:r>
      <w:r>
        <w:rPr>
          <w:iCs/>
          <w:i/>
        </w:rPr>
        <w:t xml:space="preserve">easyclimate</w:t>
      </w:r>
      <w:r>
        <w:t xml:space="preserve"> </w:t>
      </w:r>
      <w:r>
        <w:t xml:space="preserve">is a valuable tool with multiple applications in forestry, ecological and vegetation studies across Europe. For example, the harmonization and use of European forest inventories has been a priority for scientist and governments in the last decade (</w:t>
      </w:r>
      <w:hyperlink r:id="rId38">
        <w:r>
          <w:rPr>
            <w:rStyle w:val="Hyperlink"/>
          </w:rPr>
          <w:t xml:space="preserve">http://enfin.info</w:t>
        </w:r>
      </w:hyperlink>
      <w:r>
        <w:t xml:space="preserve">,</w:t>
      </w:r>
      <w:r>
        <w:t xml:space="preserve"> </w:t>
      </w:r>
      <w:hyperlink r:id="rId39">
        <w:r>
          <w:rPr>
            <w:rStyle w:val="Hyperlink"/>
          </w:rPr>
          <w:t xml:space="preserve">https://more.bham.ac.uk/treemort/datasets/</w:t>
        </w:r>
      </w:hyperlink>
      <w:r>
        <w:t xml:space="preserve">,</w:t>
      </w:r>
      <w:r>
        <w:t xml:space="preserve"> </w:t>
      </w:r>
      <w:hyperlink r:id="rId40">
        <w:r>
          <w:rPr>
            <w:rStyle w:val="Hyperlink"/>
          </w:rPr>
          <w:t xml:space="preserve">https://efi.int/knowledge/models/efiscen/inventory</w:t>
        </w:r>
      </w:hyperlink>
      <w:r>
        <w:t xml:space="preserve">,</w:t>
      </w:r>
      <w:r>
        <w:t xml:space="preserve"> </w:t>
      </w:r>
      <w:hyperlink r:id="rId41">
        <w:r>
          <w:rPr>
            <w:rStyle w:val="Hyperlink"/>
          </w:rPr>
          <w:t xml:space="preserve">http://project.fundiveurope.eu/</w:t>
        </w:r>
      </w:hyperlink>
      <w:r>
        <w:t xml:space="preserve">). Often these repeat inventories are at a spatial resolution of few kilometers</w:t>
      </w:r>
      <w:r>
        <w:t xml:space="preserve"> </w:t>
      </w:r>
      <w:r>
        <w:t xml:space="preserve">(Mauri et al. 2017)</w:t>
      </w:r>
      <w:r>
        <w:t xml:space="preserve">, making</w:t>
      </w:r>
      <w:r>
        <w:t xml:space="preserve"> </w:t>
      </w:r>
      <w:r>
        <w:rPr>
          <w:iCs/>
          <w:i/>
        </w:rPr>
        <w:t xml:space="preserve">easyclimate</w:t>
      </w:r>
      <w:r>
        <w:t xml:space="preserve"> </w:t>
      </w:r>
      <w:r>
        <w:t xml:space="preserve">a powerful tool at extracting climatic information that can be used to support a better understanding of the effect of climate on forest dynamics at large spatial extents.</w:t>
      </w:r>
    </w:p>
    <w:bookmarkEnd w:id="42"/>
    <w:bookmarkStart w:id="43" w:name="acknowledgements"/>
    <w:p>
      <w:pPr>
        <w:pStyle w:val="Heading1"/>
      </w:pPr>
      <w:r>
        <w:t xml:space="preserve">ACKNOWLEDGEMENTS</w:t>
      </w:r>
    </w:p>
    <w:p>
      <w:pPr>
        <w:pStyle w:val="FirstParagraph"/>
      </w:pPr>
      <w:r>
        <w:t xml:space="preserve">We acknowledge the support by the University of Natural Resources and Life Sciences, Vienna, Austria.</w:t>
      </w:r>
    </w:p>
    <w:bookmarkEnd w:id="43"/>
    <w:bookmarkStart w:id="44" w:name="author-contributions"/>
    <w:p>
      <w:pPr>
        <w:pStyle w:val="Heading1"/>
      </w:pPr>
      <w:r>
        <w:t xml:space="preserve">AUTHOR CONTRIBUTIONS</w:t>
      </w:r>
    </w:p>
    <w:p>
      <w:pPr>
        <w:pStyle w:val="FirstParagraph"/>
      </w:pPr>
      <w:r>
        <w:rPr>
          <w:bCs/>
          <w:b/>
        </w:rPr>
        <w:t xml:space="preserve">Conceptualization:</w:t>
      </w:r>
      <w:r>
        <w:t xml:space="preserve"> </w:t>
      </w:r>
      <w:r>
        <w:t xml:space="preserve">V.C.-A., P.R.-B., and F.R.-S.</w:t>
      </w:r>
      <w:r>
        <w:br/>
      </w:r>
      <w:r>
        <w:rPr>
          <w:bCs/>
          <w:b/>
        </w:rPr>
        <w:t xml:space="preserve">Data curation:</w:t>
      </w:r>
      <w:r>
        <w:t xml:space="preserve"> </w:t>
      </w:r>
      <w:r>
        <w:t xml:space="preserve">C.P. and M.N.</w:t>
      </w:r>
      <w:r>
        <w:br/>
      </w:r>
      <w:r>
        <w:rPr>
          <w:bCs/>
          <w:b/>
        </w:rPr>
        <w:t xml:space="preserve">Formal analysis:</w:t>
      </w:r>
      <w:r>
        <w:t xml:space="preserve"> </w:t>
      </w:r>
      <w:r>
        <w:t xml:space="preserve">V.C.-A. and F.R.-S.</w:t>
      </w:r>
      <w:r>
        <w:br/>
      </w:r>
      <w:r>
        <w:rPr>
          <w:bCs/>
          <w:b/>
        </w:rPr>
        <w:t xml:space="preserve">Funding acquisition:</w:t>
      </w:r>
      <w:r>
        <w:t xml:space="preserve"> </w:t>
      </w:r>
      <w:r>
        <w:t xml:space="preserve">M.N. and H.H.</w:t>
      </w:r>
      <w:r>
        <w:br/>
      </w:r>
      <w:r>
        <w:rPr>
          <w:bCs/>
          <w:b/>
        </w:rPr>
        <w:t xml:space="preserve">Investigation:</w:t>
      </w:r>
      <w:r>
        <w:t xml:space="preserve"> </w:t>
      </w:r>
      <w:r>
        <w:t xml:space="preserve">C.P. and M.N.</w:t>
      </w:r>
      <w:r>
        <w:br/>
      </w:r>
      <w:r>
        <w:rPr>
          <w:bCs/>
          <w:b/>
        </w:rPr>
        <w:t xml:space="preserve">Methodology:</w:t>
      </w:r>
      <w:r>
        <w:t xml:space="preserve"> </w:t>
      </w:r>
      <w:r>
        <w:t xml:space="preserve">V.C.-A., S.R., P.R.-B., J.A., and F.R.-S.</w:t>
      </w:r>
      <w:r>
        <w:br/>
      </w:r>
      <w:r>
        <w:rPr>
          <w:bCs/>
          <w:b/>
        </w:rPr>
        <w:t xml:space="preserve">Project administration:</w:t>
      </w:r>
      <w:r>
        <w:t xml:space="preserve"> </w:t>
      </w:r>
      <w:r>
        <w:t xml:space="preserve">V.C.-A.</w:t>
      </w:r>
      <w:r>
        <w:br/>
      </w:r>
      <w:r>
        <w:rPr>
          <w:bCs/>
          <w:b/>
        </w:rPr>
        <w:t xml:space="preserve">Resources:</w:t>
      </w:r>
      <w:r>
        <w:t xml:space="preserve"> </w:t>
      </w:r>
      <w:r>
        <w:t xml:space="preserve">C.P., M.N., and H.H.</w:t>
      </w:r>
      <w:r>
        <w:br/>
      </w:r>
      <w:r>
        <w:rPr>
          <w:bCs/>
          <w:b/>
        </w:rPr>
        <w:t xml:space="preserve">Software:</w:t>
      </w:r>
      <w:r>
        <w:t xml:space="preserve"> </w:t>
      </w:r>
      <w:r>
        <w:t xml:space="preserve">V.C.-A., S.R., and F.R.-S.</w:t>
      </w:r>
      <w:r>
        <w:br/>
      </w:r>
      <w:r>
        <w:rPr>
          <w:bCs/>
          <w:b/>
        </w:rPr>
        <w:t xml:space="preserve">Supervision:</w:t>
      </w:r>
      <w:r>
        <w:t xml:space="preserve"> </w:t>
      </w:r>
      <w:r>
        <w:t xml:space="preserve">V.C.-A., P.R.-B., and F.R.-S.</w:t>
      </w:r>
      <w:r>
        <w:br/>
      </w:r>
      <w:r>
        <w:rPr>
          <w:bCs/>
          <w:b/>
        </w:rPr>
        <w:t xml:space="preserve">Validation:</w:t>
      </w:r>
      <w:r>
        <w:t xml:space="preserve"> </w:t>
      </w:r>
      <w:r>
        <w:t xml:space="preserve">V.C.-A., P.R.-B., J.A., and F.R.-S.</w:t>
      </w:r>
      <w:r>
        <w:br/>
      </w:r>
      <w:r>
        <w:rPr>
          <w:bCs/>
          <w:b/>
        </w:rPr>
        <w:t xml:space="preserve">Visualization:</w:t>
      </w:r>
      <w:r>
        <w:t xml:space="preserve"> </w:t>
      </w:r>
      <w:r>
        <w:t xml:space="preserve">V.C.-A., P.R.-B., and J.A.</w:t>
      </w:r>
      <w:r>
        <w:br/>
      </w:r>
      <w:r>
        <w:rPr>
          <w:bCs/>
          <w:b/>
        </w:rPr>
        <w:t xml:space="preserve">Writing - original draft:</w:t>
      </w:r>
      <w:r>
        <w:t xml:space="preserve"> </w:t>
      </w:r>
      <w:r>
        <w:t xml:space="preserve">V.C.-A. and F.R.-S.</w:t>
      </w:r>
      <w:r>
        <w:br/>
      </w:r>
      <w:r>
        <w:rPr>
          <w:bCs/>
          <w:b/>
        </w:rPr>
        <w:t xml:space="preserve">Writing - review &amp; editing:</w:t>
      </w:r>
      <w:r>
        <w:t xml:space="preserve"> </w:t>
      </w:r>
      <w:r>
        <w:t xml:space="preserve">V.C.-A., C.P., S.R., P.R.-B., J.A., M.N., H.H., and F.R.-S.</w:t>
      </w:r>
    </w:p>
    <w:bookmarkEnd w:id="44"/>
    <w:bookmarkStart w:id="45" w:name="data-availability-statement"/>
    <w:p>
      <w:pPr>
        <w:pStyle w:val="Heading1"/>
      </w:pPr>
      <w:r>
        <w:t xml:space="preserve">DATA AVAILABILITY STATEMENT</w:t>
      </w:r>
    </w:p>
    <w:p>
      <w:pPr>
        <w:pStyle w:val="FirstParagraph"/>
      </w:pPr>
      <w:r>
        <w:t xml:space="preserve">The climate datasets are publicly available at</w:t>
      </w:r>
      <w:r>
        <w:t xml:space="preserve"> </w:t>
      </w:r>
      <w:hyperlink r:id="rId35">
        <w:r>
          <w:rPr>
            <w:rStyle w:val="Hyperlink"/>
          </w:rPr>
          <w:t xml:space="preserve">ftp://palantir.boku.ac.at/Public/ClimateData/</w:t>
        </w:r>
      </w:hyperlink>
      <w:r>
        <w:t xml:space="preserve">. The easyclimate R package is available on GitHub (</w:t>
      </w:r>
      <w:hyperlink r:id="rId23">
        <w:r>
          <w:rPr>
            <w:rStyle w:val="Hyperlink"/>
          </w:rPr>
          <w:t xml:space="preserve">https://github.com/VeruGHub/easyclimate</w:t>
        </w:r>
      </w:hyperlink>
      <w:r>
        <w:t xml:space="preserve">).</w:t>
      </w:r>
    </w:p>
    <w:bookmarkEnd w:id="45"/>
    <w:bookmarkStart w:id="76" w:name="references"/>
    <w:p>
      <w:pPr>
        <w:pStyle w:val="Heading1"/>
      </w:pPr>
      <w:r>
        <w:t xml:space="preserve">REFERENCES</w:t>
      </w:r>
    </w:p>
    <w:bookmarkStart w:id="75" w:name="refs"/>
    <w:bookmarkStart w:id="46" w:name="ref-Archambeau2020"/>
    <w:p>
      <w:pPr>
        <w:pStyle w:val="Bibliography"/>
      </w:pPr>
      <w:r>
        <w:t xml:space="preserve">Archambeau, J., Ruiz-Benito, P., Ratcliffe, S., Fréjaville, T., Changenet, A., Muñoz Castañeda, J.M., Lehtonen, A., Dahlgren, J., Zavala, M.A., &amp; Benito Garzón, M. 2020.</w:t>
      </w:r>
      <w:r>
        <w:t xml:space="preserve"> </w:t>
      </w:r>
      <w:r>
        <w:t xml:space="preserve">Similar patterns of background mortality across Europe are mostly driven by drought in European beech and a combination of drought and competition in Scots pine</w:t>
      </w:r>
      <w:r>
        <w:t xml:space="preserve">.</w:t>
      </w:r>
      <w:r>
        <w:t xml:space="preserve"> </w:t>
      </w:r>
      <w:r>
        <w:rPr>
          <w:iCs/>
          <w:i/>
        </w:rPr>
        <w:t xml:space="preserve">Agricultural and Forest Meteorology</w:t>
      </w:r>
      <w:r>
        <w:t xml:space="preserve"> </w:t>
      </w:r>
      <w:r>
        <w:t xml:space="preserve">280: 107772.</w:t>
      </w:r>
    </w:p>
    <w:bookmarkEnd w:id="46"/>
    <w:bookmarkStart w:id="47" w:name="ref-spei"/>
    <w:p>
      <w:pPr>
        <w:pStyle w:val="Bibliography"/>
      </w:pPr>
      <w:r>
        <w:t xml:space="preserve">Beguería, S., &amp; Vicente-Serrano, S.M. 2017.</w:t>
      </w:r>
      <w:r>
        <w:t xml:space="preserve"> </w:t>
      </w:r>
      <w:r>
        <w:rPr>
          <w:iCs/>
          <w:i/>
        </w:rPr>
        <w:t xml:space="preserve">SPEI: Calculation of the standardised precipitation-evapotranspiration index</w:t>
      </w:r>
      <w:r>
        <w:t xml:space="preserve">.</w:t>
      </w:r>
    </w:p>
    <w:bookmarkEnd w:id="47"/>
    <w:bookmarkStart w:id="48" w:name="ref-cornes_ensemble_2018"/>
    <w:p>
      <w:pPr>
        <w:pStyle w:val="Bibliography"/>
      </w:pPr>
      <w:r>
        <w:t xml:space="preserve">Cornes, R.C., Schrier, G. van der, Besselaar, E.J.M. van den, &amp; Jones, P.D. 2018. An</w:t>
      </w:r>
      <w:r>
        <w:t xml:space="preserve"> </w:t>
      </w:r>
      <w:r>
        <w:t xml:space="preserve">Ensemble</w:t>
      </w:r>
      <w:r>
        <w:t xml:space="preserve"> </w:t>
      </w:r>
      <w:r>
        <w:t xml:space="preserve">Version</w:t>
      </w:r>
      <w:r>
        <w:t xml:space="preserve"> </w:t>
      </w:r>
      <w:r>
        <w:t xml:space="preserve">of the</w:t>
      </w:r>
      <w:r>
        <w:t xml:space="preserve"> </w:t>
      </w:r>
      <w:r>
        <w:t xml:space="preserve">E</w:t>
      </w:r>
      <w:r>
        <w:t xml:space="preserve">-</w:t>
      </w:r>
      <w:r>
        <w:t xml:space="preserve">OBS</w:t>
      </w:r>
      <w:r>
        <w:t xml:space="preserve"> </w:t>
      </w:r>
      <w:r>
        <w:t xml:space="preserve">Temperature</w:t>
      </w:r>
      <w:r>
        <w:t xml:space="preserve"> </w:t>
      </w:r>
      <w:r>
        <w:t xml:space="preserve">and</w:t>
      </w:r>
      <w:r>
        <w:t xml:space="preserve"> </w:t>
      </w:r>
      <w:r>
        <w:t xml:space="preserve">Precipitation</w:t>
      </w:r>
      <w:r>
        <w:t xml:space="preserve"> </w:t>
      </w:r>
      <w:r>
        <w:t xml:space="preserve">Data</w:t>
      </w:r>
      <w:r>
        <w:t xml:space="preserve"> </w:t>
      </w:r>
      <w:r>
        <w:t xml:space="preserve">Sets</w:t>
      </w:r>
      <w:r>
        <w:t xml:space="preserve">.</w:t>
      </w:r>
      <w:r>
        <w:t xml:space="preserve"> </w:t>
      </w:r>
      <w:r>
        <w:rPr>
          <w:iCs/>
          <w:i/>
        </w:rPr>
        <w:t xml:space="preserve">Journal of Geophysical Research: Atmospheres</w:t>
      </w:r>
      <w:r>
        <w:t xml:space="preserve"> </w:t>
      </w:r>
      <w:r>
        <w:t xml:space="preserve">123: 9391–9409.</w:t>
      </w:r>
    </w:p>
    <w:bookmarkEnd w:id="48"/>
    <w:bookmarkStart w:id="49" w:name="ref-easyclimatepkg"/>
    <w:p>
      <w:pPr>
        <w:pStyle w:val="Bibliography"/>
      </w:pPr>
      <w:r>
        <w:t xml:space="preserve">Cruz-Alonso, V., Rodríguez-Sánchez, F., Pucher, C., Ruiz-Benito, P., Astigarraga, J., Neumann, M., &amp; Ratcliffe, S. 2021.</w:t>
      </w:r>
      <w:r>
        <w:t xml:space="preserve"> </w:t>
      </w:r>
      <w:r>
        <w:rPr>
          <w:iCs/>
          <w:i/>
        </w:rPr>
        <w:t xml:space="preserve">Easyclimate: Easy access to high-resolution daily climate data for europe</w:t>
      </w:r>
      <w:r>
        <w:t xml:space="preserve">.</w:t>
      </w:r>
    </w:p>
    <w:bookmarkEnd w:id="49"/>
    <w:bookmarkStart w:id="50" w:name="ref-CruzAlonso2020"/>
    <w:p>
      <w:pPr>
        <w:pStyle w:val="Bibliography"/>
      </w:pPr>
      <w:r>
        <w:t xml:space="preserve">Cruz‐Alonso, V., Villar‐Salvador, P., Ruiz‐Benito, P., Ibáñez, I., &amp; Rey‐Benayas, J.M. 2020.</w:t>
      </w:r>
      <w:r>
        <w:t xml:space="preserve"> </w:t>
      </w:r>
      <w:r>
        <w:t xml:space="preserve">Long‐term dynamics of shrub facilitation shape the mixing of evergreen and deciduous oaks in Mediterranean abandoned fields</w:t>
      </w:r>
      <w:r>
        <w:t xml:space="preserve"> </w:t>
      </w:r>
      <w:r>
        <w:t xml:space="preserve">(C. García, Ed.).</w:t>
      </w:r>
      <w:r>
        <w:t xml:space="preserve"> </w:t>
      </w:r>
      <w:r>
        <w:rPr>
          <w:iCs/>
          <w:i/>
        </w:rPr>
        <w:t xml:space="preserve">Journal of Ecology</w:t>
      </w:r>
      <w:r>
        <w:t xml:space="preserve"> </w:t>
      </w:r>
      <w:r>
        <w:t xml:space="preserve">108: 1125–1137.</w:t>
      </w:r>
    </w:p>
    <w:bookmarkEnd w:id="50"/>
    <w:bookmarkStart w:id="51" w:name="ref-fick_worldclim_2017"/>
    <w:p>
      <w:pPr>
        <w:pStyle w:val="Bibliography"/>
      </w:pPr>
      <w:r>
        <w:t xml:space="preserve">Fick, S.E., &amp; Hijmans, R.J. 2017.</w:t>
      </w:r>
      <w:r>
        <w:t xml:space="preserve"> </w:t>
      </w:r>
      <w:r>
        <w:t xml:space="preserve">WorldClim</w:t>
      </w:r>
      <w:r>
        <w:t xml:space="preserve"> </w:t>
      </w:r>
      <w:r>
        <w:t xml:space="preserve">2: New 1‐km spatial resolution climate surfaces for global land areas.</w:t>
      </w:r>
      <w:r>
        <w:t xml:space="preserve"> </w:t>
      </w:r>
      <w:r>
        <w:rPr>
          <w:iCs/>
          <w:i/>
        </w:rPr>
        <w:t xml:space="preserve">International Journal of Climatology</w:t>
      </w:r>
      <w:r>
        <w:t xml:space="preserve"> </w:t>
      </w:r>
      <w:r>
        <w:t xml:space="preserve">37: 4302–4315.</w:t>
      </w:r>
    </w:p>
    <w:bookmarkEnd w:id="51"/>
    <w:bookmarkStart w:id="52" w:name="ref-George2021"/>
    <w:p>
      <w:pPr>
        <w:pStyle w:val="Bibliography"/>
      </w:pPr>
      <w:r>
        <w:t xml:space="preserve">George, J.-P., Neumann, M., Vogt, J., Cammalleri, C., &amp; Lang, M. 2021.</w:t>
      </w:r>
      <w:r>
        <w:t xml:space="preserve"> </w:t>
      </w:r>
      <w:r>
        <w:t xml:space="preserve">Assessing effects of drought on tree mortality and productivity in European forests across two decades: a conceptual framework and preliminary results</w:t>
      </w:r>
      <w:r>
        <w:t xml:space="preserve">.</w:t>
      </w:r>
      <w:r>
        <w:t xml:space="preserve"> </w:t>
      </w:r>
      <w:r>
        <w:rPr>
          <w:iCs/>
          <w:i/>
        </w:rPr>
        <w:t xml:space="preserve">IOP Conference Series: Earth and Environmental Science</w:t>
      </w:r>
      <w:r>
        <w:t xml:space="preserve"> </w:t>
      </w:r>
      <w:r>
        <w:t xml:space="preserve">932: 012009.</w:t>
      </w:r>
    </w:p>
    <w:bookmarkEnd w:id="52"/>
    <w:bookmarkStart w:id="53" w:name="ref-Hasenauer2003"/>
    <w:p>
      <w:pPr>
        <w:pStyle w:val="Bibliography"/>
      </w:pPr>
      <w:r>
        <w:t xml:space="preserve">Hasenauer, H., Merganicova, K., Petritsch, R., Pietsch, S.A., &amp; Thornton, P.E. 2003.</w:t>
      </w:r>
      <w:r>
        <w:t xml:space="preserve"> </w:t>
      </w:r>
      <w:r>
        <w:t xml:space="preserve">Validating daily climate interpolations over complex terrain in Austria</w:t>
      </w:r>
      <w:r>
        <w:t xml:space="preserve">.</w:t>
      </w:r>
      <w:r>
        <w:t xml:space="preserve"> </w:t>
      </w:r>
      <w:r>
        <w:rPr>
          <w:iCs/>
          <w:i/>
        </w:rPr>
        <w:t xml:space="preserve">Agricultural and Forest Meteorology</w:t>
      </w:r>
      <w:r>
        <w:t xml:space="preserve"> </w:t>
      </w:r>
      <w:r>
        <w:t xml:space="preserve">119: 87–107.</w:t>
      </w:r>
    </w:p>
    <w:bookmarkEnd w:id="53"/>
    <w:bookmarkStart w:id="54" w:name="ref-terra"/>
    <w:p>
      <w:pPr>
        <w:pStyle w:val="Bibliography"/>
      </w:pPr>
      <w:r>
        <w:t xml:space="preserve">Hijmans, R.J. 2021.</w:t>
      </w:r>
      <w:r>
        <w:t xml:space="preserve"> </w:t>
      </w:r>
      <w:r>
        <w:rPr>
          <w:iCs/>
          <w:i/>
        </w:rPr>
        <w:t xml:space="preserve">Terra: Spatial data analysis</w:t>
      </w:r>
      <w:r>
        <w:t xml:space="preserve">.</w:t>
      </w:r>
    </w:p>
    <w:bookmarkEnd w:id="54"/>
    <w:bookmarkStart w:id="55" w:name="ref-Hilty2015"/>
    <w:p>
      <w:pPr>
        <w:pStyle w:val="Bibliography"/>
      </w:pPr>
      <w:r>
        <w:t xml:space="preserve">Hilty, L.M., &amp; Aebischer, B. (Eds.). 2015.</w:t>
      </w:r>
      <w:r>
        <w:t xml:space="preserve"> </w:t>
      </w:r>
      <w:r>
        <w:rPr>
          <w:iCs/>
          <w:i/>
        </w:rPr>
        <w:t xml:space="preserve">ICT Innovations for Sustainability. Advances in intelligent systems and computing.</w:t>
      </w:r>
      <w:r>
        <w:t xml:space="preserve"> Springer International Publishing, Cham.</w:t>
      </w:r>
    </w:p>
    <w:bookmarkEnd w:id="55"/>
    <w:bookmarkStart w:id="56" w:name="ref-Hischier2015"/>
    <w:p>
      <w:pPr>
        <w:pStyle w:val="Bibliography"/>
      </w:pPr>
      <w:r>
        <w:t xml:space="preserve">Hischier, R., Coroama, V.C., Schien, D., &amp; Ahmadi Achachlouei, M. 2015.</w:t>
      </w:r>
      <w:r>
        <w:t xml:space="preserve"> </w:t>
      </w:r>
      <w:r>
        <w:t xml:space="preserve">Grey Energy and Environmental Impacts of ICT Hardware</w:t>
      </w:r>
      <w:r>
        <w:t xml:space="preserve">. In Hilty, L.M. &amp; Aebischer, B. (eds.), pp. 171–189. Springer International Publishing, Cham.</w:t>
      </w:r>
    </w:p>
    <w:bookmarkEnd w:id="56"/>
    <w:bookmarkStart w:id="57" w:name="ref-Hlasny2017"/>
    <w:p>
      <w:pPr>
        <w:pStyle w:val="Bibliography"/>
      </w:pPr>
      <w:r>
        <w:t xml:space="preserve">Hlásny, T., Trombik, J., Bošeľa, M., Merganič, J., Marušák, R., Šebeň, V., Štěpánek, P., Kubišta, J., &amp; Trnka, M. 2017.</w:t>
      </w:r>
      <w:r>
        <w:t xml:space="preserve"> </w:t>
      </w:r>
      <w:r>
        <w:t xml:space="preserve">Climatic drivers of forest productivity in Central Europe</w:t>
      </w:r>
      <w:r>
        <w:t xml:space="preserve">.</w:t>
      </w:r>
      <w:r>
        <w:t xml:space="preserve"> </w:t>
      </w:r>
      <w:r>
        <w:rPr>
          <w:iCs/>
          <w:i/>
        </w:rPr>
        <w:t xml:space="preserve">Agricultural and Forest Meteorology</w:t>
      </w:r>
      <w:r>
        <w:t xml:space="preserve"> </w:t>
      </w:r>
      <w:r>
        <w:t xml:space="preserve">234-235: 258–273.</w:t>
      </w:r>
    </w:p>
    <w:bookmarkEnd w:id="57"/>
    <w:bookmarkStart w:id="58" w:name="ref-Kunstler2021"/>
    <w:p>
      <w:pPr>
        <w:pStyle w:val="Bibliography"/>
      </w:pPr>
      <w:r>
        <w:t xml:space="preserve">Kunstler, G., Guyennon, A., Ratcliffe, S., Rüger, N., Ruiz‐Benito, P., Childs, D.Z., Dahlgren, J., Lehtonen, A., Thuiller, W., Wirth, C., Zavala, M.A., &amp; Salguero‐Gomez, R. 2021.</w:t>
      </w:r>
      <w:r>
        <w:t xml:space="preserve"> </w:t>
      </w:r>
      <w:r>
        <w:t xml:space="preserve">Demographic performance of European tree species at their hot and cold climatic edges</w:t>
      </w:r>
      <w:r>
        <w:t xml:space="preserve"> </w:t>
      </w:r>
      <w:r>
        <w:t xml:space="preserve">(B. Leys, Ed.).</w:t>
      </w:r>
      <w:r>
        <w:t xml:space="preserve"> </w:t>
      </w:r>
      <w:r>
        <w:rPr>
          <w:iCs/>
          <w:i/>
        </w:rPr>
        <w:t xml:space="preserve">Journal of Ecology</w:t>
      </w:r>
      <w:r>
        <w:t xml:space="preserve"> </w:t>
      </w:r>
      <w:r>
        <w:t xml:space="preserve">109: 1041–1054.</w:t>
      </w:r>
    </w:p>
    <w:bookmarkEnd w:id="58"/>
    <w:bookmarkStart w:id="59" w:name="ref-Mauri2017"/>
    <w:p>
      <w:pPr>
        <w:pStyle w:val="Bibliography"/>
      </w:pPr>
      <w:r>
        <w:t xml:space="preserve">Mauri, A., Strona, G., &amp; San-Miguel-Ayanz, J. 2017.</w:t>
      </w:r>
      <w:r>
        <w:t xml:space="preserve"> </w:t>
      </w:r>
      <w:r>
        <w:t xml:space="preserve">EU-Forest, a high-resolution tree occurrence dataset for Europe</w:t>
      </w:r>
      <w:r>
        <w:t xml:space="preserve">.</w:t>
      </w:r>
      <w:r>
        <w:t xml:space="preserve"> </w:t>
      </w:r>
      <w:r>
        <w:rPr>
          <w:iCs/>
          <w:i/>
        </w:rPr>
        <w:t xml:space="preserve">Scientific Data</w:t>
      </w:r>
      <w:r>
        <w:t xml:space="preserve"> </w:t>
      </w:r>
      <w:r>
        <w:t xml:space="preserve">4: 160123.</w:t>
      </w:r>
    </w:p>
    <w:bookmarkEnd w:id="59"/>
    <w:bookmarkStart w:id="60" w:name="ref-MicicPonjiger2021"/>
    <w:p>
      <w:pPr>
        <w:pStyle w:val="Bibliography"/>
      </w:pPr>
      <w:r>
        <w:t xml:space="preserve">Micić Ponjiger, T., Lukić, T., Basarin, B., Jokić, M., Wilby, R.L., Pavić, D., Mesaroš, M., Valjarević, A., Milanović, M.M., &amp; Morar, C. 2021.</w:t>
      </w:r>
      <w:r>
        <w:t xml:space="preserve"> </w:t>
      </w:r>
      <w:r>
        <w:t xml:space="preserve">Detailed Analysis of Spatial–Temporal Variability of Rainfall Erosivity and Erosivity Density in the Central and Southern Pannonian Basin</w:t>
      </w:r>
      <w:r>
        <w:t xml:space="preserve">.</w:t>
      </w:r>
      <w:r>
        <w:t xml:space="preserve"> </w:t>
      </w:r>
      <w:r>
        <w:rPr>
          <w:iCs/>
          <w:i/>
        </w:rPr>
        <w:t xml:space="preserve">Sustainability</w:t>
      </w:r>
      <w:r>
        <w:t xml:space="preserve"> </w:t>
      </w:r>
      <w:r>
        <w:t xml:space="preserve">13: 13355.</w:t>
      </w:r>
    </w:p>
    <w:bookmarkEnd w:id="60"/>
    <w:bookmarkStart w:id="61" w:name="ref-moreno2016spatial"/>
    <w:p>
      <w:pPr>
        <w:pStyle w:val="Bibliography"/>
      </w:pPr>
      <w:r>
        <w:t xml:space="preserve">Moreno, A., &amp; Hasenauer, H. 2016. Spatial downscaling of european climate data.</w:t>
      </w:r>
      <w:r>
        <w:t xml:space="preserve"> </w:t>
      </w:r>
      <w:r>
        <w:rPr>
          <w:iCs/>
          <w:i/>
        </w:rPr>
        <w:t xml:space="preserve">International Journal of Climatology</w:t>
      </w:r>
      <w:r>
        <w:t xml:space="preserve"> </w:t>
      </w:r>
      <w:r>
        <w:t xml:space="preserve">36: 1444–1458.</w:t>
      </w:r>
    </w:p>
    <w:bookmarkEnd w:id="61"/>
    <w:bookmarkStart w:id="62" w:name="ref-Moreno2018"/>
    <w:p>
      <w:pPr>
        <w:pStyle w:val="Bibliography"/>
      </w:pPr>
      <w:r>
        <w:t xml:space="preserve">Moreno, A., Neumann, M., &amp; Hasenauer, H. 2018.</w:t>
      </w:r>
      <w:r>
        <w:t xml:space="preserve"> </w:t>
      </w:r>
      <w:r>
        <w:t xml:space="preserve">Climate limits on European forest structure across space and time</w:t>
      </w:r>
      <w:r>
        <w:t xml:space="preserve">.</w:t>
      </w:r>
      <w:r>
        <w:t xml:space="preserve"> </w:t>
      </w:r>
      <w:r>
        <w:rPr>
          <w:iCs/>
          <w:i/>
        </w:rPr>
        <w:t xml:space="preserve">Global and Planetary Change</w:t>
      </w:r>
      <w:r>
        <w:t xml:space="preserve"> </w:t>
      </w:r>
      <w:r>
        <w:t xml:space="preserve">169: 168–178.</w:t>
      </w:r>
    </w:p>
    <w:bookmarkEnd w:id="62"/>
    <w:bookmarkStart w:id="63" w:name="ref-Mosier2014"/>
    <w:p>
      <w:pPr>
        <w:pStyle w:val="Bibliography"/>
      </w:pPr>
      <w:r>
        <w:t xml:space="preserve">Mosier, T.M., Hill, D.F., &amp; Sharp, K.V. 2014.</w:t>
      </w:r>
      <w:r>
        <w:t xml:space="preserve"> </w:t>
      </w:r>
      <w:r>
        <w:t xml:space="preserve">30-Arcsecond monthly climate surfaces with global land coverage</w:t>
      </w:r>
      <w:r>
        <w:t xml:space="preserve">.</w:t>
      </w:r>
      <w:r>
        <w:t xml:space="preserve"> </w:t>
      </w:r>
      <w:r>
        <w:rPr>
          <w:iCs/>
          <w:i/>
        </w:rPr>
        <w:t xml:space="preserve">International Journal of Climatology</w:t>
      </w:r>
      <w:r>
        <w:t xml:space="preserve"> </w:t>
      </w:r>
      <w:r>
        <w:t xml:space="preserve">34: 2175–2188.</w:t>
      </w:r>
    </w:p>
    <w:bookmarkEnd w:id="63"/>
    <w:bookmarkStart w:id="64" w:name="ref-Neumann2016"/>
    <w:p>
      <w:pPr>
        <w:pStyle w:val="Bibliography"/>
      </w:pPr>
      <w:r>
        <w:t xml:space="preserve">Neumann, M., Moreno, A., Thurnher, C., Mues, V., Härkönen, S., Mura, M., Bouriaud, O., Lang, M., Cardellini, G., Thivolle-Cazat, A., Bronisz, K., Merganic, J., Alberdi, I., Astrup, R., Mohren, F., Zhao, M., &amp; Hasenauer, H. 2016.</w:t>
      </w:r>
      <w:r>
        <w:t xml:space="preserve"> </w:t>
      </w:r>
      <w:r>
        <w:t xml:space="preserve">Creating a Regional MODIS Satellite-Driven Net Primary Production Dataset for European Forests</w:t>
      </w:r>
      <w:r>
        <w:t xml:space="preserve">.</w:t>
      </w:r>
      <w:r>
        <w:t xml:space="preserve"> </w:t>
      </w:r>
      <w:r>
        <w:rPr>
          <w:iCs/>
          <w:i/>
        </w:rPr>
        <w:t xml:space="preserve">Remote Sensing</w:t>
      </w:r>
      <w:r>
        <w:t xml:space="preserve"> </w:t>
      </w:r>
      <w:r>
        <w:t xml:space="preserve">8: 554.</w:t>
      </w:r>
    </w:p>
    <w:bookmarkEnd w:id="64"/>
    <w:bookmarkStart w:id="65" w:name="ref-Neumann2017"/>
    <w:p>
      <w:pPr>
        <w:pStyle w:val="Bibliography"/>
      </w:pPr>
      <w:r>
        <w:t xml:space="preserve">Neumann, M., Mues, V., Moreno, A., Hasenauer, H., &amp; Seidl, R. 2017.</w:t>
      </w:r>
      <w:r>
        <w:t xml:space="preserve"> </w:t>
      </w:r>
      <w:r>
        <w:t xml:space="preserve">Climate variability drives recent tree mortality in Europe</w:t>
      </w:r>
      <w:r>
        <w:t xml:space="preserve">.</w:t>
      </w:r>
      <w:r>
        <w:t xml:space="preserve"> </w:t>
      </w:r>
      <w:r>
        <w:rPr>
          <w:iCs/>
          <w:i/>
        </w:rPr>
        <w:t xml:space="preserve">Global Change Biology</w:t>
      </w:r>
      <w:r>
        <w:t xml:space="preserve"> </w:t>
      </w:r>
      <w:r>
        <w:t xml:space="preserve">23: 4788–4797.</w:t>
      </w:r>
    </w:p>
    <w:bookmarkEnd w:id="65"/>
    <w:bookmarkStart w:id="66" w:name="ref-Pietsch2006"/>
    <w:p>
      <w:pPr>
        <w:pStyle w:val="Bibliography"/>
      </w:pPr>
      <w:r>
        <w:t xml:space="preserve">Pietsch, S.A., &amp; Hasenauer, H. 2006.</w:t>
      </w:r>
      <w:r>
        <w:t xml:space="preserve"> </w:t>
      </w:r>
      <w:r>
        <w:t xml:space="preserve">Evaluating the self-initialization procedure for large-scale ecosystem models</w:t>
      </w:r>
      <w:r>
        <w:t xml:space="preserve">.</w:t>
      </w:r>
      <w:r>
        <w:t xml:space="preserve"> </w:t>
      </w:r>
      <w:r>
        <w:rPr>
          <w:iCs/>
          <w:i/>
        </w:rPr>
        <w:t xml:space="preserve">Global Change Biology</w:t>
      </w:r>
      <w:r>
        <w:t xml:space="preserve"> </w:t>
      </w:r>
      <w:r>
        <w:t xml:space="preserve">12: 1658–1669.</w:t>
      </w:r>
    </w:p>
    <w:bookmarkEnd w:id="66"/>
    <w:bookmarkStart w:id="67" w:name="ref-Pucher2022"/>
    <w:p>
      <w:pPr>
        <w:pStyle w:val="Bibliography"/>
      </w:pPr>
      <w:r>
        <w:t xml:space="preserve">Pucher, C., &amp; Neumann, M. 2022.</w:t>
      </w:r>
      <w:r>
        <w:t xml:space="preserve"> </w:t>
      </w:r>
      <w:r>
        <w:rPr>
          <w:iCs/>
          <w:i/>
        </w:rPr>
        <w:t xml:space="preserve">Description and Evaluation of Downscaled Daily Climate Data Version 3. figshare. Online resource.</w:t>
      </w:r>
    </w:p>
    <w:bookmarkEnd w:id="67"/>
    <w:bookmarkStart w:id="68" w:name="ref-R_Core_Team_2021"/>
    <w:p>
      <w:pPr>
        <w:pStyle w:val="Bibliography"/>
      </w:pPr>
      <w:r>
        <w:t xml:space="preserve">R Core Team. 2021.</w:t>
      </w:r>
      <w:r>
        <w:t xml:space="preserve"> </w:t>
      </w:r>
      <w:r>
        <w:rPr>
          <w:iCs/>
          <w:i/>
        </w:rPr>
        <w:t xml:space="preserve">R: A language and environment for statistical computing</w:t>
      </w:r>
      <w:r>
        <w:t xml:space="preserve">. R Foundation for Statistical Computing, Vienna, Austria.</w:t>
      </w:r>
    </w:p>
    <w:bookmarkEnd w:id="68"/>
    <w:bookmarkStart w:id="69" w:name="ref-Rammer2022"/>
    <w:p>
      <w:pPr>
        <w:pStyle w:val="Bibliography"/>
      </w:pPr>
      <w:r>
        <w:t xml:space="preserve">Rammer, W., Pucher, C., &amp; Neumann, M. 2022.</w:t>
      </w:r>
      <w:r>
        <w:t xml:space="preserve"> </w:t>
      </w:r>
      <w:r>
        <w:rPr>
          <w:iCs/>
          <w:i/>
        </w:rPr>
        <w:t xml:space="preserve">Description, Evaluation and Validation of Downscaled Daily Climate Data Version 2. figshare. Online resource.</w:t>
      </w:r>
    </w:p>
    <w:bookmarkEnd w:id="69"/>
    <w:bookmarkStart w:id="70" w:name="ref-climind"/>
    <w:p>
      <w:pPr>
        <w:pStyle w:val="Bibliography"/>
      </w:pPr>
      <w:r>
        <w:t xml:space="preserve">Reig-Gracia, F., Vicente-Serrano, S.M., Dominguez-Castro, F., &amp; Bedia-Jiménez, J. 2021.</w:t>
      </w:r>
      <w:r>
        <w:t xml:space="preserve"> </w:t>
      </w:r>
      <w:r>
        <w:rPr>
          <w:iCs/>
          <w:i/>
        </w:rPr>
        <w:t xml:space="preserve">ClimInd: Climate indices</w:t>
      </w:r>
      <w:r>
        <w:t xml:space="preserve">.</w:t>
      </w:r>
    </w:p>
    <w:bookmarkEnd w:id="70"/>
    <w:bookmarkStart w:id="71" w:name="ref-Ruiz-Benito2020"/>
    <w:p>
      <w:pPr>
        <w:pStyle w:val="Bibliography"/>
      </w:pPr>
      <w:r>
        <w:t xml:space="preserve">Ruiz-Benito, P., Vacchiano, G., Lines, E.R., Reyer, C.P.O., Ratcliffe, S., Morin, X., Hartig, F., Mäkelä, A., Yousefpour, R., Chaves, J.E., Palacios-Orueta, A., Benito-Garzón, M., Morales-Molino, C., Camarero, J.J., Jump, A.S., Kattge, J., Lehtonen, A., Ibrom, A., Owen, H.J.F., &amp; Zavala, M.A. 2020.</w:t>
      </w:r>
      <w:r>
        <w:t xml:space="preserve"> </w:t>
      </w:r>
      <w:r>
        <w:t xml:space="preserve">Available and missing data to model impact of climate change on European forests</w:t>
      </w:r>
      <w:r>
        <w:t xml:space="preserve">.</w:t>
      </w:r>
      <w:r>
        <w:t xml:space="preserve"> </w:t>
      </w:r>
      <w:r>
        <w:rPr>
          <w:iCs/>
          <w:i/>
        </w:rPr>
        <w:t xml:space="preserve">Ecological Modelling</w:t>
      </w:r>
      <w:r>
        <w:t xml:space="preserve"> </w:t>
      </w:r>
      <w:r>
        <w:t xml:space="preserve">416: 108870.</w:t>
      </w:r>
    </w:p>
    <w:bookmarkEnd w:id="71"/>
    <w:bookmarkStart w:id="72" w:name="ref-Thornton2021"/>
    <w:p>
      <w:pPr>
        <w:pStyle w:val="Bibliography"/>
      </w:pPr>
      <w:r>
        <w:t xml:space="preserve">Thornton, P.E., Shrestha, R., Thornton, M., Kao, S.-C., Wei, Y., &amp; Wilson, B.E. 2021.</w:t>
      </w:r>
      <w:r>
        <w:t xml:space="preserve"> </w:t>
      </w:r>
      <w:r>
        <w:t xml:space="preserve">Gridded daily weather data for North America with comprehensive uncertainty quantification</w:t>
      </w:r>
      <w:r>
        <w:t xml:space="preserve">.</w:t>
      </w:r>
      <w:r>
        <w:t xml:space="preserve"> </w:t>
      </w:r>
      <w:r>
        <w:rPr>
          <w:iCs/>
          <w:i/>
        </w:rPr>
        <w:t xml:space="preserve">Scientific Data</w:t>
      </w:r>
      <w:r>
        <w:t xml:space="preserve"> </w:t>
      </w:r>
      <w:r>
        <w:t xml:space="preserve">8: 190.</w:t>
      </w:r>
    </w:p>
    <w:bookmarkEnd w:id="72"/>
    <w:bookmarkStart w:id="73" w:name="ref-wickham_tidy_2014"/>
    <w:p>
      <w:pPr>
        <w:pStyle w:val="Bibliography"/>
      </w:pPr>
      <w:r>
        <w:t xml:space="preserve">Wickham, H. 2014. Tidy</w:t>
      </w:r>
      <w:r>
        <w:t xml:space="preserve"> </w:t>
      </w:r>
      <w:r>
        <w:t xml:space="preserve">Data</w:t>
      </w:r>
      <w:r>
        <w:t xml:space="preserve">.</w:t>
      </w:r>
      <w:r>
        <w:t xml:space="preserve"> </w:t>
      </w:r>
      <w:r>
        <w:rPr>
          <w:iCs/>
          <w:i/>
        </w:rPr>
        <w:t xml:space="preserve">Journal of Statistical Software</w:t>
      </w:r>
      <w:r>
        <w:t xml:space="preserve"> </w:t>
      </w:r>
      <w:r>
        <w:t xml:space="preserve">59:</w:t>
      </w:r>
    </w:p>
    <w:bookmarkEnd w:id="73"/>
    <w:bookmarkStart w:id="74" w:name="ref-Zohner2020"/>
    <w:p>
      <w:pPr>
        <w:pStyle w:val="Bibliography"/>
      </w:pPr>
      <w:r>
        <w:t xml:space="preserve">Zohner, C.M., Mo, L., Renner, S.S., Svenning, J.-C., Vitasse, Y., Benito, B.M., Ordonez, A., Baumgarten, F., Bastin, J.-F., Sebald, V., Reich, P.B., Liang, J., Nabuurs, G.-J., De-Miguel, S., Alberti, G., Antón-Fernández, C., Balazy, R., Brändli, U.-B., Chen, H.Y.H., Chisholm, C., Cienciala, E., Dayanandan, S., Fayle, T.M., Frizzera, L., Gianelle, D., Jagodzinski, A.M., Jaroszewicz, B., Jucker, T., Kepfer-Rojas, S., Khan, M.L., Kim, H.S., Korjus, H., Johannsen, V.K., Laarmann, D., Lang, M., Zawila-Niedzwiecki, T., Niklaus, P.A., Paquette, A., Pretzsch, H., Saikia, P., Schall, P., Šebeň, V., Svoboda, M., Tikhonova, E., Viana, H., Zhang, C., Zhao, X., &amp; Crowther, T.W. 2020.</w:t>
      </w:r>
      <w:r>
        <w:t xml:space="preserve"> </w:t>
      </w:r>
      <w:r>
        <w:t xml:space="preserve">Late-spring frost risk between 1959 and 2017 decreased in North America but increased in Europe and Asia</w:t>
      </w:r>
      <w:r>
        <w:t xml:space="preserve">.</w:t>
      </w:r>
      <w:r>
        <w:t xml:space="preserve"> </w:t>
      </w:r>
      <w:r>
        <w:rPr>
          <w:iCs/>
          <w:i/>
        </w:rPr>
        <w:t xml:space="preserve">Proceedings of the National Academy of Sciences</w:t>
      </w:r>
      <w:r>
        <w:t xml:space="preserve"> </w:t>
      </w:r>
      <w:r>
        <w:t xml:space="preserve">117: 12192–12200.</w:t>
      </w:r>
    </w:p>
    <w:bookmarkEnd w:id="74"/>
    <w:bookmarkEnd w:id="75"/>
    <w:p>
      <w:r>
        <w:br w:type="page"/>
      </w:r>
    </w:p>
    <w:bookmarkEnd w:id="76"/>
    <w:bookmarkStart w:id="78" w:name="figure-1"/>
    <w:p>
      <w:pPr>
        <w:pStyle w:val="Heading1"/>
      </w:pPr>
      <w:r>
        <w:t xml:space="preserve">Figure 1</w:t>
      </w:r>
    </w:p>
    <w:p>
      <w:pPr>
        <w:pStyle w:val="FirstParagraph"/>
      </w:pPr>
      <w:r>
        <w:drawing>
          <wp:inline>
            <wp:extent cx="5727700" cy="5727700"/>
            <wp:effectExtent b="0" l="0" r="0" t="0"/>
            <wp:docPr descr="" title="" id="1" name="Picture"/>
            <a:graphic>
              <a:graphicData uri="http://schemas.openxmlformats.org/drawingml/2006/picture">
                <pic:pic>
                  <pic:nvPicPr>
                    <pic:cNvPr descr="images/DSv3_Tmax_19850501.jpg" id="0" name="Picture"/>
                    <pic:cNvPicPr>
                      <a:picLocks noChangeArrowheads="1" noChangeAspect="1"/>
                    </pic:cNvPicPr>
                  </pic:nvPicPr>
                  <pic:blipFill>
                    <a:blip r:embed="rId77"/>
                    <a:stretch>
                      <a:fillRect/>
                    </a:stretch>
                  </pic:blipFill>
                  <pic:spPr bwMode="auto">
                    <a:xfrm>
                      <a:off x="0" y="0"/>
                      <a:ext cx="5727700" cy="5727700"/>
                    </a:xfrm>
                    <a:prstGeom prst="rect">
                      <a:avLst/>
                    </a:prstGeom>
                    <a:noFill/>
                    <a:ln w="9525">
                      <a:noFill/>
                      <a:headEnd/>
                      <a:tailEnd/>
                    </a:ln>
                  </pic:spPr>
                </pic:pic>
              </a:graphicData>
            </a:graphic>
          </wp:inline>
        </w:drawing>
      </w:r>
    </w:p>
    <w:p>
      <w:pPr>
        <w:pStyle w:val="BodyText"/>
      </w:pPr>
      <w:r>
        <w:rPr>
          <w:iCs/>
          <w:i/>
        </w:rPr>
        <w:t xml:space="preserve">Figure 1: Example raster of maximum temperature (°C) to show the spatial coverage of the daily downscaled climate data.</w:t>
      </w:r>
    </w:p>
    <w:p>
      <w:r>
        <w:br w:type="page"/>
      </w:r>
    </w:p>
    <w:bookmarkEnd w:id="78"/>
    <w:bookmarkStart w:id="79" w:name="table-1"/>
    <w:p>
      <w:pPr>
        <w:pStyle w:val="Heading1"/>
      </w:pPr>
      <w:r>
        <w:t xml:space="preserve">Table 1</w:t>
      </w:r>
    </w:p>
    <w:p>
      <w:pPr>
        <w:pStyle w:val="TableCaption"/>
      </w:pPr>
      <w:r>
        <w:t xml:space="preserve">Table 1: Daily precipitation (Prcp; mm) for a given site obtained with easyclimate. Longitude (lon, x) and latitude (lat, y; WGS84) and date (YYYY-MM-DD) are also shown.</w:t>
      </w:r>
    </w:p>
    <w:tbl>
      <w:tblPr>
        <w:tblStyle w:val="Table"/>
        <w:tblW w:type="auto" w:w="0"/>
        <w:tblLook w:firstRow="1" w:lastRow="0" w:firstColumn="0" w:lastColumn="0" w:noHBand="0" w:noVBand="0" w:val="0020"/>
        <w:tblCaption w:val="Table 1: Daily precipitation (Prcp; mm) for a given site obtained with easyclimate. Longitude (lon, x) and latitude (lat, y; WGS84) and date (YYYY-MM-DD) are also shown."/>
      </w:tblPr>
      <w:tblGrid>
        <w:gridCol w:w="1980"/>
        <w:gridCol w:w="1980"/>
        <w:gridCol w:w="1980"/>
        <w:gridCol w:w="1980"/>
      </w:tblGrid>
      <w:tr>
        <w:trPr>
          <w:tblHeader w:val="true"/>
        </w:trPr>
        <w:tc>
          <w:tcPr/>
          <w:p>
            <w:pPr>
              <w:pStyle w:val="Compact"/>
              <w:jc w:val="right"/>
            </w:pPr>
            <w:r>
              <w:t xml:space="preserve">lon</w:t>
            </w:r>
          </w:p>
        </w:tc>
        <w:tc>
          <w:tcPr/>
          <w:p>
            <w:pPr>
              <w:pStyle w:val="Compact"/>
              <w:jc w:val="right"/>
            </w:pPr>
            <w:r>
              <w:t xml:space="preserve">lat</w:t>
            </w:r>
          </w:p>
        </w:tc>
        <w:tc>
          <w:tcPr/>
          <w:p>
            <w:pPr>
              <w:pStyle w:val="Compact"/>
              <w:jc w:val="left"/>
            </w:pPr>
            <w:r>
              <w:t xml:space="preserve">date</w:t>
            </w:r>
          </w:p>
        </w:tc>
        <w:tc>
          <w:tcPr/>
          <w:p>
            <w:pPr>
              <w:pStyle w:val="Compact"/>
              <w:jc w:val="right"/>
            </w:pPr>
            <w:r>
              <w:t xml:space="preserve">Prcp</w:t>
            </w:r>
          </w:p>
        </w:tc>
      </w:tr>
      <w:tr>
        <w:tc>
          <w:tcPr/>
          <w:p>
            <w:pPr>
              <w:pStyle w:val="Compact"/>
              <w:jc w:val="right"/>
            </w:pPr>
            <w:r>
              <w:t xml:space="preserve">-5.36</w:t>
            </w:r>
          </w:p>
        </w:tc>
        <w:tc>
          <w:tcPr/>
          <w:p>
            <w:pPr>
              <w:pStyle w:val="Compact"/>
              <w:jc w:val="right"/>
            </w:pPr>
            <w:r>
              <w:t xml:space="preserve">37.4</w:t>
            </w:r>
          </w:p>
        </w:tc>
        <w:tc>
          <w:tcPr/>
          <w:p>
            <w:pPr>
              <w:pStyle w:val="Compact"/>
              <w:jc w:val="left"/>
            </w:pPr>
            <w:r>
              <w:t xml:space="preserve">2001-01-01</w:t>
            </w:r>
          </w:p>
        </w:tc>
        <w:tc>
          <w:tcPr/>
          <w:p>
            <w:pPr>
              <w:pStyle w:val="Compact"/>
              <w:jc w:val="right"/>
            </w:pPr>
            <w:r>
              <w:t xml:space="preserve">8.64</w:t>
            </w:r>
          </w:p>
        </w:tc>
      </w:tr>
      <w:tr>
        <w:tc>
          <w:tcPr/>
          <w:p>
            <w:pPr>
              <w:pStyle w:val="Compact"/>
              <w:jc w:val="right"/>
            </w:pPr>
            <w:r>
              <w:t xml:space="preserve">-5.36</w:t>
            </w:r>
          </w:p>
        </w:tc>
        <w:tc>
          <w:tcPr/>
          <w:p>
            <w:pPr>
              <w:pStyle w:val="Compact"/>
              <w:jc w:val="right"/>
            </w:pPr>
            <w:r>
              <w:t xml:space="preserve">37.4</w:t>
            </w:r>
          </w:p>
        </w:tc>
        <w:tc>
          <w:tcPr/>
          <w:p>
            <w:pPr>
              <w:pStyle w:val="Compact"/>
              <w:jc w:val="left"/>
            </w:pPr>
            <w:r>
              <w:t xml:space="preserve">2001-01-02</w:t>
            </w:r>
          </w:p>
        </w:tc>
        <w:tc>
          <w:tcPr/>
          <w:p>
            <w:pPr>
              <w:pStyle w:val="Compact"/>
              <w:jc w:val="right"/>
            </w:pPr>
            <w:r>
              <w:t xml:space="preserve">0.00</w:t>
            </w:r>
          </w:p>
        </w:tc>
      </w:tr>
      <w:tr>
        <w:tc>
          <w:tcPr/>
          <w:p>
            <w:pPr>
              <w:pStyle w:val="Compact"/>
              <w:jc w:val="right"/>
            </w:pPr>
            <w:r>
              <w:t xml:space="preserve">-5.36</w:t>
            </w:r>
          </w:p>
        </w:tc>
        <w:tc>
          <w:tcPr/>
          <w:p>
            <w:pPr>
              <w:pStyle w:val="Compact"/>
              <w:jc w:val="right"/>
            </w:pPr>
            <w:r>
              <w:t xml:space="preserve">37.4</w:t>
            </w:r>
          </w:p>
        </w:tc>
        <w:tc>
          <w:tcPr/>
          <w:p>
            <w:pPr>
              <w:pStyle w:val="Compact"/>
              <w:jc w:val="left"/>
            </w:pPr>
            <w:r>
              <w:t xml:space="preserve">2001-01-03</w:t>
            </w:r>
          </w:p>
        </w:tc>
        <w:tc>
          <w:tcPr/>
          <w:p>
            <w:pPr>
              <w:pStyle w:val="Compact"/>
              <w:jc w:val="right"/>
            </w:pPr>
            <w:r>
              <w:t xml:space="preserve">2.93</w:t>
            </w:r>
          </w:p>
        </w:tc>
      </w:tr>
    </w:tbl>
    <w:p>
      <w:r>
        <w:br w:type="page"/>
      </w:r>
    </w:p>
    <w:bookmarkEnd w:id="79"/>
    <w:bookmarkStart w:id="81" w:name="figure-2"/>
    <w:p>
      <w:pPr>
        <w:pStyle w:val="Heading1"/>
      </w:pPr>
      <w:r>
        <w:t xml:space="preserve">Figure 2</w:t>
      </w:r>
    </w:p>
    <w:p>
      <w:pPr>
        <w:pStyle w:val="FirstParagraph"/>
      </w:pPr>
      <w:r>
        <w:drawing>
          <wp:inline>
            <wp:extent cx="5727700" cy="3707166"/>
            <wp:effectExtent b="0" l="0" r="0" t="0"/>
            <wp:docPr descr="" title="" id="1" name="Picture"/>
            <a:graphic>
              <a:graphicData uri="http://schemas.openxmlformats.org/drawingml/2006/picture">
                <pic:pic>
                  <pic:nvPicPr>
                    <pic:cNvPr descr="images/maptemp.jpg" id="0" name="Picture"/>
                    <pic:cNvPicPr>
                      <a:picLocks noChangeArrowheads="1" noChangeAspect="1"/>
                    </pic:cNvPicPr>
                  </pic:nvPicPr>
                  <pic:blipFill>
                    <a:blip r:embed="rId80"/>
                    <a:stretch>
                      <a:fillRect/>
                    </a:stretch>
                  </pic:blipFill>
                  <pic:spPr bwMode="auto">
                    <a:xfrm>
                      <a:off x="0" y="0"/>
                      <a:ext cx="5727700" cy="3707166"/>
                    </a:xfrm>
                    <a:prstGeom prst="rect">
                      <a:avLst/>
                    </a:prstGeom>
                    <a:noFill/>
                    <a:ln w="9525">
                      <a:noFill/>
                      <a:headEnd/>
                      <a:tailEnd/>
                    </a:ln>
                  </pic:spPr>
                </pic:pic>
              </a:graphicData>
            </a:graphic>
          </wp:inline>
        </w:drawing>
      </w:r>
      <w:r>
        <w:t xml:space="preserve"> </w:t>
      </w:r>
      <w:r>
        <w:rPr>
          <w:iCs/>
          <w:i/>
        </w:rPr>
        <w:t xml:space="preserve">Figure 2: A multilayer raster of maximum temperature values for a given polygon in two different days of the year.</w:t>
      </w:r>
    </w:p>
    <w:p>
      <w:r>
        <w:br w:type="page"/>
      </w:r>
    </w:p>
    <w:bookmarkEnd w:id="81"/>
    <w:bookmarkStart w:id="82" w:name="table-2"/>
    <w:p>
      <w:pPr>
        <w:pStyle w:val="Heading1"/>
      </w:pPr>
      <w:r>
        <w:t xml:space="preserve">Table 2</w:t>
      </w:r>
    </w:p>
    <w:p>
      <w:pPr>
        <w:pStyle w:val="TableCaption"/>
      </w:pPr>
      <w:r>
        <w:t xml:space="preserve">Table 2: Yearly climatic values for a given site extracted with easyclimate. Tmin.year = Minimum temperature (ºC), Tmean.year = Mean temperature (ºC), Tmax.year = Maximum temperature (ºC), Prcp.year = Precipitation (mm)</w:t>
      </w:r>
    </w:p>
    <w:tbl>
      <w:tblPr>
        <w:tblStyle w:val="Table"/>
        <w:tblW w:type="auto" w:w="0"/>
        <w:tblLook w:firstRow="1" w:lastRow="0" w:firstColumn="0" w:lastColumn="0" w:noHBand="0" w:noVBand="0" w:val="0020"/>
        <w:tblCaption w:val="Table 2: Yearly climatic values for a given site extracted with easyclimate. Tmin.year = Minimum temperature (ºC), Tmean.year = Mean temperature (ºC), Tmax.year = Maximum temperature (ºC), Prcp.year = Precipitation (mm)"/>
      </w:tblPr>
      <w:tblGrid>
        <w:gridCol w:w="1584"/>
        <w:gridCol w:w="1584"/>
        <w:gridCol w:w="1584"/>
        <w:gridCol w:w="1584"/>
        <w:gridCol w:w="1584"/>
      </w:tblGrid>
      <w:tr>
        <w:trPr>
          <w:tblHeader w:val="true"/>
        </w:trPr>
        <w:tc>
          <w:tcPr/>
          <w:p>
            <w:pPr>
              <w:pStyle w:val="Compact"/>
              <w:jc w:val="left"/>
            </w:pPr>
            <w:r>
              <w:t xml:space="preserve">year</w:t>
            </w:r>
          </w:p>
        </w:tc>
        <w:tc>
          <w:tcPr/>
          <w:p>
            <w:pPr>
              <w:pStyle w:val="Compact"/>
              <w:jc w:val="right"/>
            </w:pPr>
            <w:r>
              <w:t xml:space="preserve">Tmin.year</w:t>
            </w:r>
          </w:p>
        </w:tc>
        <w:tc>
          <w:tcPr/>
          <w:p>
            <w:pPr>
              <w:pStyle w:val="Compact"/>
              <w:jc w:val="right"/>
            </w:pPr>
            <w:r>
              <w:t xml:space="preserve">Tmean.year</w:t>
            </w:r>
          </w:p>
        </w:tc>
        <w:tc>
          <w:tcPr/>
          <w:p>
            <w:pPr>
              <w:pStyle w:val="Compact"/>
              <w:jc w:val="right"/>
            </w:pPr>
            <w:r>
              <w:t xml:space="preserve">Tmax.year</w:t>
            </w:r>
          </w:p>
        </w:tc>
        <w:tc>
          <w:tcPr/>
          <w:p>
            <w:pPr>
              <w:pStyle w:val="Compact"/>
              <w:jc w:val="right"/>
            </w:pPr>
            <w:r>
              <w:t xml:space="preserve">Prcp.year</w:t>
            </w:r>
          </w:p>
        </w:tc>
      </w:tr>
      <w:tr>
        <w:tc>
          <w:tcPr/>
          <w:p>
            <w:pPr>
              <w:pStyle w:val="Compact"/>
              <w:jc w:val="left"/>
            </w:pPr>
            <w:r>
              <w:t xml:space="preserve">2010</w:t>
            </w:r>
          </w:p>
        </w:tc>
        <w:tc>
          <w:tcPr/>
          <w:p>
            <w:pPr>
              <w:pStyle w:val="Compact"/>
              <w:jc w:val="right"/>
            </w:pPr>
            <w:r>
              <w:t xml:space="preserve">6.2</w:t>
            </w:r>
          </w:p>
        </w:tc>
        <w:tc>
          <w:tcPr/>
          <w:p>
            <w:pPr>
              <w:pStyle w:val="Compact"/>
              <w:jc w:val="right"/>
            </w:pPr>
            <w:r>
              <w:t xml:space="preserve">12.2</w:t>
            </w:r>
          </w:p>
        </w:tc>
        <w:tc>
          <w:tcPr/>
          <w:p>
            <w:pPr>
              <w:pStyle w:val="Compact"/>
              <w:jc w:val="right"/>
            </w:pPr>
            <w:r>
              <w:t xml:space="preserve">18.2</w:t>
            </w:r>
          </w:p>
        </w:tc>
        <w:tc>
          <w:tcPr/>
          <w:p>
            <w:pPr>
              <w:pStyle w:val="Compact"/>
              <w:jc w:val="right"/>
            </w:pPr>
            <w:r>
              <w:t xml:space="preserve">385.3</w:t>
            </w:r>
          </w:p>
        </w:tc>
      </w:tr>
      <w:tr>
        <w:tc>
          <w:tcPr/>
          <w:p>
            <w:pPr>
              <w:pStyle w:val="Compact"/>
              <w:jc w:val="left"/>
            </w:pPr>
            <w:r>
              <w:t xml:space="preserve">2011</w:t>
            </w:r>
          </w:p>
        </w:tc>
        <w:tc>
          <w:tcPr/>
          <w:p>
            <w:pPr>
              <w:pStyle w:val="Compact"/>
              <w:jc w:val="right"/>
            </w:pPr>
            <w:r>
              <w:t xml:space="preserve">6.9</w:t>
            </w:r>
          </w:p>
        </w:tc>
        <w:tc>
          <w:tcPr/>
          <w:p>
            <w:pPr>
              <w:pStyle w:val="Compact"/>
              <w:jc w:val="right"/>
            </w:pPr>
            <w:r>
              <w:t xml:space="preserve">13.3</w:t>
            </w:r>
          </w:p>
        </w:tc>
        <w:tc>
          <w:tcPr/>
          <w:p>
            <w:pPr>
              <w:pStyle w:val="Compact"/>
              <w:jc w:val="right"/>
            </w:pPr>
            <w:r>
              <w:t xml:space="preserve">19.7</w:t>
            </w:r>
          </w:p>
        </w:tc>
        <w:tc>
          <w:tcPr/>
          <w:p>
            <w:pPr>
              <w:pStyle w:val="Compact"/>
              <w:jc w:val="right"/>
            </w:pPr>
            <w:r>
              <w:t xml:space="preserve">281.9</w:t>
            </w:r>
          </w:p>
        </w:tc>
      </w:tr>
      <w:tr>
        <w:tc>
          <w:tcPr/>
          <w:p>
            <w:pPr>
              <w:pStyle w:val="Compact"/>
              <w:jc w:val="left"/>
            </w:pPr>
            <w:r>
              <w:t xml:space="preserve">2012</w:t>
            </w:r>
          </w:p>
        </w:tc>
        <w:tc>
          <w:tcPr/>
          <w:p>
            <w:pPr>
              <w:pStyle w:val="Compact"/>
              <w:jc w:val="right"/>
            </w:pPr>
            <w:r>
              <w:t xml:space="preserve">5.7</w:t>
            </w:r>
          </w:p>
        </w:tc>
        <w:tc>
          <w:tcPr/>
          <w:p>
            <w:pPr>
              <w:pStyle w:val="Compact"/>
              <w:jc w:val="right"/>
            </w:pPr>
            <w:r>
              <w:t xml:space="preserve">12.1</w:t>
            </w:r>
          </w:p>
        </w:tc>
        <w:tc>
          <w:tcPr/>
          <w:p>
            <w:pPr>
              <w:pStyle w:val="Compact"/>
              <w:jc w:val="right"/>
            </w:pPr>
            <w:r>
              <w:t xml:space="preserve">18.6</w:t>
            </w:r>
          </w:p>
        </w:tc>
        <w:tc>
          <w:tcPr/>
          <w:p>
            <w:pPr>
              <w:pStyle w:val="Compact"/>
              <w:jc w:val="right"/>
            </w:pPr>
            <w:r>
              <w:t xml:space="preserve">314.8</w:t>
            </w:r>
          </w:p>
        </w:tc>
      </w:tr>
      <w:tr>
        <w:tc>
          <w:tcPr/>
          <w:p>
            <w:pPr>
              <w:pStyle w:val="Compact"/>
              <w:jc w:val="left"/>
            </w:pPr>
            <w:r>
              <w:t xml:space="preserve">2013</w:t>
            </w:r>
          </w:p>
        </w:tc>
        <w:tc>
          <w:tcPr/>
          <w:p>
            <w:pPr>
              <w:pStyle w:val="Compact"/>
              <w:jc w:val="right"/>
            </w:pPr>
            <w:r>
              <w:t xml:space="preserve">5.7</w:t>
            </w:r>
          </w:p>
        </w:tc>
        <w:tc>
          <w:tcPr/>
          <w:p>
            <w:pPr>
              <w:pStyle w:val="Compact"/>
              <w:jc w:val="right"/>
            </w:pPr>
            <w:r>
              <w:t xml:space="preserve">11.8</w:t>
            </w:r>
          </w:p>
        </w:tc>
        <w:tc>
          <w:tcPr/>
          <w:p>
            <w:pPr>
              <w:pStyle w:val="Compact"/>
              <w:jc w:val="right"/>
            </w:pPr>
            <w:r>
              <w:t xml:space="preserve">18.0</w:t>
            </w:r>
          </w:p>
        </w:tc>
        <w:tc>
          <w:tcPr/>
          <w:p>
            <w:pPr>
              <w:pStyle w:val="Compact"/>
              <w:jc w:val="right"/>
            </w:pPr>
            <w:r>
              <w:t xml:space="preserve">354.9</w:t>
            </w:r>
          </w:p>
        </w:tc>
      </w:tr>
      <w:tr>
        <w:tc>
          <w:tcPr/>
          <w:p>
            <w:pPr>
              <w:pStyle w:val="Compact"/>
              <w:jc w:val="left"/>
            </w:pPr>
            <w:r>
              <w:t xml:space="preserve">2014</w:t>
            </w:r>
          </w:p>
        </w:tc>
        <w:tc>
          <w:tcPr/>
          <w:p>
            <w:pPr>
              <w:pStyle w:val="Compact"/>
              <w:jc w:val="right"/>
            </w:pPr>
            <w:r>
              <w:t xml:space="preserve">6.9</w:t>
            </w:r>
          </w:p>
        </w:tc>
        <w:tc>
          <w:tcPr/>
          <w:p>
            <w:pPr>
              <w:pStyle w:val="Compact"/>
              <w:jc w:val="right"/>
            </w:pPr>
            <w:r>
              <w:t xml:space="preserve">13.0</w:t>
            </w:r>
          </w:p>
        </w:tc>
        <w:tc>
          <w:tcPr/>
          <w:p>
            <w:pPr>
              <w:pStyle w:val="Compact"/>
              <w:jc w:val="right"/>
            </w:pPr>
            <w:r>
              <w:t xml:space="preserve">19.1</w:t>
            </w:r>
          </w:p>
        </w:tc>
        <w:tc>
          <w:tcPr/>
          <w:p>
            <w:pPr>
              <w:pStyle w:val="Compact"/>
              <w:jc w:val="right"/>
            </w:pPr>
            <w:r>
              <w:t xml:space="preserve">341.5</w:t>
            </w:r>
          </w:p>
        </w:tc>
      </w:tr>
      <w:tr>
        <w:tc>
          <w:tcPr/>
          <w:p>
            <w:pPr>
              <w:pStyle w:val="Compact"/>
              <w:jc w:val="left"/>
            </w:pPr>
            <w:r>
              <w:t xml:space="preserve">2015</w:t>
            </w:r>
          </w:p>
        </w:tc>
        <w:tc>
          <w:tcPr/>
          <w:p>
            <w:pPr>
              <w:pStyle w:val="Compact"/>
              <w:jc w:val="right"/>
            </w:pPr>
            <w:r>
              <w:t xml:space="preserve">6.7</w:t>
            </w:r>
          </w:p>
        </w:tc>
        <w:tc>
          <w:tcPr/>
          <w:p>
            <w:pPr>
              <w:pStyle w:val="Compact"/>
              <w:jc w:val="right"/>
            </w:pPr>
            <w:r>
              <w:t xml:space="preserve">13.3</w:t>
            </w:r>
          </w:p>
        </w:tc>
        <w:tc>
          <w:tcPr/>
          <w:p>
            <w:pPr>
              <w:pStyle w:val="Compact"/>
              <w:jc w:val="right"/>
            </w:pPr>
            <w:r>
              <w:t xml:space="preserve">19.8</w:t>
            </w:r>
          </w:p>
        </w:tc>
        <w:tc>
          <w:tcPr/>
          <w:p>
            <w:pPr>
              <w:pStyle w:val="Compact"/>
              <w:jc w:val="right"/>
            </w:pPr>
            <w:r>
              <w:t xml:space="preserve">221.3</w:t>
            </w:r>
          </w:p>
        </w:tc>
      </w:tr>
    </w:tbl>
    <w:p>
      <w:r>
        <w:br w:type="page"/>
      </w:r>
    </w:p>
    <w:bookmarkEnd w:id="82"/>
    <w:bookmarkStart w:id="83" w:name="table-3"/>
    <w:p>
      <w:pPr>
        <w:pStyle w:val="Heading1"/>
      </w:pPr>
      <w:r>
        <w:t xml:space="preserve">Table 3</w:t>
      </w:r>
    </w:p>
    <w:p>
      <w:pPr>
        <w:pStyle w:val="TableCaption"/>
      </w:pPr>
      <w:r>
        <w:t xml:space="preserve">Table 3: No. of days with temperature below zero in spring (n.frost) and mean minimum temperature reached (Tmin.frost.avg; ºC) extracted with easyclimate</w:t>
      </w:r>
    </w:p>
    <w:tbl>
      <w:tblPr>
        <w:tblStyle w:val="Table"/>
        <w:tblW w:type="auto" w:w="0"/>
        <w:tblLook w:firstRow="1" w:lastRow="0" w:firstColumn="0" w:lastColumn="0" w:noHBand="0" w:noVBand="0" w:val="0020"/>
        <w:tblCaption w:val="Table 3: No. of days with temperature below zero in spring (n.frost) and mean minimum temperature reached (Tmin.frost.avg; ºC) extracted with easyclimate"/>
      </w:tblPr>
      <w:tblGrid>
        <w:gridCol w:w="2640"/>
        <w:gridCol w:w="2640"/>
        <w:gridCol w:w="2640"/>
      </w:tblGrid>
      <w:tr>
        <w:trPr>
          <w:tblHeader w:val="true"/>
        </w:trPr>
        <w:tc>
          <w:tcPr/>
          <w:p>
            <w:pPr>
              <w:pStyle w:val="Compact"/>
              <w:jc w:val="left"/>
            </w:pPr>
            <w:r>
              <w:t xml:space="preserve">year</w:t>
            </w:r>
          </w:p>
        </w:tc>
        <w:tc>
          <w:tcPr/>
          <w:p>
            <w:pPr>
              <w:pStyle w:val="Compact"/>
              <w:jc w:val="right"/>
            </w:pPr>
            <w:r>
              <w:t xml:space="preserve">n.frost</w:t>
            </w:r>
          </w:p>
        </w:tc>
        <w:tc>
          <w:tcPr/>
          <w:p>
            <w:pPr>
              <w:pStyle w:val="Compact"/>
              <w:jc w:val="right"/>
            </w:pPr>
            <w:r>
              <w:t xml:space="preserve">Tmin.frost.avg</w:t>
            </w:r>
          </w:p>
        </w:tc>
      </w:tr>
      <w:tr>
        <w:tc>
          <w:tcPr/>
          <w:p>
            <w:pPr>
              <w:pStyle w:val="Compact"/>
              <w:jc w:val="left"/>
            </w:pPr>
            <w:r>
              <w:t xml:space="preserve">2010</w:t>
            </w:r>
          </w:p>
        </w:tc>
        <w:tc>
          <w:tcPr/>
          <w:p>
            <w:pPr>
              <w:pStyle w:val="Compact"/>
              <w:jc w:val="right"/>
            </w:pPr>
            <w:r>
              <w:t xml:space="preserve">10</w:t>
            </w:r>
          </w:p>
        </w:tc>
        <w:tc>
          <w:tcPr/>
          <w:p>
            <w:pPr>
              <w:pStyle w:val="Compact"/>
              <w:jc w:val="right"/>
            </w:pPr>
            <w:r>
              <w:t xml:space="preserve">-2.7790000</w:t>
            </w:r>
          </w:p>
        </w:tc>
      </w:tr>
      <w:tr>
        <w:tc>
          <w:tcPr/>
          <w:p>
            <w:pPr>
              <w:pStyle w:val="Compact"/>
              <w:jc w:val="left"/>
            </w:pPr>
            <w:r>
              <w:t xml:space="preserve">2011</w:t>
            </w:r>
          </w:p>
        </w:tc>
        <w:tc>
          <w:tcPr/>
          <w:p>
            <w:pPr>
              <w:pStyle w:val="Compact"/>
              <w:jc w:val="right"/>
            </w:pPr>
            <w:r>
              <w:t xml:space="preserve">4</w:t>
            </w:r>
          </w:p>
        </w:tc>
        <w:tc>
          <w:tcPr/>
          <w:p>
            <w:pPr>
              <w:pStyle w:val="Compact"/>
              <w:jc w:val="right"/>
            </w:pPr>
            <w:r>
              <w:t xml:space="preserve">-2.0325000</w:t>
            </w:r>
          </w:p>
        </w:tc>
      </w:tr>
      <w:tr>
        <w:tc>
          <w:tcPr/>
          <w:p>
            <w:pPr>
              <w:pStyle w:val="Compact"/>
              <w:jc w:val="left"/>
            </w:pPr>
            <w:r>
              <w:t xml:space="preserve">2012</w:t>
            </w:r>
          </w:p>
        </w:tc>
        <w:tc>
          <w:tcPr/>
          <w:p>
            <w:pPr>
              <w:pStyle w:val="Compact"/>
              <w:jc w:val="right"/>
            </w:pPr>
            <w:r>
              <w:t xml:space="preserve">11</w:t>
            </w:r>
          </w:p>
        </w:tc>
        <w:tc>
          <w:tcPr/>
          <w:p>
            <w:pPr>
              <w:pStyle w:val="Compact"/>
              <w:jc w:val="right"/>
            </w:pPr>
            <w:r>
              <w:t xml:space="preserve">-1.6290909</w:t>
            </w:r>
          </w:p>
        </w:tc>
      </w:tr>
      <w:tr>
        <w:tc>
          <w:tcPr/>
          <w:p>
            <w:pPr>
              <w:pStyle w:val="Compact"/>
              <w:jc w:val="left"/>
            </w:pPr>
            <w:r>
              <w:t xml:space="preserve">2013</w:t>
            </w:r>
          </w:p>
        </w:tc>
        <w:tc>
          <w:tcPr/>
          <w:p>
            <w:pPr>
              <w:pStyle w:val="Compact"/>
              <w:jc w:val="right"/>
            </w:pPr>
            <w:r>
              <w:t xml:space="preserve">11</w:t>
            </w:r>
          </w:p>
        </w:tc>
        <w:tc>
          <w:tcPr/>
          <w:p>
            <w:pPr>
              <w:pStyle w:val="Compact"/>
              <w:jc w:val="right"/>
            </w:pPr>
            <w:r>
              <w:t xml:space="preserve">-1.9190909</w:t>
            </w:r>
          </w:p>
        </w:tc>
      </w:tr>
      <w:tr>
        <w:tc>
          <w:tcPr/>
          <w:p>
            <w:pPr>
              <w:pStyle w:val="Compact"/>
              <w:jc w:val="left"/>
            </w:pPr>
            <w:r>
              <w:t xml:space="preserve">2014</w:t>
            </w:r>
          </w:p>
        </w:tc>
        <w:tc>
          <w:tcPr/>
          <w:p>
            <w:pPr>
              <w:pStyle w:val="Compact"/>
              <w:jc w:val="right"/>
            </w:pPr>
            <w:r>
              <w:t xml:space="preserve">3</w:t>
            </w:r>
          </w:p>
        </w:tc>
        <w:tc>
          <w:tcPr/>
          <w:p>
            <w:pPr>
              <w:pStyle w:val="Compact"/>
              <w:jc w:val="right"/>
            </w:pPr>
            <w:r>
              <w:t xml:space="preserve">-0.8733333</w:t>
            </w:r>
          </w:p>
        </w:tc>
      </w:tr>
      <w:tr>
        <w:tc>
          <w:tcPr/>
          <w:p>
            <w:pPr>
              <w:pStyle w:val="Compact"/>
              <w:jc w:val="left"/>
            </w:pPr>
            <w:r>
              <w:t xml:space="preserve">2015</w:t>
            </w:r>
          </w:p>
        </w:tc>
        <w:tc>
          <w:tcPr/>
          <w:p>
            <w:pPr>
              <w:pStyle w:val="Compact"/>
              <w:jc w:val="right"/>
            </w:pPr>
            <w:r>
              <w:t xml:space="preserve">7</w:t>
            </w:r>
          </w:p>
        </w:tc>
        <w:tc>
          <w:tcPr/>
          <w:p>
            <w:pPr>
              <w:pStyle w:val="Compact"/>
              <w:jc w:val="right"/>
            </w:pPr>
            <w:r>
              <w:t xml:space="preserve">-2.4728571</w:t>
            </w:r>
          </w:p>
        </w:tc>
      </w:tr>
    </w:tbl>
    <w:bookmarkEnd w:id="83"/>
    <w:sectPr w:rsidR="005A04E7" w:rsidSect="000B51C4">
      <w:footerReference r:id="rId9" w:type="default"/>
      <w:pgSz w:code="9" w:h="16840" w:w="11907"/>
      <w:pgMar w:bottom="1440" w:footer="720" w:gutter="0" w:header="720" w:left="1440" w:right="1440" w:top="1440"/>
      <w:lnNumType w:countBy="1" w:restart="continuous"/>
      <w:cols w:space="720"/>
      <w:docGrid w:linePitch="272"/>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32562039"/>
      <w:docPartObj>
        <w:docPartGallery w:val="Page Numbers (Bottom of Page)"/>
        <w:docPartUnique/>
      </w:docPartObj>
    </w:sdtPr>
    <w:sdtEndPr>
      <w:rPr>
        <w:noProof/>
      </w:rPr>
    </w:sdtEndPr>
    <w:sdtContent>
      <w:p w:rsidR="000B51C4" w:rsidRDefault="000B51C4">
        <w:pPr>
          <w:pStyle w:val="Footer"/>
          <w:jc w:val="center"/>
        </w:pPr>
        <w:r>
          <w:fldChar w:fldCharType="begin"/>
        </w:r>
        <w:r>
          <w:instrText xml:space="preserve"> PAGE   \* MERGEFORMAT </w:instrText>
        </w:r>
        <w:r>
          <w:fldChar w:fldCharType="separate"/>
        </w:r>
        <w:r>
          <w:rPr>
            <w:noProof/>
          </w:rPr>
          <w:t>3</w:t>
        </w:r>
        <w:r>
          <w:rPr>
            <w:noProof/>
          </w:rPr>
          <w:fldChar w:fldCharType="end"/>
        </w:r>
      </w:p>
    </w:sdtContent>
  </w:sdt>
  <w:p w:rsidR="000B51C4" w:rsidRDefault="000B51C4">
    <w:pPr>
      <w:pStyle w:val="Footer"/>
    </w:pPr>
  </w:p>
</w:ftr>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abstractNum w:abstractNumId="0">
    <w:nsid w:val="8B349DFE"/>
    <w:multiLevelType w:val="multilevel"/>
    <w:tmpl w:val="54C439B2"/>
    <w:lvl w:ilvl="0">
      <w:numFmt w:val="bullet"/>
      <w:lvlText w:val=" "/>
      <w:lvlJc w:val="left"/>
      <w:pPr>
        <w:tabs>
          <w:tab w:pos="0" w:val="num"/>
        </w:tabs>
        <w:ind w:hanging="480" w:left="480"/>
      </w:pPr>
    </w:lvl>
    <w:lvl w:ilvl="1">
      <w:numFmt w:val="bullet"/>
      <w:lvlText w:val=" "/>
      <w:lvlJc w:val="left"/>
      <w:pPr>
        <w:tabs>
          <w:tab w:pos="720" w:val="num"/>
        </w:tabs>
        <w:ind w:hanging="480" w:left="1200"/>
      </w:pPr>
    </w:lvl>
    <w:lvl w:ilvl="2">
      <w:numFmt w:val="bullet"/>
      <w:lvlText w:val=" "/>
      <w:lvlJc w:val="left"/>
      <w:pPr>
        <w:tabs>
          <w:tab w:pos="1440" w:val="num"/>
        </w:tabs>
        <w:ind w:hanging="480" w:left="1920"/>
      </w:pPr>
    </w:lvl>
    <w:lvl w:ilvl="3">
      <w:numFmt w:val="bullet"/>
      <w:lvlText w:val=" "/>
      <w:lvlJc w:val="left"/>
      <w:pPr>
        <w:tabs>
          <w:tab w:pos="2160" w:val="num"/>
        </w:tabs>
        <w:ind w:hanging="480" w:left="2640"/>
      </w:pPr>
    </w:lvl>
    <w:lvl w:ilvl="4">
      <w:numFmt w:val="bullet"/>
      <w:lvlText w:val=" "/>
      <w:lvlJc w:val="left"/>
      <w:pPr>
        <w:tabs>
          <w:tab w:pos="2880" w:val="num"/>
        </w:tabs>
        <w:ind w:hanging="480" w:left="3360"/>
      </w:pPr>
    </w:lvl>
    <w:lvl w:ilvl="5">
      <w:numFmt w:val="bullet"/>
      <w:lvlText w:val=" "/>
      <w:lvlJc w:val="left"/>
      <w:pPr>
        <w:tabs>
          <w:tab w:pos="3600" w:val="num"/>
        </w:tabs>
        <w:ind w:hanging="480" w:left="4080"/>
      </w:pPr>
    </w:lvl>
    <w:lvl w:ilvl="6">
      <w:numFmt w:val="bullet"/>
      <w:lvlText w:val=" "/>
      <w:lvlJc w:val="left"/>
      <w:pPr>
        <w:tabs>
          <w:tab w:pos="4320" w:val="num"/>
        </w:tabs>
        <w:ind w:hanging="480" w:left="4800"/>
      </w:pPr>
    </w:lvl>
    <w:lvl w:ilvl="7">
      <w:numFmt w:val="decimal"/>
      <w:lvlText w:val=""/>
      <w:lvlJc w:val="left"/>
    </w:lvl>
    <w:lvl w:ilvl="8">
      <w:numFmt w:val="decimal"/>
      <w:lvlText w:val=""/>
      <w:lvlJc w:val="left"/>
    </w:lvl>
  </w:abstractNum>
  <w:abstractNum w:abstractNumId="1">
    <w:nsid w:val="E17F69BA"/>
    <w:multiLevelType w:val="multilevel"/>
    <w:tmpl w:val="A47EE960"/>
    <w:lvl w:ilvl="0">
      <w:numFmt w:val="bullet"/>
      <w:lvlText w:val=" "/>
      <w:lvlJc w:val="left"/>
      <w:pPr>
        <w:tabs>
          <w:tab w:pos="0" w:val="num"/>
        </w:tabs>
        <w:ind w:hanging="480" w:left="480"/>
      </w:pPr>
    </w:lvl>
    <w:lvl w:ilvl="1">
      <w:numFmt w:val="bullet"/>
      <w:lvlText w:val=" "/>
      <w:lvlJc w:val="left"/>
      <w:pPr>
        <w:tabs>
          <w:tab w:pos="720" w:val="num"/>
        </w:tabs>
        <w:ind w:hanging="480" w:left="1200"/>
      </w:pPr>
    </w:lvl>
    <w:lvl w:ilvl="2">
      <w:numFmt w:val="bullet"/>
      <w:lvlText w:val=" "/>
      <w:lvlJc w:val="left"/>
      <w:pPr>
        <w:tabs>
          <w:tab w:pos="1440" w:val="num"/>
        </w:tabs>
        <w:ind w:hanging="480" w:left="1920"/>
      </w:pPr>
    </w:lvl>
    <w:lvl w:ilvl="3">
      <w:numFmt w:val="bullet"/>
      <w:lvlText w:val=" "/>
      <w:lvlJc w:val="left"/>
      <w:pPr>
        <w:tabs>
          <w:tab w:pos="2160" w:val="num"/>
        </w:tabs>
        <w:ind w:hanging="480" w:left="2640"/>
      </w:pPr>
    </w:lvl>
    <w:lvl w:ilvl="4">
      <w:numFmt w:val="bullet"/>
      <w:lvlText w:val=" "/>
      <w:lvlJc w:val="left"/>
      <w:pPr>
        <w:tabs>
          <w:tab w:pos="2880" w:val="num"/>
        </w:tabs>
        <w:ind w:hanging="480" w:left="3360"/>
      </w:pPr>
    </w:lvl>
    <w:lvl w:ilvl="5">
      <w:numFmt w:val="bullet"/>
      <w:lvlText w:val=" "/>
      <w:lvlJc w:val="left"/>
      <w:pPr>
        <w:tabs>
          <w:tab w:pos="3600" w:val="num"/>
        </w:tabs>
        <w:ind w:hanging="480" w:left="4080"/>
      </w:pPr>
    </w:lvl>
    <w:lvl w:ilvl="6">
      <w:numFmt w:val="bullet"/>
      <w:lvlText w:val=" "/>
      <w:lvlJc w:val="left"/>
      <w:pPr>
        <w:tabs>
          <w:tab w:pos="4320" w:val="num"/>
        </w:tabs>
        <w:ind w:hanging="480" w:left="4800"/>
      </w:pPr>
    </w:lvl>
    <w:lvl w:ilvl="7">
      <w:numFmt w:val="decimal"/>
      <w:lvlText w:val=""/>
      <w:lvlJc w:val="left"/>
    </w:lvl>
    <w:lvl w:ilvl="8">
      <w:numFmt w:val="decimal"/>
      <w:lvlText w:val=""/>
      <w:lvlJc w:val="left"/>
    </w:lvl>
  </w:abstractNum>
  <w:abstractNum w:abstractNumId="2">
    <w:nsid w:val="EA1050C4"/>
    <w:multiLevelType w:val="multilevel"/>
    <w:tmpl w:val="E60283FC"/>
    <w:lvl w:ilvl="0">
      <w:start w:val="1"/>
      <w:numFmt w:val="decimal"/>
      <w:lvlText w:val="(%1)"/>
      <w:lvlJc w:val="left"/>
      <w:pPr>
        <w:tabs>
          <w:tab w:pos="0" w:val="num"/>
        </w:tabs>
        <w:ind w:hanging="480" w:left="480"/>
      </w:pPr>
    </w:lvl>
    <w:lvl w:ilvl="1">
      <w:start w:val="1"/>
      <w:numFmt w:val="decimal"/>
      <w:lvlText w:val="(%2)"/>
      <w:lvlJc w:val="left"/>
      <w:pPr>
        <w:tabs>
          <w:tab w:pos="720" w:val="num"/>
        </w:tabs>
        <w:ind w:hanging="480" w:left="1200"/>
      </w:pPr>
    </w:lvl>
    <w:lvl w:ilvl="2">
      <w:start w:val="1"/>
      <w:numFmt w:val="decimal"/>
      <w:lvlText w:val="(%3)"/>
      <w:lvlJc w:val="left"/>
      <w:pPr>
        <w:tabs>
          <w:tab w:pos="1440" w:val="num"/>
        </w:tabs>
        <w:ind w:hanging="480" w:left="1920"/>
      </w:pPr>
    </w:lvl>
    <w:lvl w:ilvl="3">
      <w:start w:val="1"/>
      <w:numFmt w:val="decimal"/>
      <w:lvlText w:val="(%4)"/>
      <w:lvlJc w:val="left"/>
      <w:pPr>
        <w:tabs>
          <w:tab w:pos="2160" w:val="num"/>
        </w:tabs>
        <w:ind w:hanging="480" w:left="2640"/>
      </w:pPr>
    </w:lvl>
    <w:lvl w:ilvl="4">
      <w:start w:val="1"/>
      <w:numFmt w:val="decimal"/>
      <w:lvlText w:val="(%5)"/>
      <w:lvlJc w:val="left"/>
      <w:pPr>
        <w:tabs>
          <w:tab w:pos="2880" w:val="num"/>
        </w:tabs>
        <w:ind w:hanging="480" w:left="3360"/>
      </w:pPr>
    </w:lvl>
    <w:lvl w:ilvl="5">
      <w:start w:val="1"/>
      <w:numFmt w:val="decimal"/>
      <w:lvlText w:val="(%6)"/>
      <w:lvlJc w:val="left"/>
      <w:pPr>
        <w:tabs>
          <w:tab w:pos="3600" w:val="num"/>
        </w:tabs>
        <w:ind w:hanging="480" w:left="4080"/>
      </w:pPr>
    </w:lvl>
    <w:lvl w:ilvl="6">
      <w:start w:val="1"/>
      <w:numFmt w:val="decimal"/>
      <w:lvlText w:val="(%7)"/>
      <w:lvlJc w:val="left"/>
      <w:pPr>
        <w:tabs>
          <w:tab w:pos="4320" w:val="num"/>
        </w:tabs>
        <w:ind w:hanging="480" w:left="4800"/>
      </w:pPr>
    </w:lvl>
    <w:lvl w:ilvl="7">
      <w:numFmt w:val="decimal"/>
      <w:lvlText w:val=""/>
      <w:lvlJc w:val="left"/>
    </w:lvl>
    <w:lvl w:ilvl="8">
      <w:numFmt w:val="decimal"/>
      <w:lvlText w:val=""/>
      <w:lvlJc w:val="left"/>
    </w:lvl>
  </w:abstractNum>
  <w:abstractNum w:abstractNumId="3">
    <w:nsid w:val="FFFFFF80"/>
    <w:multiLevelType w:val="singleLevel"/>
    <w:tmpl w:val="F7260968"/>
    <w:lvl w:ilvl="0">
      <w:start w:val="1"/>
      <w:numFmt w:val="bullet"/>
      <w:lvlText w:val=""/>
      <w:lvlJc w:val="left"/>
      <w:pPr>
        <w:tabs>
          <w:tab w:pos="1492" w:val="num"/>
        </w:tabs>
        <w:ind w:hanging="360" w:left="1492"/>
      </w:pPr>
      <w:rPr>
        <w:rFonts w:ascii="Symbol" w:hAnsi="Symbol" w:hint="default"/>
      </w:rPr>
    </w:lvl>
  </w:abstractNum>
  <w:abstractNum w:abstractNumId="4">
    <w:nsid w:val="FFFFFF81"/>
    <w:multiLevelType w:val="singleLevel"/>
    <w:tmpl w:val="A5369C20"/>
    <w:lvl w:ilvl="0">
      <w:start w:val="1"/>
      <w:numFmt w:val="bullet"/>
      <w:lvlText w:val=""/>
      <w:lvlJc w:val="left"/>
      <w:pPr>
        <w:tabs>
          <w:tab w:pos="1209" w:val="num"/>
        </w:tabs>
        <w:ind w:hanging="360" w:left="1209"/>
      </w:pPr>
      <w:rPr>
        <w:rFonts w:ascii="Symbol" w:hAnsi="Symbol" w:hint="default"/>
      </w:rPr>
    </w:lvl>
  </w:abstractNum>
  <w:abstractNum w:abstractNumId="5">
    <w:nsid w:val="FFFFFF82"/>
    <w:multiLevelType w:val="singleLevel"/>
    <w:tmpl w:val="8C9CB6C2"/>
    <w:lvl w:ilvl="0">
      <w:start w:val="1"/>
      <w:numFmt w:val="bullet"/>
      <w:lvlText w:val=""/>
      <w:lvlJc w:val="left"/>
      <w:pPr>
        <w:tabs>
          <w:tab w:pos="926" w:val="num"/>
        </w:tabs>
        <w:ind w:hanging="360" w:left="926"/>
      </w:pPr>
      <w:rPr>
        <w:rFonts w:ascii="Symbol" w:hAnsi="Symbol" w:hint="default"/>
      </w:rPr>
    </w:lvl>
  </w:abstractNum>
  <w:abstractNum w:abstractNumId="6">
    <w:nsid w:val="FFFFFF83"/>
    <w:multiLevelType w:val="singleLevel"/>
    <w:tmpl w:val="A440C77C"/>
    <w:lvl w:ilvl="0">
      <w:start w:val="1"/>
      <w:numFmt w:val="bullet"/>
      <w:lvlText w:val=""/>
      <w:lvlJc w:val="left"/>
      <w:pPr>
        <w:tabs>
          <w:tab w:pos="643" w:val="num"/>
        </w:tabs>
        <w:ind w:hanging="360" w:left="643"/>
      </w:pPr>
      <w:rPr>
        <w:rFonts w:ascii="Symbol" w:hAnsi="Symbol" w:hint="default"/>
      </w:rPr>
    </w:lvl>
  </w:abstractNum>
  <w:abstractNum w:abstractNumId="7">
    <w:nsid w:val="FFFFFF89"/>
    <w:multiLevelType w:val="singleLevel"/>
    <w:tmpl w:val="19F6391E"/>
    <w:lvl w:ilvl="0">
      <w:start w:val="1"/>
      <w:numFmt w:val="bullet"/>
      <w:lvlText w:val=""/>
      <w:lvlJc w:val="left"/>
      <w:pPr>
        <w:tabs>
          <w:tab w:pos="360" w:val="num"/>
        </w:tabs>
        <w:ind w:hanging="360" w:left="360"/>
      </w:pPr>
      <w:rPr>
        <w:rFonts w:ascii="Symbol" w:hAnsi="Symbol" w:hint="default"/>
      </w:rPr>
    </w:lvl>
  </w:abstractNum>
  <w:abstractNum w:abstractNumId="8">
    <w:nsid w:val="158A9882"/>
    <w:multiLevelType w:val="multilevel"/>
    <w:tmpl w:val="3106F92A"/>
    <w:lvl w:ilvl="0">
      <w:start w:val="1"/>
      <w:numFmt w:val="decimal"/>
      <w:lvlText w:val="(%1)"/>
      <w:lvlJc w:val="left"/>
      <w:pPr>
        <w:tabs>
          <w:tab w:pos="0" w:val="num"/>
        </w:tabs>
        <w:ind w:hanging="480" w:left="480"/>
      </w:pPr>
    </w:lvl>
    <w:lvl w:ilvl="1">
      <w:start w:val="1"/>
      <w:numFmt w:val="decimal"/>
      <w:lvlText w:val="(%2)"/>
      <w:lvlJc w:val="left"/>
      <w:pPr>
        <w:tabs>
          <w:tab w:pos="720" w:val="num"/>
        </w:tabs>
        <w:ind w:hanging="480" w:left="1200"/>
      </w:pPr>
    </w:lvl>
    <w:lvl w:ilvl="2">
      <w:start w:val="1"/>
      <w:numFmt w:val="decimal"/>
      <w:lvlText w:val="(%3)"/>
      <w:lvlJc w:val="left"/>
      <w:pPr>
        <w:tabs>
          <w:tab w:pos="1440" w:val="num"/>
        </w:tabs>
        <w:ind w:hanging="480" w:left="1920"/>
      </w:pPr>
    </w:lvl>
    <w:lvl w:ilvl="3">
      <w:start w:val="1"/>
      <w:numFmt w:val="decimal"/>
      <w:lvlText w:val="(%4)"/>
      <w:lvlJc w:val="left"/>
      <w:pPr>
        <w:tabs>
          <w:tab w:pos="2160" w:val="num"/>
        </w:tabs>
        <w:ind w:hanging="480" w:left="2640"/>
      </w:pPr>
    </w:lvl>
    <w:lvl w:ilvl="4">
      <w:start w:val="1"/>
      <w:numFmt w:val="decimal"/>
      <w:lvlText w:val="(%5)"/>
      <w:lvlJc w:val="left"/>
      <w:pPr>
        <w:tabs>
          <w:tab w:pos="2880" w:val="num"/>
        </w:tabs>
        <w:ind w:hanging="480" w:left="3360"/>
      </w:pPr>
    </w:lvl>
    <w:lvl w:ilvl="5">
      <w:start w:val="1"/>
      <w:numFmt w:val="decimal"/>
      <w:lvlText w:val="(%6)"/>
      <w:lvlJc w:val="left"/>
      <w:pPr>
        <w:tabs>
          <w:tab w:pos="3600" w:val="num"/>
        </w:tabs>
        <w:ind w:hanging="480" w:left="4080"/>
      </w:pPr>
    </w:lvl>
    <w:lvl w:ilvl="6">
      <w:start w:val="1"/>
      <w:numFmt w:val="decimal"/>
      <w:lvlText w:val="(%7)"/>
      <w:lvlJc w:val="left"/>
      <w:pPr>
        <w:tabs>
          <w:tab w:pos="4320" w:val="num"/>
        </w:tabs>
        <w:ind w:hanging="480" w:left="4800"/>
      </w:pPr>
    </w:lvl>
    <w:lvl w:ilvl="7">
      <w:numFmt w:val="decimal"/>
      <w:lvlText w:val=""/>
      <w:lvlJc w:val="left"/>
    </w:lvl>
    <w:lvl w:ilvl="8">
      <w:numFmt w:val="decimal"/>
      <w:lvlText w:val=""/>
      <w:lvlJc w:val="left"/>
    </w:lvl>
  </w:abstractNum>
  <w:abstractNum w:abstractNumId="9">
    <w:nsid w:val="3D4ABF41"/>
    <w:multiLevelType w:val="multilevel"/>
    <w:tmpl w:val="4C74926A"/>
    <w:lvl w:ilvl="0">
      <w:start w:val="2"/>
      <w:numFmt w:val="decimal"/>
      <w:lvlText w:val="(%1)"/>
      <w:lvlJc w:val="left"/>
      <w:pPr>
        <w:tabs>
          <w:tab w:pos="0" w:val="num"/>
        </w:tabs>
        <w:ind w:hanging="480" w:left="480"/>
      </w:pPr>
    </w:lvl>
    <w:lvl w:ilvl="1">
      <w:start w:val="2"/>
      <w:numFmt w:val="decimal"/>
      <w:lvlText w:val="(%2)"/>
      <w:lvlJc w:val="left"/>
      <w:pPr>
        <w:tabs>
          <w:tab w:pos="720" w:val="num"/>
        </w:tabs>
        <w:ind w:hanging="480" w:left="1200"/>
      </w:pPr>
    </w:lvl>
    <w:lvl w:ilvl="2">
      <w:start w:val="2"/>
      <w:numFmt w:val="decimal"/>
      <w:lvlText w:val="(%3)"/>
      <w:lvlJc w:val="left"/>
      <w:pPr>
        <w:tabs>
          <w:tab w:pos="1440" w:val="num"/>
        </w:tabs>
        <w:ind w:hanging="480" w:left="1920"/>
      </w:pPr>
    </w:lvl>
    <w:lvl w:ilvl="3">
      <w:start w:val="2"/>
      <w:numFmt w:val="decimal"/>
      <w:lvlText w:val="(%4)"/>
      <w:lvlJc w:val="left"/>
      <w:pPr>
        <w:tabs>
          <w:tab w:pos="2160" w:val="num"/>
        </w:tabs>
        <w:ind w:hanging="480" w:left="2640"/>
      </w:pPr>
    </w:lvl>
    <w:lvl w:ilvl="4">
      <w:start w:val="2"/>
      <w:numFmt w:val="decimal"/>
      <w:lvlText w:val="(%5)"/>
      <w:lvlJc w:val="left"/>
      <w:pPr>
        <w:tabs>
          <w:tab w:pos="2880" w:val="num"/>
        </w:tabs>
        <w:ind w:hanging="480" w:left="3360"/>
      </w:pPr>
    </w:lvl>
    <w:lvl w:ilvl="5">
      <w:start w:val="2"/>
      <w:numFmt w:val="decimal"/>
      <w:lvlText w:val="(%6)"/>
      <w:lvlJc w:val="left"/>
      <w:pPr>
        <w:tabs>
          <w:tab w:pos="3600" w:val="num"/>
        </w:tabs>
        <w:ind w:hanging="480" w:left="4080"/>
      </w:pPr>
    </w:lvl>
    <w:lvl w:ilvl="6">
      <w:start w:val="2"/>
      <w:numFmt w:val="decimal"/>
      <w:lvlText w:val="(%7)"/>
      <w:lvlJc w:val="left"/>
      <w:pPr>
        <w:tabs>
          <w:tab w:pos="4320" w:val="num"/>
        </w:tabs>
        <w:ind w:hanging="480" w:left="4800"/>
      </w:pPr>
    </w:lvl>
    <w:lvl w:ilvl="7">
      <w:numFmt w:val="decimal"/>
      <w:lvlText w:val=""/>
      <w:lvlJc w:val="left"/>
    </w:lvl>
    <w:lvl w:ilvl="8">
      <w:numFmt w:val="decimal"/>
      <w:lvlText w:val=""/>
      <w:lvlJc w:val="left"/>
    </w:lvl>
  </w:abstractNum>
  <w:abstractNum w:abstractNumId="10">
    <w:nsid w:val="4AE73AA5"/>
    <w:multiLevelType w:val="multilevel"/>
    <w:tmpl w:val="9CD4E858"/>
    <w:lvl w:ilvl="0">
      <w:numFmt w:val="bullet"/>
      <w:lvlText w:val=" "/>
      <w:lvlJc w:val="left"/>
      <w:pPr>
        <w:tabs>
          <w:tab w:pos="0" w:val="num"/>
        </w:tabs>
        <w:ind w:hanging="480" w:left="480"/>
      </w:pPr>
    </w:lvl>
    <w:lvl w:ilvl="1">
      <w:numFmt w:val="bullet"/>
      <w:lvlText w:val=" "/>
      <w:lvlJc w:val="left"/>
      <w:pPr>
        <w:tabs>
          <w:tab w:pos="720" w:val="num"/>
        </w:tabs>
        <w:ind w:hanging="480" w:left="1200"/>
      </w:pPr>
    </w:lvl>
    <w:lvl w:ilvl="2">
      <w:numFmt w:val="bullet"/>
      <w:lvlText w:val=" "/>
      <w:lvlJc w:val="left"/>
      <w:pPr>
        <w:tabs>
          <w:tab w:pos="1440" w:val="num"/>
        </w:tabs>
        <w:ind w:hanging="480" w:left="1920"/>
      </w:pPr>
    </w:lvl>
    <w:lvl w:ilvl="3">
      <w:numFmt w:val="bullet"/>
      <w:lvlText w:val=" "/>
      <w:lvlJc w:val="left"/>
      <w:pPr>
        <w:tabs>
          <w:tab w:pos="2160" w:val="num"/>
        </w:tabs>
        <w:ind w:hanging="480" w:left="2640"/>
      </w:pPr>
    </w:lvl>
    <w:lvl w:ilvl="4">
      <w:numFmt w:val="bullet"/>
      <w:lvlText w:val=" "/>
      <w:lvlJc w:val="left"/>
      <w:pPr>
        <w:tabs>
          <w:tab w:pos="2880" w:val="num"/>
        </w:tabs>
        <w:ind w:hanging="480" w:left="3360"/>
      </w:pPr>
    </w:lvl>
    <w:lvl w:ilvl="5">
      <w:numFmt w:val="bullet"/>
      <w:lvlText w:val=" "/>
      <w:lvlJc w:val="left"/>
      <w:pPr>
        <w:tabs>
          <w:tab w:pos="3600" w:val="num"/>
        </w:tabs>
        <w:ind w:hanging="480" w:left="4080"/>
      </w:pPr>
    </w:lvl>
    <w:lvl w:ilvl="6">
      <w:numFmt w:val="bullet"/>
      <w:lvlText w:val=" "/>
      <w:lvlJc w:val="left"/>
      <w:pPr>
        <w:tabs>
          <w:tab w:pos="4320" w:val="num"/>
        </w:tabs>
        <w:ind w:hanging="480" w:left="4800"/>
      </w:pPr>
    </w:lvl>
    <w:lvl w:ilvl="7">
      <w:numFmt w:val="decimal"/>
      <w:lvlText w:val=""/>
      <w:lvlJc w:val="left"/>
    </w:lvl>
    <w:lvl w:ilvl="8">
      <w:numFmt w:val="decimal"/>
      <w:lvlText w:val=""/>
      <w:lvlJc w:val="left"/>
    </w:lvl>
  </w:abstractNum>
  <w:abstractNum w:abstractNumId="11">
    <w:nsid w:val="6201F114"/>
    <w:multiLevelType w:val="multilevel"/>
    <w:tmpl w:val="B6380E94"/>
    <w:lvl w:ilvl="0">
      <w:numFmt w:val="bullet"/>
      <w:lvlText w:val=" "/>
      <w:lvlJc w:val="left"/>
      <w:pPr>
        <w:tabs>
          <w:tab w:pos="0" w:val="num"/>
        </w:tabs>
        <w:ind w:hanging="480" w:left="480"/>
      </w:pPr>
    </w:lvl>
    <w:lvl w:ilvl="1">
      <w:numFmt w:val="bullet"/>
      <w:lvlText w:val=" "/>
      <w:lvlJc w:val="left"/>
      <w:pPr>
        <w:tabs>
          <w:tab w:pos="720" w:val="num"/>
        </w:tabs>
        <w:ind w:hanging="480" w:left="1200"/>
      </w:pPr>
    </w:lvl>
    <w:lvl w:ilvl="2">
      <w:numFmt w:val="bullet"/>
      <w:lvlText w:val=" "/>
      <w:lvlJc w:val="left"/>
      <w:pPr>
        <w:tabs>
          <w:tab w:pos="1440" w:val="num"/>
        </w:tabs>
        <w:ind w:hanging="480" w:left="1920"/>
      </w:pPr>
    </w:lvl>
    <w:lvl w:ilvl="3">
      <w:numFmt w:val="bullet"/>
      <w:lvlText w:val=" "/>
      <w:lvlJc w:val="left"/>
      <w:pPr>
        <w:tabs>
          <w:tab w:pos="2160" w:val="num"/>
        </w:tabs>
        <w:ind w:hanging="480" w:left="2640"/>
      </w:pPr>
    </w:lvl>
    <w:lvl w:ilvl="4">
      <w:numFmt w:val="bullet"/>
      <w:lvlText w:val=" "/>
      <w:lvlJc w:val="left"/>
      <w:pPr>
        <w:tabs>
          <w:tab w:pos="2880" w:val="num"/>
        </w:tabs>
        <w:ind w:hanging="480" w:left="3360"/>
      </w:pPr>
    </w:lvl>
    <w:lvl w:ilvl="5">
      <w:numFmt w:val="bullet"/>
      <w:lvlText w:val=" "/>
      <w:lvlJc w:val="left"/>
      <w:pPr>
        <w:tabs>
          <w:tab w:pos="3600" w:val="num"/>
        </w:tabs>
        <w:ind w:hanging="480" w:left="4080"/>
      </w:pPr>
    </w:lvl>
    <w:lvl w:ilvl="6">
      <w:numFmt w:val="bullet"/>
      <w:lvlText w:val=" "/>
      <w:lvlJc w:val="left"/>
      <w:pPr>
        <w:tabs>
          <w:tab w:pos="4320" w:val="num"/>
        </w:tabs>
        <w:ind w:hanging="480" w:left="4800"/>
      </w:pPr>
    </w:lvl>
    <w:lvl w:ilvl="7">
      <w:numFmt w:val="decimal"/>
      <w:lvlText w:val=""/>
      <w:lvlJc w:val="left"/>
    </w:lvl>
    <w:lvl w:ilvl="8">
      <w:numFmt w:val="decimal"/>
      <w:lvlText w:val=""/>
      <w:lvlJc w:val="left"/>
    </w:lvl>
  </w:abstractNum>
  <w:abstractNum w:abstractNumId="12">
    <w:nsid w:val="75C20D2B"/>
    <w:multiLevelType w:val="multilevel"/>
    <w:tmpl w:val="7AF23D68"/>
    <w:lvl w:ilvl="0">
      <w:start w:val="3"/>
      <w:numFmt w:val="decimal"/>
      <w:lvlText w:val="(%1)"/>
      <w:lvlJc w:val="left"/>
      <w:pPr>
        <w:tabs>
          <w:tab w:pos="0" w:val="num"/>
        </w:tabs>
        <w:ind w:hanging="480" w:left="480"/>
      </w:pPr>
    </w:lvl>
    <w:lvl w:ilvl="1">
      <w:start w:val="3"/>
      <w:numFmt w:val="decimal"/>
      <w:lvlText w:val="(%2)"/>
      <w:lvlJc w:val="left"/>
      <w:pPr>
        <w:tabs>
          <w:tab w:pos="720" w:val="num"/>
        </w:tabs>
        <w:ind w:hanging="480" w:left="1200"/>
      </w:pPr>
    </w:lvl>
    <w:lvl w:ilvl="2">
      <w:start w:val="3"/>
      <w:numFmt w:val="decimal"/>
      <w:lvlText w:val="(%3)"/>
      <w:lvlJc w:val="left"/>
      <w:pPr>
        <w:tabs>
          <w:tab w:pos="1440" w:val="num"/>
        </w:tabs>
        <w:ind w:hanging="480" w:left="1920"/>
      </w:pPr>
    </w:lvl>
    <w:lvl w:ilvl="3">
      <w:start w:val="3"/>
      <w:numFmt w:val="decimal"/>
      <w:lvlText w:val="(%4)"/>
      <w:lvlJc w:val="left"/>
      <w:pPr>
        <w:tabs>
          <w:tab w:pos="2160" w:val="num"/>
        </w:tabs>
        <w:ind w:hanging="480" w:left="2640"/>
      </w:pPr>
    </w:lvl>
    <w:lvl w:ilvl="4">
      <w:start w:val="3"/>
      <w:numFmt w:val="decimal"/>
      <w:lvlText w:val="(%5)"/>
      <w:lvlJc w:val="left"/>
      <w:pPr>
        <w:tabs>
          <w:tab w:pos="2880" w:val="num"/>
        </w:tabs>
        <w:ind w:hanging="480" w:left="3360"/>
      </w:pPr>
    </w:lvl>
    <w:lvl w:ilvl="5">
      <w:start w:val="3"/>
      <w:numFmt w:val="decimal"/>
      <w:lvlText w:val="(%6)"/>
      <w:lvlJc w:val="left"/>
      <w:pPr>
        <w:tabs>
          <w:tab w:pos="3600" w:val="num"/>
        </w:tabs>
        <w:ind w:hanging="480" w:left="4080"/>
      </w:pPr>
    </w:lvl>
    <w:lvl w:ilvl="6">
      <w:start w:val="3"/>
      <w:numFmt w:val="decimal"/>
      <w:lvlText w:val="(%7)"/>
      <w:lvlJc w:val="left"/>
      <w:pPr>
        <w:tabs>
          <w:tab w:pos="4320" w:val="num"/>
        </w:tabs>
        <w:ind w:hanging="480" w:left="4800"/>
      </w:pPr>
    </w:lvl>
    <w:lvl w:ilvl="7">
      <w:numFmt w:val="decimal"/>
      <w:lvlText w:val=""/>
      <w:lvlJc w:val="left"/>
    </w:lvl>
    <w:lvl w:ilvl="8">
      <w:numFmt w:val="decimal"/>
      <w:lvlText w:val=""/>
      <w:lvlJc w:val="left"/>
    </w:lvl>
  </w:abstractNum>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
    <w:abstractNumId w:val="1"/>
  </w:num>
  <w:num w:numId="2">
    <w:abstractNumId w:val="11"/>
  </w:num>
  <w:num w:numId="3">
    <w:abstractNumId w:val="0"/>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num>
  <w:num w:numId="5">
    <w:abstractNumId w:val="10"/>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num>
  <w:num w:numId="7">
    <w:abstractNumId w:val="9"/>
    <w:lvlOverride w:ilvl="0">
      <w:startOverride w:val="2"/>
    </w:lvlOverride>
    <w:lvlOverride w:ilvl="1">
      <w:startOverride w:val="2"/>
    </w:lvlOverride>
    <w:lvlOverride w:ilvl="2">
      <w:startOverride w:val="2"/>
    </w:lvlOverride>
    <w:lvlOverride w:ilvl="3">
      <w:startOverride w:val="2"/>
    </w:lvlOverride>
    <w:lvlOverride w:ilvl="4">
      <w:startOverride w:val="2"/>
    </w:lvlOverride>
    <w:lvlOverride w:ilvl="5">
      <w:startOverride w:val="2"/>
    </w:lvlOverride>
    <w:lvlOverride w:ilvl="6">
      <w:startOverride w:val="2"/>
    </w:lvlOverride>
  </w:num>
  <w:num w:numId="8">
    <w:abstractNumId w:val="12"/>
    <w:lvlOverride w:ilvl="0">
      <w:startOverride w:val="3"/>
    </w:lvlOverride>
    <w:lvlOverride w:ilvl="1">
      <w:startOverride w:val="3"/>
    </w:lvlOverride>
    <w:lvlOverride w:ilvl="2">
      <w:startOverride w:val="3"/>
    </w:lvlOverride>
    <w:lvlOverride w:ilvl="3">
      <w:startOverride w:val="3"/>
    </w:lvlOverride>
    <w:lvlOverride w:ilvl="4">
      <w:startOverride w:val="3"/>
    </w:lvlOverride>
    <w:lvlOverride w:ilvl="5">
      <w:startOverride w:val="3"/>
    </w:lvlOverride>
    <w:lvlOverride w:ilvl="6">
      <w:startOverride w:val="3"/>
    </w:lvlOverride>
  </w:num>
  <w:num w:numId="9">
    <w:abstractNumId w:val="7"/>
  </w:num>
  <w:num w:numId="10">
    <w:abstractNumId w:val="6"/>
  </w:num>
  <w:num w:numId="11">
    <w:abstractNumId w:val="5"/>
  </w:num>
  <w:num w:numId="12">
    <w:abstractNumId w:val="4"/>
  </w:num>
  <w:num w:numId="13">
    <w:abstractNumId w:val="3"/>
  </w: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savePreviewPicture/>
  <w:rsids>
  </w:rsids>
  <w:clrSchemeMapping w:accent1="accent1" w:accent2="accent2" w:accent3="accent3" w:accent4="accent4" w:accent5="accent5" w:accent6="accent6" w:bg1="light1" w:bg2="light2" w:followedHyperlink="followedHyperlink" w:hyperlink="hyperlink" w:t1="dark1" w:t2="dark2"/>
  <w:zoom w:percent="159" w:val="bestFit"/>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compat>
    <w:compatSetting w:name="compatibilityMode" w:uri="http://schemas.microsoft.com/office/word" w:val="12"/>
  </w:compat>
  <m:mathPr>
    <m:mathFont m:val="Cambria Math"/>
    <m:brkBin m:val="before"/>
    <m:brkBinSub m:val="--"/>
    <m:smallFrac m:val="0"/>
    <m:dispDef m:val="0"/>
    <m:lMargin m:val="0"/>
    <m:rMargin m:val="0"/>
    <m:defJc m:val="centerGroup"/>
    <m:wrapRight/>
    <m:intLim m:val="subSup"/>
    <m:naryLim m:val="subSup"/>
  </m:mathPr>
  <w:themeFontLang w:val="en-U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67" w:defLockedState="0" w:defQFormat="0" w:defSemiHidden="0" w:defUIPriority="0" w:defUnhideWhenUsed="0">
    <w:lsdException w:name="heading 6" w:qFormat="1"/>
    <w:lsdException w:name="footer" w:uiPriority="99"/>
  </w:latentStyles>
  <w:style w:default="1" w:styleId="Normal" w:type="paragraph">
    <w:name w:val="Normal"/>
    <w:qFormat/>
    <w:rsid w:val="006C57ED"/>
    <w:pPr>
      <w:spacing w:after="180" w:before="180" w:line="360" w:lineRule="auto"/>
    </w:pPr>
    <w:rPr>
      <w:sz w:val="20"/>
    </w:rPr>
  </w:style>
  <w:style w:styleId="Heading1" w:type="paragraph">
    <w:name w:val="heading 1"/>
    <w:basedOn w:val="Normal"/>
    <w:next w:val="Normal"/>
    <w:uiPriority w:val="9"/>
    <w:qFormat/>
    <w:rsid w:val="006C57ED"/>
    <w:pPr>
      <w:keepNext/>
      <w:keepLines/>
      <w:spacing w:after="120" w:before="600"/>
      <w:outlineLvl w:val="0"/>
    </w:pPr>
    <w:rPr>
      <w:rFonts w:asciiTheme="majorHAnsi" w:cstheme="majorBidi" w:eastAsiaTheme="majorEastAsia" w:hAnsiTheme="majorHAnsi"/>
      <w:b/>
      <w:bCs/>
      <w:sz w:val="22"/>
      <w:szCs w:val="32"/>
    </w:rPr>
  </w:style>
  <w:style w:styleId="Heading2" w:type="paragraph">
    <w:name w:val="heading 2"/>
    <w:basedOn w:val="Normal"/>
    <w:next w:val="Normal"/>
    <w:uiPriority w:val="9"/>
    <w:unhideWhenUsed/>
    <w:qFormat/>
    <w:rsid w:val="006C57ED"/>
    <w:pPr>
      <w:keepNext/>
      <w:keepLines/>
      <w:spacing w:after="120" w:before="320"/>
      <w:outlineLvl w:val="1"/>
    </w:pPr>
    <w:rPr>
      <w:rFonts w:asciiTheme="majorHAnsi" w:cstheme="majorBidi" w:eastAsiaTheme="majorEastAsia" w:hAnsiTheme="majorHAnsi"/>
      <w:b/>
      <w:bCs/>
      <w:szCs w:val="32"/>
    </w:rPr>
  </w:style>
  <w:style w:styleId="Heading3" w:type="paragraph">
    <w:name w:val="heading 3"/>
    <w:basedOn w:val="Heading2"/>
    <w:next w:val="Normal"/>
    <w:uiPriority w:val="9"/>
    <w:unhideWhenUsed/>
    <w:qFormat/>
    <w:rsid w:val="00502A41"/>
    <w:pPr>
      <w:outlineLvl w:val="2"/>
    </w:pPr>
    <w:rPr>
      <w:sz w:val="18"/>
    </w:rPr>
  </w:style>
  <w:style w:styleId="Heading4" w:type="paragraph">
    <w:name w:val="heading 4"/>
    <w:basedOn w:val="Heading3"/>
    <w:next w:val="Normal"/>
    <w:uiPriority w:val="9"/>
    <w:unhideWhenUsed/>
    <w:qFormat/>
    <w:rsid w:val="00792BF1"/>
    <w:pPr>
      <w:outlineLvl w:val="3"/>
    </w:pPr>
    <w:rPr>
      <w:lang w:val="es-ES"/>
    </w:rPr>
  </w:style>
  <w:style w:styleId="Heading5" w:type="paragraph">
    <w:name w:val="heading 5"/>
    <w:basedOn w:val="Heading4"/>
    <w:next w:val="Normal"/>
    <w:uiPriority w:val="9"/>
    <w:unhideWhenUsed/>
    <w:qFormat/>
    <w:rsid w:val="002D03B3"/>
    <w:pPr>
      <w:outlineLvl w:val="4"/>
    </w:pPr>
  </w:style>
  <w:style w:styleId="Heading6" w:type="paragraph">
    <w:name w:val="heading 6"/>
    <w:basedOn w:val="Normal"/>
    <w:next w:val="Normal"/>
    <w:link w:val="Heading6Char"/>
    <w:qFormat/>
    <w:rsid w:val="00380EBE"/>
    <w:pPr>
      <w:keepNext/>
      <w:keepLines/>
      <w:pageBreakBefore/>
      <w:spacing w:after="0" w:before="200"/>
      <w:outlineLvl w:val="5"/>
    </w:pPr>
    <w:rPr>
      <w:rFonts w:asciiTheme="majorHAnsi" w:cstheme="majorBidi" w:eastAsiaTheme="majorEastAsia" w:hAnsiTheme="majorHAnsi"/>
      <w:iCs/>
    </w:rPr>
  </w:style>
  <w:style w:default="1" w:styleId="DefaultParagraphFont" w:type="character">
    <w:name w:val="Default Paragraph Font"/>
    <w:uiPriority w:val="1"/>
    <w:semiHidden/>
    <w:unhideWhenUsed/>
  </w:style>
  <w:style w:default="1" w:styleId="TableNormal" w:type="table">
    <w:name w:val="Normal Table"/>
    <w:uiPriority w:val="99"/>
    <w:semiHidden/>
    <w:unhideWhenUsed/>
    <w:tblPr>
      <w:tblInd w:type="dxa" w:w="0"/>
      <w:tblCellMar>
        <w:top w:type="dxa" w:w="0"/>
        <w:left w:type="dxa" w:w="108"/>
        <w:bottom w:type="dxa" w:w="0"/>
        <w:right w:type="dxa" w:w="108"/>
      </w:tblCellMar>
    </w:tblPr>
  </w:style>
  <w:style w:default="1" w:styleId="NoList" w:type="numbering">
    <w:name w:val="No List"/>
    <w:uiPriority w:val="99"/>
    <w:semiHidden/>
    <w:unhideWhenUsed/>
  </w:style>
  <w:style w:customStyle="1" w:styleId="Compact" w:type="paragraph">
    <w:name w:val="Compact"/>
    <w:basedOn w:val="Normal"/>
    <w:qFormat/>
    <w:pPr>
      <w:spacing w:after="36" w:before="36"/>
    </w:pPr>
  </w:style>
  <w:style w:styleId="Title" w:type="paragraph">
    <w:name w:val="Title"/>
    <w:basedOn w:val="Normal"/>
    <w:next w:val="Normal"/>
    <w:qFormat/>
    <w:rsid w:val="00EC1535"/>
    <w:pPr>
      <w:keepNext/>
      <w:keepLines/>
      <w:spacing w:after="720" w:before="480"/>
    </w:pPr>
    <w:rPr>
      <w:rFonts w:asciiTheme="majorHAnsi" w:cstheme="majorBidi" w:eastAsiaTheme="majorEastAsia" w:hAnsiTheme="majorHAnsi"/>
      <w:b/>
      <w:bCs/>
      <w:sz w:val="28"/>
      <w:szCs w:val="36"/>
    </w:rPr>
  </w:style>
  <w:style w:styleId="Subtitle" w:type="paragraph">
    <w:name w:val="Subtitle"/>
    <w:basedOn w:val="Title"/>
    <w:next w:val="Normal"/>
    <w:qFormat/>
    <w:pPr>
      <w:spacing w:before="240"/>
    </w:pPr>
    <w:rPr>
      <w:sz w:val="30"/>
      <w:szCs w:val="30"/>
    </w:rPr>
  </w:style>
  <w:style w:customStyle="1" w:styleId="Author" w:type="paragraph">
    <w:name w:val="Author"/>
    <w:next w:val="Normal"/>
    <w:qFormat/>
    <w:rsid w:val="005F1DFC"/>
    <w:pPr>
      <w:keepNext/>
      <w:keepLines/>
      <w:spacing w:after="320" w:before="120"/>
    </w:pPr>
    <w:rPr>
      <w:rFonts w:ascii="Arial" w:hAnsi="Arial"/>
      <w:sz w:val="20"/>
    </w:rPr>
  </w:style>
  <w:style w:styleId="Date" w:type="paragraph">
    <w:name w:val="Date"/>
    <w:next w:val="Normal"/>
    <w:qFormat/>
    <w:pPr>
      <w:keepNext/>
      <w:keepLines/>
      <w:jc w:val="center"/>
    </w:pPr>
  </w:style>
  <w:style w:customStyle="1" w:styleId="Abstract" w:type="paragraph">
    <w:name w:val="Abstract"/>
    <w:basedOn w:val="Normal"/>
    <w:next w:val="Normal"/>
    <w:qFormat/>
    <w:pPr>
      <w:keepNext/>
      <w:keepLines/>
      <w:spacing w:after="300" w:before="300"/>
    </w:pPr>
    <w:rPr>
      <w:szCs w:val="20"/>
    </w:rPr>
  </w:style>
  <w:style w:styleId="Bibliography" w:type="paragraph">
    <w:name w:val="Bibliography"/>
    <w:basedOn w:val="Normal"/>
    <w:qFormat/>
    <w:rsid w:val="006C57ED"/>
    <w:pPr>
      <w:ind w:hanging="567" w:left="567"/>
    </w:pPr>
  </w:style>
  <w:style w:customStyle="1" w:styleId="BlockQuote" w:type="paragraph">
    <w:name w:val="Block Quote"/>
    <w:basedOn w:val="Normal"/>
    <w:next w:val="Normal"/>
    <w:uiPriority w:val="9"/>
    <w:unhideWhenUsed/>
    <w:qFormat/>
    <w:rsid w:val="00975FD8"/>
    <w:pPr>
      <w:spacing w:after="100" w:before="100" w:line="240" w:lineRule="auto"/>
    </w:pPr>
    <w:rPr>
      <w:rFonts w:asciiTheme="majorHAnsi" w:cstheme="majorBidi" w:eastAsiaTheme="majorEastAsia" w:hAnsiTheme="majorHAnsi"/>
      <w:bCs/>
      <w:szCs w:val="20"/>
    </w:rPr>
  </w:style>
  <w:style w:styleId="FootnoteText" w:type="paragraph">
    <w:name w:val="footnote text"/>
    <w:basedOn w:val="Normal"/>
    <w:uiPriority w:val="9"/>
    <w:unhideWhenUsed/>
    <w:qFormat/>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BodyText" w:type="paragraph">
    <w:name w:val="Body Text"/>
    <w:basedOn w:val="Normal"/>
    <w:link w:val="BodyTextChar1"/>
    <w:pPr>
      <w:spacing w:after="120"/>
    </w:pPr>
  </w:style>
  <w:style w:customStyle="1" w:styleId="TableCaption" w:type="paragraph">
    <w:name w:val="Table Caption"/>
    <w:basedOn w:val="Normal"/>
    <w:pPr>
      <w:spacing w:after="120" w:before="0"/>
    </w:pPr>
    <w:rPr>
      <w:i/>
    </w:rPr>
  </w:style>
  <w:style w:customStyle="1" w:styleId="ImageCaption" w:type="paragraph">
    <w:name w:val="Image Caption"/>
    <w:basedOn w:val="Normal"/>
    <w:link w:val="BodyTextChar"/>
    <w:pPr>
      <w:spacing w:after="120" w:before="0"/>
    </w:pPr>
    <w:rPr>
      <w:i/>
    </w:rPr>
  </w:style>
  <w:style w:customStyle="1" w:styleId="BodyTextChar" w:type="character">
    <w:name w:val="Body Text Char"/>
    <w:basedOn w:val="DefaultParagraphFont"/>
    <w:link w:val="ImageCaption"/>
  </w:style>
  <w:style w:customStyle="1" w:styleId="VerbatimChar" w:type="character">
    <w:name w:val="Verbatim Char"/>
    <w:basedOn w:val="BodyTextChar"/>
    <w:link w:val="SourceCode"/>
    <w:rPr>
      <w:rFonts w:ascii="Consolas" w:hAnsi="Consolas"/>
      <w:sz w:val="22"/>
    </w:rPr>
  </w:style>
  <w:style w:customStyle="1" w:styleId="FootnoteRef" w:type="character">
    <w:name w:val="Footnote Ref"/>
    <w:basedOn w:val="BodyTextChar"/>
    <w:rPr>
      <w:vertAlign w:val="superscript"/>
    </w:rPr>
  </w:style>
  <w:style w:customStyle="1" w:styleId="Link" w:type="character">
    <w:name w:val="Link"/>
    <w:basedOn w:val="BodyTextChar"/>
    <w:rPr>
      <w:color w:themeColor="accent1" w:val="4F81BD"/>
    </w:rPr>
  </w:style>
  <w:style w:customStyle="1" w:styleId="SourceCode0" w:type="paragraph">
    <w:name w:val="Source Code"/>
    <w:basedOn w:val="Normal"/>
    <w:pPr>
      <w:wordWrap w:val="0"/>
    </w:pPr>
  </w:style>
  <w:style w:customStyle="1" w:styleId="KeywordTok" w:type="character">
    <w:name w:val="KeywordTok"/>
    <w:basedOn w:val="VerbatimChar"/>
    <w:rPr>
      <w:rFonts w:ascii="Consolas" w:hAnsi="Consolas"/>
      <w:b/>
      <w:color w:val="007020"/>
      <w:sz w:val="22"/>
    </w:rPr>
  </w:style>
  <w:style w:customStyle="1" w:styleId="DataTypeTok" w:type="character">
    <w:name w:val="DataTypeTok"/>
    <w:basedOn w:val="VerbatimChar"/>
    <w:rPr>
      <w:rFonts w:ascii="Consolas" w:hAnsi="Consolas"/>
      <w:color w:val="902000"/>
      <w:sz w:val="22"/>
    </w:rPr>
  </w:style>
  <w:style w:customStyle="1" w:styleId="DecValTok" w:type="character">
    <w:name w:val="DecValTok"/>
    <w:basedOn w:val="VerbatimChar"/>
    <w:rPr>
      <w:rFonts w:ascii="Consolas" w:hAnsi="Consolas"/>
      <w:color w:val="40A070"/>
      <w:sz w:val="22"/>
    </w:rPr>
  </w:style>
  <w:style w:customStyle="1" w:styleId="BaseNTok" w:type="character">
    <w:name w:val="BaseNTok"/>
    <w:basedOn w:val="VerbatimChar"/>
    <w:rPr>
      <w:rFonts w:ascii="Consolas" w:hAnsi="Consolas"/>
      <w:color w:val="40A070"/>
      <w:sz w:val="22"/>
    </w:rPr>
  </w:style>
  <w:style w:customStyle="1" w:styleId="FloatTok" w:type="character">
    <w:name w:val="FloatTok"/>
    <w:basedOn w:val="VerbatimChar"/>
    <w:rPr>
      <w:rFonts w:ascii="Consolas" w:hAnsi="Consolas"/>
      <w:color w:val="40A070"/>
      <w:sz w:val="22"/>
    </w:rPr>
  </w:style>
  <w:style w:customStyle="1" w:styleId="CharTok" w:type="character">
    <w:name w:val="CharTok"/>
    <w:basedOn w:val="VerbatimChar"/>
    <w:rPr>
      <w:rFonts w:ascii="Consolas" w:hAnsi="Consolas"/>
      <w:color w:val="4070A0"/>
      <w:sz w:val="22"/>
    </w:rPr>
  </w:style>
  <w:style w:customStyle="1" w:styleId="StringTok" w:type="character">
    <w:name w:val="StringTok"/>
    <w:basedOn w:val="VerbatimChar"/>
    <w:rPr>
      <w:rFonts w:ascii="Consolas" w:hAnsi="Consolas"/>
      <w:color w:val="4070A0"/>
      <w:sz w:val="22"/>
    </w:rPr>
  </w:style>
  <w:style w:customStyle="1" w:styleId="CommentTok" w:type="character">
    <w:name w:val="CommentTok"/>
    <w:basedOn w:val="VerbatimChar"/>
    <w:rPr>
      <w:rFonts w:ascii="Consolas" w:hAnsi="Consolas"/>
      <w:i/>
      <w:color w:val="60A0B0"/>
      <w:sz w:val="22"/>
    </w:rPr>
  </w:style>
  <w:style w:customStyle="1" w:styleId="OtherTok" w:type="character">
    <w:name w:val="OtherTok"/>
    <w:basedOn w:val="VerbatimChar"/>
    <w:rPr>
      <w:rFonts w:ascii="Consolas" w:hAnsi="Consolas"/>
      <w:color w:val="007020"/>
      <w:sz w:val="22"/>
    </w:rPr>
  </w:style>
  <w:style w:customStyle="1" w:styleId="AlertTok" w:type="character">
    <w:name w:val="AlertTok"/>
    <w:basedOn w:val="VerbatimChar"/>
    <w:rPr>
      <w:rFonts w:ascii="Consolas" w:hAnsi="Consolas"/>
      <w:b/>
      <w:color w:val="FF0000"/>
      <w:sz w:val="22"/>
    </w:rPr>
  </w:style>
  <w:style w:customStyle="1" w:styleId="FunctionTok" w:type="character">
    <w:name w:val="FunctionTok"/>
    <w:basedOn w:val="VerbatimChar"/>
    <w:rPr>
      <w:rFonts w:ascii="Consolas" w:hAnsi="Consolas"/>
      <w:color w:val="06287E"/>
      <w:sz w:val="22"/>
    </w:rPr>
  </w:style>
  <w:style w:customStyle="1" w:styleId="RegionMarkerTok" w:type="character">
    <w:name w:val="RegionMarkerTok"/>
    <w:basedOn w:val="VerbatimChar"/>
    <w:rPr>
      <w:rFonts w:ascii="Consolas" w:hAnsi="Consolas"/>
      <w:sz w:val="22"/>
    </w:rPr>
  </w:style>
  <w:style w:customStyle="1" w:styleId="ErrorTok" w:type="character">
    <w:name w:val="ErrorTok"/>
    <w:basedOn w:val="VerbatimChar"/>
    <w:rPr>
      <w:rFonts w:ascii="Consolas" w:hAnsi="Consolas"/>
      <w:b/>
      <w:color w:val="FF0000"/>
      <w:sz w:val="22"/>
    </w:rPr>
  </w:style>
  <w:style w:customStyle="1" w:styleId="NormalTok" w:type="character">
    <w:name w:val="NormalTok"/>
    <w:basedOn w:val="VerbatimChar"/>
    <w:rPr>
      <w:rFonts w:ascii="Consolas" w:hAnsi="Consolas"/>
      <w:sz w:val="22"/>
    </w:rPr>
  </w:style>
  <w:style w:customStyle="1" w:styleId="SourceCode" w:type="paragraph">
    <w:name w:val="Source Code"/>
    <w:basedOn w:val="Normal"/>
    <w:link w:val="VerbatimChar"/>
    <w:pPr>
      <w:shd w:color="auto" w:fill="F8F8F8" w:val="clear"/>
      <w:wordWrap w:val="0"/>
    </w:pPr>
  </w:style>
  <w:style w:customStyle="1" w:styleId="KeywordTok0" w:type="character">
    <w:name w:val="KeywordTok"/>
    <w:basedOn w:val="VerbatimChar"/>
    <w:rPr>
      <w:rFonts w:ascii="Consolas" w:hAnsi="Consolas"/>
      <w:b/>
      <w:color w:val="204A87"/>
      <w:sz w:val="22"/>
      <w:shd w:color="auto" w:fill="F8F8F8" w:val="clear"/>
    </w:rPr>
  </w:style>
  <w:style w:customStyle="1" w:styleId="DataTypeTok0" w:type="character">
    <w:name w:val="DataTypeTok"/>
    <w:basedOn w:val="VerbatimChar"/>
    <w:rPr>
      <w:rFonts w:ascii="Consolas" w:hAnsi="Consolas"/>
      <w:color w:val="204A87"/>
      <w:sz w:val="22"/>
      <w:shd w:color="auto" w:fill="F8F8F8" w:val="clear"/>
    </w:rPr>
  </w:style>
  <w:style w:customStyle="1" w:styleId="DecValTok0" w:type="character">
    <w:name w:val="DecValTok"/>
    <w:basedOn w:val="VerbatimChar"/>
    <w:rPr>
      <w:rFonts w:ascii="Consolas" w:hAnsi="Consolas"/>
      <w:color w:val="0000CF"/>
      <w:sz w:val="22"/>
      <w:shd w:color="auto" w:fill="F8F8F8" w:val="clear"/>
    </w:rPr>
  </w:style>
  <w:style w:customStyle="1" w:styleId="BaseNTok0" w:type="character">
    <w:name w:val="BaseNTok"/>
    <w:basedOn w:val="VerbatimChar"/>
    <w:rPr>
      <w:rFonts w:ascii="Consolas" w:hAnsi="Consolas"/>
      <w:color w:val="0000CF"/>
      <w:sz w:val="22"/>
      <w:shd w:color="auto" w:fill="F8F8F8" w:val="clear"/>
    </w:rPr>
  </w:style>
  <w:style w:customStyle="1" w:styleId="FloatTok0" w:type="character">
    <w:name w:val="FloatTok"/>
    <w:basedOn w:val="VerbatimChar"/>
    <w:rPr>
      <w:rFonts w:ascii="Consolas" w:hAnsi="Consolas"/>
      <w:color w:val="0000CF"/>
      <w:sz w:val="22"/>
      <w:shd w:color="auto" w:fill="F8F8F8" w:val="clear"/>
    </w:rPr>
  </w:style>
  <w:style w:customStyle="1" w:styleId="CharTok0" w:type="character">
    <w:name w:val="CharTok"/>
    <w:basedOn w:val="VerbatimChar"/>
    <w:rPr>
      <w:rFonts w:ascii="Consolas" w:hAnsi="Consolas"/>
      <w:color w:val="4E9A06"/>
      <w:sz w:val="22"/>
      <w:shd w:color="auto" w:fill="F8F8F8" w:val="clear"/>
    </w:rPr>
  </w:style>
  <w:style w:customStyle="1" w:styleId="StringTok0" w:type="character">
    <w:name w:val="StringTok"/>
    <w:basedOn w:val="VerbatimChar"/>
    <w:rPr>
      <w:rFonts w:ascii="Consolas" w:hAnsi="Consolas"/>
      <w:color w:val="4E9A06"/>
      <w:sz w:val="22"/>
      <w:shd w:color="auto" w:fill="F8F8F8" w:val="clear"/>
    </w:rPr>
  </w:style>
  <w:style w:customStyle="1" w:styleId="CommentTok0" w:type="character">
    <w:name w:val="CommentTok"/>
    <w:basedOn w:val="VerbatimChar"/>
    <w:rPr>
      <w:rFonts w:ascii="Consolas" w:hAnsi="Consolas"/>
      <w:i/>
      <w:color w:val="8F5902"/>
      <w:sz w:val="22"/>
      <w:shd w:color="auto" w:fill="F8F8F8" w:val="clear"/>
    </w:rPr>
  </w:style>
  <w:style w:customStyle="1" w:styleId="OtherTok0" w:type="character">
    <w:name w:val="OtherTok"/>
    <w:basedOn w:val="VerbatimChar"/>
    <w:rPr>
      <w:rFonts w:ascii="Consolas" w:hAnsi="Consolas"/>
      <w:color w:val="8F5902"/>
      <w:sz w:val="22"/>
      <w:shd w:color="auto" w:fill="F8F8F8" w:val="clear"/>
    </w:rPr>
  </w:style>
  <w:style w:customStyle="1" w:styleId="AlertTok0" w:type="character">
    <w:name w:val="AlertTok"/>
    <w:basedOn w:val="VerbatimChar"/>
    <w:rPr>
      <w:rFonts w:ascii="Consolas" w:hAnsi="Consolas"/>
      <w:color w:val="EF2929"/>
      <w:sz w:val="22"/>
      <w:shd w:color="auto" w:fill="F8F8F8" w:val="clear"/>
    </w:rPr>
  </w:style>
  <w:style w:customStyle="1" w:styleId="FunctionTok0" w:type="character">
    <w:name w:val="FunctionTok"/>
    <w:basedOn w:val="VerbatimChar"/>
    <w:rPr>
      <w:rFonts w:ascii="Consolas" w:hAnsi="Consolas"/>
      <w:color w:val="000000"/>
      <w:sz w:val="22"/>
      <w:shd w:color="auto" w:fill="F8F8F8" w:val="clear"/>
    </w:rPr>
  </w:style>
  <w:style w:customStyle="1" w:styleId="RegionMarkerTok0" w:type="character">
    <w:name w:val="RegionMarkerTok"/>
    <w:basedOn w:val="VerbatimChar"/>
    <w:rPr>
      <w:rFonts w:ascii="Consolas" w:hAnsi="Consolas"/>
      <w:sz w:val="22"/>
      <w:shd w:color="auto" w:fill="F8F8F8" w:val="clear"/>
    </w:rPr>
  </w:style>
  <w:style w:customStyle="1" w:styleId="ErrorTok0" w:type="character">
    <w:name w:val="ErrorTok"/>
    <w:basedOn w:val="VerbatimChar"/>
    <w:rPr>
      <w:rFonts w:ascii="Consolas" w:hAnsi="Consolas"/>
      <w:b/>
      <w:sz w:val="22"/>
      <w:shd w:color="auto" w:fill="F8F8F8" w:val="clear"/>
    </w:rPr>
  </w:style>
  <w:style w:customStyle="1" w:styleId="NormalTok0" w:type="character">
    <w:name w:val="NormalTok"/>
    <w:basedOn w:val="VerbatimChar"/>
    <w:rPr>
      <w:rFonts w:ascii="Consolas" w:hAnsi="Consolas"/>
      <w:sz w:val="22"/>
      <w:shd w:color="auto" w:fill="F8F8F8" w:val="clear"/>
    </w:rPr>
  </w:style>
  <w:style w:styleId="Hyperlink" w:type="character">
    <w:name w:val="Hyperlink"/>
    <w:basedOn w:val="DefaultParagraphFont"/>
    <w:rsid w:val="00A6715F"/>
    <w:rPr>
      <w:color w:themeColor="hyperlink" w:val="0000FF"/>
      <w:u w:val="single"/>
    </w:rPr>
  </w:style>
  <w:style w:customStyle="1" w:styleId="Heading6Char" w:type="character">
    <w:name w:val="Heading 6 Char"/>
    <w:basedOn w:val="DefaultParagraphFont"/>
    <w:link w:val="Heading6"/>
    <w:rsid w:val="00380EBE"/>
    <w:rPr>
      <w:rFonts w:asciiTheme="majorHAnsi" w:cstheme="majorBidi" w:eastAsiaTheme="majorEastAsia" w:hAnsiTheme="majorHAnsi"/>
      <w:iCs/>
      <w:sz w:val="20"/>
    </w:rPr>
  </w:style>
  <w:style w:customStyle="1" w:styleId="BodyTextChar1" w:type="character">
    <w:name w:val="Body Text Char1"/>
    <w:basedOn w:val="DefaultParagraphFont"/>
    <w:link w:val="BodyText"/>
    <w:rsid w:val="00C102C2"/>
    <w:rPr>
      <w:sz w:val="20"/>
    </w:rPr>
  </w:style>
  <w:style w:styleId="LineNumber" w:type="character">
    <w:name w:val="line number"/>
    <w:basedOn w:val="DefaultParagraphFont"/>
    <w:rsid w:val="005620F8"/>
  </w:style>
  <w:style w:styleId="Header" w:type="paragraph">
    <w:name w:val="header"/>
    <w:basedOn w:val="Normal"/>
    <w:link w:val="HeaderChar"/>
    <w:rsid w:val="000B51C4"/>
    <w:pPr>
      <w:tabs>
        <w:tab w:pos="4513" w:val="center"/>
        <w:tab w:pos="9026" w:val="right"/>
      </w:tabs>
      <w:spacing w:after="0" w:before="0" w:line="240" w:lineRule="auto"/>
    </w:pPr>
  </w:style>
  <w:style w:customStyle="1" w:styleId="HeaderChar" w:type="character">
    <w:name w:val="Header Char"/>
    <w:basedOn w:val="DefaultParagraphFont"/>
    <w:link w:val="Header"/>
    <w:rsid w:val="000B51C4"/>
    <w:rPr>
      <w:sz w:val="20"/>
    </w:rPr>
  </w:style>
  <w:style w:styleId="Footer" w:type="paragraph">
    <w:name w:val="footer"/>
    <w:basedOn w:val="Normal"/>
    <w:link w:val="FooterChar"/>
    <w:uiPriority w:val="99"/>
    <w:rsid w:val="000B51C4"/>
    <w:pPr>
      <w:tabs>
        <w:tab w:pos="4513" w:val="center"/>
        <w:tab w:pos="9026" w:val="right"/>
      </w:tabs>
      <w:spacing w:after="0" w:before="0" w:line="240" w:lineRule="auto"/>
    </w:pPr>
  </w:style>
  <w:style w:customStyle="1" w:styleId="FooterChar" w:type="character">
    <w:name w:val="Footer Char"/>
    <w:basedOn w:val="DefaultParagraphFont"/>
    <w:link w:val="Footer"/>
    <w:uiPriority w:val="99"/>
    <w:rsid w:val="000B51C4"/>
    <w:rPr>
      <w:sz w:val="20"/>
    </w:rPr>
  </w:style>
  <w:style w:type="character" w:customStyle="1" w:styleId="ConstantTok">
    <w:name w:val="ConstantTok"/>
    <w:basedOn w:val="VerbatimChar"/>
    <w:rPr>
      <w:color w:val="000000"/>
      <w:shd w:val="clear" w:fill="f8f8f8"/>
    </w:rPr>
  </w:style>
  <w:style w:type="character" w:customStyle="1" w:styleId="SpecialCharTok">
    <w:name w:val="SpecialCharTok"/>
    <w:basedOn w:val="VerbatimChar"/>
    <w:rPr>
      <w:color w:val="000000"/>
      <w:shd w:val="clear" w:fill="f8f8f8"/>
    </w:rPr>
  </w:style>
  <w:style w:type="character" w:customStyle="1" w:styleId="VerbatimStringTok">
    <w:name w:val="VerbatimStringTok"/>
    <w:basedOn w:val="VerbatimChar"/>
    <w:rPr>
      <w:color w:val="4e9a06"/>
      <w:shd w:val="clear" w:fill="f8f8f8"/>
    </w:rPr>
  </w:style>
  <w:style w:type="character" w:customStyle="1" w:styleId="SpecialStringTok">
    <w:name w:val="SpecialStringTok"/>
    <w:basedOn w:val="VerbatimChar"/>
    <w:rPr>
      <w:color w:val="4e9a06"/>
      <w:shd w:val="clear" w:fill="f8f8f8"/>
    </w:rPr>
  </w:style>
  <w:style w:type="character" w:customStyle="1" w:styleId="ImportTok">
    <w:name w:val="ImportTok"/>
    <w:basedOn w:val="VerbatimChar"/>
    <w:rPr>
      <w:shd w:val="clear" w:fill="f8f8f8"/>
    </w:rPr>
  </w:style>
  <w:style w:type="character" w:customStyle="1" w:styleId="DocumentationTok">
    <w:name w:val="DocumentationTok"/>
    <w:basedOn w:val="VerbatimChar"/>
    <w:rPr>
      <w:color w:val="8f5902"/>
      <w:shd w:val="clear" w:fill="f8f8f8"/>
      <w:b/>
      <w:i/>
    </w:rPr>
  </w:style>
  <w:style w:type="character" w:customStyle="1" w:styleId="AnnotationTok">
    <w:name w:val="AnnotationTok"/>
    <w:basedOn w:val="VerbatimChar"/>
    <w:rPr>
      <w:color w:val="8f5902"/>
      <w:shd w:val="clear" w:fill="f8f8f8"/>
      <w:b/>
      <w:i/>
    </w:rPr>
  </w:style>
  <w:style w:type="character" w:customStyle="1" w:styleId="CommentVarTok">
    <w:name w:val="CommentVarTok"/>
    <w:basedOn w:val="VerbatimChar"/>
    <w:rPr>
      <w:color w:val="8f5902"/>
      <w:shd w:val="clear" w:fill="f8f8f8"/>
      <w:b/>
      <w:i/>
    </w:rPr>
  </w:style>
  <w:style w:type="character" w:customStyle="1" w:styleId="VariableTok">
    <w:name w:val="VariableTok"/>
    <w:basedOn w:val="VerbatimChar"/>
    <w:rPr>
      <w:color w:val="000000"/>
      <w:shd w:val="clear" w:fill="f8f8f8"/>
    </w:rPr>
  </w:style>
  <w:style w:type="character" w:customStyle="1" w:styleId="ControlFlowTok">
    <w:name w:val="ControlFlowTok"/>
    <w:basedOn w:val="VerbatimChar"/>
    <w:rPr>
      <w:color w:val="204a87"/>
      <w:shd w:val="clear" w:fill="f8f8f8"/>
      <w:b/>
    </w:rPr>
  </w:style>
  <w:style w:type="character" w:customStyle="1" w:styleId="OperatorTok">
    <w:name w:val="OperatorTok"/>
    <w:basedOn w:val="VerbatimChar"/>
    <w:rPr>
      <w:color w:val="ce5c00"/>
      <w:shd w:val="clear" w:fill="f8f8f8"/>
      <w:b/>
    </w:rPr>
  </w:style>
  <w:style w:type="character" w:customStyle="1" w:styleId="BuiltInTok">
    <w:name w:val="BuiltInTok"/>
    <w:basedOn w:val="VerbatimChar"/>
    <w:rPr>
      <w:shd w:val="clear" w:fill="f8f8f8"/>
    </w:rPr>
  </w:style>
  <w:style w:type="character" w:customStyle="1" w:styleId="ExtensionTok">
    <w:name w:val="ExtensionTok"/>
    <w:basedOn w:val="VerbatimChar"/>
    <w:rPr>
      <w:shd w:val="clear" w:fill="f8f8f8"/>
    </w:rPr>
  </w:style>
  <w:style w:type="character" w:customStyle="1" w:styleId="PreprocessorTok">
    <w:name w:val="PreprocessorTok"/>
    <w:basedOn w:val="VerbatimChar"/>
    <w:rPr>
      <w:color w:val="8f5902"/>
      <w:shd w:val="clear" w:fill="f8f8f8"/>
      <w:i/>
    </w:rPr>
  </w:style>
  <w:style w:type="character" w:customStyle="1" w:styleId="AttributeTok">
    <w:name w:val="AttributeTok"/>
    <w:basedOn w:val="VerbatimChar"/>
    <w:rPr>
      <w:color w:val="c4a000"/>
      <w:shd w:val="clear" w:fill="f8f8f8"/>
    </w:rPr>
  </w:style>
  <w:style w:type="character" w:customStyle="1" w:styleId="InformationTok">
    <w:name w:val="InformationTok"/>
    <w:basedOn w:val="VerbatimChar"/>
    <w:rPr>
      <w:color w:val="8f5902"/>
      <w:shd w:val="clear" w:fill="f8f8f8"/>
      <w:b/>
      <w:i/>
    </w:rPr>
  </w:style>
  <w:style w:type="character" w:customStyle="1" w:styleId="WarningTok">
    <w:name w:val="WarningTok"/>
    <w:basedOn w:val="VerbatimChar"/>
    <w:rPr>
      <w:color w:val="8f5902"/>
      <w:shd w:val="clear" w:fill="f8f8f8"/>
      <w:b/>
      <w: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 Id="rId9" Target="footer1.xml" Type="http://schemas.openxmlformats.org/officeDocument/2006/relationships/footer" /><Relationship Type="http://schemas.openxmlformats.org/officeDocument/2006/relationships/image" Id="rId77" Target="media/rId77.jpg" /><Relationship Type="http://schemas.openxmlformats.org/officeDocument/2006/relationships/image" Id="rId80" Target="media/rId80.jpg" /><Relationship Type="http://schemas.openxmlformats.org/officeDocument/2006/relationships/hyperlink" Id="rId37" Target="Calculating%20basic%20climatic%20indices%20with%20data%20from%20easyclimate" TargetMode="External" /><Relationship Type="http://schemas.openxmlformats.org/officeDocument/2006/relationships/hyperlink" Id="rId35" Target="ftp://palantir.boku.ac.at/Public/ClimateData/" TargetMode="External" /><Relationship Type="http://schemas.openxmlformats.org/officeDocument/2006/relationships/hyperlink" Id="rId38" Target="http://enfin.info" TargetMode="External" /><Relationship Type="http://schemas.openxmlformats.org/officeDocument/2006/relationships/hyperlink" Id="rId41" Target="http://project.fundiveurope.eu/" TargetMode="External" /><Relationship Type="http://schemas.openxmlformats.org/officeDocument/2006/relationships/hyperlink" Id="rId24" Target="https://boku.ac.at/en/wabo/waldbau/wir-ueber-uns/daten" TargetMode="External" /><Relationship Type="http://schemas.openxmlformats.org/officeDocument/2006/relationships/hyperlink" Id="rId40" Target="https://efi.int/knowledge/models/efiscen/inventory" TargetMode="External" /><Relationship Type="http://schemas.openxmlformats.org/officeDocument/2006/relationships/hyperlink" Id="rId23" Target="https://github.com/VeruGHub/easyclimate" TargetMode="External" /><Relationship Type="http://schemas.openxmlformats.org/officeDocument/2006/relationships/hyperlink" Id="rId39" Target="https://more.bham.ac.uk/treemort/datasets/" TargetMode="External" /><Relationship Type="http://schemas.openxmlformats.org/officeDocument/2006/relationships/hyperlink" Id="rId25" Target="https://surfobs.climate.copernicus.eu/dataaccess/access_eobs.php#datafiles" TargetMode="External" /><Relationship Type="http://schemas.openxmlformats.org/officeDocument/2006/relationships/hyperlink" Id="rId33" Target="https://verughub.github.io/easyclimate/articles/climatic-indices.html" TargetMode="External" /><Relationship Type="http://schemas.openxmlformats.org/officeDocument/2006/relationships/hyperlink" Id="rId30" Target="https://verughub.github.io/easyclimate/articles/points-df-mat-sf.html" TargetMode="External" /><Relationship Type="http://schemas.openxmlformats.org/officeDocument/2006/relationships/hyperlink" Id="rId31" Target="https://verughub.github.io/easyclimate/articles/polygons-raster.html" TargetMode="External" /><Relationship Type="http://schemas.openxmlformats.org/officeDocument/2006/relationships/hyperlink" Id="rId29" Target="https://verughub.github.io/easyclimate/reference/get_daily_climate.html" TargetMode="External" /><Relationship Type="http://schemas.openxmlformats.org/officeDocument/2006/relationships/hyperlink" Id="rId26" Target="https://worldclim.org/data/worldclim21.html#" TargetMode="External" /><Relationship Type="http://schemas.openxmlformats.org/officeDocument/2006/relationships/hyperlink" Id="rId27" Target="https://www.cogeo.org" TargetMode="External" /><Relationship Type="http://schemas.openxmlformats.org/officeDocument/2006/relationships/hyperlink" Id="rId32" Target="https://www.tidyverse.org/" TargetMode="External" /><Relationship Type="http://schemas.openxmlformats.org/officeDocument/2006/relationships/hyperlink" Id="rId20" Target="mailto:veronica.cral@gmail.com" TargetMode="External" /></Relationships>
</file>

<file path=word/_rels/footnotes.xml.rels><?xml version="1.0" encoding="UTF-8"?><Relationships xmlns="http://schemas.openxmlformats.org/package/2006/relationships"><Relationship Type="http://schemas.openxmlformats.org/officeDocument/2006/relationships/hyperlink" Id="rId37" Target="Calculating%20basic%20climatic%20indices%20with%20data%20from%20easyclimate" TargetMode="External" /><Relationship Type="http://schemas.openxmlformats.org/officeDocument/2006/relationships/hyperlink" Id="rId35" Target="ftp://palantir.boku.ac.at/Public/ClimateData/" TargetMode="External" /><Relationship Type="http://schemas.openxmlformats.org/officeDocument/2006/relationships/hyperlink" Id="rId38" Target="http://enfin.info" TargetMode="External" /><Relationship Type="http://schemas.openxmlformats.org/officeDocument/2006/relationships/hyperlink" Id="rId41" Target="http://project.fundiveurope.eu/" TargetMode="External" /><Relationship Type="http://schemas.openxmlformats.org/officeDocument/2006/relationships/hyperlink" Id="rId24" Target="https://boku.ac.at/en/wabo/waldbau/wir-ueber-uns/daten" TargetMode="External" /><Relationship Type="http://schemas.openxmlformats.org/officeDocument/2006/relationships/hyperlink" Id="rId40" Target="https://efi.int/knowledge/models/efiscen/inventory" TargetMode="External" /><Relationship Type="http://schemas.openxmlformats.org/officeDocument/2006/relationships/hyperlink" Id="rId23" Target="https://github.com/VeruGHub/easyclimate" TargetMode="External" /><Relationship Type="http://schemas.openxmlformats.org/officeDocument/2006/relationships/hyperlink" Id="rId39" Target="https://more.bham.ac.uk/treemort/datasets/" TargetMode="External" /><Relationship Type="http://schemas.openxmlformats.org/officeDocument/2006/relationships/hyperlink" Id="rId25" Target="https://surfobs.climate.copernicus.eu/dataaccess/access_eobs.php#datafiles" TargetMode="External" /><Relationship Type="http://schemas.openxmlformats.org/officeDocument/2006/relationships/hyperlink" Id="rId33" Target="https://verughub.github.io/easyclimate/articles/climatic-indices.html" TargetMode="External" /><Relationship Type="http://schemas.openxmlformats.org/officeDocument/2006/relationships/hyperlink" Id="rId30" Target="https://verughub.github.io/easyclimate/articles/points-df-mat-sf.html" TargetMode="External" /><Relationship Type="http://schemas.openxmlformats.org/officeDocument/2006/relationships/hyperlink" Id="rId31" Target="https://verughub.github.io/easyclimate/articles/polygons-raster.html" TargetMode="External" /><Relationship Type="http://schemas.openxmlformats.org/officeDocument/2006/relationships/hyperlink" Id="rId29" Target="https://verughub.github.io/easyclimate/reference/get_daily_climate.html" TargetMode="External" /><Relationship Type="http://schemas.openxmlformats.org/officeDocument/2006/relationships/hyperlink" Id="rId26" Target="https://worldclim.org/data/worldclim21.html#" TargetMode="External" /><Relationship Type="http://schemas.openxmlformats.org/officeDocument/2006/relationships/hyperlink" Id="rId27" Target="https://www.cogeo.org" TargetMode="External" /><Relationship Type="http://schemas.openxmlformats.org/officeDocument/2006/relationships/hyperlink" Id="rId32" Target="https://www.tidyverse.org/" TargetMode="External" /><Relationship Type="http://schemas.openxmlformats.org/officeDocument/2006/relationships/hyperlink" Id="rId20" Target="mailto:veronica.cral@gmail.com"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Classic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55</TotalTime>
  <Pages>9</Pages>
  <Words>720</Words>
  <Characters>4109</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Ciencia reproducible: qué, por qué, cómo (include English title too)</vt:lpstr>
    </vt:vector>
  </TitlesOfParts>
  <Company>Microsoft</Company>
  <LinksUpToDate>false</LinksUpToDate>
  <CharactersWithSpaces>4820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easyclimate R package: easy access to high-resolution daily climate data for Europe</dc:title>
  <dc:creator>Verónica Cruz-Alonso (ORCID: 0000-0002-0642-036X) 1,2 §, Christoph Pucher (ORCID: 0000-0002-9269-1907) 3 §, Sophia Ratcliffe (ORCID: 0000-0001-9284-7900) 4, Paloma Ruiz-Benito (ORCID: 0000-0002-2781-5870) 2,5, Julen Astigarraga (ORCID: 0000-0001-9520-3713) 2, Mathias Neumann (ORCID: 0000-0003-2472-943X) 3, Hubert Hasenauer (ORCID: 0000-0003-3469-4031) 3, Francisco Rodríguez-Sánchez (ORCID: 0000-0002-7981-1599) 6,7</dc:creator>
  <cp:keywords/>
  <dcterms:created xsi:type="dcterms:W3CDTF">2022-03-25T10:20:24Z</dcterms:created>
  <dcterms:modified xsi:type="dcterms:W3CDTF">2022-03-25T10:20:24Z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bibliography">
    <vt:lpwstr/>
  </property>
  <property fmtid="{D5CDD505-2E9C-101B-9397-08002B2CF9AE}" pid="3" name="csl">
    <vt:lpwstr>journal-of-vegetation-science.csl</vt:lpwstr>
  </property>
  <property fmtid="{D5CDD505-2E9C-101B-9397-08002B2CF9AE}" pid="4" name="editor_options">
    <vt:lpwstr/>
  </property>
  <property fmtid="{D5CDD505-2E9C-101B-9397-08002B2CF9AE}" pid="5" name="output">
    <vt:lpwstr/>
  </property>
</Properties>
</file>