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28.png" ContentType="image/png"/>
  <Override PartName="/word/media/rId31.png" ContentType="image/png"/>
  <Override PartName="/word/media/image7.png" ContentType="image/png"/>
  <Override PartName="/word/media/image1.png" ContentType="image/png"/>
  <Override PartName="/word/media/image2.png" ContentType="image/png"/>
  <Override PartName="/word/media/image3.png" ContentType="image/png"/>
  <Override PartName="/word/media/image4.png" ContentType="image/png"/>
  <Override PartName="/word/media/image6.png" ContentType="image/png"/>
  <Override PartName="/word/media/image5.png" ContentType="image/png"/>
  <Override PartName="/word/media/image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re"/>
      </w:pPr>
      <w:r>
        <w:t xml:space="preserve">Using</w:t>
      </w:r>
      <w:r>
        <w:t xml:space="preserve"> </w:t>
      </w:r>
      <w:r>
        <w:t xml:space="preserve">integrated</w:t>
      </w:r>
      <w:r>
        <w:t xml:space="preserve"> </w:t>
      </w:r>
      <w:r>
        <w:t xml:space="preserve">multispecies</w:t>
      </w:r>
      <w:r>
        <w:t xml:space="preserve"> </w:t>
      </w:r>
      <w:r>
        <w:t xml:space="preserve">occupancy</w:t>
      </w:r>
      <w:r>
        <w:t xml:space="preserve"> </w:t>
      </w:r>
      <w:r>
        <w:t xml:space="preserve">models</w:t>
      </w:r>
      <w:r>
        <w:t xml:space="preserve"> </w:t>
      </w:r>
      <w:r>
        <w:t xml:space="preserve">to</w:t>
      </w:r>
      <w:r>
        <w:t xml:space="preserve"> </w:t>
      </w:r>
      <w:r>
        <w:t xml:space="preserve">map</w:t>
      </w:r>
      <w:r>
        <w:t xml:space="preserve"> </w:t>
      </w:r>
      <w:r>
        <w:t xml:space="preserve">co-occurrence</w:t>
      </w:r>
      <w:r>
        <w:t xml:space="preserve"> </w:t>
      </w:r>
      <w:r>
        <w:t xml:space="preserve">between</w:t>
      </w:r>
      <w:r>
        <w:t xml:space="preserve"> </w:t>
      </w:r>
      <w:r>
        <w:t xml:space="preserve">bottlenose</w:t>
      </w:r>
      <w:r>
        <w:t xml:space="preserve"> </w:t>
      </w:r>
      <w:r>
        <w:t xml:space="preserve">dolphins</w:t>
      </w:r>
      <w:r>
        <w:t xml:space="preserve"> </w:t>
      </w:r>
      <w:r>
        <w:t xml:space="preserve">and</w:t>
      </w:r>
      <w:r>
        <w:t xml:space="preserve"> </w:t>
      </w:r>
      <w:r>
        <w:t xml:space="preserve">fisheries</w:t>
      </w:r>
      <w:r>
        <w:t xml:space="preserve"> </w:t>
      </w:r>
      <w:r>
        <w:t xml:space="preserve">in</w:t>
      </w:r>
      <w:r>
        <w:t xml:space="preserve"> </w:t>
      </w:r>
      <w:r>
        <w:t xml:space="preserve">the</w:t>
      </w:r>
      <w:r>
        <w:t xml:space="preserve"> </w:t>
      </w:r>
      <w:r>
        <w:t xml:space="preserve">Gulf</w:t>
      </w:r>
      <w:r>
        <w:t xml:space="preserve"> </w:t>
      </w:r>
      <w:r>
        <w:t xml:space="preserve">of</w:t>
      </w:r>
      <w:r>
        <w:t xml:space="preserve"> </w:t>
      </w:r>
      <w:r>
        <w:t xml:space="preserve">Lion,</w:t>
      </w:r>
      <w:r>
        <w:t xml:space="preserve"> </w:t>
      </w:r>
      <w:r>
        <w:t xml:space="preserve">French</w:t>
      </w:r>
      <w:r>
        <w:t xml:space="preserve"> </w:t>
      </w:r>
      <w:r>
        <w:t xml:space="preserve">Mediterranean</w:t>
      </w:r>
      <w:r>
        <w:t xml:space="preserve"> </w:t>
      </w:r>
      <w:r>
        <w:t xml:space="preserve">Sea.</w:t>
      </w:r>
    </w:p>
    <w:p>
      <w:pPr>
        <w:pStyle w:val="Sous-titre"/>
      </w:pPr>
      <w:r>
        <w:t xml:space="preserve">Valentin</w:t>
      </w:r>
      <w:r>
        <w:t xml:space="preserve"> </w:t>
      </w:r>
      <w:r>
        <w:t xml:space="preserve">Lauret</w:t>
      </w:r>
      <m:oMath>
        <m:sSup>
          <m:e>
            <m:r>
              <m:t>​</m:t>
            </m:r>
          </m:e>
          <m:sup>
            <m:r>
              <m:t>1</m:t>
            </m:r>
          </m:sup>
        </m:sSup>
      </m:oMath>
      <w:r>
        <w:t xml:space="preserve">,</w:t>
      </w:r>
      <w:r>
        <w:t xml:space="preserve"> </w:t>
      </w:r>
      <w:r>
        <w:t xml:space="preserve">Hélène</w:t>
      </w:r>
      <w:r>
        <w:t xml:space="preserve"> </w:t>
      </w:r>
      <w:r>
        <w:t xml:space="preserve">Labach</w:t>
      </w:r>
      <m:oMath>
        <m:sSup>
          <m:e>
            <m:r>
              <m:t>​</m:t>
            </m:r>
          </m:e>
          <m:sup>
            <m:r>
              <m:t>2</m:t>
            </m:r>
          </m:sup>
        </m:sSup>
      </m:oMath>
      <w:r>
        <w:t xml:space="preserve">,</w:t>
      </w:r>
      <w:r>
        <w:t xml:space="preserve"> </w:t>
      </w:r>
      <w:r>
        <w:t xml:space="preserve">Léa</w:t>
      </w:r>
      <w:r>
        <w:t xml:space="preserve"> </w:t>
      </w:r>
      <w:r>
        <w:t xml:space="preserve">David</w:t>
      </w:r>
      <m:oMath>
        <m:sSup>
          <m:e>
            <m:r>
              <m:t>​</m:t>
            </m:r>
          </m:e>
          <m:sup>
            <m:r>
              <m:t>3</m:t>
            </m:r>
          </m:sup>
        </m:sSup>
      </m:oMath>
      <w:r>
        <w:t xml:space="preserve">,</w:t>
      </w:r>
      <w:r>
        <w:t xml:space="preserve"> </w:t>
      </w:r>
      <w:r>
        <w:t xml:space="preserve">Matthieu</w:t>
      </w:r>
      <w:r>
        <w:t xml:space="preserve"> </w:t>
      </w:r>
      <w:r>
        <w:t xml:space="preserve">Authier</w:t>
      </w:r>
      <m:oMath>
        <m:sSup>
          <m:e>
            <m:r>
              <m:t>​</m:t>
            </m:r>
          </m:e>
          <m:sup>
            <m:r>
              <m:t>4</m:t>
            </m:r>
            <m:r>
              <m:rPr>
                <m:sty m:val="p"/>
              </m:rPr>
              <m:t>,</m:t>
            </m:r>
            <m:r>
              <m:t>5</m:t>
            </m:r>
          </m:sup>
        </m:sSup>
      </m:oMath>
      <w:r>
        <w:t xml:space="preserve">,</w:t>
      </w:r>
      <w:r>
        <w:t xml:space="preserve"> </w:t>
      </w:r>
      <w:r>
        <w:t xml:space="preserve">Olivier</w:t>
      </w:r>
      <w:r>
        <w:t xml:space="preserve"> </w:t>
      </w:r>
      <w:r>
        <w:t xml:space="preserve">Gimenez</w:t>
      </w:r>
      <m:oMath>
        <m:sSup>
          <m:e>
            <m:r>
              <m:t>​</m:t>
            </m:r>
          </m:e>
          <m:sup>
            <m:r>
              <m:t>1</m:t>
            </m:r>
          </m:sup>
        </m:sSup>
      </m:oMath>
    </w:p>
    <w:p>
      <w:pPr>
        <w:numPr>
          <w:ilvl w:val="0"/>
          <w:numId w:val="1001"/>
        </w:numPr>
        <w:pStyle w:val="Compact"/>
      </w:pPr>
      <w:r>
        <w:t xml:space="preserve">CEFE, Univ Montpellier, CNRS, EPHE, IRD, Montpellier, France</w:t>
      </w:r>
    </w:p>
    <w:p>
      <w:pPr>
        <w:numPr>
          <w:ilvl w:val="0"/>
          <w:numId w:val="1001"/>
        </w:numPr>
        <w:pStyle w:val="Compact"/>
      </w:pPr>
      <w:r>
        <w:t xml:space="preserve">MIRACETI, Connaissance et conservation des cétacés, Place des traceurs de pierres, 13500 La Couronne, France</w:t>
      </w:r>
    </w:p>
    <w:p>
      <w:pPr>
        <w:numPr>
          <w:ilvl w:val="0"/>
          <w:numId w:val="1001"/>
        </w:numPr>
        <w:pStyle w:val="Compact"/>
      </w:pPr>
      <w:r>
        <w:t xml:space="preserve">EcoOcéan Institut, 18 rue des Hospices, 34090 Montpellier</w:t>
      </w:r>
    </w:p>
    <w:p>
      <w:pPr>
        <w:numPr>
          <w:ilvl w:val="0"/>
          <w:numId w:val="1001"/>
        </w:numPr>
        <w:pStyle w:val="Compact"/>
      </w:pPr>
      <w:r>
        <w:t xml:space="preserve">Observatoire Pelagis, UAR 3462, CNRS-La Rochelle Université, 17000 La Rochelle, France</w:t>
      </w:r>
    </w:p>
    <w:p>
      <w:pPr>
        <w:numPr>
          <w:ilvl w:val="0"/>
          <w:numId w:val="1001"/>
        </w:numPr>
        <w:pStyle w:val="Compact"/>
      </w:pPr>
      <w:r>
        <w:t xml:space="preserve">Adera, 162 Avenue Albert Schweitzer. CS 60040 – 33608 Pessac CEDEX, France</w:t>
      </w:r>
    </w:p>
    <w:p>
      <w:pPr>
        <w:pStyle w:val="FirstParagraph"/>
      </w:pPr>
      <w:r>
        <w:rPr>
          <w:bCs/>
          <w:b/>
        </w:rPr>
        <w:t xml:space="preserve">Abstract:</w:t>
      </w:r>
      <w:r>
        <w:t xml:space="preserve"> </w:t>
      </w:r>
      <w:r>
        <w:t xml:space="preserve">In the Mediterranean Sea, interactions between marine species and human activities are prevalent. The coastal distribution of bottlenose dolphins (</w:t>
      </w:r>
      <w:r>
        <w:rPr>
          <w:iCs/>
          <w:i/>
        </w:rPr>
        <w:t xml:space="preserve">Tursiops truncatus</w:t>
      </w:r>
      <w:r>
        <w:t xml:space="preserve">) and the predation pressure they put on fishing stocks lead to regular interactions with fisheries. Multispecies occupancy models allow mapping co-occurrence between two (or more) species while accounting for false negatives and potential interspecific dependance. Here, we illustrated how to extend multispecies occupancy model to integrate multiple datasets to quantify spatial co-occurrence between trawlers and bottlenose dolphins in the Gulf of Lion, French Mediterranean Sea. We combined bottlenose dolphin and trawler detections and non-detections from both aerial surveys and boat surveys in the Gulf of Lion and map potential interactions. Possibility to integrate several datasources into multipsecies occupancy models opens promising avenues in the study of interactions between human activities and marine mammals that occur at large spatial scales.</w:t>
      </w:r>
    </w:p>
    <w:p>
      <w:pPr>
        <w:pStyle w:val="Corpsdetexte"/>
      </w:pPr>
      <w:r>
        <w:rPr>
          <w:bCs/>
          <w:b/>
        </w:rPr>
        <w:t xml:space="preserve">Keywords:</w:t>
      </w:r>
      <w:r>
        <w:t xml:space="preserve"> </w:t>
      </w:r>
      <w:r>
        <w:t xml:space="preserve">cetaceans, human-animal interaction, NIMBLE, odontocetes, trawlers</w:t>
      </w:r>
    </w:p>
    <w:bookmarkStart w:id="20" w:name="introduction"/>
    <w:p>
      <w:pPr>
        <w:pStyle w:val="Titre1"/>
      </w:pPr>
      <w:r>
        <w:t xml:space="preserve">Introduction</w:t>
      </w:r>
    </w:p>
    <w:p>
      <w:pPr>
        <w:pStyle w:val="FirstParagraph"/>
      </w:pPr>
      <w:r>
        <w:t xml:space="preserve">The Mediterranean Sea, being on the busiest seaway on Earth, is especially affected by anthropic pressures</w:t>
      </w:r>
      <w:r>
        <w:t xml:space="preserve"> </w:t>
      </w:r>
      <w:r>
        <w:t xml:space="preserve">(</w:t>
      </w:r>
      <w:hyperlink w:anchor="ref-coll2012">
        <w:r>
          <w:rPr>
            <w:rStyle w:val="Lienhypertexte"/>
          </w:rPr>
          <w:t xml:space="preserve">Coll et al. 2012</w:t>
        </w:r>
      </w:hyperlink>
      <w:r>
        <w:t xml:space="preserve">,</w:t>
      </w:r>
      <w:r>
        <w:t xml:space="preserve"> </w:t>
      </w:r>
      <w:hyperlink w:anchor="ref-giakoumi2017">
        <w:r>
          <w:rPr>
            <w:rStyle w:val="Lienhypertexte"/>
          </w:rPr>
          <w:t xml:space="preserve">Giakoumi et al. 2017</w:t>
        </w:r>
      </w:hyperlink>
      <w:r>
        <w:t xml:space="preserve">)</w:t>
      </w:r>
      <w:r>
        <w:t xml:space="preserve">. In particular, there are increasing interactions between marine species and human activities. Among marine mammals, odontocetes frequently forage in the proximity of fishing vessels</w:t>
      </w:r>
      <w:r>
        <w:t xml:space="preserve"> </w:t>
      </w:r>
      <w:r>
        <w:t xml:space="preserve">(</w:t>
      </w:r>
      <w:hyperlink w:anchor="ref-bonizzoni2022">
        <w:r>
          <w:rPr>
            <w:rStyle w:val="Lienhypertexte"/>
          </w:rPr>
          <w:t xml:space="preserve">Bonizzoni et al. 2022</w:t>
        </w:r>
      </w:hyperlink>
      <w:r>
        <w:t xml:space="preserve">)</w:t>
      </w:r>
      <w:r>
        <w:t xml:space="preserve">. Despite facilitating access to prey, foraging behind trawlers leads to depredation or by-catch interactions that pose conservation concerns</w:t>
      </w:r>
      <w:r>
        <w:t xml:space="preserve"> </w:t>
      </w:r>
      <w:r>
        <w:t xml:space="preserve">(</w:t>
      </w:r>
      <w:hyperlink w:anchor="ref-lewison2004">
        <w:r>
          <w:rPr>
            <w:rStyle w:val="Lienhypertexte"/>
          </w:rPr>
          <w:t xml:space="preserve">Lewison et al. 2004</w:t>
        </w:r>
      </w:hyperlink>
      <w:r>
        <w:t xml:space="preserve">,</w:t>
      </w:r>
      <w:r>
        <w:t xml:space="preserve"> </w:t>
      </w:r>
      <w:hyperlink w:anchor="ref-snape2018">
        <w:r>
          <w:rPr>
            <w:rStyle w:val="Lienhypertexte"/>
          </w:rPr>
          <w:t xml:space="preserve">Snape et al. 2018</w:t>
        </w:r>
      </w:hyperlink>
      <w:r>
        <w:t xml:space="preserve">,</w:t>
      </w:r>
      <w:r>
        <w:t xml:space="preserve"> </w:t>
      </w:r>
      <w:hyperlink w:anchor="ref-santana-garcon2018">
        <w:r>
          <w:rPr>
            <w:rStyle w:val="Lienhypertexte"/>
          </w:rPr>
          <w:t xml:space="preserve">Santana-Garcon et al. 2018</w:t>
        </w:r>
      </w:hyperlink>
      <w:r>
        <w:t xml:space="preserve">,</w:t>
      </w:r>
      <w:r>
        <w:t xml:space="preserve"> </w:t>
      </w:r>
      <w:hyperlink w:anchor="ref-bonizzoni2020">
        <w:r>
          <w:rPr>
            <w:rStyle w:val="Lienhypertexte"/>
          </w:rPr>
          <w:t xml:space="preserve">Bonizzoni et al. 2020</w:t>
        </w:r>
      </w:hyperlink>
      <w:r>
        <w:t xml:space="preserve">,</w:t>
      </w:r>
      <w:r>
        <w:t xml:space="preserve"> </w:t>
      </w:r>
      <w:hyperlink w:anchor="ref-bonizzoni2022">
        <w:r>
          <w:rPr>
            <w:rStyle w:val="Lienhypertexte"/>
          </w:rPr>
          <w:t xml:space="preserve">2022</w:t>
        </w:r>
      </w:hyperlink>
      <w:r>
        <w:t xml:space="preserve">)</w:t>
      </w:r>
      <w:r>
        <w:t xml:space="preserve">. The coastal ecology of common bottlenose dolphins (</w:t>
      </w:r>
      <w:r>
        <w:rPr>
          <w:iCs/>
          <w:i/>
        </w:rPr>
        <w:t xml:space="preserve">Tursiops truncatus</w:t>
      </w:r>
      <w:r>
        <w:t xml:space="preserve">, hereafter bottlenose dolphins) and the depredation pressure they put on fishing stocks lead to regular interactions with human recreational activities and fisheries</w:t>
      </w:r>
      <w:r>
        <w:t xml:space="preserve"> </w:t>
      </w:r>
      <w:r>
        <w:t xml:space="preserve">(</w:t>
      </w:r>
      <w:hyperlink w:anchor="ref-bearzi2009">
        <w:r>
          <w:rPr>
            <w:rStyle w:val="Lienhypertexte"/>
          </w:rPr>
          <w:t xml:space="preserve">Bearzi et al. 2009</w:t>
        </w:r>
      </w:hyperlink>
      <w:r>
        <w:t xml:space="preserve">,</w:t>
      </w:r>
      <w:r>
        <w:t xml:space="preserve"> </w:t>
      </w:r>
      <w:hyperlink w:anchor="ref-queiros2018">
        <w:r>
          <w:rPr>
            <w:rStyle w:val="Lienhypertexte"/>
          </w:rPr>
          <w:t xml:space="preserve">Queiros et al. 2018</w:t>
        </w:r>
      </w:hyperlink>
      <w:r>
        <w:t xml:space="preserve">,</w:t>
      </w:r>
      <w:r>
        <w:t xml:space="preserve"> </w:t>
      </w:r>
      <w:hyperlink w:anchor="ref-leone2019">
        <w:r>
          <w:rPr>
            <w:rStyle w:val="Lienhypertexte"/>
          </w:rPr>
          <w:t xml:space="preserve">Leone et al. 2019</w:t>
        </w:r>
      </w:hyperlink>
      <w:r>
        <w:t xml:space="preserve">)</w:t>
      </w:r>
      <w:r>
        <w:t xml:space="preserve">. Bottlenose dolphins are often reported in close proximity to fishing activities, and are known to forage behind trawlers in multiple locations worldwide, including the Mediterranean Sea</w:t>
      </w:r>
      <w:r>
        <w:t xml:space="preserve"> </w:t>
      </w:r>
      <w:r>
        <w:t xml:space="preserve">(</w:t>
      </w:r>
      <w:hyperlink w:anchor="ref-allen2017">
        <w:r>
          <w:rPr>
            <w:rStyle w:val="Lienhypertexte"/>
          </w:rPr>
          <w:t xml:space="preserve">Allen et al. 2017</w:t>
        </w:r>
      </w:hyperlink>
      <w:r>
        <w:t xml:space="preserve">,</w:t>
      </w:r>
      <w:r>
        <w:t xml:space="preserve"> </w:t>
      </w:r>
      <w:hyperlink w:anchor="ref-bonizzoni2022">
        <w:r>
          <w:rPr>
            <w:rStyle w:val="Lienhypertexte"/>
          </w:rPr>
          <w:t xml:space="preserve">Bonizzoni et al. 2022</w:t>
        </w:r>
      </w:hyperlink>
      <w:r>
        <w:t xml:space="preserve">)</w:t>
      </w:r>
      <w:r>
        <w:t xml:space="preserve">. Following mortality events that have been documented about bottlenose dolphins</w:t>
      </w:r>
      <w:r>
        <w:t xml:space="preserve"> </w:t>
      </w:r>
      <w:r>
        <w:t xml:space="preserve">(</w:t>
      </w:r>
      <w:hyperlink w:anchor="ref-manlik2022">
        <w:r>
          <w:rPr>
            <w:rStyle w:val="Lienhypertexte"/>
          </w:rPr>
          <w:t xml:space="preserve">Manlik et al. 2022</w:t>
        </w:r>
      </w:hyperlink>
      <w:r>
        <w:t xml:space="preserve">)</w:t>
      </w:r>
      <w:r>
        <w:t xml:space="preserve">, interactions have raised conservation concerns and mitigation measures trialed thus far have not proven effective</w:t>
      </w:r>
      <w:r>
        <w:t xml:space="preserve"> </w:t>
      </w:r>
      <w:r>
        <w:t xml:space="preserve">(</w:t>
      </w:r>
      <w:hyperlink w:anchor="ref-snape2018">
        <w:r>
          <w:rPr>
            <w:rStyle w:val="Lienhypertexte"/>
          </w:rPr>
          <w:t xml:space="preserve">Snape et al. 2018</w:t>
        </w:r>
      </w:hyperlink>
      <w:r>
        <w:t xml:space="preserve">,</w:t>
      </w:r>
      <w:r>
        <w:t xml:space="preserve"> </w:t>
      </w:r>
      <w:hyperlink w:anchor="ref-bonizzoni2020">
        <w:r>
          <w:rPr>
            <w:rStyle w:val="Lienhypertexte"/>
          </w:rPr>
          <w:t xml:space="preserve">Bonizzoni et al. 2020</w:t>
        </w:r>
      </w:hyperlink>
      <w:r>
        <w:t xml:space="preserve">)</w:t>
      </w:r>
      <w:r>
        <w:t xml:space="preserve">. Interactions between bottlenose dolphins and fisheries have largely been studied via</w:t>
      </w:r>
      <w:r>
        <w:t xml:space="preserve"> </w:t>
      </w:r>
      <w:r>
        <w:rPr>
          <w:iCs/>
          <w:i/>
        </w:rPr>
        <w:t xml:space="preserve">in-situ</w:t>
      </w:r>
      <w:r>
        <w:t xml:space="preserve"> </w:t>
      </w:r>
      <w:r>
        <w:t xml:space="preserve">observations</w:t>
      </w:r>
      <w:r>
        <w:t xml:space="preserve"> </w:t>
      </w:r>
      <w:r>
        <w:t xml:space="preserve">(</w:t>
      </w:r>
      <w:hyperlink w:anchor="ref-santana-garcon2018">
        <w:r>
          <w:rPr>
            <w:rStyle w:val="Lienhypertexte"/>
          </w:rPr>
          <w:t xml:space="preserve">Santana-Garcon et al. 2018</w:t>
        </w:r>
      </w:hyperlink>
      <w:r>
        <w:t xml:space="preserve">)</w:t>
      </w:r>
      <w:r>
        <w:t xml:space="preserve">, passive acoustic monitoring</w:t>
      </w:r>
      <w:r>
        <w:t xml:space="preserve"> </w:t>
      </w:r>
      <w:r>
        <w:t xml:space="preserve">(</w:t>
      </w:r>
      <w:hyperlink w:anchor="ref-bonizzoni2022">
        <w:r>
          <w:rPr>
            <w:rStyle w:val="Lienhypertexte"/>
          </w:rPr>
          <w:t xml:space="preserve">Bonizzoni et al. 2022</w:t>
        </w:r>
      </w:hyperlink>
      <w:r>
        <w:t xml:space="preserve">)</w:t>
      </w:r>
      <w:r>
        <w:t xml:space="preserve">, and using trawlers data as covariate on dolphin distribution models</w:t>
      </w:r>
      <w:r>
        <w:t xml:space="preserve"> </w:t>
      </w:r>
      <w:r>
        <w:t xml:space="preserve">(</w:t>
      </w:r>
      <w:hyperlink w:anchor="ref-pirotta2015">
        <w:r>
          <w:rPr>
            <w:rStyle w:val="Lienhypertexte"/>
          </w:rPr>
          <w:t xml:space="preserve">Pirotta et al. 2015</w:t>
        </w:r>
      </w:hyperlink>
      <w:r>
        <w:t xml:space="preserve">)</w:t>
      </w:r>
      <w:r>
        <w:t xml:space="preserve">, but not in multispecies modelling to our knowledge.</w:t>
      </w:r>
    </w:p>
    <w:p>
      <w:pPr>
        <w:pStyle w:val="Corpsdetexte"/>
      </w:pPr>
      <w:r>
        <w:t xml:space="preserve">Mapping human-wildlife interactions is a preliminary step to better understand and manage conservation conflicts. This is usually achieved by calculating and mapping the overlap between the distribution of a species and human pressure(s). This overlapping approach raises two issues. First, when modelling species distributions, failure to account for interspecific interactions between co-occurring species may lead to biased inference, which arises when modelling only abiotic and habitat associations</w:t>
      </w:r>
      <w:r>
        <w:t xml:space="preserve"> </w:t>
      </w:r>
      <w:r>
        <w:t xml:space="preserve">(</w:t>
      </w:r>
      <w:hyperlink w:anchor="ref-rota2016a">
        <w:r>
          <w:rPr>
            <w:rStyle w:val="Lienhypertexte"/>
          </w:rPr>
          <w:t xml:space="preserve">Rota et al. 2016b</w:t>
        </w:r>
      </w:hyperlink>
      <w:r>
        <w:t xml:space="preserve">)</w:t>
      </w:r>
      <w:r>
        <w:t xml:space="preserve">. In particular, one need to account for biotic effects when mapping potential interactions between marine mammals and fisheries as we know that cetaceans can forage in association to trawling vessels</w:t>
      </w:r>
      <w:r>
        <w:t xml:space="preserve"> </w:t>
      </w:r>
      <w:r>
        <w:t xml:space="preserve">(</w:t>
      </w:r>
      <w:hyperlink w:anchor="ref-jourdain2017">
        <w:r>
          <w:rPr>
            <w:rStyle w:val="Lienhypertexte"/>
          </w:rPr>
          <w:t xml:space="preserve">Jourdain &amp; Vongraven 2017</w:t>
        </w:r>
      </w:hyperlink>
      <w:r>
        <w:t xml:space="preserve">,</w:t>
      </w:r>
      <w:r>
        <w:t xml:space="preserve"> </w:t>
      </w:r>
      <w:hyperlink w:anchor="ref-allen2017">
        <w:r>
          <w:rPr>
            <w:rStyle w:val="Lienhypertexte"/>
          </w:rPr>
          <w:t xml:space="preserve">Allen et al. 2017</w:t>
        </w:r>
      </w:hyperlink>
      <w:r>
        <w:t xml:space="preserve">)</w:t>
      </w:r>
      <w:r>
        <w:t xml:space="preserve">. Second, another challenge when quantifying species interactions is to account for imperfect detection, e.g. when species do co-occur but one or several of the species involved go undetected by sampling</w:t>
      </w:r>
      <w:r>
        <w:t xml:space="preserve"> </w:t>
      </w:r>
      <w:r>
        <w:t xml:space="preserve">(</w:t>
      </w:r>
      <w:hyperlink w:anchor="ref-rota2016">
        <w:r>
          <w:rPr>
            <w:rStyle w:val="Lienhypertexte"/>
          </w:rPr>
          <w:t xml:space="preserve">Rota et al. 2016a</w:t>
        </w:r>
      </w:hyperlink>
      <w:r>
        <w:t xml:space="preserve">,</w:t>
      </w:r>
      <w:r>
        <w:t xml:space="preserve"> </w:t>
      </w:r>
      <w:hyperlink w:anchor="ref-fidino2019">
        <w:r>
          <w:rPr>
            <w:rStyle w:val="Lienhypertexte"/>
          </w:rPr>
          <w:t xml:space="preserve">Fidino et al. 2019</w:t>
        </w:r>
      </w:hyperlink>
      <w:r>
        <w:t xml:space="preserve">)</w:t>
      </w:r>
      <w:r>
        <w:t xml:space="preserve">. Ignoring imperfect detection leads to the underestimation of species distribution and imprecise or even inaccurate quantification of species interactions</w:t>
      </w:r>
      <w:r>
        <w:t xml:space="preserve"> </w:t>
      </w:r>
      <w:r>
        <w:t xml:space="preserve">(</w:t>
      </w:r>
      <w:hyperlink w:anchor="ref-mackenzie2006">
        <w:r>
          <w:rPr>
            <w:rStyle w:val="Lienhypertexte"/>
          </w:rPr>
          <w:t xml:space="preserve">MacKenzie 2006</w:t>
        </w:r>
      </w:hyperlink>
      <w:r>
        <w:t xml:space="preserve">)</w:t>
      </w:r>
      <w:r>
        <w:t xml:space="preserve">. To account for these issues, multispecies occupancy models have been developed to estimate occupancy probabilities of two or more interacting species while accounting for imperfect detection</w:t>
      </w:r>
      <w:r>
        <w:t xml:space="preserve"> </w:t>
      </w:r>
      <w:r>
        <w:t xml:space="preserve">(</w:t>
      </w:r>
      <w:hyperlink w:anchor="ref-rota2016a">
        <w:r>
          <w:rPr>
            <w:rStyle w:val="Lienhypertexte"/>
          </w:rPr>
          <w:t xml:space="preserve">Rota et al. 2016b</w:t>
        </w:r>
      </w:hyperlink>
      <w:r>
        <w:t xml:space="preserve">,</w:t>
      </w:r>
      <w:r>
        <w:t xml:space="preserve"> </w:t>
      </w:r>
      <w:hyperlink w:anchor="ref-fidino2019">
        <w:r>
          <w:rPr>
            <w:rStyle w:val="Lienhypertexte"/>
          </w:rPr>
          <w:t xml:space="preserve">Fidino et al. 2019</w:t>
        </w:r>
      </w:hyperlink>
      <w:r>
        <w:t xml:space="preserve">)</w:t>
      </w:r>
      <w:r>
        <w:t xml:space="preserve">. One caveat of multispecies models is that they require substantial data for robust ecological inference</w:t>
      </w:r>
      <w:r>
        <w:t xml:space="preserve"> </w:t>
      </w:r>
      <w:r>
        <w:t xml:space="preserve">(</w:t>
      </w:r>
      <w:hyperlink w:anchor="ref-clipp2021">
        <w:r>
          <w:rPr>
            <w:rStyle w:val="Lienhypertexte"/>
          </w:rPr>
          <w:t xml:space="preserve">Clipp et al. 2021</w:t>
        </w:r>
      </w:hyperlink>
      <w:r>
        <w:t xml:space="preserve">)</w:t>
      </w:r>
      <w:r>
        <w:t xml:space="preserve">. To overcome data scarcity, several authors have suggested to combine multiple datasets into an integrated modelling framework (see</w:t>
      </w:r>
      <w:r>
        <w:t xml:space="preserve"> </w:t>
      </w:r>
      <w:r>
        <w:t xml:space="preserve">Kéry &amp; Royle (</w:t>
      </w:r>
      <w:hyperlink w:anchor="ref-kery2020">
        <w:r>
          <w:rPr>
            <w:rStyle w:val="Lienhypertexte"/>
          </w:rPr>
          <w:t xml:space="preserve">2020</w:t>
        </w:r>
      </w:hyperlink>
      <w:r>
        <w:t xml:space="preserve">)</w:t>
      </w:r>
      <w:r>
        <w:t xml:space="preserve">, Chapter 10, for a review). In that spirit, we previously developed a single-species integrated occupancy model to map the distribution of bottlenose dolphins over the Northwestern Mediterranean Sea</w:t>
      </w:r>
      <w:r>
        <w:t xml:space="preserve"> </w:t>
      </w:r>
      <w:r>
        <w:t xml:space="preserve">(</w:t>
      </w:r>
      <w:hyperlink w:anchor="ref-lauret2021">
        <w:r>
          <w:rPr>
            <w:rStyle w:val="Lienhypertexte"/>
          </w:rPr>
          <w:t xml:space="preserve">Lauret et al. 2021</w:t>
        </w:r>
      </w:hyperlink>
      <w:r>
        <w:t xml:space="preserve">)</w:t>
      </w:r>
      <w:r>
        <w:t xml:space="preserve">.</w:t>
      </w:r>
    </w:p>
    <w:p>
      <w:pPr>
        <w:pStyle w:val="Corpsdetexte"/>
      </w:pPr>
      <w:r>
        <w:t xml:space="preserve">Here, we extend this single-species integrated occupancy model to an integrated multispecies occupancy model aiming to study interactions between bottlenose dolphins and fisheries in the Gulf of Lion (French Mediterranean Sea). Our objective was to provide a statistical framework for mapping co-occurrence between fisheries and bottlenose dolphins while integrating multiple datasets.</w:t>
      </w:r>
    </w:p>
    <w:bookmarkEnd w:id="20"/>
    <w:bookmarkStart w:id="27" w:name="material-and-methods"/>
    <w:p>
      <w:pPr>
        <w:pStyle w:val="Titre1"/>
      </w:pPr>
      <w:r>
        <w:t xml:space="preserve">Material and Methods</w:t>
      </w:r>
    </w:p>
    <w:bookmarkStart w:id="21" w:name="data"/>
    <w:p>
      <w:pPr>
        <w:pStyle w:val="Titre2"/>
      </w:pPr>
      <w:r>
        <w:t xml:space="preserve">Data</w:t>
      </w:r>
    </w:p>
    <w:p>
      <w:pPr>
        <w:pStyle w:val="FirstParagraph"/>
      </w:pPr>
      <w:r>
        <w:t xml:space="preserve">We combined bottlenose dolphin and fisheries data extracted from two large-scale monitoring programs. First, we used Aerial Surveys of Marine Megafauna (SAMM in French) conducted in 2011 and 2012 in the French Mediterranean sea and Italian waters of the Pelagos Sanctuary</w:t>
      </w:r>
      <w:r>
        <w:t xml:space="preserve"> </w:t>
      </w:r>
      <w:r>
        <w:t xml:space="preserve">(</w:t>
      </w:r>
      <w:hyperlink w:anchor="ref-laran2017">
        <w:r>
          <w:rPr>
            <w:rStyle w:val="Lienhypertexte"/>
          </w:rPr>
          <w:t xml:space="preserve">Laran et al. 2017</w:t>
        </w:r>
      </w:hyperlink>
      <w:r>
        <w:t xml:space="preserve">)</w:t>
      </w:r>
      <w:r>
        <w:t xml:space="preserve">. These aerial surveys aimed to collect data on human activities, seabirds, fish, and marine mammals</w:t>
      </w:r>
      <w:r>
        <w:t xml:space="preserve"> </w:t>
      </w:r>
      <w:r>
        <w:t xml:space="preserve">(</w:t>
      </w:r>
      <w:hyperlink w:anchor="ref-baudrier2018">
        <w:r>
          <w:rPr>
            <w:rStyle w:val="Lienhypertexte"/>
          </w:rPr>
          <w:t xml:space="preserve">Baudrier et al. 2018</w:t>
        </w:r>
      </w:hyperlink>
      <w:r>
        <w:t xml:space="preserve">,</w:t>
      </w:r>
      <w:r>
        <w:t xml:space="preserve"> </w:t>
      </w:r>
      <w:hyperlink w:anchor="ref-lambert2020">
        <w:r>
          <w:rPr>
            <w:rStyle w:val="Lienhypertexte"/>
          </w:rPr>
          <w:t xml:space="preserve">Lambert et al. 2020</w:t>
        </w:r>
      </w:hyperlink>
      <w:r>
        <w:t xml:space="preserve">)</w:t>
      </w:r>
      <w:r>
        <w:t xml:space="preserve">. We used detections and non-detections data of bottlenose dolphins and of fishing trawlers from the 2011-2012 SAMM surveys. The second monitoring program targeted bottlenose dolphin habitats in the French Mediterranean Sea using a photo-identification protocol between 2013 and 2015</w:t>
      </w:r>
      <w:r>
        <w:t xml:space="preserve"> </w:t>
      </w:r>
      <w:r>
        <w:t xml:space="preserve">(</w:t>
      </w:r>
      <w:hyperlink w:anchor="ref-labach2021a">
        <w:r>
          <w:rPr>
            <w:rStyle w:val="Lienhypertexte"/>
          </w:rPr>
          <w:t xml:space="preserve">Labach et al. 2021</w:t>
        </w:r>
      </w:hyperlink>
      <w:r>
        <w:t xml:space="preserve">)</w:t>
      </w:r>
      <w:r>
        <w:t xml:space="preserve">. We focused our attention on the Gulf of Lion and used data collected by EcoOcean Institut. We extracted detections of bottlenose dolphins and trawlers. We only used data on trawlers seen fishing as we focused on fishing areas and not traveling routes between harbour and fishing areas.</w:t>
      </w:r>
    </w:p>
    <w:p>
      <w:pPr>
        <w:pStyle w:val="Corpsdetexte"/>
      </w:pPr>
      <w:r>
        <w:t xml:space="preserve">We divided the Gulf of Lion study area into 397 5’ × 5’ contiguous Mardsen grid-cells (WGS 84) for statistical analysis. We calculated the sampling effort as the transect length (in km) of each monitoring program for each grid-cell per time unit. To model spatial variation in occupancy of bottlenose dolphins and trawlers, we used depth as an environmental covariate.</w:t>
      </w:r>
    </w:p>
    <w:bookmarkEnd w:id="21"/>
    <w:bookmarkStart w:id="26" w:name="integrated-multispecies-occupancy-model"/>
    <w:p>
      <w:pPr>
        <w:pStyle w:val="Titre2"/>
      </w:pPr>
      <w:r>
        <w:t xml:space="preserve">Integrated multispecies occupancy model</w:t>
      </w:r>
    </w:p>
    <w:p>
      <w:pPr>
        <w:pStyle w:val="FirstParagraph"/>
      </w:pPr>
      <w:r>
        <w:t xml:space="preserve">Several assumptions need to be met to safely apply multispecies occupancy models: i) geographic and demographic closure of grid-cells and of the study area (i.e. individuals do not move in and out the grid-cell, and no birth or death event occur during the sampling period), ii) independence of the detections over space and time, iii) accurate identification (i.e. no misidentification)</w:t>
      </w:r>
      <w:r>
        <w:t xml:space="preserve"> </w:t>
      </w:r>
      <w:r>
        <w:t xml:space="preserve">(</w:t>
      </w:r>
      <w:hyperlink w:anchor="ref-rota2016a">
        <w:r>
          <w:rPr>
            <w:rStyle w:val="Lienhypertexte"/>
          </w:rPr>
          <w:t xml:space="preserve">Rota et al. 2016b</w:t>
        </w:r>
      </w:hyperlink>
      <w:r>
        <w:t xml:space="preserve">)</w:t>
      </w:r>
      <w:r>
        <w:t xml:space="preserve">. In our case study, dolphins and trawlers moved in and out grid-cells during the sampling period making the geographic closure unlikely to be respected. Thus, we interpreted occupancy as</w:t>
      </w:r>
      <w:r>
        <w:t xml:space="preserve"> </w:t>
      </w:r>
      <w:r>
        <w:t xml:space="preserve">“</w:t>
      </w:r>
      <w:r>
        <w:t xml:space="preserve">space-use</w:t>
      </w:r>
      <w:r>
        <w:t xml:space="preserve">”</w:t>
      </w:r>
      <w:r>
        <w:t xml:space="preserve">, that is the probability that the species uses the grid-cell given it is present in the study area. In this article, we presented an extension of multispecies occupancy models to integrate multiple datasets. Then, to ensure clarity of the intergrated multispecies occupancy model we did not perform a deep investigation of ecological predictors.</w:t>
      </w:r>
    </w:p>
    <w:bookmarkStart w:id="22" w:name="latent-ecological-process"/>
    <w:p>
      <w:pPr>
        <w:pStyle w:val="Titre3"/>
      </w:pPr>
      <w:r>
        <w:t xml:space="preserve">Latent ecological process</w:t>
      </w:r>
    </w:p>
    <w:p>
      <w:pPr>
        <w:pStyle w:val="FirstParagraph"/>
      </w:pPr>
      <w:r>
        <w:t xml:space="preserve">We followed</w:t>
      </w:r>
      <w:r>
        <w:t xml:space="preserve"> </w:t>
      </w:r>
      <w:r>
        <w:t xml:space="preserve">Rota et al. (</w:t>
      </w:r>
      <w:hyperlink w:anchor="ref-rota2016">
        <w:r>
          <w:rPr>
            <w:rStyle w:val="Lienhypertexte"/>
          </w:rPr>
          <w:t xml:space="preserve">2016a</w:t>
        </w:r>
      </w:hyperlink>
      <w:r>
        <w:t xml:space="preserve">)</w:t>
      </w:r>
      <w:r>
        <w:t xml:space="preserve"> </w:t>
      </w:r>
      <w:r>
        <w:t xml:space="preserve">to formulate the ecological model describing the occupancy process. Ignoring the grid-cell index, our multispecies occupancy model estimated 4 occupancy probabilities.</w:t>
      </w:r>
    </w:p>
    <w:p>
      <w:pPr>
        <w:numPr>
          <w:ilvl w:val="0"/>
          <w:numId w:val="1002"/>
        </w:numPr>
        <w:pStyle w:val="Compact"/>
      </w:pPr>
      <m:oMath>
        <m:sSub>
          <m:e>
            <m:r>
              <m:t>ψ</m:t>
            </m:r>
          </m:e>
          <m:sub>
            <m:r>
              <m:t>3</m:t>
            </m:r>
          </m:sub>
        </m:sSub>
      </m:oMath>
      <w:r>
        <w:t xml:space="preserve"> </w:t>
      </w:r>
      <w:r>
        <w:t xml:space="preserve">is the probability that both dolphins and trawlers use the grid-cell;</w:t>
      </w:r>
    </w:p>
    <w:p>
      <w:pPr>
        <w:numPr>
          <w:ilvl w:val="0"/>
          <w:numId w:val="1002"/>
        </w:numPr>
        <w:pStyle w:val="Compact"/>
      </w:pPr>
      <m:oMath>
        <m:sSub>
          <m:e>
            <m:r>
              <m:t>ψ</m:t>
            </m:r>
          </m:e>
          <m:sub>
            <m:r>
              <m:t>2</m:t>
            </m:r>
          </m:sub>
        </m:sSub>
      </m:oMath>
      <w:r>
        <w:t xml:space="preserve"> </w:t>
      </w:r>
      <w:r>
        <w:t xml:space="preserve">is the probability that trawlers use the grid-cell and dolphins do not;</w:t>
      </w:r>
    </w:p>
    <w:p>
      <w:pPr>
        <w:numPr>
          <w:ilvl w:val="0"/>
          <w:numId w:val="1002"/>
        </w:numPr>
        <w:pStyle w:val="Compact"/>
      </w:pPr>
      <m:oMath>
        <m:sSub>
          <m:e>
            <m:r>
              <m:t>ψ</m:t>
            </m:r>
          </m:e>
          <m:sub>
            <m:r>
              <m:t>1</m:t>
            </m:r>
          </m:sub>
        </m:sSub>
      </m:oMath>
      <w:r>
        <w:t xml:space="preserve"> </w:t>
      </w:r>
      <w:r>
        <w:t xml:space="preserve">is the probability that dolphins use the grid-cell and trawlers do not;</w:t>
      </w:r>
    </w:p>
    <w:p>
      <w:pPr>
        <w:numPr>
          <w:ilvl w:val="0"/>
          <w:numId w:val="1002"/>
        </w:numPr>
        <w:pStyle w:val="Compact"/>
      </w:pPr>
      <m:oMath>
        <m:sSub>
          <m:e>
            <m:r>
              <m:t>ψ</m:t>
            </m:r>
          </m:e>
          <m:sub>
            <m:r>
              <m:t>0</m:t>
            </m:r>
          </m:sub>
        </m:sSub>
      </m:oMath>
      <w:r>
        <w:t xml:space="preserve"> </w:t>
      </w:r>
      <w:r>
        <w:t xml:space="preserve">is the probability that neither dolphins nor trawlers use the grid-cell, which corresponds to the probability that none of the previous events occurs, with</w:t>
      </w:r>
      <w:r>
        <w:t xml:space="preserve"> </w:t>
      </w:r>
      <m:oMath>
        <m:sSub>
          <m:e>
            <m:r>
              <m:t>ψ</m:t>
            </m:r>
          </m:e>
          <m:sub>
            <m:r>
              <m:t>3</m:t>
            </m:r>
          </m:sub>
        </m:sSub>
        <m:r>
          <m:rPr>
            <m:sty m:val="p"/>
          </m:rPr>
          <m:t>+</m:t>
        </m:r>
        <m:sSub>
          <m:e>
            <m:r>
              <m:t>ψ</m:t>
            </m:r>
          </m:e>
          <m:sub>
            <m:r>
              <m:t>2</m:t>
            </m:r>
          </m:sub>
        </m:sSub>
        <m:r>
          <m:rPr>
            <m:sty m:val="p"/>
          </m:rPr>
          <m:t>+</m:t>
        </m:r>
        <m:sSub>
          <m:e>
            <m:r>
              <m:t>ψ</m:t>
            </m:r>
          </m:e>
          <m:sub>
            <m:r>
              <m:t>1</m:t>
            </m:r>
          </m:sub>
        </m:sSub>
        <m:r>
          <m:rPr>
            <m:sty m:val="p"/>
          </m:rPr>
          <m:t>+</m:t>
        </m:r>
        <m:sSub>
          <m:e>
            <m:r>
              <m:t>ψ</m:t>
            </m:r>
          </m:e>
          <m:sub>
            <m:r>
              <m:t>0</m:t>
            </m:r>
          </m:sub>
        </m:sSub>
        <m:r>
          <m:rPr>
            <m:sty m:val="p"/>
          </m:rPr>
          <m:t>=</m:t>
        </m:r>
        <m:r>
          <m:t>1</m:t>
        </m:r>
      </m:oMath>
      <w:r>
        <w:t xml:space="preserve">.</w:t>
      </w:r>
    </w:p>
    <w:p>
      <w:pPr>
        <w:pStyle w:val="FirstParagraph"/>
      </w:pPr>
      <w:r>
        <w:t xml:space="preserve">We modeled the occupancy state of each grid-cell</w:t>
      </w:r>
      <w:r>
        <w:t xml:space="preserve"> </w:t>
      </w:r>
      <m:oMath>
        <m:r>
          <m:t>z</m:t>
        </m:r>
      </m:oMath>
      <w:r>
        <w:t xml:space="preserve"> </w:t>
      </w:r>
      <w:r>
        <w:t xml:space="preserve">as a multinomial draw in vector</w:t>
      </w:r>
      <w:r>
        <w:t xml:space="preserve"> </w:t>
      </w:r>
      <m:oMath>
        <m:r>
          <m:t>π</m:t>
        </m:r>
        <m:r>
          <m:rPr>
            <m:sty m:val="p"/>
          </m:rPr>
          <m:t>=</m:t>
        </m:r>
        <m:d>
          <m:dPr>
            <m:begChr m:val="("/>
            <m:endChr m:val=")"/>
            <m:sepChr m:val=""/>
            <m:grow/>
          </m:dPr>
          <m:e>
            <m:sSub>
              <m:e>
                <m:r>
                  <m:t>ψ</m:t>
                </m:r>
              </m:e>
              <m:sub>
                <m:r>
                  <m:t>0</m:t>
                </m:r>
              </m:sub>
            </m:sSub>
            <m:r>
              <m:rPr>
                <m:sty m:val="p"/>
              </m:rPr>
              <m:t>,</m:t>
            </m:r>
            <m:sSub>
              <m:e>
                <m:r>
                  <m:t>ψ</m:t>
                </m:r>
              </m:e>
              <m:sub>
                <m:r>
                  <m:t>1</m:t>
                </m:r>
              </m:sub>
            </m:sSub>
            <m:r>
              <m:rPr>
                <m:sty m:val="p"/>
              </m:rPr>
              <m:t>,</m:t>
            </m:r>
            <m:sSub>
              <m:e>
                <m:r>
                  <m:t>ψ</m:t>
                </m:r>
              </m:e>
              <m:sub>
                <m:r>
                  <m:t>2</m:t>
                </m:r>
              </m:sub>
            </m:sSub>
            <m:r>
              <m:rPr>
                <m:sty m:val="p"/>
              </m:rPr>
              <m:t>,</m:t>
            </m:r>
            <m:sSub>
              <m:e>
                <m:r>
                  <m:t>ψ</m:t>
                </m:r>
              </m:e>
              <m:sub>
                <m:r>
                  <m:t>3</m:t>
                </m:r>
              </m:sub>
            </m:sSub>
          </m:e>
        </m:d>
      </m:oMath>
      <w:r>
        <w:t xml:space="preserve"> </w:t>
      </w:r>
      <w:r>
        <w:t xml:space="preserve">:</w:t>
      </w:r>
    </w:p>
    <w:p>
      <w:pPr>
        <w:pStyle w:val="Corpsdetexte"/>
      </w:pPr>
      <m:oMathPara>
        <m:oMathParaPr>
          <m:jc m:val="center"/>
        </m:oMathParaPr>
        <m:oMath>
          <m:r>
            <m:t>z</m:t>
          </m:r>
          <m:r>
            <m:rPr>
              <m:sty m:val="p"/>
            </m:rPr>
            <m:t>∼</m:t>
          </m:r>
          <m:r>
            <m:t>M</m:t>
          </m:r>
          <m:r>
            <m:t>u</m:t>
          </m:r>
          <m:r>
            <m:t>l</m:t>
          </m:r>
          <m:r>
            <m:t>t</m:t>
          </m:r>
          <m:r>
            <m:t>i</m:t>
          </m:r>
          <m:r>
            <m:t>n</m:t>
          </m:r>
          <m:r>
            <m:t>o</m:t>
          </m:r>
          <m:r>
            <m:t>m</m:t>
          </m:r>
          <m:r>
            <m:t>i</m:t>
          </m:r>
          <m:r>
            <m:t>a</m:t>
          </m:r>
          <m:r>
            <m:t>l</m:t>
          </m:r>
          <m:d>
            <m:dPr>
              <m:begChr m:val="("/>
              <m:endChr m:val=")"/>
              <m:sepChr m:val=""/>
              <m:grow/>
            </m:dPr>
            <m:e>
              <m:r>
                <m:t>1</m:t>
              </m:r>
              <m:r>
                <m:rPr>
                  <m:sty m:val="p"/>
                </m:rPr>
                <m:t>,</m:t>
              </m:r>
              <m:r>
                <m:t>π</m:t>
              </m:r>
            </m:e>
          </m:d>
        </m:oMath>
      </m:oMathPara>
    </w:p>
    <w:p>
      <w:pPr>
        <w:pStyle w:val="FirstParagraph"/>
      </w:pPr>
      <w:r>
        <w:t xml:space="preserve">We modeled occupancy probabilities</w:t>
      </w:r>
      <w:r>
        <w:t xml:space="preserve"> </w:t>
      </w:r>
      <m:oMath>
        <m:sSub>
          <m:e>
            <m:r>
              <m:t>ψ</m:t>
            </m:r>
          </m:e>
          <m:sub>
            <m:r>
              <m:t>1</m:t>
            </m:r>
          </m:sub>
        </m:sSub>
      </m:oMath>
      <w:r>
        <w:t xml:space="preserve">,</w:t>
      </w:r>
      <w:r>
        <w:t xml:space="preserve"> </w:t>
      </w:r>
      <m:oMath>
        <m:sSub>
          <m:e>
            <m:r>
              <m:t>ψ</m:t>
            </m:r>
          </m:e>
          <m:sub>
            <m:r>
              <m:t>2</m:t>
            </m:r>
          </m:sub>
        </m:sSub>
      </m:oMath>
      <w:r>
        <w:t xml:space="preserve">, and</w:t>
      </w:r>
      <w:r>
        <w:t xml:space="preserve"> </w:t>
      </w:r>
      <m:oMath>
        <m:sSub>
          <m:e>
            <m:r>
              <m:t>ψ</m:t>
            </m:r>
          </m:e>
          <m:sub>
            <m:r>
              <m:t>3</m:t>
            </m:r>
          </m:sub>
        </m:sSub>
      </m:oMath>
      <w:r>
        <w:t xml:space="preserve"> </w:t>
      </w:r>
      <w:r>
        <w:t xml:space="preserve">as a linear function of depth and non-parametric functions geographical coordinates X and Y with Generalized Additive Models (GAMs)</w:t>
      </w:r>
      <w:r>
        <w:t xml:space="preserve"> </w:t>
      </w:r>
      <w:r>
        <w:t xml:space="preserve">(</w:t>
      </w:r>
      <w:hyperlink w:anchor="ref-wood2006">
        <w:r>
          <w:rPr>
            <w:rStyle w:val="Lienhypertexte"/>
          </w:rPr>
          <w:t xml:space="preserve">Wood 2006</w:t>
        </w:r>
      </w:hyperlink>
      <w:r>
        <w:t xml:space="preserve">)</w:t>
      </w:r>
      <w:r>
        <w:t xml:space="preserve">:</w:t>
      </w:r>
    </w:p>
    <w:p>
      <w:pPr>
        <w:pStyle w:val="Corpsdetexte"/>
      </w:pPr>
      <m:oMathPara>
        <m:oMathParaPr>
          <m:jc m:val="center"/>
        </m:oMathParaPr>
        <m:oMath>
          <m:r>
            <m:rPr>
              <m:nor/>
              <m:sty m:val="p"/>
            </m:rPr>
            <m:t>logit</m:t>
          </m:r>
          <m:d>
            <m:dPr>
              <m:begChr m:val="("/>
              <m:endChr m:val=")"/>
              <m:sepChr m:val=""/>
              <m:grow/>
            </m:dPr>
            <m:e>
              <m:r>
                <m:t>ψ</m:t>
              </m:r>
            </m:e>
          </m:d>
          <m:r>
            <m:rPr>
              <m:sty m:val="p"/>
            </m:rPr>
            <m:t>=</m:t>
          </m:r>
          <m:sSub>
            <m:e>
              <m:r>
                <m:t>α</m:t>
              </m:r>
            </m:e>
            <m:sub>
              <m:r>
                <m:t>0</m:t>
              </m:r>
            </m:sub>
          </m:sSub>
          <m:r>
            <m:rPr>
              <m:sty m:val="p"/>
            </m:rPr>
            <m:t>+</m:t>
          </m:r>
          <m:sSub>
            <m:e>
              <m:r>
                <m:t>α</m:t>
              </m:r>
            </m:e>
            <m:sub>
              <m:r>
                <m:t>1</m:t>
              </m:r>
            </m:sub>
          </m:sSub>
          <m:r>
            <m:t> </m:t>
          </m:r>
          <m:r>
            <m:rPr>
              <m:nor/>
              <m:sty m:val="p"/>
            </m:rPr>
            <m:t>depth</m:t>
          </m:r>
          <m:r>
            <m:rPr>
              <m:sty m:val="p"/>
            </m:rPr>
            <m:t>+</m:t>
          </m:r>
          <m:r>
            <m:t>s</m:t>
          </m:r>
          <m:d>
            <m:dPr>
              <m:begChr m:val="("/>
              <m:endChr m:val=")"/>
              <m:sepChr m:val=""/>
              <m:grow/>
            </m:dPr>
            <m:e>
              <m:r>
                <m:rPr>
                  <m:nor/>
                  <m:sty m:val="p"/>
                </m:rPr>
                <m:t>X,Y</m:t>
              </m:r>
            </m:e>
          </m:d>
        </m:oMath>
      </m:oMathPara>
    </w:p>
    <w:p>
      <w:pPr>
        <w:pStyle w:val="FirstParagraph"/>
      </w:pPr>
      <w:r>
        <w:t xml:space="preserve">where</w:t>
      </w:r>
      <w:r>
        <w:t xml:space="preserve"> </w:t>
      </w:r>
      <m:oMath>
        <m:r>
          <m:t>s</m:t>
        </m:r>
        <m:d>
          <m:dPr>
            <m:begChr m:val="("/>
            <m:endChr m:val=")"/>
            <m:sepChr m:val=""/>
            <m:grow/>
          </m:dPr>
          <m:e>
            <m:r>
              <m:rPr>
                <m:sty m:val="p"/>
              </m:rPr>
              <m:t>.</m:t>
            </m:r>
          </m:e>
        </m:d>
      </m:oMath>
      <w:r>
        <w:t xml:space="preserve"> </w:t>
      </w:r>
      <w:r>
        <w:t xml:space="preserve">is a smooth function (see Supplementary Information), and</w:t>
      </w:r>
      <w:r>
        <w:t xml:space="preserve"> </w:t>
      </w:r>
      <m:oMath>
        <m:sSub>
          <m:e>
            <m:r>
              <m:t>α</m:t>
            </m:r>
          </m:e>
          <m:sub>
            <m:r>
              <m:t>0</m:t>
            </m:r>
          </m:sub>
        </m:sSub>
      </m:oMath>
      <w:r>
        <w:t xml:space="preserve"> </w:t>
      </w:r>
      <w:r>
        <w:t xml:space="preserve">and</w:t>
      </w:r>
      <w:r>
        <w:t xml:space="preserve"> </w:t>
      </w:r>
      <m:oMath>
        <m:sSub>
          <m:e>
            <m:r>
              <m:t>α</m:t>
            </m:r>
          </m:e>
          <m:sub>
            <m:r>
              <m:t>1</m:t>
            </m:r>
          </m:sub>
        </m:sSub>
      </m:oMath>
      <w:r>
        <w:t xml:space="preserve"> </w:t>
      </w:r>
      <w:r>
        <w:t xml:space="preserve">were to be estimated.</w:t>
      </w:r>
    </w:p>
    <w:bookmarkEnd w:id="22"/>
    <w:bookmarkStart w:id="23" w:name="observation-process"/>
    <w:p>
      <w:pPr>
        <w:pStyle w:val="Titre3"/>
      </w:pPr>
      <w:r>
        <w:t xml:space="preserve">Observation process</w:t>
      </w:r>
    </w:p>
    <w:p>
      <w:pPr>
        <w:pStyle w:val="FirstParagraph"/>
      </w:pPr>
      <w:r>
        <w:t xml:space="preserve">We considered 4 sampling occasions</w:t>
      </w:r>
      <w:r>
        <w:t xml:space="preserve"> </w:t>
      </w:r>
      <m:oMath>
        <m:r>
          <m:t>j</m:t>
        </m:r>
      </m:oMath>
      <w:r>
        <w:t xml:space="preserve"> </w:t>
      </w:r>
      <w:r>
        <w:t xml:space="preserve">with similar sampling effort for each monitoring program (winter, spring, summer, and autumn). We extended the observation process of the multispecies occupancy model of</w:t>
      </w:r>
      <w:r>
        <w:t xml:space="preserve"> </w:t>
      </w:r>
      <w:r>
        <w:t xml:space="preserve">Rota et al. (</w:t>
      </w:r>
      <w:hyperlink w:anchor="ref-rota2016">
        <w:r>
          <w:rPr>
            <w:rStyle w:val="Lienhypertexte"/>
          </w:rPr>
          <w:t xml:space="preserve">2016a</w:t>
        </w:r>
      </w:hyperlink>
      <w:r>
        <w:t xml:space="preserve">)</w:t>
      </w:r>
      <w:r>
        <w:t xml:space="preserve"> </w:t>
      </w:r>
      <w:r>
        <w:t xml:space="preserve">to integrate two datasets in the spirit of</w:t>
      </w:r>
      <w:r>
        <w:t xml:space="preserve"> </w:t>
      </w:r>
      <w:r>
        <w:t xml:space="preserve">Lauret et al. (</w:t>
      </w:r>
      <w:hyperlink w:anchor="ref-lauret2021">
        <w:r>
          <w:rPr>
            <w:rStyle w:val="Lienhypertexte"/>
          </w:rPr>
          <w:t xml:space="preserve">2021</w:t>
        </w:r>
      </w:hyperlink>
      <w:r>
        <w:t xml:space="preserve">)</w:t>
      </w:r>
      <w:r>
        <w:t xml:space="preserve">. We considered dataset</w:t>
      </w:r>
      <w:r>
        <w:t xml:space="preserve"> </w:t>
      </w:r>
      <m:oMath>
        <m:r>
          <m:t>A</m:t>
        </m:r>
      </m:oMath>
      <w:r>
        <w:t xml:space="preserve"> </w:t>
      </w:r>
      <w:r>
        <w:t xml:space="preserve">(i.e. aerial line transects), and dataset</w:t>
      </w:r>
      <w:r>
        <w:t xml:space="preserve"> </w:t>
      </w:r>
      <m:oMath>
        <m:r>
          <m:t>B</m:t>
        </m:r>
      </m:oMath>
      <w:r>
        <w:t xml:space="preserve"> </w:t>
      </w:r>
      <w:r>
        <w:t xml:space="preserve">(i.e. boat photo-id surveys). In both monitoring programs, detection and non-detection data on bottlenose dolphins and trawlers were collected. Each</w:t>
      </w:r>
      <w:r>
        <w:t xml:space="preserve"> </w:t>
      </w:r>
      <w:r>
        <w:t xml:space="preserve">“</w:t>
      </w:r>
      <w:r>
        <w:t xml:space="preserve">species</w:t>
      </w:r>
      <w:r>
        <w:t xml:space="preserve">”</w:t>
      </w:r>
      <w:r>
        <w:t xml:space="preserve"> </w:t>
      </w:r>
      <w:r>
        <w:t xml:space="preserve">had a different detection probability depending on the monitoring program considered, which led to four different detection probabilities:</w:t>
      </w:r>
    </w:p>
    <w:p>
      <w:pPr>
        <w:numPr>
          <w:ilvl w:val="0"/>
          <w:numId w:val="1003"/>
        </w:numPr>
        <w:pStyle w:val="Compact"/>
      </w:pPr>
      <m:oMath>
        <m:sSubSup>
          <m:e>
            <m:r>
              <m:t>p</m:t>
            </m:r>
          </m:e>
          <m:sub>
            <m:r>
              <m:t>d</m:t>
            </m:r>
          </m:sub>
          <m:sup>
            <m:r>
              <m:t>B</m:t>
            </m:r>
          </m:sup>
        </m:sSubSup>
      </m:oMath>
      <w:r>
        <w:t xml:space="preserve"> </w:t>
      </w:r>
      <w:r>
        <w:t xml:space="preserve">that is the probability of detecting dolphins by boat photo-id surveys;</w:t>
      </w:r>
    </w:p>
    <w:p>
      <w:pPr>
        <w:numPr>
          <w:ilvl w:val="0"/>
          <w:numId w:val="1003"/>
        </w:numPr>
        <w:pStyle w:val="Compact"/>
      </w:pPr>
      <m:oMath>
        <m:sSubSup>
          <m:e>
            <m:r>
              <m:t>p</m:t>
            </m:r>
          </m:e>
          <m:sub>
            <m:r>
              <m:t>d</m:t>
            </m:r>
          </m:sub>
          <m:sup>
            <m:r>
              <m:t>A</m:t>
            </m:r>
          </m:sup>
        </m:sSubSup>
      </m:oMath>
      <w:r>
        <w:t xml:space="preserve"> </w:t>
      </w:r>
      <w:r>
        <w:t xml:space="preserve">that is the probability of detecting dolphins by aerial surveys;</w:t>
      </w:r>
    </w:p>
    <w:p>
      <w:pPr>
        <w:numPr>
          <w:ilvl w:val="0"/>
          <w:numId w:val="1003"/>
        </w:numPr>
        <w:pStyle w:val="Compact"/>
      </w:pPr>
      <m:oMath>
        <m:sSubSup>
          <m:e>
            <m:r>
              <m:t>p</m:t>
            </m:r>
          </m:e>
          <m:sub>
            <m:r>
              <m:t>t</m:t>
            </m:r>
          </m:sub>
          <m:sup>
            <m:r>
              <m:t>B</m:t>
            </m:r>
          </m:sup>
        </m:sSubSup>
      </m:oMath>
      <w:r>
        <w:t xml:space="preserve"> </w:t>
      </w:r>
      <w:r>
        <w:t xml:space="preserve">that is the probability of detecting trawlers by boat photo-id surveys;</w:t>
      </w:r>
    </w:p>
    <w:p>
      <w:pPr>
        <w:numPr>
          <w:ilvl w:val="0"/>
          <w:numId w:val="1003"/>
        </w:numPr>
        <w:pStyle w:val="Compact"/>
      </w:pPr>
      <m:oMath>
        <m:sSubSup>
          <m:e>
            <m:r>
              <m:t>p</m:t>
            </m:r>
          </m:e>
          <m:sub>
            <m:r>
              <m:t>t</m:t>
            </m:r>
          </m:sub>
          <m:sup>
            <m:r>
              <m:t>A</m:t>
            </m:r>
          </m:sup>
        </m:sSubSup>
      </m:oMath>
      <w:r>
        <w:t xml:space="preserve"> </w:t>
      </w:r>
      <w:r>
        <w:t xml:space="preserve">that is the probability of detecting trawlers by aerial surveys.</w:t>
      </w:r>
    </w:p>
    <w:p>
      <w:pPr>
        <w:pStyle w:val="FirstParagraph"/>
      </w:pPr>
      <w:r>
        <w:t xml:space="preserve">For each grid-cell</w:t>
      </w:r>
      <w:r>
        <w:t xml:space="preserve"> </w:t>
      </w:r>
      <m:oMath>
        <m:r>
          <m:t>i</m:t>
        </m:r>
      </m:oMath>
      <w:r>
        <w:t xml:space="preserve"> </w:t>
      </w:r>
      <w:r>
        <w:t xml:space="preserve">and each sampling occasion</w:t>
      </w:r>
      <w:r>
        <w:t xml:space="preserve"> </w:t>
      </w:r>
      <m:oMath>
        <m:r>
          <m:t>j</m:t>
        </m:r>
      </m:oMath>
      <w:r>
        <w:t xml:space="preserve">, we modeled the detection probability</w:t>
      </w:r>
      <w:r>
        <w:t xml:space="preserve"> </w:t>
      </w:r>
      <m:oMath>
        <m:sSub>
          <m:e>
            <m:r>
              <m:t>p</m:t>
            </m:r>
          </m:e>
          <m:sub>
            <m:r>
              <m:t>i</m:t>
            </m:r>
            <m:r>
              <m:rPr>
                <m:sty m:val="p"/>
              </m:rPr>
              <m:t>,</m:t>
            </m:r>
            <m:r>
              <m:t>j</m:t>
            </m:r>
          </m:sub>
        </m:sSub>
      </m:oMath>
      <w:r>
        <w:t xml:space="preserve"> </w:t>
      </w:r>
      <w:r>
        <w:t xml:space="preserve">as a logit-linear function of sampling effort. For example :</w:t>
      </w:r>
    </w:p>
    <w:p>
      <w:pPr>
        <w:pStyle w:val="Corpsdetexte"/>
      </w:pPr>
      <m:oMathPara>
        <m:oMathParaPr>
          <m:jc m:val="center"/>
        </m:oMathParaPr>
        <m:oMath>
          <m:r>
            <m:rPr>
              <m:nor/>
              <m:sty m:val="p"/>
            </m:rPr>
            <m:t>logit</m:t>
          </m:r>
          <m:d>
            <m:dPr>
              <m:begChr m:val="("/>
              <m:endChr m:val=")"/>
              <m:sepChr m:val=""/>
              <m:grow/>
            </m:dPr>
            <m:e>
              <m:sSubSup>
                <m:e>
                  <m:r>
                    <m:t>p</m:t>
                  </m:r>
                </m:e>
                <m:sub>
                  <m:r>
                    <m:t>d</m:t>
                  </m:r>
                </m:sub>
                <m:sup>
                  <m:r>
                    <m:t>B</m:t>
                  </m:r>
                </m:sup>
              </m:sSubSup>
              <m:d>
                <m:dPr>
                  <m:begChr m:val="("/>
                  <m:endChr m:val=")"/>
                  <m:sepChr m:val=""/>
                  <m:grow/>
                </m:dPr>
                <m:e>
                  <m:r>
                    <m:t>i</m:t>
                  </m:r>
                  <m:r>
                    <m:rPr>
                      <m:sty m:val="p"/>
                    </m:rPr>
                    <m:t>,</m:t>
                  </m:r>
                  <m:r>
                    <m:t>j</m:t>
                  </m:r>
                </m:e>
              </m:d>
            </m:e>
          </m:d>
          <m:r>
            <m:rPr>
              <m:sty m:val="p"/>
            </m:rPr>
            <m:t>=</m:t>
          </m:r>
          <m:sSubSup>
            <m:e>
              <m:r>
                <m:t>β</m:t>
              </m:r>
            </m:e>
            <m:sub>
              <m:r>
                <m:t>0</m:t>
              </m:r>
              <m:r>
                <m:t>d</m:t>
              </m:r>
            </m:sub>
            <m:sup>
              <m:r>
                <m:t>B</m:t>
              </m:r>
            </m:sup>
          </m:sSubSup>
          <m:r>
            <m:rPr>
              <m:sty m:val="p"/>
            </m:rPr>
            <m:t>+</m:t>
          </m:r>
          <m:sSubSup>
            <m:e>
              <m:r>
                <m:t>β</m:t>
              </m:r>
            </m:e>
            <m:sub>
              <m:r>
                <m:t>1</m:t>
              </m:r>
              <m:r>
                <m:t>d</m:t>
              </m:r>
            </m:sub>
            <m:sup>
              <m:r>
                <m:t>B</m:t>
              </m:r>
            </m:sup>
          </m:sSubSup>
          <m:sSubSup>
            <m:e>
              <m:r>
                <m:rPr>
                  <m:nor/>
                  <m:sty m:val="p"/>
                </m:rPr>
                <m:t>sampling effort</m:t>
              </m:r>
            </m:e>
            <m:sub>
              <m:r>
                <m:t>i</m:t>
              </m:r>
              <m:r>
                <m:rPr>
                  <m:sty m:val="p"/>
                </m:rPr>
                <m:t>,</m:t>
              </m:r>
              <m:r>
                <m:t>j</m:t>
              </m:r>
            </m:sub>
            <m:sup>
              <m:r>
                <m:t>B</m:t>
              </m:r>
            </m:sup>
          </m:sSubSup>
        </m:oMath>
      </m:oMathPara>
    </w:p>
    <w:p>
      <w:pPr>
        <w:pStyle w:val="FirstParagraph"/>
      </w:pPr>
      <w:r>
        <w:t xml:space="preserve">where</w:t>
      </w:r>
      <w:r>
        <w:t xml:space="preserve"> </w:t>
      </w:r>
      <m:oMath>
        <m:sSubSup>
          <m:e>
            <m:r>
              <m:t>β</m:t>
            </m:r>
          </m:e>
          <m:sub>
            <m:r>
              <m:t>0</m:t>
            </m:r>
            <m:r>
              <m:t>d</m:t>
            </m:r>
          </m:sub>
          <m:sup>
            <m:r>
              <m:t>B</m:t>
            </m:r>
          </m:sup>
        </m:sSubSup>
      </m:oMath>
      <w:r>
        <w:t xml:space="preserve">, and</w:t>
      </w:r>
      <w:r>
        <w:t xml:space="preserve"> </w:t>
      </w:r>
      <m:oMath>
        <m:sSubSup>
          <m:e>
            <m:r>
              <m:t>β</m:t>
            </m:r>
          </m:e>
          <m:sub>
            <m:r>
              <m:t>1</m:t>
            </m:r>
            <m:r>
              <m:t>d</m:t>
            </m:r>
          </m:sub>
          <m:sup>
            <m:r>
              <m:t>B</m:t>
            </m:r>
          </m:sup>
        </m:sSubSup>
      </m:oMath>
      <w:r>
        <w:t xml:space="preserve"> </w:t>
      </w:r>
      <w:r>
        <w:t xml:space="preserve">were to be estimated for the probability of detectiong bottlenose dolphins by boat photo-id surveys.</w:t>
      </w:r>
    </w:p>
    <w:p>
      <w:pPr>
        <w:pStyle w:val="Corpsdetexte"/>
      </w:pPr>
      <w:r>
        <w:t xml:space="preserve">From the four detection probabilities, 16 observation</w:t>
      </w:r>
      <w:r>
        <w:t xml:space="preserve"> </w:t>
      </w:r>
      <w:r>
        <w:t xml:space="preserve">‘</w:t>
      </w:r>
      <w:r>
        <w:t xml:space="preserve">events</w:t>
      </w:r>
      <w:r>
        <w:t xml:space="preserve">’</w:t>
      </w:r>
      <w:r>
        <w:t xml:space="preserve"> </w:t>
      </w:r>
      <m:oMath>
        <m:r>
          <m:t>y</m:t>
        </m:r>
      </m:oMath>
      <w:r>
        <w:t xml:space="preserve"> </w:t>
      </w:r>
      <w:r>
        <w:t xml:space="preserve">can occur. We coded them as follow:</w:t>
      </w:r>
    </w:p>
    <w:p>
      <w:pPr>
        <w:numPr>
          <w:ilvl w:val="0"/>
          <w:numId w:val="1004"/>
        </w:numPr>
        <w:pStyle w:val="Compact"/>
      </w:pPr>
      <w:r>
        <w:rPr>
          <w:rStyle w:val="VerbatimChar"/>
        </w:rPr>
        <w:t xml:space="preserve">1</w:t>
      </w:r>
      <w:r>
        <w:t xml:space="preserve"> </w:t>
      </w:r>
      <w:r>
        <w:t xml:space="preserve">for none</w:t>
      </w:r>
      <w:r>
        <w:t xml:space="preserve"> </w:t>
      </w:r>
      <w:r>
        <w:t xml:space="preserve">“</w:t>
      </w:r>
      <w:r>
        <w:t xml:space="preserve">species</w:t>
      </w:r>
      <w:r>
        <w:t xml:space="preserve">”</w:t>
      </w:r>
      <w:r>
        <w:t xml:space="preserve"> </w:t>
      </w:r>
      <w:r>
        <w:t xml:space="preserve">detected neither by B nor A</w:t>
      </w:r>
    </w:p>
    <w:p>
      <w:pPr>
        <w:numPr>
          <w:ilvl w:val="0"/>
          <w:numId w:val="1004"/>
        </w:numPr>
        <w:pStyle w:val="Compact"/>
      </w:pPr>
      <w:r>
        <w:rPr>
          <w:rStyle w:val="VerbatimChar"/>
        </w:rPr>
        <w:t xml:space="preserve">2</w:t>
      </w:r>
      <w:r>
        <w:t xml:space="preserve"> </w:t>
      </w:r>
      <w:r>
        <w:t xml:space="preserve">for dolphins detected by B, nothing by A</w:t>
      </w:r>
    </w:p>
    <w:p>
      <w:pPr>
        <w:numPr>
          <w:ilvl w:val="0"/>
          <w:numId w:val="1004"/>
        </w:numPr>
        <w:pStyle w:val="Compact"/>
      </w:pPr>
      <w:r>
        <w:rPr>
          <w:rStyle w:val="VerbatimChar"/>
        </w:rPr>
        <w:t xml:space="preserve">3</w:t>
      </w:r>
      <w:r>
        <w:t xml:space="preserve"> </w:t>
      </w:r>
      <w:r>
        <w:t xml:space="preserve">for trawlers detected by B, nothing by A</w:t>
      </w:r>
    </w:p>
    <w:p>
      <w:pPr>
        <w:numPr>
          <w:ilvl w:val="0"/>
          <w:numId w:val="1004"/>
        </w:numPr>
        <w:pStyle w:val="Compact"/>
      </w:pPr>
      <w:r>
        <w:rPr>
          <w:rStyle w:val="VerbatimChar"/>
        </w:rPr>
        <w:t xml:space="preserve">4</w:t>
      </w:r>
      <w:r>
        <w:t xml:space="preserve"> </w:t>
      </w:r>
      <w:r>
        <w:t xml:space="preserve">for both</w:t>
      </w:r>
      <w:r>
        <w:t xml:space="preserve"> </w:t>
      </w:r>
      <w:r>
        <w:t xml:space="preserve">“</w:t>
      </w:r>
      <w:r>
        <w:t xml:space="preserve">species</w:t>
      </w:r>
      <w:r>
        <w:t xml:space="preserve">”</w:t>
      </w:r>
      <w:r>
        <w:t xml:space="preserve"> </w:t>
      </w:r>
      <w:r>
        <w:t xml:space="preserve">detected by B, nothing by A</w:t>
      </w:r>
    </w:p>
    <w:p>
      <w:pPr>
        <w:numPr>
          <w:ilvl w:val="0"/>
          <w:numId w:val="1004"/>
        </w:numPr>
        <w:pStyle w:val="Compact"/>
      </w:pPr>
      <w:r>
        <w:rPr>
          <w:rStyle w:val="VerbatimChar"/>
        </w:rPr>
        <w:t xml:space="preserve">5</w:t>
      </w:r>
      <w:r>
        <w:t xml:space="preserve"> </w:t>
      </w:r>
      <w:r>
        <w:t xml:space="preserve">for none</w:t>
      </w:r>
      <w:r>
        <w:t xml:space="preserve"> </w:t>
      </w:r>
      <w:r>
        <w:t xml:space="preserve">“</w:t>
      </w:r>
      <w:r>
        <w:t xml:space="preserve">species</w:t>
      </w:r>
      <w:r>
        <w:t xml:space="preserve">”</w:t>
      </w:r>
      <w:r>
        <w:t xml:space="preserve"> </w:t>
      </w:r>
      <w:r>
        <w:t xml:space="preserve">detected by B, dolphins detected by A</w:t>
      </w:r>
    </w:p>
    <w:p>
      <w:pPr>
        <w:numPr>
          <w:ilvl w:val="0"/>
          <w:numId w:val="1004"/>
        </w:numPr>
        <w:pStyle w:val="Compact"/>
      </w:pPr>
      <w:r>
        <w:rPr>
          <w:rStyle w:val="VerbatimChar"/>
        </w:rPr>
        <w:t xml:space="preserve">6</w:t>
      </w:r>
      <w:r>
        <w:t xml:space="preserve"> </w:t>
      </w:r>
      <w:r>
        <w:t xml:space="preserve">for dolphins detected by B and by A</w:t>
      </w:r>
    </w:p>
    <w:p>
      <w:pPr>
        <w:numPr>
          <w:ilvl w:val="0"/>
          <w:numId w:val="1004"/>
        </w:numPr>
        <w:pStyle w:val="Compact"/>
      </w:pPr>
      <w:r>
        <w:rPr>
          <w:rStyle w:val="VerbatimChar"/>
        </w:rPr>
        <w:t xml:space="preserve">7</w:t>
      </w:r>
      <w:r>
        <w:t xml:space="preserve"> </w:t>
      </w:r>
      <w:r>
        <w:t xml:space="preserve">for trawlers detected by B, dolphins detected by A</w:t>
      </w:r>
    </w:p>
    <w:p>
      <w:pPr>
        <w:numPr>
          <w:ilvl w:val="0"/>
          <w:numId w:val="1004"/>
        </w:numPr>
        <w:pStyle w:val="Compact"/>
      </w:pPr>
      <w:r>
        <w:rPr>
          <w:rStyle w:val="VerbatimChar"/>
        </w:rPr>
        <w:t xml:space="preserve">8</w:t>
      </w:r>
      <w:r>
        <w:t xml:space="preserve"> </w:t>
      </w:r>
      <w:r>
        <w:t xml:space="preserve">for both</w:t>
      </w:r>
      <w:r>
        <w:t xml:space="preserve"> </w:t>
      </w:r>
      <w:r>
        <w:t xml:space="preserve">“</w:t>
      </w:r>
      <w:r>
        <w:t xml:space="preserve">species</w:t>
      </w:r>
      <w:r>
        <w:t xml:space="preserve">”</w:t>
      </w:r>
      <w:r>
        <w:t xml:space="preserve"> </w:t>
      </w:r>
      <w:r>
        <w:t xml:space="preserve">detected by B, dolphins detected by A</w:t>
      </w:r>
    </w:p>
    <w:p>
      <w:pPr>
        <w:numPr>
          <w:ilvl w:val="0"/>
          <w:numId w:val="1004"/>
        </w:numPr>
        <w:pStyle w:val="Compact"/>
      </w:pPr>
      <w:r>
        <w:rPr>
          <w:rStyle w:val="VerbatimChar"/>
        </w:rPr>
        <w:t xml:space="preserve">9</w:t>
      </w:r>
      <w:r>
        <w:t xml:space="preserve"> </w:t>
      </w:r>
      <w:r>
        <w:t xml:space="preserve">for none</w:t>
      </w:r>
      <w:r>
        <w:t xml:space="preserve"> </w:t>
      </w:r>
      <w:r>
        <w:t xml:space="preserve">“</w:t>
      </w:r>
      <w:r>
        <w:t xml:space="preserve">species</w:t>
      </w:r>
      <w:r>
        <w:t xml:space="preserve">”</w:t>
      </w:r>
      <w:r>
        <w:t xml:space="preserve"> </w:t>
      </w:r>
      <w:r>
        <w:t xml:space="preserve">detected by B, trawlers detected by A</w:t>
      </w:r>
    </w:p>
    <w:p>
      <w:pPr>
        <w:numPr>
          <w:ilvl w:val="0"/>
          <w:numId w:val="1004"/>
        </w:numPr>
        <w:pStyle w:val="Compact"/>
      </w:pPr>
      <w:r>
        <w:rPr>
          <w:rStyle w:val="VerbatimChar"/>
        </w:rPr>
        <w:t xml:space="preserve">10</w:t>
      </w:r>
      <w:r>
        <w:t xml:space="preserve"> </w:t>
      </w:r>
      <w:r>
        <w:t xml:space="preserve">for dolphins detected by B, trawlers detected by A</w:t>
      </w:r>
    </w:p>
    <w:p>
      <w:pPr>
        <w:numPr>
          <w:ilvl w:val="0"/>
          <w:numId w:val="1004"/>
        </w:numPr>
        <w:pStyle w:val="Compact"/>
      </w:pPr>
      <w:r>
        <w:rPr>
          <w:rStyle w:val="VerbatimChar"/>
        </w:rPr>
        <w:t xml:space="preserve">11</w:t>
      </w:r>
      <w:r>
        <w:t xml:space="preserve"> </w:t>
      </w:r>
      <w:r>
        <w:t xml:space="preserve">for trawlers detected by B, trawlers detected by A</w:t>
      </w:r>
    </w:p>
    <w:p>
      <w:pPr>
        <w:numPr>
          <w:ilvl w:val="0"/>
          <w:numId w:val="1004"/>
        </w:numPr>
        <w:pStyle w:val="Compact"/>
      </w:pPr>
      <w:r>
        <w:rPr>
          <w:rStyle w:val="VerbatimChar"/>
        </w:rPr>
        <w:t xml:space="preserve">12</w:t>
      </w:r>
      <w:r>
        <w:t xml:space="preserve"> </w:t>
      </w:r>
      <w:r>
        <w:t xml:space="preserve">for both</w:t>
      </w:r>
      <w:r>
        <w:t xml:space="preserve"> </w:t>
      </w:r>
      <w:r>
        <w:t xml:space="preserve">“</w:t>
      </w:r>
      <w:r>
        <w:t xml:space="preserve">species</w:t>
      </w:r>
      <w:r>
        <w:t xml:space="preserve">”</w:t>
      </w:r>
      <w:r>
        <w:t xml:space="preserve"> </w:t>
      </w:r>
      <w:r>
        <w:t xml:space="preserve">detected by B, trawlers detected by A</w:t>
      </w:r>
    </w:p>
    <w:p>
      <w:pPr>
        <w:numPr>
          <w:ilvl w:val="0"/>
          <w:numId w:val="1004"/>
        </w:numPr>
        <w:pStyle w:val="Compact"/>
      </w:pPr>
      <w:r>
        <w:rPr>
          <w:rStyle w:val="VerbatimChar"/>
        </w:rPr>
        <w:t xml:space="preserve">13</w:t>
      </w:r>
      <w:r>
        <w:t xml:space="preserve"> </w:t>
      </w:r>
      <w:r>
        <w:t xml:space="preserve">for none</w:t>
      </w:r>
      <w:r>
        <w:t xml:space="preserve"> </w:t>
      </w:r>
      <w:r>
        <w:t xml:space="preserve">“</w:t>
      </w:r>
      <w:r>
        <w:t xml:space="preserve">species</w:t>
      </w:r>
      <w:r>
        <w:t xml:space="preserve">”</w:t>
      </w:r>
      <w:r>
        <w:t xml:space="preserve"> </w:t>
      </w:r>
      <w:r>
        <w:t xml:space="preserve">detected by B, both</w:t>
      </w:r>
      <w:r>
        <w:t xml:space="preserve"> </w:t>
      </w:r>
      <w:r>
        <w:t xml:space="preserve">“</w:t>
      </w:r>
      <w:r>
        <w:t xml:space="preserve">species</w:t>
      </w:r>
      <w:r>
        <w:t xml:space="preserve">”</w:t>
      </w:r>
      <w:r>
        <w:t xml:space="preserve"> </w:t>
      </w:r>
      <w:r>
        <w:t xml:space="preserve">detected by A</w:t>
      </w:r>
    </w:p>
    <w:p>
      <w:pPr>
        <w:numPr>
          <w:ilvl w:val="0"/>
          <w:numId w:val="1004"/>
        </w:numPr>
        <w:pStyle w:val="Compact"/>
      </w:pPr>
      <w:r>
        <w:rPr>
          <w:rStyle w:val="VerbatimChar"/>
        </w:rPr>
        <w:t xml:space="preserve">14</w:t>
      </w:r>
      <w:r>
        <w:t xml:space="preserve"> </w:t>
      </w:r>
      <w:r>
        <w:t xml:space="preserve">for dolphins detected by B, both</w:t>
      </w:r>
      <w:r>
        <w:t xml:space="preserve"> </w:t>
      </w:r>
      <w:r>
        <w:t xml:space="preserve">“</w:t>
      </w:r>
      <w:r>
        <w:t xml:space="preserve">species</w:t>
      </w:r>
      <w:r>
        <w:t xml:space="preserve">”</w:t>
      </w:r>
      <w:r>
        <w:t xml:space="preserve"> </w:t>
      </w:r>
      <w:r>
        <w:t xml:space="preserve">detected by A</w:t>
      </w:r>
    </w:p>
    <w:p>
      <w:pPr>
        <w:numPr>
          <w:ilvl w:val="0"/>
          <w:numId w:val="1004"/>
        </w:numPr>
        <w:pStyle w:val="Compact"/>
      </w:pPr>
      <w:r>
        <w:rPr>
          <w:rStyle w:val="VerbatimChar"/>
        </w:rPr>
        <w:t xml:space="preserve">15</w:t>
      </w:r>
      <w:r>
        <w:t xml:space="preserve"> </w:t>
      </w:r>
      <w:r>
        <w:t xml:space="preserve">for trawlers detected by B, both</w:t>
      </w:r>
      <w:r>
        <w:t xml:space="preserve"> </w:t>
      </w:r>
      <w:r>
        <w:t xml:space="preserve">“</w:t>
      </w:r>
      <w:r>
        <w:t xml:space="preserve">species</w:t>
      </w:r>
      <w:r>
        <w:t xml:space="preserve">”</w:t>
      </w:r>
      <w:r>
        <w:t xml:space="preserve"> </w:t>
      </w:r>
      <w:r>
        <w:t xml:space="preserve">detected by A</w:t>
      </w:r>
    </w:p>
    <w:p>
      <w:pPr>
        <w:numPr>
          <w:ilvl w:val="0"/>
          <w:numId w:val="1004"/>
        </w:numPr>
        <w:pStyle w:val="Compact"/>
      </w:pPr>
      <w:r>
        <w:rPr>
          <w:rStyle w:val="VerbatimChar"/>
        </w:rPr>
        <w:t xml:space="preserve">16</w:t>
      </w:r>
      <w:r>
        <w:t xml:space="preserve"> </w:t>
      </w:r>
      <w:r>
        <w:t xml:space="preserve">for both</w:t>
      </w:r>
      <w:r>
        <w:t xml:space="preserve"> </w:t>
      </w:r>
      <w:r>
        <w:t xml:space="preserve">“</w:t>
      </w:r>
      <w:r>
        <w:t xml:space="preserve">species</w:t>
      </w:r>
      <w:r>
        <w:t xml:space="preserve">”</w:t>
      </w:r>
      <w:r>
        <w:t xml:space="preserve"> </w:t>
      </w:r>
      <w:r>
        <w:t xml:space="preserve">detected by B, both</w:t>
      </w:r>
      <w:r>
        <w:t xml:space="preserve"> </w:t>
      </w:r>
      <w:r>
        <w:t xml:space="preserve">“</w:t>
      </w:r>
      <w:r>
        <w:t xml:space="preserve">species</w:t>
      </w:r>
      <w:r>
        <w:t xml:space="preserve">”</w:t>
      </w:r>
      <w:r>
        <w:t xml:space="preserve"> </w:t>
      </w:r>
      <w:r>
        <w:t xml:space="preserve">detected by A.</w:t>
      </w:r>
    </w:p>
    <w:p>
      <w:pPr>
        <w:pStyle w:val="FirstParagraph"/>
      </w:pPr>
      <w:r>
        <w:t xml:space="preserve">Then, with 4 ecological states (in columns) and 16 observation events (in rows), we got the observation process with the following (transposed) 4x16 matrix.</w:t>
      </w:r>
    </w:p>
    <w:p>
      <w:pPr>
        <w:pStyle w:val="Corpsdetexte"/>
      </w:pPr>
      <m:oMathPara>
        <m:oMathParaPr>
          <m:jc m:val="center"/>
        </m:oMathParaPr>
        <m:oMath>
          <m:r>
            <m:t>t</m:t>
          </m:r>
          <m:d>
            <m:dPr>
              <m:begChr m:val="("/>
              <m:endChr m:val=")"/>
              <m:sepChr m:val=""/>
              <m:grow/>
            </m:dPr>
            <m:e>
              <m:r>
                <m:t>θ</m:t>
              </m:r>
            </m:e>
          </m:d>
          <m:r>
            <m:rPr>
              <m:sty m:val="p"/>
            </m:rPr>
            <m:t>=</m:t>
          </m:r>
          <m:d>
            <m:dPr>
              <m:begChr m:val="["/>
              <m:endChr m:val="]"/>
              <m:sepChr m:val=""/>
              <m:grow/>
            </m:dPr>
            <m:e>
              <m:m>
                <m:mPr>
                  <m:baseJc m:val="center"/>
                  <m:plcHide m:val="1"/>
                  <m:mcs>
                    <m:mc>
                      <m:mcPr>
                        <m:mcJc m:val="center"/>
                        <m:count m:val="1"/>
                      </m:mcPr>
                    </m:mc>
                    <m:mc>
                      <m:mcPr>
                        <m:mcJc m:val="center"/>
                        <m:count m:val="1"/>
                      </m:mcPr>
                    </m:mc>
                    <m:mc>
                      <m:mcPr>
                        <m:mcJc m:val="center"/>
                        <m:count m:val="1"/>
                      </m:mcPr>
                    </m:mc>
                    <m:mc>
                      <m:mcPr>
                        <m:mcJc m:val="center"/>
                        <m:count m:val="1"/>
                      </m:mcPr>
                    </m:mc>
                  </m:mcs>
                </m:mPr>
                <m:mr>
                  <m:e>
                    <m:r>
                      <m:t>1</m:t>
                    </m:r>
                  </m:e>
                  <m:e>
                    <m:d>
                      <m:dPr>
                        <m:begChr m:val="("/>
                        <m:endChr m:val=")"/>
                        <m:sepChr m:val=""/>
                        <m:grow/>
                      </m:dPr>
                      <m:e>
                        <m:r>
                          <m:t>1</m:t>
                        </m:r>
                        <m:r>
                          <m:rPr>
                            <m:sty m:val="p"/>
                          </m:rPr>
                          <m:t>−</m:t>
                        </m:r>
                        <m:sSubSup>
                          <m:e>
                            <m:r>
                              <m:t>p</m:t>
                            </m:r>
                          </m:e>
                          <m:sub>
                            <m:r>
                              <m:t>D</m:t>
                            </m:r>
                          </m:sub>
                          <m:sup>
                            <m:r>
                              <m:t>B</m:t>
                            </m:r>
                          </m:sup>
                        </m:sSubSup>
                      </m:e>
                    </m:d>
                    <m:d>
                      <m:dPr>
                        <m:begChr m:val="("/>
                        <m:endChr m:val=")"/>
                        <m:sepChr m:val=""/>
                        <m:grow/>
                      </m:dPr>
                      <m:e>
                        <m:r>
                          <m:t>1</m:t>
                        </m:r>
                        <m:r>
                          <m:rPr>
                            <m:sty m:val="p"/>
                          </m:rPr>
                          <m:t>−</m:t>
                        </m:r>
                        <m:sSubSup>
                          <m:e>
                            <m:r>
                              <m:t>p</m:t>
                            </m:r>
                          </m:e>
                          <m:sub>
                            <m:r>
                              <m:t>D</m:t>
                            </m:r>
                          </m:sub>
                          <m:sup>
                            <m:r>
                              <m:t>A</m:t>
                            </m:r>
                          </m:sup>
                        </m:sSubSup>
                      </m:e>
                    </m:d>
                  </m:e>
                  <m:e>
                    <m:d>
                      <m:dPr>
                        <m:begChr m:val="("/>
                        <m:endChr m:val=")"/>
                        <m:sepChr m:val=""/>
                        <m:grow/>
                      </m:dPr>
                      <m:e>
                        <m:r>
                          <m:t>1</m:t>
                        </m:r>
                        <m:r>
                          <m:rPr>
                            <m:sty m:val="p"/>
                          </m:rPr>
                          <m:t>−</m:t>
                        </m:r>
                        <m:sSubSup>
                          <m:e>
                            <m:r>
                              <m:t>p</m:t>
                            </m:r>
                          </m:e>
                          <m:sub>
                            <m:r>
                              <m:t>T</m:t>
                            </m:r>
                          </m:sub>
                          <m:sup>
                            <m:r>
                              <m:t>B</m:t>
                            </m:r>
                          </m:sup>
                        </m:sSubSup>
                      </m:e>
                    </m:d>
                    <m:d>
                      <m:dPr>
                        <m:begChr m:val="("/>
                        <m:endChr m:val=")"/>
                        <m:sepChr m:val=""/>
                        <m:grow/>
                      </m:dPr>
                      <m:e>
                        <m:r>
                          <m:t>1</m:t>
                        </m:r>
                        <m:r>
                          <m:rPr>
                            <m:sty m:val="p"/>
                          </m:rPr>
                          <m:t>−</m:t>
                        </m:r>
                        <m:sSubSup>
                          <m:e>
                            <m:r>
                              <m:t>p</m:t>
                            </m:r>
                          </m:e>
                          <m:sub>
                            <m:r>
                              <m:t>T</m:t>
                            </m:r>
                          </m:sub>
                          <m:sup>
                            <m:r>
                              <m:t>A</m:t>
                            </m:r>
                          </m:sup>
                        </m:sSubSup>
                      </m:e>
                    </m:d>
                  </m:e>
                  <m:e>
                    <m:d>
                      <m:dPr>
                        <m:begChr m:val="("/>
                        <m:endChr m:val=")"/>
                        <m:sepChr m:val=""/>
                        <m:grow/>
                      </m:dPr>
                      <m:e>
                        <m:r>
                          <m:t>1</m:t>
                        </m:r>
                        <m:r>
                          <m:rPr>
                            <m:sty m:val="p"/>
                          </m:rPr>
                          <m:t>−</m:t>
                        </m:r>
                        <m:sSubSup>
                          <m:e>
                            <m:r>
                              <m:t>p</m:t>
                            </m:r>
                          </m:e>
                          <m:sub>
                            <m:r>
                              <m:t>T</m:t>
                            </m:r>
                          </m:sub>
                          <m:sup>
                            <m:r>
                              <m:t>B</m:t>
                            </m:r>
                          </m:sup>
                        </m:sSubSup>
                      </m:e>
                    </m:d>
                    <m:d>
                      <m:dPr>
                        <m:begChr m:val="("/>
                        <m:endChr m:val=")"/>
                        <m:sepChr m:val=""/>
                        <m:grow/>
                      </m:dPr>
                      <m:e>
                        <m:r>
                          <m:t>1</m:t>
                        </m:r>
                        <m:r>
                          <m:rPr>
                            <m:sty m:val="p"/>
                          </m:rPr>
                          <m:t>−</m:t>
                        </m:r>
                        <m:sSubSup>
                          <m:e>
                            <m:r>
                              <m:t>p</m:t>
                            </m:r>
                          </m:e>
                          <m:sub>
                            <m:r>
                              <m:t>T</m:t>
                            </m:r>
                          </m:sub>
                          <m:sup>
                            <m:r>
                              <m:t>A</m:t>
                            </m:r>
                          </m:sup>
                        </m:sSubSup>
                      </m:e>
                    </m:d>
                    <m:d>
                      <m:dPr>
                        <m:begChr m:val="("/>
                        <m:endChr m:val=")"/>
                        <m:sepChr m:val=""/>
                        <m:grow/>
                      </m:dPr>
                      <m:e>
                        <m:r>
                          <m:t>1</m:t>
                        </m:r>
                        <m:r>
                          <m:rPr>
                            <m:sty m:val="p"/>
                          </m:rPr>
                          <m:t>−</m:t>
                        </m:r>
                        <m:sSubSup>
                          <m:e>
                            <m:r>
                              <m:t>p</m:t>
                            </m:r>
                          </m:e>
                          <m:sub>
                            <m:r>
                              <m:t>D</m:t>
                            </m:r>
                          </m:sub>
                          <m:sup>
                            <m:r>
                              <m:t>A</m:t>
                            </m:r>
                          </m:sup>
                        </m:sSubSup>
                      </m:e>
                    </m:d>
                    <m:d>
                      <m:dPr>
                        <m:begChr m:val="("/>
                        <m:endChr m:val=")"/>
                        <m:sepChr m:val=""/>
                        <m:grow/>
                      </m:dPr>
                      <m:e>
                        <m:r>
                          <m:t>1</m:t>
                        </m:r>
                        <m:r>
                          <m:rPr>
                            <m:sty m:val="p"/>
                          </m:rPr>
                          <m:t>−</m:t>
                        </m:r>
                        <m:sSubSup>
                          <m:e>
                            <m:r>
                              <m:t>p</m:t>
                            </m:r>
                          </m:e>
                          <m:sub>
                            <m:r>
                              <m:t>D</m:t>
                            </m:r>
                          </m:sub>
                          <m:sup>
                            <m:r>
                              <m:t>B</m:t>
                            </m:r>
                          </m:sup>
                        </m:sSubSup>
                      </m:e>
                    </m:d>
                  </m:e>
                </m:mr>
                <m:mr>
                  <m:e>
                    <m:r>
                      <m:t>0</m:t>
                    </m:r>
                  </m:e>
                  <m:e>
                    <m:sSubSup>
                      <m:e>
                        <m:r>
                          <m:t>p</m:t>
                        </m:r>
                      </m:e>
                      <m:sub>
                        <m:r>
                          <m:t>D</m:t>
                        </m:r>
                      </m:sub>
                      <m:sup>
                        <m:r>
                          <m:t>B</m:t>
                        </m:r>
                      </m:sup>
                    </m:sSubSup>
                    <m:d>
                      <m:dPr>
                        <m:begChr m:val="("/>
                        <m:endChr m:val=")"/>
                        <m:sepChr m:val=""/>
                        <m:grow/>
                      </m:dPr>
                      <m:e>
                        <m:r>
                          <m:t>1</m:t>
                        </m:r>
                        <m:r>
                          <m:rPr>
                            <m:sty m:val="p"/>
                          </m:rPr>
                          <m:t>−</m:t>
                        </m:r>
                        <m:sSubSup>
                          <m:e>
                            <m:r>
                              <m:t>p</m:t>
                            </m:r>
                          </m:e>
                          <m:sub>
                            <m:r>
                              <m:t>D</m:t>
                            </m:r>
                          </m:sub>
                          <m:sup>
                            <m:r>
                              <m:t>A</m:t>
                            </m:r>
                          </m:sup>
                        </m:sSubSup>
                      </m:e>
                    </m:d>
                  </m:e>
                  <m:e>
                    <m:r>
                      <m:t>0</m:t>
                    </m:r>
                  </m:e>
                  <m:e>
                    <m:d>
                      <m:dPr>
                        <m:begChr m:val="("/>
                        <m:endChr m:val=")"/>
                        <m:sepChr m:val=""/>
                        <m:grow/>
                      </m:dPr>
                      <m:e>
                        <m:r>
                          <m:t>1</m:t>
                        </m:r>
                        <m:r>
                          <m:rPr>
                            <m:sty m:val="p"/>
                          </m:rPr>
                          <m:t>−</m:t>
                        </m:r>
                        <m:sSubSup>
                          <m:e>
                            <m:r>
                              <m:t>p</m:t>
                            </m:r>
                          </m:e>
                          <m:sub>
                            <m:r>
                              <m:t>T</m:t>
                            </m:r>
                          </m:sub>
                          <m:sup>
                            <m:r>
                              <m:t>A</m:t>
                            </m:r>
                          </m:sup>
                        </m:sSubSup>
                      </m:e>
                    </m:d>
                    <m:d>
                      <m:dPr>
                        <m:begChr m:val="("/>
                        <m:endChr m:val=")"/>
                        <m:sepChr m:val=""/>
                        <m:grow/>
                      </m:dPr>
                      <m:e>
                        <m:r>
                          <m:t>1</m:t>
                        </m:r>
                        <m:r>
                          <m:rPr>
                            <m:sty m:val="p"/>
                          </m:rPr>
                          <m:t>−</m:t>
                        </m:r>
                        <m:sSubSup>
                          <m:e>
                            <m:r>
                              <m:t>p</m:t>
                            </m:r>
                          </m:e>
                          <m:sub>
                            <m:r>
                              <m:t>D</m:t>
                            </m:r>
                          </m:sub>
                          <m:sup>
                            <m:r>
                              <m:t>A</m:t>
                            </m:r>
                          </m:sup>
                        </m:sSubSup>
                      </m:e>
                    </m:d>
                    <m:sSubSup>
                      <m:e>
                        <m:r>
                          <m:t>p</m:t>
                        </m:r>
                      </m:e>
                      <m:sub>
                        <m:r>
                          <m:t>D</m:t>
                        </m:r>
                      </m:sub>
                      <m:sup>
                        <m:r>
                          <m:t>B</m:t>
                        </m:r>
                      </m:sup>
                    </m:sSubSup>
                    <m:d>
                      <m:dPr>
                        <m:begChr m:val="("/>
                        <m:endChr m:val=")"/>
                        <m:sepChr m:val=""/>
                        <m:grow/>
                      </m:dPr>
                      <m:e>
                        <m:r>
                          <m:t>1</m:t>
                        </m:r>
                        <m:r>
                          <m:rPr>
                            <m:sty m:val="p"/>
                          </m:rPr>
                          <m:t>−</m:t>
                        </m:r>
                        <m:sSubSup>
                          <m:e>
                            <m:r>
                              <m:t>p</m:t>
                            </m:r>
                          </m:e>
                          <m:sub>
                            <m:r>
                              <m:t>T</m:t>
                            </m:r>
                          </m:sub>
                          <m:sup>
                            <m:r>
                              <m:t>B</m:t>
                            </m:r>
                          </m:sup>
                        </m:sSubSup>
                      </m:e>
                    </m:d>
                  </m:e>
                </m:mr>
                <m:mr>
                  <m:e>
                    <m:r>
                      <m:t>0</m:t>
                    </m:r>
                  </m:e>
                  <m:e>
                    <m:r>
                      <m:t>0</m:t>
                    </m:r>
                  </m:e>
                  <m:e>
                    <m:sSubSup>
                      <m:e>
                        <m:r>
                          <m:t>p</m:t>
                        </m:r>
                      </m:e>
                      <m:sub>
                        <m:r>
                          <m:t>T</m:t>
                        </m:r>
                      </m:sub>
                      <m:sup>
                        <m:r>
                          <m:t>B</m:t>
                        </m:r>
                      </m:sup>
                    </m:sSubSup>
                    <m:d>
                      <m:dPr>
                        <m:begChr m:val="("/>
                        <m:endChr m:val=")"/>
                        <m:sepChr m:val=""/>
                        <m:grow/>
                      </m:dPr>
                      <m:e>
                        <m:r>
                          <m:t>1</m:t>
                        </m:r>
                        <m:r>
                          <m:rPr>
                            <m:sty m:val="p"/>
                          </m:rPr>
                          <m:t>−</m:t>
                        </m:r>
                        <m:sSubSup>
                          <m:e>
                            <m:r>
                              <m:t>p</m:t>
                            </m:r>
                          </m:e>
                          <m:sub>
                            <m:r>
                              <m:t>T</m:t>
                            </m:r>
                          </m:sub>
                          <m:sup>
                            <m:r>
                              <m:t>A</m:t>
                            </m:r>
                          </m:sup>
                        </m:sSubSup>
                      </m:e>
                    </m:d>
                  </m:e>
                  <m:e>
                    <m:d>
                      <m:dPr>
                        <m:begChr m:val="("/>
                        <m:endChr m:val=")"/>
                        <m:sepChr m:val=""/>
                        <m:grow/>
                      </m:dPr>
                      <m:e>
                        <m:r>
                          <m:t>1</m:t>
                        </m:r>
                        <m:r>
                          <m:rPr>
                            <m:sty m:val="p"/>
                          </m:rPr>
                          <m:t>−</m:t>
                        </m:r>
                        <m:sSubSup>
                          <m:e>
                            <m:r>
                              <m:t>p</m:t>
                            </m:r>
                          </m:e>
                          <m:sub>
                            <m:r>
                              <m:t>T</m:t>
                            </m:r>
                          </m:sub>
                          <m:sup>
                            <m:r>
                              <m:t>A</m:t>
                            </m:r>
                          </m:sup>
                        </m:sSubSup>
                      </m:e>
                    </m:d>
                    <m:d>
                      <m:dPr>
                        <m:begChr m:val="("/>
                        <m:endChr m:val=")"/>
                        <m:sepChr m:val=""/>
                        <m:grow/>
                      </m:dPr>
                      <m:e>
                        <m:r>
                          <m:t>1</m:t>
                        </m:r>
                        <m:r>
                          <m:rPr>
                            <m:sty m:val="p"/>
                          </m:rPr>
                          <m:t>−</m:t>
                        </m:r>
                        <m:sSubSup>
                          <m:e>
                            <m:r>
                              <m:t>p</m:t>
                            </m:r>
                          </m:e>
                          <m:sub>
                            <m:r>
                              <m:t>D</m:t>
                            </m:r>
                          </m:sub>
                          <m:sup>
                            <m:r>
                              <m:t>A</m:t>
                            </m:r>
                          </m:sup>
                        </m:sSubSup>
                      </m:e>
                    </m:d>
                    <m:sSubSup>
                      <m:e>
                        <m:r>
                          <m:t>p</m:t>
                        </m:r>
                      </m:e>
                      <m:sub>
                        <m:r>
                          <m:t>T</m:t>
                        </m:r>
                      </m:sub>
                      <m:sup>
                        <m:r>
                          <m:t>B</m:t>
                        </m:r>
                      </m:sup>
                    </m:sSubSup>
                    <m:d>
                      <m:dPr>
                        <m:begChr m:val="("/>
                        <m:endChr m:val=")"/>
                        <m:sepChr m:val=""/>
                        <m:grow/>
                      </m:dPr>
                      <m:e>
                        <m:r>
                          <m:t>1</m:t>
                        </m:r>
                        <m:r>
                          <m:rPr>
                            <m:sty m:val="p"/>
                          </m:rPr>
                          <m:t>−</m:t>
                        </m:r>
                        <m:sSubSup>
                          <m:e>
                            <m:r>
                              <m:t>p</m:t>
                            </m:r>
                          </m:e>
                          <m:sub>
                            <m:r>
                              <m:t>D</m:t>
                            </m:r>
                          </m:sub>
                          <m:sup>
                            <m:r>
                              <m:t>B</m:t>
                            </m:r>
                          </m:sup>
                        </m:sSubSup>
                      </m:e>
                    </m:d>
                  </m:e>
                </m:mr>
                <m:mr>
                  <m:e>
                    <m:r>
                      <m:t>0</m:t>
                    </m:r>
                  </m:e>
                  <m:e>
                    <m:r>
                      <m:t>0</m:t>
                    </m:r>
                  </m:e>
                  <m:e>
                    <m:r>
                      <m:t>0</m:t>
                    </m:r>
                  </m:e>
                  <m:e>
                    <m:d>
                      <m:dPr>
                        <m:begChr m:val="("/>
                        <m:endChr m:val=")"/>
                        <m:sepChr m:val=""/>
                        <m:grow/>
                      </m:dPr>
                      <m:e>
                        <m:r>
                          <m:t>1</m:t>
                        </m:r>
                        <m:r>
                          <m:rPr>
                            <m:sty m:val="p"/>
                          </m:rPr>
                          <m:t>−</m:t>
                        </m:r>
                        <m:sSubSup>
                          <m:e>
                            <m:r>
                              <m:t>p</m:t>
                            </m:r>
                          </m:e>
                          <m:sub>
                            <m:r>
                              <m:t>T</m:t>
                            </m:r>
                          </m:sub>
                          <m:sup>
                            <m:r>
                              <m:t>A</m:t>
                            </m:r>
                          </m:sup>
                        </m:sSubSup>
                      </m:e>
                    </m:d>
                    <m:d>
                      <m:dPr>
                        <m:begChr m:val="("/>
                        <m:endChr m:val=")"/>
                        <m:sepChr m:val=""/>
                        <m:grow/>
                      </m:dPr>
                      <m:e>
                        <m:r>
                          <m:t>1</m:t>
                        </m:r>
                        <m:r>
                          <m:rPr>
                            <m:sty m:val="p"/>
                          </m:rPr>
                          <m:t>−</m:t>
                        </m:r>
                        <m:sSubSup>
                          <m:e>
                            <m:r>
                              <m:t>p</m:t>
                            </m:r>
                          </m:e>
                          <m:sub>
                            <m:r>
                              <m:t>D</m:t>
                            </m:r>
                          </m:sub>
                          <m:sup>
                            <m:r>
                              <m:t>A</m:t>
                            </m:r>
                          </m:sup>
                        </m:sSubSup>
                      </m:e>
                    </m:d>
                    <m:sSubSup>
                      <m:e>
                        <m:r>
                          <m:t>p</m:t>
                        </m:r>
                      </m:e>
                      <m:sub>
                        <m:r>
                          <m:t>D</m:t>
                        </m:r>
                      </m:sub>
                      <m:sup>
                        <m:r>
                          <m:t>B</m:t>
                        </m:r>
                      </m:sup>
                    </m:sSubSup>
                    <m:sSubSup>
                      <m:e>
                        <m:r>
                          <m:t>p</m:t>
                        </m:r>
                      </m:e>
                      <m:sub>
                        <m:r>
                          <m:t>T</m:t>
                        </m:r>
                      </m:sub>
                      <m:sup>
                        <m:r>
                          <m:t>B</m:t>
                        </m:r>
                      </m:sup>
                    </m:sSubSup>
                  </m:e>
                </m:mr>
                <m:mr>
                  <m:e>
                    <m:r>
                      <m:t>0</m:t>
                    </m:r>
                  </m:e>
                  <m:e>
                    <m:sSubSup>
                      <m:e>
                        <m:r>
                          <m:t>p</m:t>
                        </m:r>
                      </m:e>
                      <m:sub>
                        <m:r>
                          <m:t>D</m:t>
                        </m:r>
                      </m:sub>
                      <m:sup>
                        <m:r>
                          <m:t>A</m:t>
                        </m:r>
                      </m:sup>
                    </m:sSubSup>
                    <m:d>
                      <m:dPr>
                        <m:begChr m:val="("/>
                        <m:endChr m:val=")"/>
                        <m:sepChr m:val=""/>
                        <m:grow/>
                      </m:dPr>
                      <m:e>
                        <m:r>
                          <m:t>1</m:t>
                        </m:r>
                        <m:r>
                          <m:rPr>
                            <m:sty m:val="p"/>
                          </m:rPr>
                          <m:t>−</m:t>
                        </m:r>
                        <m:sSubSup>
                          <m:e>
                            <m:r>
                              <m:t>p</m:t>
                            </m:r>
                          </m:e>
                          <m:sub>
                            <m:r>
                              <m:t>D</m:t>
                            </m:r>
                          </m:sub>
                          <m:sup>
                            <m:r>
                              <m:t>B</m:t>
                            </m:r>
                          </m:sup>
                        </m:sSubSup>
                      </m:e>
                    </m:d>
                  </m:e>
                  <m:e>
                    <m:r>
                      <m:t>0</m:t>
                    </m:r>
                  </m:e>
                  <m:e>
                    <m:sSubSup>
                      <m:e>
                        <m:r>
                          <m:t>p</m:t>
                        </m:r>
                      </m:e>
                      <m:sub>
                        <m:r>
                          <m:t>D</m:t>
                        </m:r>
                      </m:sub>
                      <m:sup>
                        <m:r>
                          <m:t>A</m:t>
                        </m:r>
                      </m:sup>
                    </m:sSubSup>
                    <m:d>
                      <m:dPr>
                        <m:begChr m:val="("/>
                        <m:endChr m:val=")"/>
                        <m:sepChr m:val=""/>
                        <m:grow/>
                      </m:dPr>
                      <m:e>
                        <m:r>
                          <m:t>1</m:t>
                        </m:r>
                        <m:r>
                          <m:rPr>
                            <m:sty m:val="p"/>
                          </m:rPr>
                          <m:t>−</m:t>
                        </m:r>
                        <m:sSubSup>
                          <m:e>
                            <m:r>
                              <m:t>p</m:t>
                            </m:r>
                          </m:e>
                          <m:sub>
                            <m:r>
                              <m:t>T</m:t>
                            </m:r>
                          </m:sub>
                          <m:sup>
                            <m:r>
                              <m:t>A</m:t>
                            </m:r>
                          </m:sup>
                        </m:sSubSup>
                      </m:e>
                    </m:d>
                    <m:d>
                      <m:dPr>
                        <m:begChr m:val="("/>
                        <m:endChr m:val=")"/>
                        <m:sepChr m:val=""/>
                        <m:grow/>
                      </m:dPr>
                      <m:e>
                        <m:r>
                          <m:t>1</m:t>
                        </m:r>
                        <m:r>
                          <m:rPr>
                            <m:sty m:val="p"/>
                          </m:rPr>
                          <m:t>−</m:t>
                        </m:r>
                        <m:sSubSup>
                          <m:e>
                            <m:r>
                              <m:t>p</m:t>
                            </m:r>
                          </m:e>
                          <m:sub>
                            <m:r>
                              <m:t>D</m:t>
                            </m:r>
                          </m:sub>
                          <m:sup>
                            <m:r>
                              <m:t>B</m:t>
                            </m:r>
                          </m:sup>
                        </m:sSubSup>
                      </m:e>
                    </m:d>
                    <m:d>
                      <m:dPr>
                        <m:begChr m:val="("/>
                        <m:endChr m:val=")"/>
                        <m:sepChr m:val=""/>
                        <m:grow/>
                      </m:dPr>
                      <m:e>
                        <m:r>
                          <m:t>1</m:t>
                        </m:r>
                        <m:r>
                          <m:rPr>
                            <m:sty m:val="p"/>
                          </m:rPr>
                          <m:t>−</m:t>
                        </m:r>
                        <m:sSubSup>
                          <m:e>
                            <m:r>
                              <m:t>p</m:t>
                            </m:r>
                          </m:e>
                          <m:sub>
                            <m:r>
                              <m:t>T</m:t>
                            </m:r>
                          </m:sub>
                          <m:sup>
                            <m:r>
                              <m:t>B</m:t>
                            </m:r>
                          </m:sup>
                        </m:sSubSup>
                      </m:e>
                    </m:d>
                  </m:e>
                </m:mr>
                <m:mr>
                  <m:e>
                    <m:r>
                      <m:t>0</m:t>
                    </m:r>
                  </m:e>
                  <m:e>
                    <m:sSubSup>
                      <m:e>
                        <m:r>
                          <m:t>p</m:t>
                        </m:r>
                      </m:e>
                      <m:sub>
                        <m:r>
                          <m:t>D</m:t>
                        </m:r>
                      </m:sub>
                      <m:sup>
                        <m:r>
                          <m:t>B</m:t>
                        </m:r>
                      </m:sup>
                    </m:sSubSup>
                    <m:sSubSup>
                      <m:e>
                        <m:r>
                          <m:t>p</m:t>
                        </m:r>
                      </m:e>
                      <m:sub>
                        <m:r>
                          <m:t>D</m:t>
                        </m:r>
                      </m:sub>
                      <m:sup>
                        <m:r>
                          <m:t>A</m:t>
                        </m:r>
                      </m:sup>
                    </m:sSubSup>
                  </m:e>
                  <m:e>
                    <m:r>
                      <m:t>0</m:t>
                    </m:r>
                  </m:e>
                  <m:e>
                    <m:sSubSup>
                      <m:e>
                        <m:r>
                          <m:t>p</m:t>
                        </m:r>
                      </m:e>
                      <m:sub>
                        <m:r>
                          <m:t>D</m:t>
                        </m:r>
                      </m:sub>
                      <m:sup>
                        <m:r>
                          <m:t>A</m:t>
                        </m:r>
                      </m:sup>
                    </m:sSubSup>
                    <m:d>
                      <m:dPr>
                        <m:begChr m:val="("/>
                        <m:endChr m:val=")"/>
                        <m:sepChr m:val=""/>
                        <m:grow/>
                      </m:dPr>
                      <m:e>
                        <m:r>
                          <m:t>1</m:t>
                        </m:r>
                        <m:r>
                          <m:rPr>
                            <m:sty m:val="p"/>
                          </m:rPr>
                          <m:t>−</m:t>
                        </m:r>
                        <m:sSubSup>
                          <m:e>
                            <m:r>
                              <m:t>p</m:t>
                            </m:r>
                          </m:e>
                          <m:sub>
                            <m:r>
                              <m:t>T</m:t>
                            </m:r>
                          </m:sub>
                          <m:sup>
                            <m:r>
                              <m:t>A</m:t>
                            </m:r>
                          </m:sup>
                        </m:sSubSup>
                      </m:e>
                    </m:d>
                    <m:sSubSup>
                      <m:e>
                        <m:r>
                          <m:t>p</m:t>
                        </m:r>
                      </m:e>
                      <m:sub>
                        <m:r>
                          <m:t>D</m:t>
                        </m:r>
                      </m:sub>
                      <m:sup>
                        <m:r>
                          <m:t>B</m:t>
                        </m:r>
                      </m:sup>
                    </m:sSubSup>
                    <m:d>
                      <m:dPr>
                        <m:begChr m:val="("/>
                        <m:endChr m:val=")"/>
                        <m:sepChr m:val=""/>
                        <m:grow/>
                      </m:dPr>
                      <m:e>
                        <m:r>
                          <m:t>1</m:t>
                        </m:r>
                        <m:r>
                          <m:rPr>
                            <m:sty m:val="p"/>
                          </m:rPr>
                          <m:t>−</m:t>
                        </m:r>
                        <m:sSubSup>
                          <m:e>
                            <m:r>
                              <m:t>p</m:t>
                            </m:r>
                          </m:e>
                          <m:sub>
                            <m:r>
                              <m:t>T</m:t>
                            </m:r>
                          </m:sub>
                          <m:sup>
                            <m:r>
                              <m:t>B</m:t>
                            </m:r>
                          </m:sup>
                        </m:sSubSup>
                      </m:e>
                    </m:d>
                  </m:e>
                </m:mr>
                <m:mr>
                  <m:e>
                    <m:r>
                      <m:t>0</m:t>
                    </m:r>
                  </m:e>
                  <m:e>
                    <m:r>
                      <m:t>0</m:t>
                    </m:r>
                  </m:e>
                  <m:e>
                    <m:r>
                      <m:t>0</m:t>
                    </m:r>
                  </m:e>
                  <m:e>
                    <m:sSubSup>
                      <m:e>
                        <m:r>
                          <m:t>p</m:t>
                        </m:r>
                      </m:e>
                      <m:sub>
                        <m:r>
                          <m:t>D</m:t>
                        </m:r>
                      </m:sub>
                      <m:sup>
                        <m:r>
                          <m:t>A</m:t>
                        </m:r>
                      </m:sup>
                    </m:sSubSup>
                    <m:d>
                      <m:dPr>
                        <m:begChr m:val="("/>
                        <m:endChr m:val=")"/>
                        <m:sepChr m:val=""/>
                        <m:grow/>
                      </m:dPr>
                      <m:e>
                        <m:r>
                          <m:t>1</m:t>
                        </m:r>
                        <m:r>
                          <m:rPr>
                            <m:sty m:val="p"/>
                          </m:rPr>
                          <m:t>−</m:t>
                        </m:r>
                        <m:sSubSup>
                          <m:e>
                            <m:r>
                              <m:t>p</m:t>
                            </m:r>
                          </m:e>
                          <m:sub>
                            <m:r>
                              <m:t>T</m:t>
                            </m:r>
                          </m:sub>
                          <m:sup>
                            <m:r>
                              <m:t>A</m:t>
                            </m:r>
                          </m:sup>
                        </m:sSubSup>
                      </m:e>
                    </m:d>
                    <m:sSubSup>
                      <m:e>
                        <m:r>
                          <m:t>p</m:t>
                        </m:r>
                      </m:e>
                      <m:sub>
                        <m:r>
                          <m:t>T</m:t>
                        </m:r>
                      </m:sub>
                      <m:sup>
                        <m:r>
                          <m:t>B</m:t>
                        </m:r>
                      </m:sup>
                    </m:sSubSup>
                    <m:d>
                      <m:dPr>
                        <m:begChr m:val="("/>
                        <m:endChr m:val=")"/>
                        <m:sepChr m:val=""/>
                        <m:grow/>
                      </m:dPr>
                      <m:e>
                        <m:r>
                          <m:t>1</m:t>
                        </m:r>
                        <m:r>
                          <m:rPr>
                            <m:sty m:val="p"/>
                          </m:rPr>
                          <m:t>−</m:t>
                        </m:r>
                        <m:sSubSup>
                          <m:e>
                            <m:r>
                              <m:t>p</m:t>
                            </m:r>
                          </m:e>
                          <m:sub>
                            <m:r>
                              <m:t>D</m:t>
                            </m:r>
                          </m:sub>
                          <m:sup>
                            <m:r>
                              <m:t>B</m:t>
                            </m:r>
                          </m:sup>
                        </m:sSubSup>
                      </m:e>
                    </m:d>
                  </m:e>
                </m:mr>
                <m:mr>
                  <m:e>
                    <m:r>
                      <m:t>0</m:t>
                    </m:r>
                  </m:e>
                  <m:e>
                    <m:r>
                      <m:t>0</m:t>
                    </m:r>
                  </m:e>
                  <m:e>
                    <m:r>
                      <m:t>0</m:t>
                    </m:r>
                  </m:e>
                  <m:e>
                    <m:sSubSup>
                      <m:e>
                        <m:r>
                          <m:t>p</m:t>
                        </m:r>
                      </m:e>
                      <m:sub>
                        <m:r>
                          <m:t>D</m:t>
                        </m:r>
                      </m:sub>
                      <m:sup>
                        <m:r>
                          <m:t>A</m:t>
                        </m:r>
                      </m:sup>
                    </m:sSubSup>
                    <m:d>
                      <m:dPr>
                        <m:begChr m:val="("/>
                        <m:endChr m:val=")"/>
                        <m:sepChr m:val=""/>
                        <m:grow/>
                      </m:dPr>
                      <m:e>
                        <m:r>
                          <m:t>1</m:t>
                        </m:r>
                        <m:r>
                          <m:rPr>
                            <m:sty m:val="p"/>
                          </m:rPr>
                          <m:t>−</m:t>
                        </m:r>
                        <m:sSubSup>
                          <m:e>
                            <m:r>
                              <m:t>p</m:t>
                            </m:r>
                          </m:e>
                          <m:sub>
                            <m:r>
                              <m:t>T</m:t>
                            </m:r>
                          </m:sub>
                          <m:sup>
                            <m:r>
                              <m:t>A</m:t>
                            </m:r>
                          </m:sup>
                        </m:sSubSup>
                      </m:e>
                    </m:d>
                    <m:sSubSup>
                      <m:e>
                        <m:r>
                          <m:t>p</m:t>
                        </m:r>
                      </m:e>
                      <m:sub>
                        <m:r>
                          <m:t>D</m:t>
                        </m:r>
                      </m:sub>
                      <m:sup>
                        <m:r>
                          <m:t>B</m:t>
                        </m:r>
                      </m:sup>
                    </m:sSubSup>
                    <m:sSubSup>
                      <m:e>
                        <m:r>
                          <m:t>p</m:t>
                        </m:r>
                      </m:e>
                      <m:sub>
                        <m:r>
                          <m:t>T</m:t>
                        </m:r>
                      </m:sub>
                      <m:sup>
                        <m:r>
                          <m:t>B</m:t>
                        </m:r>
                      </m:sup>
                    </m:sSubSup>
                  </m:e>
                </m:mr>
                <m:mr>
                  <m:e>
                    <m:r>
                      <m:t>0</m:t>
                    </m:r>
                  </m:e>
                  <m:e>
                    <m:r>
                      <m:t>0</m:t>
                    </m:r>
                  </m:e>
                  <m:e>
                    <m:r>
                      <m:t>0</m:t>
                    </m:r>
                  </m:e>
                  <m:e>
                    <m:sSubSup>
                      <m:e>
                        <m:r>
                          <m:t>p</m:t>
                        </m:r>
                      </m:e>
                      <m:sub>
                        <m:r>
                          <m:t>T</m:t>
                        </m:r>
                      </m:sub>
                      <m:sup>
                        <m:r>
                          <m:t>A</m:t>
                        </m:r>
                      </m:sup>
                    </m:sSubSup>
                    <m:d>
                      <m:dPr>
                        <m:begChr m:val="("/>
                        <m:endChr m:val=")"/>
                        <m:sepChr m:val=""/>
                        <m:grow/>
                      </m:dPr>
                      <m:e>
                        <m:r>
                          <m:t>1</m:t>
                        </m:r>
                        <m:r>
                          <m:rPr>
                            <m:sty m:val="p"/>
                          </m:rPr>
                          <m:t>−</m:t>
                        </m:r>
                        <m:sSubSup>
                          <m:e>
                            <m:r>
                              <m:t>p</m:t>
                            </m:r>
                          </m:e>
                          <m:sub>
                            <m:r>
                              <m:t>D</m:t>
                            </m:r>
                          </m:sub>
                          <m:sup>
                            <m:r>
                              <m:t>A</m:t>
                            </m:r>
                          </m:sup>
                        </m:sSubSup>
                      </m:e>
                    </m:d>
                    <m:d>
                      <m:dPr>
                        <m:begChr m:val="("/>
                        <m:endChr m:val=")"/>
                        <m:sepChr m:val=""/>
                        <m:grow/>
                      </m:dPr>
                      <m:e>
                        <m:r>
                          <m:t>1</m:t>
                        </m:r>
                        <m:r>
                          <m:rPr>
                            <m:sty m:val="p"/>
                          </m:rPr>
                          <m:t>−</m:t>
                        </m:r>
                        <m:sSubSup>
                          <m:e>
                            <m:r>
                              <m:t>p</m:t>
                            </m:r>
                          </m:e>
                          <m:sub>
                            <m:r>
                              <m:t>D</m:t>
                            </m:r>
                          </m:sub>
                          <m:sup>
                            <m:r>
                              <m:t>B</m:t>
                            </m:r>
                          </m:sup>
                        </m:sSubSup>
                      </m:e>
                    </m:d>
                    <m:d>
                      <m:dPr>
                        <m:begChr m:val="("/>
                        <m:endChr m:val=")"/>
                        <m:sepChr m:val=""/>
                        <m:grow/>
                      </m:dPr>
                      <m:e>
                        <m:r>
                          <m:t>1</m:t>
                        </m:r>
                        <m:r>
                          <m:rPr>
                            <m:sty m:val="p"/>
                          </m:rPr>
                          <m:t>−</m:t>
                        </m:r>
                        <m:sSubSup>
                          <m:e>
                            <m:r>
                              <m:t>p</m:t>
                            </m:r>
                          </m:e>
                          <m:sub>
                            <m:r>
                              <m:t>T</m:t>
                            </m:r>
                          </m:sub>
                          <m:sup>
                            <m:r>
                              <m:t>B</m:t>
                            </m:r>
                          </m:sup>
                        </m:sSubSup>
                      </m:e>
                    </m:d>
                  </m:e>
                </m:mr>
                <m:mr>
                  <m:e>
                    <m:r>
                      <m:t>0</m:t>
                    </m:r>
                  </m:e>
                  <m:e>
                    <m:r>
                      <m:t>0</m:t>
                    </m:r>
                  </m:e>
                  <m:e>
                    <m:sSubSup>
                      <m:e>
                        <m:r>
                          <m:t>p</m:t>
                        </m:r>
                      </m:e>
                      <m:sub>
                        <m:r>
                          <m:t>T</m:t>
                        </m:r>
                      </m:sub>
                      <m:sup>
                        <m:r>
                          <m:t>B</m:t>
                        </m:r>
                      </m:sup>
                    </m:sSubSup>
                    <m:sSubSup>
                      <m:e>
                        <m:r>
                          <m:t>p</m:t>
                        </m:r>
                      </m:e>
                      <m:sub>
                        <m:r>
                          <m:t>T</m:t>
                        </m:r>
                      </m:sub>
                      <m:sup>
                        <m:r>
                          <m:t>A</m:t>
                        </m:r>
                      </m:sup>
                    </m:sSubSup>
                  </m:e>
                  <m:e>
                    <m:sSubSup>
                      <m:e>
                        <m:r>
                          <m:t>p</m:t>
                        </m:r>
                      </m:e>
                      <m:sub>
                        <m:r>
                          <m:t>T</m:t>
                        </m:r>
                      </m:sub>
                      <m:sup>
                        <m:r>
                          <m:t>A</m:t>
                        </m:r>
                      </m:sup>
                    </m:sSubSup>
                    <m:d>
                      <m:dPr>
                        <m:begChr m:val="("/>
                        <m:endChr m:val=")"/>
                        <m:sepChr m:val=""/>
                        <m:grow/>
                      </m:dPr>
                      <m:e>
                        <m:r>
                          <m:t>1</m:t>
                        </m:r>
                        <m:r>
                          <m:rPr>
                            <m:sty m:val="p"/>
                          </m:rPr>
                          <m:t>−</m:t>
                        </m:r>
                        <m:sSubSup>
                          <m:e>
                            <m:r>
                              <m:t>p</m:t>
                            </m:r>
                          </m:e>
                          <m:sub>
                            <m:r>
                              <m:t>D</m:t>
                            </m:r>
                          </m:sub>
                          <m:sup>
                            <m:r>
                              <m:t>A</m:t>
                            </m:r>
                          </m:sup>
                        </m:sSubSup>
                      </m:e>
                    </m:d>
                    <m:sSubSup>
                      <m:e>
                        <m:r>
                          <m:t>p</m:t>
                        </m:r>
                      </m:e>
                      <m:sub>
                        <m:r>
                          <m:t>D</m:t>
                        </m:r>
                      </m:sub>
                      <m:sup>
                        <m:r>
                          <m:t>B</m:t>
                        </m:r>
                      </m:sup>
                    </m:sSubSup>
                    <m:d>
                      <m:dPr>
                        <m:begChr m:val="("/>
                        <m:endChr m:val=")"/>
                        <m:sepChr m:val=""/>
                        <m:grow/>
                      </m:dPr>
                      <m:e>
                        <m:r>
                          <m:t>1</m:t>
                        </m:r>
                        <m:r>
                          <m:rPr>
                            <m:sty m:val="p"/>
                          </m:rPr>
                          <m:t>−</m:t>
                        </m:r>
                        <m:sSubSup>
                          <m:e>
                            <m:r>
                              <m:t>p</m:t>
                            </m:r>
                          </m:e>
                          <m:sub>
                            <m:r>
                              <m:t>T</m:t>
                            </m:r>
                          </m:sub>
                          <m:sup>
                            <m:r>
                              <m:t>B</m:t>
                            </m:r>
                          </m:sup>
                        </m:sSubSup>
                      </m:e>
                    </m:d>
                  </m:e>
                </m:mr>
                <m:mr>
                  <m:e>
                    <m:r>
                      <m:t>0</m:t>
                    </m:r>
                  </m:e>
                  <m:e>
                    <m:r>
                      <m:t>0</m:t>
                    </m:r>
                  </m:e>
                  <m:e>
                    <m:r>
                      <m:t>0</m:t>
                    </m:r>
                  </m:e>
                  <m:e>
                    <m:sSubSup>
                      <m:e>
                        <m:r>
                          <m:t>p</m:t>
                        </m:r>
                      </m:e>
                      <m:sub>
                        <m:r>
                          <m:t>T</m:t>
                        </m:r>
                      </m:sub>
                      <m:sup>
                        <m:r>
                          <m:t>A</m:t>
                        </m:r>
                      </m:sup>
                    </m:sSubSup>
                    <m:d>
                      <m:dPr>
                        <m:begChr m:val="("/>
                        <m:endChr m:val=")"/>
                        <m:sepChr m:val=""/>
                        <m:grow/>
                      </m:dPr>
                      <m:e>
                        <m:r>
                          <m:t>1</m:t>
                        </m:r>
                        <m:r>
                          <m:rPr>
                            <m:sty m:val="p"/>
                          </m:rPr>
                          <m:t>−</m:t>
                        </m:r>
                        <m:sSubSup>
                          <m:e>
                            <m:r>
                              <m:t>p</m:t>
                            </m:r>
                          </m:e>
                          <m:sub>
                            <m:r>
                              <m:t>D</m:t>
                            </m:r>
                          </m:sub>
                          <m:sup>
                            <m:r>
                              <m:t>A</m:t>
                            </m:r>
                          </m:sup>
                        </m:sSubSup>
                      </m:e>
                    </m:d>
                    <m:sSubSup>
                      <m:e>
                        <m:r>
                          <m:t>p</m:t>
                        </m:r>
                      </m:e>
                      <m:sub>
                        <m:r>
                          <m:t>T</m:t>
                        </m:r>
                      </m:sub>
                      <m:sup>
                        <m:r>
                          <m:t>B</m:t>
                        </m:r>
                      </m:sup>
                    </m:sSubSup>
                    <m:d>
                      <m:dPr>
                        <m:begChr m:val="("/>
                        <m:endChr m:val=")"/>
                        <m:sepChr m:val=""/>
                        <m:grow/>
                      </m:dPr>
                      <m:e>
                        <m:r>
                          <m:t>1</m:t>
                        </m:r>
                        <m:r>
                          <m:rPr>
                            <m:sty m:val="p"/>
                          </m:rPr>
                          <m:t>−</m:t>
                        </m:r>
                        <m:sSubSup>
                          <m:e>
                            <m:r>
                              <m:t>p</m:t>
                            </m:r>
                          </m:e>
                          <m:sub>
                            <m:r>
                              <m:t>D</m:t>
                            </m:r>
                          </m:sub>
                          <m:sup>
                            <m:r>
                              <m:t>B</m:t>
                            </m:r>
                          </m:sup>
                        </m:sSubSup>
                      </m:e>
                    </m:d>
                  </m:e>
                </m:mr>
                <m:mr>
                  <m:e>
                    <m:r>
                      <m:t>0</m:t>
                    </m:r>
                  </m:e>
                  <m:e>
                    <m:r>
                      <m:t>0</m:t>
                    </m:r>
                  </m:e>
                  <m:e>
                    <m:r>
                      <m:t>0</m:t>
                    </m:r>
                  </m:e>
                  <m:e>
                    <m:sSubSup>
                      <m:e>
                        <m:r>
                          <m:t>p</m:t>
                        </m:r>
                      </m:e>
                      <m:sub>
                        <m:r>
                          <m:t>T</m:t>
                        </m:r>
                      </m:sub>
                      <m:sup>
                        <m:r>
                          <m:t>A</m:t>
                        </m:r>
                      </m:sup>
                    </m:sSubSup>
                    <m:d>
                      <m:dPr>
                        <m:begChr m:val="("/>
                        <m:endChr m:val=")"/>
                        <m:sepChr m:val=""/>
                        <m:grow/>
                      </m:dPr>
                      <m:e>
                        <m:r>
                          <m:t>1</m:t>
                        </m:r>
                        <m:r>
                          <m:rPr>
                            <m:sty m:val="p"/>
                          </m:rPr>
                          <m:t>−</m:t>
                        </m:r>
                        <m:sSubSup>
                          <m:e>
                            <m:r>
                              <m:t>p</m:t>
                            </m:r>
                          </m:e>
                          <m:sub>
                            <m:r>
                              <m:t>D</m:t>
                            </m:r>
                          </m:sub>
                          <m:sup>
                            <m:r>
                              <m:t>A</m:t>
                            </m:r>
                          </m:sup>
                        </m:sSubSup>
                      </m:e>
                    </m:d>
                    <m:sSubSup>
                      <m:e>
                        <m:r>
                          <m:t>p</m:t>
                        </m:r>
                      </m:e>
                      <m:sub>
                        <m:r>
                          <m:t>T</m:t>
                        </m:r>
                      </m:sub>
                      <m:sup>
                        <m:r>
                          <m:t>B</m:t>
                        </m:r>
                      </m:sup>
                    </m:sSubSup>
                    <m:sSubSup>
                      <m:e>
                        <m:r>
                          <m:t>p</m:t>
                        </m:r>
                      </m:e>
                      <m:sub>
                        <m:r>
                          <m:t>D</m:t>
                        </m:r>
                      </m:sub>
                      <m:sup>
                        <m:r>
                          <m:t>B</m:t>
                        </m:r>
                      </m:sup>
                    </m:sSubSup>
                  </m:e>
                </m:mr>
                <m:mr>
                  <m:e>
                    <m:r>
                      <m:t>0</m:t>
                    </m:r>
                  </m:e>
                  <m:e>
                    <m:r>
                      <m:t>0</m:t>
                    </m:r>
                  </m:e>
                  <m:e>
                    <m:r>
                      <m:t>0</m:t>
                    </m:r>
                  </m:e>
                  <m:e>
                    <m:sSubSup>
                      <m:e>
                        <m:r>
                          <m:t>p</m:t>
                        </m:r>
                      </m:e>
                      <m:sub>
                        <m:r>
                          <m:t>D</m:t>
                        </m:r>
                      </m:sub>
                      <m:sup>
                        <m:r>
                          <m:t>A</m:t>
                        </m:r>
                      </m:sup>
                    </m:sSubSup>
                    <m:sSubSup>
                      <m:e>
                        <m:r>
                          <m:t>p</m:t>
                        </m:r>
                      </m:e>
                      <m:sub>
                        <m:r>
                          <m:t>T</m:t>
                        </m:r>
                      </m:sub>
                      <m:sup>
                        <m:r>
                          <m:t>A</m:t>
                        </m:r>
                      </m:sup>
                    </m:sSubSup>
                    <m:d>
                      <m:dPr>
                        <m:begChr m:val="("/>
                        <m:endChr m:val=")"/>
                        <m:sepChr m:val=""/>
                        <m:grow/>
                      </m:dPr>
                      <m:e>
                        <m:r>
                          <m:t>1</m:t>
                        </m:r>
                        <m:r>
                          <m:rPr>
                            <m:sty m:val="p"/>
                          </m:rPr>
                          <m:t>−</m:t>
                        </m:r>
                        <m:sSubSup>
                          <m:e>
                            <m:r>
                              <m:t>p</m:t>
                            </m:r>
                          </m:e>
                          <m:sub>
                            <m:r>
                              <m:t>T</m:t>
                            </m:r>
                          </m:sub>
                          <m:sup>
                            <m:r>
                              <m:t>B</m:t>
                            </m:r>
                          </m:sup>
                        </m:sSubSup>
                      </m:e>
                    </m:d>
                    <m:d>
                      <m:dPr>
                        <m:begChr m:val="("/>
                        <m:endChr m:val=")"/>
                        <m:sepChr m:val=""/>
                        <m:grow/>
                      </m:dPr>
                      <m:e>
                        <m:r>
                          <m:t>1</m:t>
                        </m:r>
                        <m:r>
                          <m:rPr>
                            <m:sty m:val="p"/>
                          </m:rPr>
                          <m:t>−</m:t>
                        </m:r>
                        <m:sSubSup>
                          <m:e>
                            <m:r>
                              <m:t>p</m:t>
                            </m:r>
                          </m:e>
                          <m:sub>
                            <m:r>
                              <m:t>D</m:t>
                            </m:r>
                          </m:sub>
                          <m:sup>
                            <m:r>
                              <m:t>B</m:t>
                            </m:r>
                          </m:sup>
                        </m:sSubSup>
                      </m:e>
                    </m:d>
                  </m:e>
                </m:mr>
                <m:mr>
                  <m:e>
                    <m:r>
                      <m:t>0</m:t>
                    </m:r>
                  </m:e>
                  <m:e>
                    <m:r>
                      <m:t>0</m:t>
                    </m:r>
                  </m:e>
                  <m:e>
                    <m:r>
                      <m:t>0</m:t>
                    </m:r>
                  </m:e>
                  <m:e>
                    <m:sSubSup>
                      <m:e>
                        <m:r>
                          <m:t>p</m:t>
                        </m:r>
                      </m:e>
                      <m:sub>
                        <m:r>
                          <m:t>D</m:t>
                        </m:r>
                      </m:sub>
                      <m:sup>
                        <m:r>
                          <m:t>A</m:t>
                        </m:r>
                      </m:sup>
                    </m:sSubSup>
                    <m:sSubSup>
                      <m:e>
                        <m:r>
                          <m:t>p</m:t>
                        </m:r>
                      </m:e>
                      <m:sub>
                        <m:r>
                          <m:t>T</m:t>
                        </m:r>
                      </m:sub>
                      <m:sup>
                        <m:r>
                          <m:t>A</m:t>
                        </m:r>
                      </m:sup>
                    </m:sSubSup>
                    <m:sSubSup>
                      <m:e>
                        <m:r>
                          <m:t>p</m:t>
                        </m:r>
                      </m:e>
                      <m:sub>
                        <m:r>
                          <m:t>D</m:t>
                        </m:r>
                      </m:sub>
                      <m:sup>
                        <m:r>
                          <m:t>B</m:t>
                        </m:r>
                      </m:sup>
                    </m:sSubSup>
                    <m:d>
                      <m:dPr>
                        <m:begChr m:val="("/>
                        <m:endChr m:val=")"/>
                        <m:sepChr m:val=""/>
                        <m:grow/>
                      </m:dPr>
                      <m:e>
                        <m:r>
                          <m:t>1</m:t>
                        </m:r>
                        <m:r>
                          <m:rPr>
                            <m:sty m:val="p"/>
                          </m:rPr>
                          <m:t>−</m:t>
                        </m:r>
                        <m:sSubSup>
                          <m:e>
                            <m:r>
                              <m:t>p</m:t>
                            </m:r>
                          </m:e>
                          <m:sub>
                            <m:r>
                              <m:t>T</m:t>
                            </m:r>
                          </m:sub>
                          <m:sup>
                            <m:r>
                              <m:t>B</m:t>
                            </m:r>
                          </m:sup>
                        </m:sSubSup>
                      </m:e>
                    </m:d>
                  </m:e>
                </m:mr>
                <m:mr>
                  <m:e>
                    <m:r>
                      <m:t>0</m:t>
                    </m:r>
                  </m:e>
                  <m:e>
                    <m:r>
                      <m:t>0</m:t>
                    </m:r>
                  </m:e>
                  <m:e>
                    <m:r>
                      <m:t>0</m:t>
                    </m:r>
                  </m:e>
                  <m:e>
                    <m:sSubSup>
                      <m:e>
                        <m:r>
                          <m:t>p</m:t>
                        </m:r>
                      </m:e>
                      <m:sub>
                        <m:r>
                          <m:t>D</m:t>
                        </m:r>
                      </m:sub>
                      <m:sup>
                        <m:r>
                          <m:t>A</m:t>
                        </m:r>
                      </m:sup>
                    </m:sSubSup>
                    <m:sSubSup>
                      <m:e>
                        <m:r>
                          <m:t>p</m:t>
                        </m:r>
                      </m:e>
                      <m:sub>
                        <m:r>
                          <m:t>T</m:t>
                        </m:r>
                      </m:sub>
                      <m:sup>
                        <m:r>
                          <m:t>A</m:t>
                        </m:r>
                      </m:sup>
                    </m:sSubSup>
                    <m:sSubSup>
                      <m:e>
                        <m:r>
                          <m:t>p</m:t>
                        </m:r>
                      </m:e>
                      <m:sub>
                        <m:r>
                          <m:t>T</m:t>
                        </m:r>
                      </m:sub>
                      <m:sup>
                        <m:r>
                          <m:t>B</m:t>
                        </m:r>
                      </m:sup>
                    </m:sSubSup>
                    <m:d>
                      <m:dPr>
                        <m:begChr m:val="("/>
                        <m:endChr m:val=")"/>
                        <m:sepChr m:val=""/>
                        <m:grow/>
                      </m:dPr>
                      <m:e>
                        <m:r>
                          <m:t>1</m:t>
                        </m:r>
                        <m:r>
                          <m:rPr>
                            <m:sty m:val="p"/>
                          </m:rPr>
                          <m:t>−</m:t>
                        </m:r>
                        <m:sSubSup>
                          <m:e>
                            <m:r>
                              <m:t>p</m:t>
                            </m:r>
                          </m:e>
                          <m:sub>
                            <m:r>
                              <m:t>D</m:t>
                            </m:r>
                          </m:sub>
                          <m:sup>
                            <m:r>
                              <m:t>B</m:t>
                            </m:r>
                          </m:sup>
                        </m:sSubSup>
                      </m:e>
                    </m:d>
                  </m:e>
                </m:mr>
                <m:mr>
                  <m:e>
                    <m:r>
                      <m:t>0</m:t>
                    </m:r>
                  </m:e>
                  <m:e>
                    <m:r>
                      <m:t>0</m:t>
                    </m:r>
                  </m:e>
                  <m:e>
                    <m:r>
                      <m:t>0</m:t>
                    </m:r>
                  </m:e>
                  <m:e>
                    <m:sSubSup>
                      <m:e>
                        <m:r>
                          <m:t>p</m:t>
                        </m:r>
                      </m:e>
                      <m:sub>
                        <m:r>
                          <m:t>T</m:t>
                        </m:r>
                      </m:sub>
                      <m:sup>
                        <m:r>
                          <m:t>B</m:t>
                        </m:r>
                      </m:sup>
                    </m:sSubSup>
                    <m:sSubSup>
                      <m:e>
                        <m:r>
                          <m:t>p</m:t>
                        </m:r>
                      </m:e>
                      <m:sub>
                        <m:r>
                          <m:t>T</m:t>
                        </m:r>
                      </m:sub>
                      <m:sup>
                        <m:r>
                          <m:t>A</m:t>
                        </m:r>
                      </m:sup>
                    </m:sSubSup>
                    <m:sSubSup>
                      <m:e>
                        <m:r>
                          <m:t>p</m:t>
                        </m:r>
                      </m:e>
                      <m:sub>
                        <m:r>
                          <m:t>D</m:t>
                        </m:r>
                      </m:sub>
                      <m:sup>
                        <m:r>
                          <m:t>B</m:t>
                        </m:r>
                      </m:sup>
                    </m:sSubSup>
                    <m:sSubSup>
                      <m:e>
                        <m:r>
                          <m:t>p</m:t>
                        </m:r>
                      </m:e>
                      <m:sub>
                        <m:r>
                          <m:t>D</m:t>
                        </m:r>
                      </m:sub>
                      <m:sup>
                        <m:r>
                          <m:t>A</m:t>
                        </m:r>
                      </m:sup>
                    </m:sSubSup>
                  </m:e>
                </m:mr>
              </m:m>
            </m:e>
          </m:d>
        </m:oMath>
      </m:oMathPara>
    </w:p>
    <w:p>
      <w:pPr>
        <w:pStyle w:val="FirstParagraph"/>
      </w:pPr>
      <w:r>
        <w:t xml:space="preserve">Each observation</w:t>
      </w:r>
      <w:r>
        <w:t xml:space="preserve"> </w:t>
      </w:r>
      <m:oMath>
        <m:r>
          <m:t>y</m:t>
        </m:r>
      </m:oMath>
      <w:r>
        <w:t xml:space="preserve"> </w:t>
      </w:r>
      <w:r>
        <w:t xml:space="preserve">was linked to the ecological state</w:t>
      </w:r>
      <w:r>
        <w:t xml:space="preserve"> </w:t>
      </w:r>
      <m:oMath>
        <m:r>
          <m:t>z</m:t>
        </m:r>
      </m:oMath>
      <w:r>
        <w:t xml:space="preserve"> </w:t>
      </w:r>
      <w:r>
        <w:t xml:space="preserve">via a Categorical distribution in vector of length 16,</w:t>
      </w:r>
      <w:r>
        <w:t xml:space="preserve"> </w:t>
      </w:r>
      <m:oMath>
        <m:sSub>
          <m:e>
            <m:r>
              <m:t>θ</m:t>
            </m:r>
          </m:e>
          <m:sub>
            <m:r>
              <m:t>z</m:t>
            </m:r>
          </m:sub>
        </m:sSub>
        <m:r>
          <m:rPr>
            <m:sty m:val="p"/>
          </m:rPr>
          <m:t>=</m:t>
        </m:r>
        <m:d>
          <m:dPr>
            <m:begChr m:val="("/>
            <m:endChr m:val=")"/>
            <m:sepChr m:val=""/>
            <m:grow/>
          </m:dPr>
          <m:e>
            <m:r>
              <m:t>P</m:t>
            </m:r>
            <m:r>
              <m:t>r</m:t>
            </m:r>
            <m:d>
              <m:dPr>
                <m:begChr m:val="("/>
                <m:endChr m:val=")"/>
                <m:sepChr m:val=""/>
                <m:grow/>
              </m:dPr>
              <m:e>
                <m:r>
                  <m:t>y</m:t>
                </m:r>
                <m:r>
                  <m:rPr>
                    <m:sty m:val="p"/>
                  </m:rPr>
                  <m:t>=</m:t>
                </m:r>
                <m:r>
                  <m:t>1</m:t>
                </m:r>
              </m:e>
            </m:d>
            <m:r>
              <m:rPr>
                <m:sty m:val="p"/>
              </m:rPr>
              <m:t>,</m:t>
            </m:r>
            <m:r>
              <m:t>P</m:t>
            </m:r>
            <m:r>
              <m:t>r</m:t>
            </m:r>
            <m:d>
              <m:dPr>
                <m:begChr m:val="("/>
                <m:endChr m:val=")"/>
                <m:sepChr m:val=""/>
                <m:grow/>
              </m:dPr>
              <m:e>
                <m:r>
                  <m:t>y</m:t>
                </m:r>
                <m:r>
                  <m:rPr>
                    <m:sty m:val="p"/>
                  </m:rPr>
                  <m:t>=</m:t>
                </m:r>
                <m:r>
                  <m:t>2</m:t>
                </m:r>
              </m:e>
            </m:d>
            <m:r>
              <m:rPr>
                <m:sty m:val="p"/>
              </m:rPr>
              <m:t>,</m:t>
            </m:r>
            <m:r>
              <m:rPr>
                <m:sty m:val="p"/>
              </m:rPr>
              <m:t>.</m:t>
            </m:r>
            <m:r>
              <m:rPr>
                <m:sty m:val="p"/>
              </m:rPr>
              <m:t>.</m:t>
            </m:r>
            <m:r>
              <m:rPr>
                <m:sty m:val="p"/>
              </m:rPr>
              <m:t>.</m:t>
            </m:r>
            <m:r>
              <m:rPr>
                <m:sty m:val="p"/>
              </m:rPr>
              <m:t>,</m:t>
            </m:r>
            <m:r>
              <m:t>P</m:t>
            </m:r>
            <m:r>
              <m:t>r</m:t>
            </m:r>
            <m:d>
              <m:dPr>
                <m:begChr m:val="("/>
                <m:endChr m:val=")"/>
                <m:sepChr m:val=""/>
                <m:grow/>
              </m:dPr>
              <m:e>
                <m:r>
                  <m:t>y</m:t>
                </m:r>
                <m:r>
                  <m:rPr>
                    <m:sty m:val="p"/>
                  </m:rPr>
                  <m:t>=</m:t>
                </m:r>
                <m:r>
                  <m:t>16</m:t>
                </m:r>
              </m:e>
            </m:d>
          </m:e>
        </m:d>
      </m:oMath>
      <w:r>
        <w:t xml:space="preserve">, where</w:t>
      </w:r>
      <w:r>
        <w:t xml:space="preserve"> </w:t>
      </w:r>
      <m:oMath>
        <m:sSub>
          <m:e>
            <m:r>
              <m:t>θ</m:t>
            </m:r>
          </m:e>
          <m:sub>
            <m:r>
              <m:t>z</m:t>
            </m:r>
          </m:sub>
        </m:sSub>
      </m:oMath>
      <w:r>
        <w:t xml:space="preserve"> </w:t>
      </w:r>
      <w:r>
        <w:t xml:space="preserve">also corresponded in the</w:t>
      </w:r>
      <w:r>
        <w:t xml:space="preserve"> </w:t>
      </w:r>
      <m:oMath>
        <m:r>
          <m:t>θ</m:t>
        </m:r>
      </m:oMath>
      <w:r>
        <w:t xml:space="preserve"> </w:t>
      </w:r>
      <w:r>
        <w:t xml:space="preserve">matrix to the 16 columns of the row refering to the ecological state</w:t>
      </w:r>
      <w:r>
        <w:t xml:space="preserve"> </w:t>
      </w:r>
      <m:oMath>
        <m:r>
          <m:t>z</m:t>
        </m:r>
      </m:oMath>
      <w:r>
        <w:t xml:space="preserve">.</w:t>
      </w:r>
    </w:p>
    <w:p>
      <w:pPr>
        <w:pStyle w:val="Corpsdetexte"/>
      </w:pPr>
      <m:oMathPara>
        <m:oMathParaPr>
          <m:jc m:val="center"/>
        </m:oMathParaPr>
        <m:oMath>
          <m:r>
            <m:t>y</m:t>
          </m:r>
          <m:r>
            <m:rPr>
              <m:sty m:val="p"/>
            </m:rPr>
            <m:t>|</m:t>
          </m:r>
          <m:r>
            <m:t>z</m:t>
          </m:r>
          <m:r>
            <m:rPr>
              <m:sty m:val="p"/>
            </m:rPr>
            <m:t>∼</m:t>
          </m:r>
          <m:r>
            <m:rPr>
              <m:nor/>
              <m:sty m:val="p"/>
            </m:rPr>
            <m:t>Categorical</m:t>
          </m:r>
          <m:d>
            <m:dPr>
              <m:begChr m:val="("/>
              <m:endChr m:val=")"/>
              <m:sepChr m:val=""/>
              <m:grow/>
            </m:dPr>
            <m:e>
              <m:sSub>
                <m:e>
                  <m:r>
                    <m:t>θ</m:t>
                  </m:r>
                </m:e>
                <m:sub>
                  <m:r>
                    <m:t>z</m:t>
                  </m:r>
                </m:sub>
              </m:sSub>
            </m:e>
          </m:d>
        </m:oMath>
      </m:oMathPara>
    </w:p>
    <w:p>
      <w:pPr>
        <w:pStyle w:val="FirstParagraph"/>
      </w:pPr>
      <w:r>
        <w:t xml:space="preserve">### Assessing the benefit of data integration</w:t>
      </w:r>
    </w:p>
    <w:p>
      <w:pPr>
        <w:pStyle w:val="Corpsdetexte"/>
      </w:pPr>
      <w:r>
        <w:t xml:space="preserve">To investigate the benefit of the integrated model, we ran multispecies occupancy models with each dataset separately. We compared the precision associated with occupancy probabilities for each model (See supplementary materials).</w:t>
      </w:r>
    </w:p>
    <w:bookmarkEnd w:id="23"/>
    <w:bookmarkStart w:id="25" w:name="implementation-in-nimble"/>
    <w:p>
      <w:pPr>
        <w:pStyle w:val="Titre3"/>
      </w:pPr>
      <w:r>
        <w:t xml:space="preserve">Implementation in NIMBLE</w:t>
      </w:r>
    </w:p>
    <w:p>
      <w:pPr>
        <w:pStyle w:val="FirstParagraph"/>
      </w:pPr>
      <w:r>
        <w:t xml:space="preserve">We used the</w:t>
      </w:r>
      <w:r>
        <w:t xml:space="preserve"> </w:t>
      </w:r>
      <w:r>
        <w:rPr>
          <w:rStyle w:val="VerbatimChar"/>
        </w:rPr>
        <w:t xml:space="preserve">jagam()</w:t>
      </w:r>
      <w:r>
        <w:t xml:space="preserve"> </w:t>
      </w:r>
      <w:r>
        <w:t xml:space="preserve">function in the</w:t>
      </w:r>
      <w:r>
        <w:t xml:space="preserve"> </w:t>
      </w:r>
      <w:r>
        <w:rPr>
          <w:rStyle w:val="VerbatimChar"/>
        </w:rPr>
        <w:t xml:space="preserve">mgcv</w:t>
      </w:r>
      <w:r>
        <w:t xml:space="preserve"> </w:t>
      </w:r>
      <w:r>
        <w:t xml:space="preserve">R package to implement GAM</w:t>
      </w:r>
      <w:r>
        <w:t xml:space="preserve"> </w:t>
      </w:r>
      <w:r>
        <w:t xml:space="preserve">(</w:t>
      </w:r>
      <w:hyperlink w:anchor="ref-wood2019">
        <w:r>
          <w:rPr>
            <w:rStyle w:val="Lienhypertexte"/>
          </w:rPr>
          <w:t xml:space="preserve">Wood 2019</w:t>
        </w:r>
      </w:hyperlink>
      <w:r>
        <w:t xml:space="preserve">)</w:t>
      </w:r>
      <w:r>
        <w:t xml:space="preserve">. We ran all models using three Markov Chain Monte Carlo chains with 200,000 iterations and 20,000 burnin each in the NIMBLE R package</w:t>
      </w:r>
      <w:r>
        <w:t xml:space="preserve"> </w:t>
      </w:r>
      <w:r>
        <w:t xml:space="preserve">(</w:t>
      </w:r>
      <w:hyperlink w:anchor="ref-devalpine2017">
        <w:r>
          <w:rPr>
            <w:rStyle w:val="Lienhypertexte"/>
          </w:rPr>
          <w:t xml:space="preserve">Valpine et al. 2017</w:t>
        </w:r>
      </w:hyperlink>
      <w:r>
        <w:t xml:space="preserve">)</w:t>
      </w:r>
      <w:r>
        <w:t xml:space="preserve">. We reported posterior mean and 80% credible intervals (CI) for each parameter. Data and codes are available on GitHub at</w:t>
      </w:r>
      <w:r>
        <w:t xml:space="preserve"> </w:t>
      </w:r>
      <w:hyperlink r:id="rId24">
        <w:r>
          <w:rPr>
            <w:rStyle w:val="Lienhypertexte"/>
          </w:rPr>
          <w:t xml:space="preserve">https://github.com/valentinlauret/fisheries-tursiops-multispeciesoccupancy</w:t>
        </w:r>
      </w:hyperlink>
      <w:r>
        <w:t xml:space="preserve">.</w:t>
      </w:r>
    </w:p>
    <w:bookmarkEnd w:id="25"/>
    <w:bookmarkEnd w:id="26"/>
    <w:bookmarkEnd w:id="27"/>
    <w:bookmarkStart w:id="37" w:name="results"/>
    <w:p>
      <w:pPr>
        <w:pStyle w:val="Titre1"/>
      </w:pPr>
      <w:r>
        <w:rPr>
          <w:rStyle w:val="SectionNumber"/>
        </w:rPr>
        <w:t xml:space="preserve">1</w:t>
      </w:r>
      <w:r>
        <w:tab/>
      </w:r>
      <w:r>
        <w:t xml:space="preserve">Results</w:t>
      </w:r>
    </w:p>
    <w:p>
      <w:pPr>
        <w:pStyle w:val="CaptionedFigure"/>
      </w:pPr>
      <w:r>
        <w:drawing>
          <wp:inline>
            <wp:extent cx="5969000" cy="5969000"/>
            <wp:effectExtent b="0" l="0" r="0" t="0"/>
            <wp:docPr descr="Figure 1.1: Occupancy probabilities estimated from the integrated multispecies model as function of depth (in meters) Green points and lines represent Psi1, the probability that only bottlenose dolphins used the space. Orange points and lines represent Psi2, the probability that only fishing trawlers used the space. Blue points and lines represent Psi3, the probability that both bottlenose dolphins and fishing trawlers used the space, i.e. co-occurrence. We represented 95% credible interval in shaded areas" title="" id="29" name="Picture"/>
            <a:graphic>
              <a:graphicData uri="http://schemas.openxmlformats.org/drawingml/2006/picture">
                <pic:pic>
                  <pic:nvPicPr>
                    <pic:cNvPr descr="Work/bateff.png" id="30" name="Picture"/>
                    <pic:cNvPicPr>
                      <a:picLocks noChangeArrowheads="1" noChangeAspect="1"/>
                    </pic:cNvPicPr>
                  </pic:nvPicPr>
                  <pic:blipFill>
                    <a:blip r:embed="rId28"/>
                    <a:stretch>
                      <a:fillRect/>
                    </a:stretch>
                  </pic:blipFill>
                  <pic:spPr bwMode="auto">
                    <a:xfrm>
                      <a:off x="0" y="0"/>
                      <a:ext cx="5969000" cy="5969000"/>
                    </a:xfrm>
                    <a:prstGeom prst="rect">
                      <a:avLst/>
                    </a:prstGeom>
                    <a:noFill/>
                    <a:ln w="9525">
                      <a:noFill/>
                      <a:headEnd/>
                      <a:tailEnd/>
                    </a:ln>
                  </pic:spPr>
                </pic:pic>
              </a:graphicData>
            </a:graphic>
          </wp:inline>
        </w:drawing>
      </w:r>
    </w:p>
    <w:p>
      <w:pPr>
        <w:pStyle w:val="ImageCaption"/>
      </w:pPr>
      <w:r>
        <w:t xml:space="preserve">Figure 1.1: Occupancy probabilities estimated from the integrated multispecies model as function of depth (in meters) Green points and lines represent Psi1, the probability that only bottlenose dolphins used the space. Orange points and lines represent Psi2, the probability that only fishing trawlers used the space. Blue points and lines represent Psi3, the probability that both bottlenose dolphins and fishing trawlers used the space, i.e. co-occurrence. We represented 95% credible interval in shaded areas</w:t>
      </w:r>
    </w:p>
    <w:p>
      <w:pPr>
        <w:pStyle w:val="Corpsdetexte"/>
      </w:pPr>
      <w:r>
        <w:t xml:space="preserve">We detected 60 trawlers, and 18 groups of bottlenose dolphins by aerial surveys, while we detected 71 trawlers and 30 groups of bottlenose dolphins by boat photo-id surveys.</w:t>
      </w:r>
    </w:p>
    <w:p>
      <w:pPr>
        <w:pStyle w:val="Corpsdetexte"/>
      </w:pPr>
      <w:r>
        <w:t xml:space="preserve">Overall, the probability that trawlers only or that trawlers only use the grid-cell was lower than the co-occurrence probability (Figure 1). Co-occurrence probability increased with decreasing depth (Figure 1 &amp; 2), and both trawlers and dolphins used the coastal space more than the pelagic seas (Figure 2, and Supplementary Information). Although, dolphins space-use probability in pelagic seas appeared to be higher than trawlers space-use probability in Figure 1, the difference is not significant.</w:t>
      </w:r>
    </w:p>
    <w:p>
      <w:pPr>
        <w:pStyle w:val="CaptionedFigure"/>
      </w:pPr>
      <w:r>
        <w:drawing>
          <wp:inline>
            <wp:extent cx="5969000" cy="5968999"/>
            <wp:effectExtent b="0" l="0" r="0" t="0"/>
            <wp:docPr descr="Figure 1.2: Probability of co-occurrence between dolphins and trawlers in the Gulf of Lion (Northwestern Mediterranean Sea) and associated standard deviation (upper panel). Lower panel shows dolphins and tralwers space-use probabilities. Yellow dots reflect locations of detections of trawlers, dolphins, or both in the case of co-occurrence." title="" id="32" name="Picture"/>
            <a:graphic>
              <a:graphicData uri="http://schemas.openxmlformats.org/drawingml/2006/picture">
                <pic:pic>
                  <pic:nvPicPr>
                    <pic:cNvPr descr="Work/psis.png" id="33" name="Picture"/>
                    <pic:cNvPicPr>
                      <a:picLocks noChangeArrowheads="1" noChangeAspect="1"/>
                    </pic:cNvPicPr>
                  </pic:nvPicPr>
                  <pic:blipFill>
                    <a:blip r:embed="rId31"/>
                    <a:stretch>
                      <a:fillRect/>
                    </a:stretch>
                  </pic:blipFill>
                  <pic:spPr bwMode="auto">
                    <a:xfrm>
                      <a:off x="0" y="0"/>
                      <a:ext cx="5969000" cy="5968999"/>
                    </a:xfrm>
                    <a:prstGeom prst="rect">
                      <a:avLst/>
                    </a:prstGeom>
                    <a:noFill/>
                    <a:ln w="9525">
                      <a:noFill/>
                      <a:headEnd/>
                      <a:tailEnd/>
                    </a:ln>
                  </pic:spPr>
                </pic:pic>
              </a:graphicData>
            </a:graphic>
          </wp:inline>
        </w:drawing>
      </w:r>
    </w:p>
    <w:p>
      <w:pPr>
        <w:pStyle w:val="ImageCaption"/>
      </w:pPr>
      <w:r>
        <w:t xml:space="preserve">Figure 1.2: Probability of co-occurrence between dolphins and trawlers in the Gulf of Lion (Northwestern Mediterranean Sea) and associated standard deviation (upper panel). Lower panel shows dolphins and tralwers space-use probabilities. Yellow dots reflect locations of detections of trawlers, dolphins, or both in the case of co-occurrence.</w:t>
      </w:r>
    </w:p>
    <w:p>
      <w:pPr>
        <w:pStyle w:val="Corpsdetexte"/>
      </w:pPr>
      <w:r>
        <w:t xml:space="preserve">Both dolphins and trawlers detection probabilities increased with increasing sampling effort. Boat photo-id monitoring had higher detection probabilities than aerial surveys (Figure 3). Trawlers were more easily detected than bottlenose dolphins for both monitoring programs.</w:t>
      </w:r>
    </w:p>
    <w:p>
      <w:pPr>
        <w:pStyle w:val="CaptionedFigure"/>
      </w:pPr>
      <w:r>
        <w:drawing>
          <wp:inline>
            <wp:extent cx="5969000" cy="2984500"/>
            <wp:effectExtent b="0" l="0" r="0" t="0"/>
            <wp:docPr descr="Figure 1.3: Estimated detection probability of dolphins and trawlers as a function of sampling effort for each monitoring program. We provide posterior medians (solid line) and 80% credible intervals (shaded area)." title="" id="35" name="Picture"/>
            <a:graphic>
              <a:graphicData uri="http://schemas.openxmlformats.org/drawingml/2006/picture">
                <pic:pic>
                  <pic:nvPicPr>
                    <pic:cNvPr descr="Fig5.png" id="36" name="Picture"/>
                    <pic:cNvPicPr>
                      <a:picLocks noChangeArrowheads="1" noChangeAspect="1"/>
                    </pic:cNvPicPr>
                  </pic:nvPicPr>
                  <pic:blipFill>
                    <a:blip r:embed="rId34"/>
                    <a:stretch>
                      <a:fillRect/>
                    </a:stretch>
                  </pic:blipFill>
                  <pic:spPr bwMode="auto">
                    <a:xfrm>
                      <a:off x="0" y="0"/>
                      <a:ext cx="5969000" cy="2984500"/>
                    </a:xfrm>
                    <a:prstGeom prst="rect">
                      <a:avLst/>
                    </a:prstGeom>
                    <a:noFill/>
                    <a:ln w="9525">
                      <a:noFill/>
                      <a:headEnd/>
                      <a:tailEnd/>
                    </a:ln>
                  </pic:spPr>
                </pic:pic>
              </a:graphicData>
            </a:graphic>
          </wp:inline>
        </w:drawing>
      </w:r>
    </w:p>
    <w:p>
      <w:pPr>
        <w:pStyle w:val="ImageCaption"/>
      </w:pPr>
      <w:r>
        <w:t xml:space="preserve">Figure 1.3: Estimated detection probability of dolphins and trawlers as a function of sampling effort for each monitoring program. We provide posterior medians (solid line) and 80% credible intervals (shaded area).</w:t>
      </w:r>
    </w:p>
    <w:p>
      <w:pPr>
        <w:pStyle w:val="Corpsdetexte"/>
      </w:pPr>
      <w:r>
        <w:t xml:space="preserve">Integrated multispecies occupancy model estimated more precise co-occurrence probability than multispecies occupancy models using datasets in isolation (Supplementary materials).</w:t>
      </w:r>
    </w:p>
    <w:bookmarkEnd w:id="37"/>
    <w:bookmarkStart w:id="38" w:name="discussion"/>
    <w:p>
      <w:pPr>
        <w:pStyle w:val="Titre1"/>
      </w:pPr>
      <w:r>
        <w:t xml:space="preserve">Discussion</w:t>
      </w:r>
    </w:p>
    <w:p>
      <w:pPr>
        <w:pStyle w:val="FirstParagraph"/>
      </w:pPr>
      <w:r>
        <w:t xml:space="preserve">We showcase an integrated multispecies occupancy models to map the probability of co-occurrence between French fisheries and bottlenose dolphins in the Gulf of Lion waters (Figure 2). Our integrated multispecies occupancy models estimated a 0.40 probability of co-occurrence between trawlers and bottlenose dolphins in the coastal seas of the Gulf of Lion. However, we emphasize that we inferred co-occurrence probability and not interactions between dolphins and trawlers. This means that, despite the fact that interactions can occur, dolphins and trawlers also use the same space without interacting. Mapping co-occurrence, we include potential interactions such as depredations or bycatch, and co-occurrence without interactions.</w:t>
      </w:r>
    </w:p>
    <w:p>
      <w:pPr>
        <w:pStyle w:val="Corpsdetexte"/>
      </w:pPr>
      <w:r>
        <w:t xml:space="preserve">Mutlispecies occupancy models require substantial amount of data to precisely estimate co-occurrence</w:t>
      </w:r>
      <w:r>
        <w:t xml:space="preserve"> </w:t>
      </w:r>
      <w:r>
        <w:t xml:space="preserve">(</w:t>
      </w:r>
      <w:hyperlink w:anchor="ref-clipp2021">
        <w:r>
          <w:rPr>
            <w:rStyle w:val="Lienhypertexte"/>
          </w:rPr>
          <w:t xml:space="preserve">Clipp et al. 2021</w:t>
        </w:r>
      </w:hyperlink>
      <w:r>
        <w:t xml:space="preserve">)</w:t>
      </w:r>
      <w:r>
        <w:t xml:space="preserve"> </w:t>
      </w:r>
      <w:r>
        <w:t xml:space="preserve">and integrated approaches provide stronger inferences compared to an analysis of each dataset in isolation</w:t>
      </w:r>
      <w:r>
        <w:t xml:space="preserve"> </w:t>
      </w:r>
      <w:r>
        <w:t xml:space="preserve">(</w:t>
      </w:r>
      <w:hyperlink w:anchor="ref-zipkin2019">
        <w:r>
          <w:rPr>
            <w:rStyle w:val="Lienhypertexte"/>
          </w:rPr>
          <w:t xml:space="preserve">Zipkin et al. 2019</w:t>
        </w:r>
      </w:hyperlink>
      <w:r>
        <w:t xml:space="preserve">,</w:t>
      </w:r>
      <w:r>
        <w:t xml:space="preserve"> </w:t>
      </w:r>
      <w:hyperlink w:anchor="ref-lauret2021">
        <w:r>
          <w:rPr>
            <w:rStyle w:val="Lienhypertexte"/>
          </w:rPr>
          <w:t xml:space="preserve">Lauret et al. 2021</w:t>
        </w:r>
      </w:hyperlink>
      <w:r>
        <w:t xml:space="preserve">)</w:t>
      </w:r>
      <w:r>
        <w:t xml:space="preserve">. While having a limited amount of data, our integrated multispecies occupancy model helped to overcome data scarcity and provided more precise estimation of co-occurrence probabilities than multispecies models with sparated datasets (Supplementary materials). Through our integrated approach, we emphasized that integrated extension can be particularly promising for multispecies occupancy models.</w:t>
      </w:r>
    </w:p>
    <w:p>
      <w:pPr>
        <w:pStyle w:val="Corpsdetexte"/>
      </w:pPr>
      <w:r>
        <w:t xml:space="preserve">Our approach echoes recent work integrating human activities into multispecies occupancy models to identify and quantify threats of anthropic pressures on the environment</w:t>
      </w:r>
      <w:r>
        <w:t xml:space="preserve"> </w:t>
      </w:r>
      <w:r>
        <w:t xml:space="preserve">(</w:t>
      </w:r>
      <w:hyperlink w:anchor="ref-marescot2020">
        <w:r>
          <w:rPr>
            <w:rStyle w:val="Lienhypertexte"/>
          </w:rPr>
          <w:t xml:space="preserve">Marescot et al. 2020</w:t>
        </w:r>
      </w:hyperlink>
      <w:r>
        <w:t xml:space="preserve">)</w:t>
      </w:r>
      <w:r>
        <w:t xml:space="preserve">. Beyond the Gulf of Lion case study, integrated multispecies occupancy models can be leveraged to provide robust maps of co-occurrence between marine megafauna and anthropogenic activities while integrating several data sources. Additional presence-absence data, e.g. from scientific fishing campaigns, aerial surveys for tuna stock assessment</w:t>
      </w:r>
      <w:r>
        <w:t xml:space="preserve"> </w:t>
      </w:r>
      <w:r>
        <w:t xml:space="preserve">(</w:t>
      </w:r>
      <w:hyperlink w:anchor="ref-bauer2015a">
        <w:r>
          <w:rPr>
            <w:rStyle w:val="Lienhypertexte"/>
          </w:rPr>
          <w:t xml:space="preserve">Bauer et al. 2015</w:t>
        </w:r>
      </w:hyperlink>
      <w:r>
        <w:t xml:space="preserve">)</w:t>
      </w:r>
      <w:r>
        <w:t xml:space="preserve">, or Automatic Indentification System for fishing vessels would further allow to better delineate fishing areas and hence areas of potential interactions.</w:t>
      </w:r>
    </w:p>
    <w:p>
      <w:pPr>
        <w:pStyle w:val="Corpsdetexte"/>
      </w:pPr>
      <w:r>
        <w:t xml:space="preserve">The ability to predict areas of human-wildlife potential interactions is of critical importance to implement conservation measures as required under conservation legislation (e.g. the European Union Marine Strategy Framework Directive). To mitigate marine mammal depredation and/or bycatch, acoustic deterrents are implemented worldwide despite raising ethical and conservation concerns</w:t>
      </w:r>
      <w:r>
        <w:t xml:space="preserve"> </w:t>
      </w:r>
      <w:r>
        <w:t xml:space="preserve">(</w:t>
      </w:r>
      <w:hyperlink w:anchor="ref-santana-garcon2018">
        <w:r>
          <w:rPr>
            <w:rStyle w:val="Lienhypertexte"/>
          </w:rPr>
          <w:t xml:space="preserve">Santana-Garcon et al. 2018</w:t>
        </w:r>
      </w:hyperlink>
      <w:r>
        <w:t xml:space="preserve">,</w:t>
      </w:r>
      <w:r>
        <w:t xml:space="preserve"> </w:t>
      </w:r>
      <w:hyperlink w:anchor="ref-bonizzoni2022">
        <w:r>
          <w:rPr>
            <w:rStyle w:val="Lienhypertexte"/>
          </w:rPr>
          <w:t xml:space="preserve">Bonizzoni et al. 2022</w:t>
        </w:r>
      </w:hyperlink>
      <w:r>
        <w:t xml:space="preserve">)</w:t>
      </w:r>
      <w:r>
        <w:t xml:space="preserve">. Using multispecies occupancy models to map potential hotspots of depredation may help to reduce the deployment of acoustic deterrents and minimize the associated negative impacts</w:t>
      </w:r>
      <w:r>
        <w:t xml:space="preserve"> </w:t>
      </w:r>
      <w:r>
        <w:t xml:space="preserve">(</w:t>
      </w:r>
      <w:hyperlink w:anchor="ref-estabrook2016">
        <w:r>
          <w:rPr>
            <w:rStyle w:val="Lienhypertexte"/>
          </w:rPr>
          <w:t xml:space="preserve">Estabrook et al. 2016</w:t>
        </w:r>
      </w:hyperlink>
      <w:r>
        <w:t xml:space="preserve">,</w:t>
      </w:r>
      <w:r>
        <w:t xml:space="preserve"> </w:t>
      </w:r>
      <w:hyperlink w:anchor="ref-snape2018">
        <w:r>
          <w:rPr>
            <w:rStyle w:val="Lienhypertexte"/>
          </w:rPr>
          <w:t xml:space="preserve">Snape et al. 2018</w:t>
        </w:r>
      </w:hyperlink>
      <w:r>
        <w:t xml:space="preserve">)</w:t>
      </w:r>
      <w:r>
        <w:t xml:space="preserve">. Similarly, fin whales (</w:t>
      </w:r>
      <w:r>
        <w:rPr>
          <w:iCs/>
          <w:i/>
        </w:rPr>
        <w:t xml:space="preserve">Balaenoptera physalus</w:t>
      </w:r>
      <w:r>
        <w:t xml:space="preserve">) and sperm whales (</w:t>
      </w:r>
      <w:r>
        <w:rPr>
          <w:iCs/>
          <w:i/>
        </w:rPr>
        <w:t xml:space="preserve">Physeter macrocephalus</w:t>
      </w:r>
      <w:r>
        <w:t xml:space="preserve">) are at high risk of collision with ferries in the Northwestern Mediterranean Sea and in particular in the Pelagos Sanctuary Marine Protected Area</w:t>
      </w:r>
      <w:r>
        <w:t xml:space="preserve"> </w:t>
      </w:r>
      <w:r>
        <w:t xml:space="preserve">(</w:t>
      </w:r>
      <w:hyperlink w:anchor="ref-ham2021">
        <w:r>
          <w:rPr>
            <w:rStyle w:val="Lienhypertexte"/>
          </w:rPr>
          <w:t xml:space="preserve">Ham et al. 2021</w:t>
        </w:r>
      </w:hyperlink>
      <w:r>
        <w:t xml:space="preserve">,</w:t>
      </w:r>
      <w:r>
        <w:t xml:space="preserve"> </w:t>
      </w:r>
      <w:hyperlink w:anchor="ref-david2022">
        <w:r>
          <w:rPr>
            <w:rStyle w:val="Lienhypertexte"/>
          </w:rPr>
          <w:t xml:space="preserve">David et al. 2022</w:t>
        </w:r>
      </w:hyperlink>
      <w:r>
        <w:t xml:space="preserve">)</w:t>
      </w:r>
      <w:r>
        <w:t xml:space="preserve">. Mapping collision risk with mutlispecies occupancy models can ultimately direct the measures of speed limitation. Overall, integrated multispecies occupancy models are promising tools to understand and map human-cetacean interactions hotspots, with the aim to help in designing areas of particular conservation focus and directing specific mitigation measures.</w:t>
      </w:r>
    </w:p>
    <w:bookmarkEnd w:id="38"/>
    <w:bookmarkStart w:id="104" w:name="references"/>
    <w:p>
      <w:pPr>
        <w:pStyle w:val="Titre1"/>
      </w:pPr>
      <w:r>
        <w:t xml:space="preserve">References</w:t>
      </w:r>
    </w:p>
    <w:bookmarkStart w:id="103" w:name="refs"/>
    <w:bookmarkStart w:id="40" w:name="ref-allen2017"/>
    <w:p>
      <w:pPr>
        <w:pStyle w:val="Bibliographie"/>
      </w:pPr>
      <w:r>
        <w:t xml:space="preserve">Allen SJ, Pollock KH, Bouchet PJ, Kobryn HT, McElligott DB, Nicholson KE, Smith JN, Loneragan NR (2017)</w:t>
      </w:r>
      <w:r>
        <w:t xml:space="preserve"> </w:t>
      </w:r>
      <w:hyperlink r:id="rId39">
        <w:r>
          <w:rPr>
            <w:rStyle w:val="Lienhypertexte"/>
          </w:rPr>
          <w:t xml:space="preserve">Preliminary Estimates of the Abundance and Fidelity of Dolphins Associating with a Demersal Trawl Fishery</w:t>
        </w:r>
      </w:hyperlink>
      <w:r>
        <w:t xml:space="preserve">. Scientific Reports 7:4995.</w:t>
      </w:r>
    </w:p>
    <w:bookmarkEnd w:id="40"/>
    <w:bookmarkStart w:id="42" w:name="ref-baudrier2018"/>
    <w:p>
      <w:pPr>
        <w:pStyle w:val="Bibliographie"/>
      </w:pPr>
      <w:r>
        <w:t xml:space="preserve">Baudrier J, Lefebvre A, Galgani F, Saraux C, Doray M (2018)</w:t>
      </w:r>
      <w:r>
        <w:t xml:space="preserve"> </w:t>
      </w:r>
      <w:hyperlink r:id="rId41">
        <w:r>
          <w:rPr>
            <w:rStyle w:val="Lienhypertexte"/>
          </w:rPr>
          <w:t xml:space="preserve">Optimising</w:t>
        </w:r>
        <w:r>
          <w:rPr>
            <w:rStyle w:val="Lienhypertexte"/>
          </w:rPr>
          <w:t xml:space="preserve"> </w:t>
        </w:r>
        <w:r>
          <w:rPr>
            <w:rStyle w:val="Lienhypertexte"/>
          </w:rPr>
          <w:t xml:space="preserve">French</w:t>
        </w:r>
        <w:r>
          <w:rPr>
            <w:rStyle w:val="Lienhypertexte"/>
          </w:rPr>
          <w:t xml:space="preserve"> </w:t>
        </w:r>
        <w:r>
          <w:rPr>
            <w:rStyle w:val="Lienhypertexte"/>
          </w:rPr>
          <w:t xml:space="preserve">Fisheries Surveys for Marine Strategy Framework Directive Integrated Ecosystem Monitoring</w:t>
        </w:r>
      </w:hyperlink>
      <w:r>
        <w:t xml:space="preserve">. Marine Policy 94:10–19.</w:t>
      </w:r>
    </w:p>
    <w:bookmarkEnd w:id="42"/>
    <w:bookmarkStart w:id="44" w:name="ref-bauer2015a"/>
    <w:p>
      <w:pPr>
        <w:pStyle w:val="Bibliographie"/>
      </w:pPr>
      <w:r>
        <w:t xml:space="preserve">Bauer RK, Fromentin J-M, Demarcq H, Brisset B, Bonhommeau S (2015)</w:t>
      </w:r>
      <w:r>
        <w:t xml:space="preserve"> </w:t>
      </w:r>
      <w:hyperlink r:id="rId43">
        <w:r>
          <w:rPr>
            <w:rStyle w:val="Lienhypertexte"/>
          </w:rPr>
          <w:t xml:space="preserve">Co-</w:t>
        </w:r>
        <w:r>
          <w:rPr>
            <w:rStyle w:val="Lienhypertexte"/>
          </w:rPr>
          <w:t xml:space="preserve">Occurrence</w:t>
        </w:r>
        <w:r>
          <w:rPr>
            <w:rStyle w:val="Lienhypertexte"/>
          </w:rPr>
          <w:t xml:space="preserve"> </w:t>
        </w:r>
        <w:r>
          <w:rPr>
            <w:rStyle w:val="Lienhypertexte"/>
          </w:rPr>
          <w:t xml:space="preserve">and</w:t>
        </w:r>
        <w:r>
          <w:rPr>
            <w:rStyle w:val="Lienhypertexte"/>
          </w:rPr>
          <w:t xml:space="preserve"> </w:t>
        </w:r>
        <w:r>
          <w:rPr>
            <w:rStyle w:val="Lienhypertexte"/>
          </w:rPr>
          <w:t xml:space="preserve">Habitat</w:t>
        </w:r>
        <w:r>
          <w:rPr>
            <w:rStyle w:val="Lienhypertexte"/>
          </w:rPr>
          <w:t xml:space="preserve"> </w:t>
        </w:r>
        <w:r>
          <w:rPr>
            <w:rStyle w:val="Lienhypertexte"/>
          </w:rPr>
          <w:t xml:space="preserve">Use</w:t>
        </w:r>
        <w:r>
          <w:rPr>
            <w:rStyle w:val="Lienhypertexte"/>
          </w:rPr>
          <w:t xml:space="preserve"> </w:t>
        </w:r>
        <w:r>
          <w:rPr>
            <w:rStyle w:val="Lienhypertexte"/>
          </w:rPr>
          <w:t xml:space="preserve">of</w:t>
        </w:r>
        <w:r>
          <w:rPr>
            <w:rStyle w:val="Lienhypertexte"/>
          </w:rPr>
          <w:t xml:space="preserve"> </w:t>
        </w:r>
        <w:r>
          <w:rPr>
            <w:rStyle w:val="Lienhypertexte"/>
          </w:rPr>
          <w:t xml:space="preserve">Fin</w:t>
        </w:r>
        <w:r>
          <w:rPr>
            <w:rStyle w:val="Lienhypertexte"/>
          </w:rPr>
          <w:t xml:space="preserve"> </w:t>
        </w:r>
        <w:r>
          <w:rPr>
            <w:rStyle w:val="Lienhypertexte"/>
          </w:rPr>
          <w:t xml:space="preserve">Whales</w:t>
        </w:r>
        <w:r>
          <w:rPr>
            <w:rStyle w:val="Lienhypertexte"/>
          </w:rPr>
          <w:t xml:space="preserve">,</w:t>
        </w:r>
        <w:r>
          <w:rPr>
            <w:rStyle w:val="Lienhypertexte"/>
          </w:rPr>
          <w:t xml:space="preserve"> </w:t>
        </w:r>
        <w:r>
          <w:rPr>
            <w:rStyle w:val="Lienhypertexte"/>
          </w:rPr>
          <w:t xml:space="preserve">Striped</w:t>
        </w:r>
        <w:r>
          <w:rPr>
            <w:rStyle w:val="Lienhypertexte"/>
          </w:rPr>
          <w:t xml:space="preserve"> </w:t>
        </w:r>
        <w:r>
          <w:rPr>
            <w:rStyle w:val="Lienhypertexte"/>
          </w:rPr>
          <w:t xml:space="preserve">Dolphins</w:t>
        </w:r>
        <w:r>
          <w:rPr>
            <w:rStyle w:val="Lienhypertexte"/>
          </w:rPr>
          <w:t xml:space="preserve"> </w:t>
        </w:r>
        <w:r>
          <w:rPr>
            <w:rStyle w:val="Lienhypertexte"/>
          </w:rPr>
          <w:t xml:space="preserve">and</w:t>
        </w:r>
        <w:r>
          <w:rPr>
            <w:rStyle w:val="Lienhypertexte"/>
          </w:rPr>
          <w:t xml:space="preserve"> </w:t>
        </w:r>
        <w:r>
          <w:rPr>
            <w:rStyle w:val="Lienhypertexte"/>
          </w:rPr>
          <w:t xml:space="preserve">Atlantic</w:t>
        </w:r>
        <w:r>
          <w:rPr>
            <w:rStyle w:val="Lienhypertexte"/>
          </w:rPr>
          <w:t xml:space="preserve"> </w:t>
        </w:r>
        <w:r>
          <w:rPr>
            <w:rStyle w:val="Lienhypertexte"/>
          </w:rPr>
          <w:t xml:space="preserve">Bluefin</w:t>
        </w:r>
        <w:r>
          <w:rPr>
            <w:rStyle w:val="Lienhypertexte"/>
          </w:rPr>
          <w:t xml:space="preserve"> </w:t>
        </w:r>
        <w:r>
          <w:rPr>
            <w:rStyle w:val="Lienhypertexte"/>
          </w:rPr>
          <w:t xml:space="preserve">Tuna</w:t>
        </w:r>
        <w:r>
          <w:rPr>
            <w:rStyle w:val="Lienhypertexte"/>
          </w:rPr>
          <w:t xml:space="preserve"> </w:t>
        </w:r>
        <w:r>
          <w:rPr>
            <w:rStyle w:val="Lienhypertexte"/>
          </w:rPr>
          <w:t xml:space="preserve">in the</w:t>
        </w:r>
        <w:r>
          <w:rPr>
            <w:rStyle w:val="Lienhypertexte"/>
          </w:rPr>
          <w:t xml:space="preserve"> </w:t>
        </w:r>
        <w:r>
          <w:rPr>
            <w:rStyle w:val="Lienhypertexte"/>
          </w:rPr>
          <w:t xml:space="preserve">Northwestern</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hyperlink>
      <w:r>
        <w:t xml:space="preserve">. PLOS ONE 10:e0139218.</w:t>
      </w:r>
    </w:p>
    <w:bookmarkEnd w:id="44"/>
    <w:bookmarkStart w:id="46" w:name="ref-bearzi2009"/>
    <w:p>
      <w:pPr>
        <w:pStyle w:val="Bibliographie"/>
      </w:pPr>
      <w:r>
        <w:t xml:space="preserve">Bearzi G, Fortuna CM, Reeves RR (2009)</w:t>
      </w:r>
      <w:r>
        <w:t xml:space="preserve"> </w:t>
      </w:r>
      <w:hyperlink r:id="rId45">
        <w:r>
          <w:rPr>
            <w:rStyle w:val="Lienhypertexte"/>
          </w:rPr>
          <w:t xml:space="preserve">Ecology and Conservation of Common Bottlenose Dolphins</w:t>
        </w:r>
        <w:r>
          <w:rPr>
            <w:rStyle w:val="Lienhypertexte"/>
          </w:rPr>
          <w:t xml:space="preserve"> </w:t>
        </w:r>
        <w:r>
          <w:rPr>
            <w:rStyle w:val="Lienhypertexte"/>
            <w:iCs/>
            <w:i/>
          </w:rPr>
          <w:t xml:space="preserve">Tursiops</w:t>
        </w:r>
        <w:r>
          <w:rPr>
            <w:rStyle w:val="Lienhypertexte"/>
            <w:iCs/>
            <w:i/>
          </w:rPr>
          <w:t xml:space="preserve"> </w:t>
        </w:r>
        <w:r>
          <w:rPr>
            <w:rStyle w:val="Lienhypertexte"/>
            <w:iCs/>
            <w:i/>
          </w:rPr>
          <w:t xml:space="preserve">Truncatus</w:t>
        </w:r>
        <w:r>
          <w:rPr>
            <w:rStyle w:val="Lienhypertexte"/>
          </w:rPr>
          <w:t xml:space="preserve"> </w:t>
        </w:r>
        <w:r>
          <w:rPr>
            <w:rStyle w:val="Lienhypertexte"/>
          </w:rPr>
          <w:t xml:space="preserve">in the</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hyperlink>
      <w:r>
        <w:t xml:space="preserve">. Mammal Review 39:92–123.</w:t>
      </w:r>
    </w:p>
    <w:bookmarkEnd w:id="46"/>
    <w:bookmarkStart w:id="48" w:name="ref-bonizzoni2020"/>
    <w:p>
      <w:pPr>
        <w:pStyle w:val="Bibliographie"/>
      </w:pPr>
      <w:r>
        <w:t xml:space="preserve">Bonizzoni S, Furey NB, Bearzi G (2020)</w:t>
      </w:r>
      <w:r>
        <w:t xml:space="preserve"> </w:t>
      </w:r>
      <w:hyperlink r:id="rId47">
        <w:r>
          <w:rPr>
            <w:rStyle w:val="Lienhypertexte"/>
          </w:rPr>
          <w:t xml:space="preserve">Bottlenose Dolphins (</w:t>
        </w:r>
        <w:r>
          <w:rPr>
            <w:rStyle w:val="Lienhypertexte"/>
          </w:rPr>
          <w:t xml:space="preserve">Tursiops</w:t>
        </w:r>
        <w:r>
          <w:rPr>
            <w:rStyle w:val="Lienhypertexte"/>
          </w:rPr>
          <w:t xml:space="preserve"> </w:t>
        </w:r>
        <w:r>
          <w:rPr>
            <w:rStyle w:val="Lienhypertexte"/>
          </w:rPr>
          <w:t xml:space="preserve">Truncatus) in the North‐western</w:t>
        </w:r>
        <w:r>
          <w:rPr>
            <w:rStyle w:val="Lienhypertexte"/>
          </w:rPr>
          <w:t xml:space="preserve"> </w:t>
        </w:r>
        <w:r>
          <w:rPr>
            <w:rStyle w:val="Lienhypertexte"/>
          </w:rPr>
          <w:t xml:space="preserve">Adriatic</w:t>
        </w:r>
        <w:r>
          <w:rPr>
            <w:rStyle w:val="Lienhypertexte"/>
          </w:rPr>
          <w:t xml:space="preserve"> </w:t>
        </w:r>
        <w:r>
          <w:rPr>
            <w:rStyle w:val="Lienhypertexte"/>
          </w:rPr>
          <w:t xml:space="preserve">Sea</w:t>
        </w:r>
        <w:r>
          <w:rPr>
            <w:rStyle w:val="Lienhypertexte"/>
          </w:rPr>
          <w:t xml:space="preserve">:</w:t>
        </w:r>
        <w:r>
          <w:rPr>
            <w:rStyle w:val="Lienhypertexte"/>
          </w:rPr>
          <w:t xml:space="preserve"> </w:t>
        </w:r>
        <w:r>
          <w:rPr>
            <w:rStyle w:val="Lienhypertexte"/>
          </w:rPr>
          <w:t xml:space="preserve">Spatial</w:t>
        </w:r>
        <w:r>
          <w:rPr>
            <w:rStyle w:val="Lienhypertexte"/>
          </w:rPr>
          <w:t xml:space="preserve"> </w:t>
        </w:r>
        <w:r>
          <w:rPr>
            <w:rStyle w:val="Lienhypertexte"/>
          </w:rPr>
          <w:t xml:space="preserve">Distribution and Effects of Trawling</w:t>
        </w:r>
      </w:hyperlink>
      <w:r>
        <w:t xml:space="preserve">. Aquatic Conservation: Marine and Freshwater Ecosystems:aqc.3433.</w:t>
      </w:r>
    </w:p>
    <w:bookmarkEnd w:id="48"/>
    <w:bookmarkStart w:id="50" w:name="ref-bonizzoni2022"/>
    <w:p>
      <w:pPr>
        <w:pStyle w:val="Bibliographie"/>
      </w:pPr>
      <w:r>
        <w:t xml:space="preserve">Bonizzoni S, Hamilton S, Reeves RR, Genov T, Bearzi G (2022)</w:t>
      </w:r>
      <w:r>
        <w:t xml:space="preserve"> </w:t>
      </w:r>
      <w:hyperlink r:id="rId49">
        <w:r>
          <w:rPr>
            <w:rStyle w:val="Lienhypertexte"/>
          </w:rPr>
          <w:t xml:space="preserve">Odontocete Cetaceans Foraging Behind Trawlers, Worldwide</w:t>
        </w:r>
      </w:hyperlink>
      <w:r>
        <w:t xml:space="preserve">. Reviews in Fish Biology and Fisheries.</w:t>
      </w:r>
    </w:p>
    <w:bookmarkEnd w:id="50"/>
    <w:bookmarkStart w:id="51" w:name="ref-clipp2021"/>
    <w:p>
      <w:pPr>
        <w:pStyle w:val="Bibliographie"/>
      </w:pPr>
      <w:r>
        <w:t xml:space="preserve">Clipp H L, Evans AL, Kessinger BE, Kellner K, Rota CT (2021) A Penalized Likelihood for Multi-Species Occupancy Models Improves Predictions of Species Interaction. Ecology In press.</w:t>
      </w:r>
    </w:p>
    <w:bookmarkEnd w:id="51"/>
    <w:bookmarkStart w:id="53" w:name="ref-coll2012"/>
    <w:p>
      <w:pPr>
        <w:pStyle w:val="Bibliographie"/>
      </w:pPr>
      <w:r>
        <w:t xml:space="preserve">Coll M, Piroddi C, Albouy C, Lasram FBR, Cheung WWL, Christensen V, Karpouzi VS, Guilhaumon F, Mouillot D, Paleczny M, Palomares ML, Steenbeek J, Trujillo P, Watson R, Pauly D (2012)</w:t>
      </w:r>
      <w:r>
        <w:t xml:space="preserve"> </w:t>
      </w:r>
      <w:hyperlink r:id="rId52">
        <w:r>
          <w:rPr>
            <w:rStyle w:val="Lienhypertexte"/>
          </w:rPr>
          <w:t xml:space="preserve">The</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r>
          <w:rPr>
            <w:rStyle w:val="Lienhypertexte"/>
          </w:rPr>
          <w:t xml:space="preserve"> </w:t>
        </w:r>
        <w:r>
          <w:rPr>
            <w:rStyle w:val="Lienhypertexte"/>
          </w:rPr>
          <w:t xml:space="preserve">Under Siege: Spatial Overlap Between Marine Biodiversity, Cumulative Threats and Marine Reserves</w:t>
        </w:r>
      </w:hyperlink>
      <w:r>
        <w:t xml:space="preserve">. Global Ecology and Biogeography 21:465–480.</w:t>
      </w:r>
    </w:p>
    <w:bookmarkEnd w:id="53"/>
    <w:bookmarkStart w:id="55" w:name="ref-david2022"/>
    <w:p>
      <w:pPr>
        <w:pStyle w:val="Bibliographie"/>
      </w:pPr>
      <w:r>
        <w:t xml:space="preserve">David L, Arcangeli A, Tepsich P, Di‐Meglio N, Roul M, Campana I, Gregorietti M, Moulins A, Rosso M, Crosti R (2022)</w:t>
      </w:r>
      <w:r>
        <w:t xml:space="preserve"> </w:t>
      </w:r>
      <w:hyperlink r:id="rId54">
        <w:r>
          <w:rPr>
            <w:rStyle w:val="Lienhypertexte"/>
          </w:rPr>
          <w:t xml:space="preserve">Computing Ship Strikes and Near Miss Events of Fin Whales Along the Main Ferry Routes in the</w:t>
        </w:r>
        <w:r>
          <w:rPr>
            <w:rStyle w:val="Lienhypertexte"/>
          </w:rPr>
          <w:t xml:space="preserve"> </w:t>
        </w:r>
        <w:r>
          <w:rPr>
            <w:rStyle w:val="Lienhypertexte"/>
          </w:rPr>
          <w:t xml:space="preserve">Pelagos</w:t>
        </w:r>
        <w:r>
          <w:rPr>
            <w:rStyle w:val="Lienhypertexte"/>
          </w:rPr>
          <w:t xml:space="preserve"> </w:t>
        </w:r>
        <w:r>
          <w:rPr>
            <w:rStyle w:val="Lienhypertexte"/>
          </w:rPr>
          <w:t xml:space="preserve">Sanctuary</w:t>
        </w:r>
        <w:r>
          <w:rPr>
            <w:rStyle w:val="Lienhypertexte"/>
          </w:rPr>
          <w:t xml:space="preserve"> </w:t>
        </w:r>
        <w:r>
          <w:rPr>
            <w:rStyle w:val="Lienhypertexte"/>
          </w:rPr>
          <w:t xml:space="preserve">and Adjacent West Area, in Summer</w:t>
        </w:r>
      </w:hyperlink>
      <w:r>
        <w:t xml:space="preserve">.</w:t>
      </w:r>
    </w:p>
    <w:bookmarkEnd w:id="55"/>
    <w:bookmarkStart w:id="57" w:name="ref-estabrook2016"/>
    <w:p>
      <w:pPr>
        <w:pStyle w:val="Bibliographie"/>
      </w:pPr>
      <w:r>
        <w:t xml:space="preserve">Estabrook B, Ponirakis D, Clark C, Rice A (2016)</w:t>
      </w:r>
      <w:r>
        <w:t xml:space="preserve"> </w:t>
      </w:r>
      <w:hyperlink r:id="rId56">
        <w:r>
          <w:rPr>
            <w:rStyle w:val="Lienhypertexte"/>
          </w:rPr>
          <w:t xml:space="preserve">Widespread Spatial and Temporal Extent of Anthropogenic Noise Across the Northeastern</w:t>
        </w:r>
        <w:r>
          <w:rPr>
            <w:rStyle w:val="Lienhypertexte"/>
          </w:rPr>
          <w:t xml:space="preserve"> </w:t>
        </w:r>
        <w:r>
          <w:rPr>
            <w:rStyle w:val="Lienhypertexte"/>
          </w:rPr>
          <w:t xml:space="preserve">Gulf</w:t>
        </w:r>
        <w:r>
          <w:rPr>
            <w:rStyle w:val="Lienhypertexte"/>
          </w:rPr>
          <w:t xml:space="preserve"> </w:t>
        </w:r>
        <w:r>
          <w:rPr>
            <w:rStyle w:val="Lienhypertexte"/>
          </w:rPr>
          <w:t xml:space="preserve">of</w:t>
        </w:r>
        <w:r>
          <w:rPr>
            <w:rStyle w:val="Lienhypertexte"/>
          </w:rPr>
          <w:t xml:space="preserve"> </w:t>
        </w:r>
        <w:r>
          <w:rPr>
            <w:rStyle w:val="Lienhypertexte"/>
          </w:rPr>
          <w:t xml:space="preserve">Mexico</w:t>
        </w:r>
        <w:r>
          <w:rPr>
            <w:rStyle w:val="Lienhypertexte"/>
          </w:rPr>
          <w:t xml:space="preserve"> </w:t>
        </w:r>
        <w:r>
          <w:rPr>
            <w:rStyle w:val="Lienhypertexte"/>
          </w:rPr>
          <w:t xml:space="preserve">Shelf Ecosystem</w:t>
        </w:r>
      </w:hyperlink>
      <w:r>
        <w:t xml:space="preserve">. Endangered Species Research 30:267–282.</w:t>
      </w:r>
    </w:p>
    <w:bookmarkEnd w:id="57"/>
    <w:bookmarkStart w:id="59" w:name="ref-fidino2019"/>
    <w:p>
      <w:pPr>
        <w:pStyle w:val="Bibliographie"/>
      </w:pPr>
      <w:r>
        <w:t xml:space="preserve">Fidino M, Simonis JL, Magle SB (2019)</w:t>
      </w:r>
      <w:r>
        <w:t xml:space="preserve"> </w:t>
      </w:r>
      <w:hyperlink r:id="rId58">
        <w:r>
          <w:rPr>
            <w:rStyle w:val="Lienhypertexte"/>
          </w:rPr>
          <w:t xml:space="preserve">A Multistate Dynamic Occupancy Model to Estimate Local Colonization–Extinction Rates and Patterns of Co‐occurrence Between Two or More Interacting Species</w:t>
        </w:r>
      </w:hyperlink>
      <w:r>
        <w:t xml:space="preserve">. Methods in Ecology and Evolution 10:233–244.</w:t>
      </w:r>
    </w:p>
    <w:bookmarkEnd w:id="59"/>
    <w:bookmarkStart w:id="61" w:name="ref-giakoumi2017"/>
    <w:p>
      <w:pPr>
        <w:pStyle w:val="Bibliographie"/>
      </w:pPr>
      <w:r>
        <w:t xml:space="preserve">Giakoumi S, Scianna C, Plass-Johnson J, Micheli F, Grorud-Colvert K, Thiriet P, Claudet J, Di Carlo G, Di Franco A, Gaines SD, García-Charton JA, Lubchenco J, Reimer J, Sala E, Guidetti P (2017)</w:t>
      </w:r>
      <w:r>
        <w:t xml:space="preserve"> </w:t>
      </w:r>
      <w:hyperlink r:id="rId60">
        <w:r>
          <w:rPr>
            <w:rStyle w:val="Lienhypertexte"/>
          </w:rPr>
          <w:t xml:space="preserve">Ecological Effects of Full and Partial Protection in the Crowded</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r>
          <w:rPr>
            <w:rStyle w:val="Lienhypertexte"/>
          </w:rPr>
          <w:t xml:space="preserve">: A Regional Meta-Analysis</w:t>
        </w:r>
      </w:hyperlink>
      <w:r>
        <w:t xml:space="preserve">. Scientific Reports 7.</w:t>
      </w:r>
    </w:p>
    <w:bookmarkEnd w:id="61"/>
    <w:bookmarkStart w:id="63" w:name="ref-ham2021"/>
    <w:p>
      <w:pPr>
        <w:pStyle w:val="Bibliographie"/>
      </w:pPr>
      <w:r>
        <w:t xml:space="preserve">Ham GS, Lahaye E, Rosso M, Moulins A, Hines E, Tepsich P (2021)</w:t>
      </w:r>
      <w:r>
        <w:t xml:space="preserve"> </w:t>
      </w:r>
      <w:hyperlink r:id="rId62">
        <w:r>
          <w:rPr>
            <w:rStyle w:val="Lienhypertexte"/>
          </w:rPr>
          <w:t xml:space="preserve">Predicting Summer Fin Whale Distribution in the</w:t>
        </w:r>
        <w:r>
          <w:rPr>
            <w:rStyle w:val="Lienhypertexte"/>
          </w:rPr>
          <w:t xml:space="preserve"> </w:t>
        </w:r>
        <w:r>
          <w:rPr>
            <w:rStyle w:val="Lienhypertexte"/>
          </w:rPr>
          <w:t xml:space="preserve">Pelagos</w:t>
        </w:r>
        <w:r>
          <w:rPr>
            <w:rStyle w:val="Lienhypertexte"/>
          </w:rPr>
          <w:t xml:space="preserve"> </w:t>
        </w:r>
        <w:r>
          <w:rPr>
            <w:rStyle w:val="Lienhypertexte"/>
          </w:rPr>
          <w:t xml:space="preserve">Sanctuary</w:t>
        </w:r>
        <w:r>
          <w:rPr>
            <w:rStyle w:val="Lienhypertexte"/>
          </w:rPr>
          <w:t xml:space="preserve"> </w:t>
        </w:r>
        <w:r>
          <w:rPr>
            <w:rStyle w:val="Lienhypertexte"/>
          </w:rPr>
          <w:t xml:space="preserve">(North-Western</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r>
          <w:rPr>
            <w:rStyle w:val="Lienhypertexte"/>
          </w:rPr>
          <w:t xml:space="preserve">) to Identify Dynamic Whale–Vessel Collision Risk Areas</w:t>
        </w:r>
      </w:hyperlink>
      <w:r>
        <w:t xml:space="preserve">. Aquatic Conservation: Marine and Freshwater Ecosystems 31:2257–2277.</w:t>
      </w:r>
    </w:p>
    <w:bookmarkEnd w:id="63"/>
    <w:bookmarkStart w:id="65" w:name="ref-jourdain2017"/>
    <w:p>
      <w:pPr>
        <w:pStyle w:val="Bibliographie"/>
      </w:pPr>
      <w:r>
        <w:t xml:space="preserve">Jourdain E, Vongraven D (2017)</w:t>
      </w:r>
      <w:r>
        <w:t xml:space="preserve"> </w:t>
      </w:r>
      <w:hyperlink r:id="rId64">
        <w:r>
          <w:rPr>
            <w:rStyle w:val="Lienhypertexte"/>
          </w:rPr>
          <w:t xml:space="preserve">Humpback Whale (</w:t>
        </w:r>
        <w:r>
          <w:rPr>
            <w:rStyle w:val="Lienhypertexte"/>
          </w:rPr>
          <w:t xml:space="preserve">Megaptera</w:t>
        </w:r>
        <w:r>
          <w:rPr>
            <w:rStyle w:val="Lienhypertexte"/>
          </w:rPr>
          <w:t xml:space="preserve"> </w:t>
        </w:r>
        <w:r>
          <w:rPr>
            <w:rStyle w:val="Lienhypertexte"/>
          </w:rPr>
          <w:t xml:space="preserve">Novaeangliae) and Killer Whale (</w:t>
        </w:r>
        <w:r>
          <w:rPr>
            <w:rStyle w:val="Lienhypertexte"/>
          </w:rPr>
          <w:t xml:space="preserve">Orcinus</w:t>
        </w:r>
        <w:r>
          <w:rPr>
            <w:rStyle w:val="Lienhypertexte"/>
          </w:rPr>
          <w:t xml:space="preserve"> </w:t>
        </w:r>
        <w:r>
          <w:rPr>
            <w:rStyle w:val="Lienhypertexte"/>
          </w:rPr>
          <w:t xml:space="preserve">Orca) Feeding Aggregations for Foraging on Herring (</w:t>
        </w:r>
        <w:r>
          <w:rPr>
            <w:rStyle w:val="Lienhypertexte"/>
          </w:rPr>
          <w:t xml:space="preserve">Clupea</w:t>
        </w:r>
        <w:r>
          <w:rPr>
            <w:rStyle w:val="Lienhypertexte"/>
          </w:rPr>
          <w:t xml:space="preserve"> </w:t>
        </w:r>
        <w:r>
          <w:rPr>
            <w:rStyle w:val="Lienhypertexte"/>
          </w:rPr>
          <w:t xml:space="preserve">Harengus) in</w:t>
        </w:r>
        <w:r>
          <w:rPr>
            <w:rStyle w:val="Lienhypertexte"/>
          </w:rPr>
          <w:t xml:space="preserve"> </w:t>
        </w:r>
        <w:r>
          <w:rPr>
            <w:rStyle w:val="Lienhypertexte"/>
          </w:rPr>
          <w:t xml:space="preserve">Northern</w:t>
        </w:r>
        <w:r>
          <w:rPr>
            <w:rStyle w:val="Lienhypertexte"/>
          </w:rPr>
          <w:t xml:space="preserve"> </w:t>
        </w:r>
        <w:r>
          <w:rPr>
            <w:rStyle w:val="Lienhypertexte"/>
          </w:rPr>
          <w:t xml:space="preserve">Norway</w:t>
        </w:r>
      </w:hyperlink>
      <w:r>
        <w:t xml:space="preserve">. Mammalian Biology 86:27–32.</w:t>
      </w:r>
    </w:p>
    <w:bookmarkEnd w:id="65"/>
    <w:bookmarkStart w:id="67" w:name="ref-kery2020"/>
    <w:p>
      <w:pPr>
        <w:pStyle w:val="Bibliographie"/>
      </w:pPr>
      <w:r>
        <w:t xml:space="preserve">Kéry M, Royle J (2020)</w:t>
      </w:r>
      <w:r>
        <w:t xml:space="preserve"> </w:t>
      </w:r>
      <w:hyperlink r:id="rId66">
        <w:r>
          <w:rPr>
            <w:rStyle w:val="Lienhypertexte"/>
          </w:rPr>
          <w:t xml:space="preserve">Applied hierarchical modeling in ecology: Analysis of distribution, abundance and species richness in r and bugs: Volume 2: Dynamic and advanced models</w:t>
        </w:r>
      </w:hyperlink>
      <w:r>
        <w:t xml:space="preserve">, 1st ed. Elsevier, Cambridge.</w:t>
      </w:r>
    </w:p>
    <w:bookmarkEnd w:id="67"/>
    <w:bookmarkStart w:id="69" w:name="ref-labach2021a"/>
    <w:p>
      <w:pPr>
        <w:pStyle w:val="Bibliographie"/>
      </w:pPr>
      <w:r>
        <w:t xml:space="preserve">Labach H, Azzinari C, Barbier M, Cesarini C, Daniel B, David L, Dhermain F, Di-Méglio N, Guichard B, Jourdan J, Lauret V, Robert N, Roul M, Tomasi N, Gimenez O (2021)</w:t>
      </w:r>
      <w:r>
        <w:t xml:space="preserve"> </w:t>
      </w:r>
      <w:hyperlink r:id="rId68">
        <w:r>
          <w:rPr>
            <w:rStyle w:val="Lienhypertexte"/>
          </w:rPr>
          <w:t xml:space="preserve">Distribution and Abundance of Common Bottlenose Dolphin (</w:t>
        </w:r>
        <w:r>
          <w:rPr>
            <w:rStyle w:val="Lienhypertexte"/>
          </w:rPr>
          <w:t xml:space="preserve">Tursiops</w:t>
        </w:r>
        <w:r>
          <w:rPr>
            <w:rStyle w:val="Lienhypertexte"/>
          </w:rPr>
          <w:t xml:space="preserve"> </w:t>
        </w:r>
        <w:r>
          <w:rPr>
            <w:rStyle w:val="Lienhypertexte"/>
          </w:rPr>
          <w:t xml:space="preserve">Truncatus) over the</w:t>
        </w:r>
        <w:r>
          <w:rPr>
            <w:rStyle w:val="Lienhypertexte"/>
          </w:rPr>
          <w:t xml:space="preserve"> </w:t>
        </w:r>
        <w:r>
          <w:rPr>
            <w:rStyle w:val="Lienhypertexte"/>
          </w:rPr>
          <w:t xml:space="preserve">French</w:t>
        </w:r>
        <w:r>
          <w:rPr>
            <w:rStyle w:val="Lienhypertexte"/>
          </w:rPr>
          <w:t xml:space="preserve"> </w:t>
        </w:r>
        <w:r>
          <w:rPr>
            <w:rStyle w:val="Lienhypertexte"/>
          </w:rPr>
          <w:t xml:space="preserve">Mediterranean</w:t>
        </w:r>
        <w:r>
          <w:rPr>
            <w:rStyle w:val="Lienhypertexte"/>
          </w:rPr>
          <w:t xml:space="preserve"> </w:t>
        </w:r>
        <w:r>
          <w:rPr>
            <w:rStyle w:val="Lienhypertexte"/>
          </w:rPr>
          <w:t xml:space="preserve">Continental Shelf</w:t>
        </w:r>
      </w:hyperlink>
      <w:r>
        <w:t xml:space="preserve">. Marine Mammal Science n/a.</w:t>
      </w:r>
    </w:p>
    <w:bookmarkEnd w:id="69"/>
    <w:bookmarkStart w:id="71" w:name="ref-lambert2020"/>
    <w:p>
      <w:pPr>
        <w:pStyle w:val="Bibliographie"/>
      </w:pPr>
      <w:r>
        <w:t xml:space="preserve">Lambert C, Authier M, Dorémus G, Laran S, Panigada S, Spitz J, Van Canneyt O, Ridoux V (2020)</w:t>
      </w:r>
      <w:r>
        <w:t xml:space="preserve"> </w:t>
      </w:r>
      <w:hyperlink r:id="rId70">
        <w:r>
          <w:rPr>
            <w:rStyle w:val="Lienhypertexte"/>
          </w:rPr>
          <w:t xml:space="preserve">Setting the Scene for</w:t>
        </w:r>
        <w:r>
          <w:rPr>
            <w:rStyle w:val="Lienhypertexte"/>
          </w:rPr>
          <w:t xml:space="preserve"> </w:t>
        </w:r>
        <w:r>
          <w:rPr>
            <w:rStyle w:val="Lienhypertexte"/>
          </w:rPr>
          <w:t xml:space="preserve">Mediterranean</w:t>
        </w:r>
        <w:r>
          <w:rPr>
            <w:rStyle w:val="Lienhypertexte"/>
          </w:rPr>
          <w:t xml:space="preserve"> </w:t>
        </w:r>
        <w:r>
          <w:rPr>
            <w:rStyle w:val="Lienhypertexte"/>
          </w:rPr>
          <w:t xml:space="preserve">Litterscape Management:</w:t>
        </w:r>
        <w:r>
          <w:rPr>
            <w:rStyle w:val="Lienhypertexte"/>
          </w:rPr>
          <w:t xml:space="preserve"> </w:t>
        </w:r>
        <w:r>
          <w:rPr>
            <w:rStyle w:val="Lienhypertexte"/>
          </w:rPr>
          <w:t xml:space="preserve">The</w:t>
        </w:r>
        <w:r>
          <w:rPr>
            <w:rStyle w:val="Lienhypertexte"/>
          </w:rPr>
          <w:t xml:space="preserve"> </w:t>
        </w:r>
        <w:r>
          <w:rPr>
            <w:rStyle w:val="Lienhypertexte"/>
          </w:rPr>
          <w:t xml:space="preserve">First Basin-Scale Quantification and Mapping of Floating Marine Debris</w:t>
        </w:r>
      </w:hyperlink>
      <w:r>
        <w:t xml:space="preserve">. Environmental Pollution 263:114430.</w:t>
      </w:r>
    </w:p>
    <w:bookmarkEnd w:id="71"/>
    <w:bookmarkStart w:id="73" w:name="ref-laran2017"/>
    <w:p>
      <w:pPr>
        <w:pStyle w:val="Bibliographie"/>
      </w:pPr>
      <w:r>
        <w:t xml:space="preserve">Laran S, Pettex E, Authier M, Blanck A, David L, Dorémus G, Falchetto H, Monestiez P, Van Canneyt O, Ridoux V (2017)</w:t>
      </w:r>
      <w:r>
        <w:t xml:space="preserve"> </w:t>
      </w:r>
      <w:hyperlink r:id="rId72">
        <w:r>
          <w:rPr>
            <w:rStyle w:val="Lienhypertexte"/>
          </w:rPr>
          <w:t xml:space="preserve">Seasonal Distribution and Abundance of Cetaceans Within</w:t>
        </w:r>
        <w:r>
          <w:rPr>
            <w:rStyle w:val="Lienhypertexte"/>
          </w:rPr>
          <w:t xml:space="preserve"> </w:t>
        </w:r>
        <w:r>
          <w:rPr>
            <w:rStyle w:val="Lienhypertexte"/>
          </w:rPr>
          <w:t xml:space="preserve">French</w:t>
        </w:r>
        <w:r>
          <w:rPr>
            <w:rStyle w:val="Lienhypertexte"/>
          </w:rPr>
          <w:t xml:space="preserve"> </w:t>
        </w:r>
        <w:r>
          <w:rPr>
            <w:rStyle w:val="Lienhypertexte"/>
          </w:rPr>
          <w:t xml:space="preserve">Waters-</w:t>
        </w:r>
        <w:r>
          <w:rPr>
            <w:rStyle w:val="Lienhypertexte"/>
          </w:rPr>
          <w:t xml:space="preserve"> </w:t>
        </w:r>
        <w:r>
          <w:rPr>
            <w:rStyle w:val="Lienhypertexte"/>
          </w:rPr>
          <w:t xml:space="preserve">Part</w:t>
        </w:r>
        <w:r>
          <w:rPr>
            <w:rStyle w:val="Lienhypertexte"/>
          </w:rPr>
          <w:t xml:space="preserve"> </w:t>
        </w:r>
        <w:r>
          <w:rPr>
            <w:rStyle w:val="Lienhypertexte"/>
          </w:rPr>
          <w:t xml:space="preserve">I</w:t>
        </w:r>
        <w:r>
          <w:rPr>
            <w:rStyle w:val="Lienhypertexte"/>
          </w:rPr>
          <w:t xml:space="preserve">:</w:t>
        </w:r>
        <w:r>
          <w:rPr>
            <w:rStyle w:val="Lienhypertexte"/>
          </w:rPr>
          <w:t xml:space="preserve"> </w:t>
        </w:r>
        <w:r>
          <w:rPr>
            <w:rStyle w:val="Lienhypertexte"/>
          </w:rPr>
          <w:t xml:space="preserve">The</w:t>
        </w:r>
        <w:r>
          <w:rPr>
            <w:rStyle w:val="Lienhypertexte"/>
          </w:rPr>
          <w:t xml:space="preserve"> </w:t>
        </w:r>
        <w:r>
          <w:rPr>
            <w:rStyle w:val="Lienhypertexte"/>
          </w:rPr>
          <w:t xml:space="preserve">North</w:t>
        </w:r>
        <w:r>
          <w:rPr>
            <w:rStyle w:val="Lienhypertexte"/>
          </w:rPr>
          <w:t xml:space="preserve">-</w:t>
        </w:r>
        <w:r>
          <w:rPr>
            <w:rStyle w:val="Lienhypertexte"/>
          </w:rPr>
          <w:t xml:space="preserve">Western</w:t>
        </w:r>
        <w:r>
          <w:rPr>
            <w:rStyle w:val="Lienhypertexte"/>
          </w:rPr>
          <w:t xml:space="preserve"> </w:t>
        </w:r>
        <w:r>
          <w:rPr>
            <w:rStyle w:val="Lienhypertexte"/>
          </w:rPr>
          <w:t xml:space="preserve">Mediterranean</w:t>
        </w:r>
        <w:r>
          <w:rPr>
            <w:rStyle w:val="Lienhypertexte"/>
          </w:rPr>
          <w:t xml:space="preserve">, Including the</w:t>
        </w:r>
        <w:r>
          <w:rPr>
            <w:rStyle w:val="Lienhypertexte"/>
          </w:rPr>
          <w:t xml:space="preserve"> </w:t>
        </w:r>
        <w:r>
          <w:rPr>
            <w:rStyle w:val="Lienhypertexte"/>
          </w:rPr>
          <w:t xml:space="preserve">Pelagos</w:t>
        </w:r>
        <w:r>
          <w:rPr>
            <w:rStyle w:val="Lienhypertexte"/>
          </w:rPr>
          <w:t xml:space="preserve"> </w:t>
        </w:r>
        <w:r>
          <w:rPr>
            <w:rStyle w:val="Lienhypertexte"/>
          </w:rPr>
          <w:t xml:space="preserve">Sanctuary</w:t>
        </w:r>
      </w:hyperlink>
      <w:r>
        <w:t xml:space="preserve">. Deep Sea Research Part II: Topical Studies in Oceanography 141:20–30.</w:t>
      </w:r>
    </w:p>
    <w:bookmarkEnd w:id="73"/>
    <w:bookmarkStart w:id="75" w:name="ref-lauret2021"/>
    <w:p>
      <w:pPr>
        <w:pStyle w:val="Bibliographie"/>
      </w:pPr>
      <w:r>
        <w:t xml:space="preserve">Lauret V, Labach H, Authier M, Gimenez O (2021)</w:t>
      </w:r>
      <w:r>
        <w:t xml:space="preserve"> </w:t>
      </w:r>
      <w:hyperlink r:id="rId74">
        <w:r>
          <w:rPr>
            <w:rStyle w:val="Lienhypertexte"/>
          </w:rPr>
          <w:t xml:space="preserve">Using Single Visits into Integrated Occupancy Models to Make the Most of Existing Monitoring Programs</w:t>
        </w:r>
      </w:hyperlink>
      <w:r>
        <w:t xml:space="preserve">. Ecology:848663.</w:t>
      </w:r>
    </w:p>
    <w:bookmarkEnd w:id="75"/>
    <w:bookmarkStart w:id="77" w:name="ref-leone2019"/>
    <w:p>
      <w:pPr>
        <w:pStyle w:val="Bibliographie"/>
      </w:pPr>
      <w:r>
        <w:t xml:space="preserve">Leone AB, Bonanno Ferraro G, Boitani L, Blasi MF (2019)</w:t>
      </w:r>
      <w:r>
        <w:t xml:space="preserve"> </w:t>
      </w:r>
      <w:hyperlink r:id="rId76">
        <w:r>
          <w:rPr>
            <w:rStyle w:val="Lienhypertexte"/>
          </w:rPr>
          <w:t xml:space="preserve">Skin Marks in Bottlenose Dolphins (</w:t>
        </w:r>
        <w:r>
          <w:rPr>
            <w:rStyle w:val="Lienhypertexte"/>
          </w:rPr>
          <w:t xml:space="preserve">Tursiops</w:t>
        </w:r>
        <w:r>
          <w:rPr>
            <w:rStyle w:val="Lienhypertexte"/>
          </w:rPr>
          <w:t xml:space="preserve"> </w:t>
        </w:r>
        <w:r>
          <w:rPr>
            <w:rStyle w:val="Lienhypertexte"/>
          </w:rPr>
          <w:t xml:space="preserve">Truncatus) Interacting with Artisanal Fishery in the Central</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hyperlink>
      <w:r>
        <w:t xml:space="preserve">. PLOS ONE 14:e0211767.</w:t>
      </w:r>
    </w:p>
    <w:bookmarkEnd w:id="77"/>
    <w:bookmarkStart w:id="79" w:name="ref-lewison2004"/>
    <w:p>
      <w:pPr>
        <w:pStyle w:val="Bibliographie"/>
      </w:pPr>
      <w:r>
        <w:t xml:space="preserve">Lewison RL, Crowder LB, Read AJ, Freeman SA (2004)</w:t>
      </w:r>
      <w:r>
        <w:t xml:space="preserve"> </w:t>
      </w:r>
      <w:hyperlink r:id="rId78">
        <w:r>
          <w:rPr>
            <w:rStyle w:val="Lienhypertexte"/>
          </w:rPr>
          <w:t xml:space="preserve">Understanding Impacts of Fisheries Bycatch on Marine Megafauna</w:t>
        </w:r>
      </w:hyperlink>
      <w:r>
        <w:t xml:space="preserve">. Trends in Ecology &amp; Evolution 19:598–604.</w:t>
      </w:r>
    </w:p>
    <w:bookmarkEnd w:id="79"/>
    <w:bookmarkStart w:id="80" w:name="ref-mackenzie2006"/>
    <w:p>
      <w:pPr>
        <w:pStyle w:val="Bibliographie"/>
      </w:pPr>
      <w:r>
        <w:t xml:space="preserve">MacKenzie DI (ed) (2006) Occupancy estimation and modeling: Inferring patterns and dynamics of species. Elsevier, Amsterdam ; Boston.</w:t>
      </w:r>
    </w:p>
    <w:bookmarkEnd w:id="80"/>
    <w:bookmarkStart w:id="82" w:name="ref-manlik2022"/>
    <w:p>
      <w:pPr>
        <w:pStyle w:val="Bibliographie"/>
      </w:pPr>
      <w:r>
        <w:t xml:space="preserve">Manlik O, Lacy RC, Sherwin WB, Finn H, Loneragan NR, Allen SJ (2022)</w:t>
      </w:r>
      <w:r>
        <w:t xml:space="preserve"> </w:t>
      </w:r>
      <w:hyperlink r:id="rId81">
        <w:r>
          <w:rPr>
            <w:rStyle w:val="Lienhypertexte"/>
          </w:rPr>
          <w:t xml:space="preserve">A Stochastic Model for Estimating Sustainable Limits to Wildlife Mortality in a Changing World</w:t>
        </w:r>
      </w:hyperlink>
      <w:r>
        <w:t xml:space="preserve">. Conservation Biology 36:e13897.</w:t>
      </w:r>
    </w:p>
    <w:bookmarkEnd w:id="82"/>
    <w:bookmarkStart w:id="84" w:name="ref-marescot2020"/>
    <w:p>
      <w:pPr>
        <w:pStyle w:val="Bibliographie"/>
      </w:pPr>
      <w:r>
        <w:t xml:space="preserve">Marescot L, Lyet A, Singh R, Carter N, Gimenez O (2020)</w:t>
      </w:r>
      <w:r>
        <w:t xml:space="preserve"> </w:t>
      </w:r>
      <w:hyperlink r:id="rId83">
        <w:r>
          <w:rPr>
            <w:rStyle w:val="Lienhypertexte"/>
          </w:rPr>
          <w:t xml:space="preserve">Inferring Wildlife Poaching in Southeast</w:t>
        </w:r>
        <w:r>
          <w:rPr>
            <w:rStyle w:val="Lienhypertexte"/>
          </w:rPr>
          <w:t xml:space="preserve"> </w:t>
        </w:r>
        <w:r>
          <w:rPr>
            <w:rStyle w:val="Lienhypertexte"/>
          </w:rPr>
          <w:t xml:space="preserve">Asia</w:t>
        </w:r>
        <w:r>
          <w:rPr>
            <w:rStyle w:val="Lienhypertexte"/>
          </w:rPr>
          <w:t xml:space="preserve"> </w:t>
        </w:r>
        <w:r>
          <w:rPr>
            <w:rStyle w:val="Lienhypertexte"/>
          </w:rPr>
          <w:t xml:space="preserve">with Multispecies Dynamic Occupancy Models</w:t>
        </w:r>
      </w:hyperlink>
      <w:r>
        <w:t xml:space="preserve">. Ecography 43:239–250.</w:t>
      </w:r>
    </w:p>
    <w:bookmarkEnd w:id="84"/>
    <w:bookmarkStart w:id="86" w:name="ref-pirotta2015"/>
    <w:p>
      <w:pPr>
        <w:pStyle w:val="Bibliographie"/>
      </w:pPr>
      <w:r>
        <w:t xml:space="preserve">Pirotta E, Thompson PM, Cheney B, Donovan CR, Lusseau D (2015)</w:t>
      </w:r>
      <w:r>
        <w:t xml:space="preserve"> </w:t>
      </w:r>
      <w:hyperlink r:id="rId85">
        <w:r>
          <w:rPr>
            <w:rStyle w:val="Lienhypertexte"/>
          </w:rPr>
          <w:t xml:space="preserve">Estimating Spatial, Temporal and Individual Variability in Dolphin Cumulative Exposure to Boat Traffic Using Spatially Explicit Capture-Recapture Methods:</w:t>
        </w:r>
        <w:r>
          <w:rPr>
            <w:rStyle w:val="Lienhypertexte"/>
          </w:rPr>
          <w:t xml:space="preserve"> </w:t>
        </w:r>
        <w:r>
          <w:rPr>
            <w:rStyle w:val="Lienhypertexte"/>
          </w:rPr>
          <w:t xml:space="preserve">Variability</w:t>
        </w:r>
        <w:r>
          <w:rPr>
            <w:rStyle w:val="Lienhypertexte"/>
          </w:rPr>
          <w:t xml:space="preserve"> </w:t>
        </w:r>
        <w:r>
          <w:rPr>
            <w:rStyle w:val="Lienhypertexte"/>
          </w:rPr>
          <w:t xml:space="preserve">in Wildlife Exposure to Disturbance</w:t>
        </w:r>
      </w:hyperlink>
      <w:r>
        <w:t xml:space="preserve">. Animal Conservation 18:20–31.</w:t>
      </w:r>
    </w:p>
    <w:bookmarkEnd w:id="86"/>
    <w:bookmarkStart w:id="88" w:name="ref-queiros2018"/>
    <w:p>
      <w:pPr>
        <w:pStyle w:val="Bibliographie"/>
      </w:pPr>
      <w:r>
        <w:t xml:space="preserve">Queiros Q, Fromentin J, Astruc G, Bauer R, Saraux C (2018)</w:t>
      </w:r>
      <w:r>
        <w:t xml:space="preserve"> </w:t>
      </w:r>
      <w:hyperlink r:id="rId87">
        <w:r>
          <w:rPr>
            <w:rStyle w:val="Lienhypertexte"/>
          </w:rPr>
          <w:t xml:space="preserve">Dolphin Predation Pressure on Pelagic and Demersal Fish in the Northwestern</w:t>
        </w:r>
        <w:r>
          <w:rPr>
            <w:rStyle w:val="Lienhypertexte"/>
          </w:rPr>
          <w:t xml:space="preserve"> </w:t>
        </w:r>
        <w:r>
          <w:rPr>
            <w:rStyle w:val="Lienhypertexte"/>
          </w:rPr>
          <w:t xml:space="preserve">Mediterranean</w:t>
        </w:r>
        <w:r>
          <w:rPr>
            <w:rStyle w:val="Lienhypertexte"/>
          </w:rPr>
          <w:t xml:space="preserve"> </w:t>
        </w:r>
        <w:r>
          <w:rPr>
            <w:rStyle w:val="Lienhypertexte"/>
          </w:rPr>
          <w:t xml:space="preserve">Sea</w:t>
        </w:r>
      </w:hyperlink>
      <w:r>
        <w:t xml:space="preserve">. Marine Ecology Progress Series 603:13–27.</w:t>
      </w:r>
    </w:p>
    <w:bookmarkEnd w:id="88"/>
    <w:bookmarkStart w:id="90" w:name="ref-rota2016"/>
    <w:p>
      <w:pPr>
        <w:pStyle w:val="Bibliographie"/>
      </w:pPr>
      <w:r>
        <w:t xml:space="preserve">Rota CT, Ferreira MAR, Kays RW, Forrester TD, Kalies EL, McShea WJ, Parsons AW, Millspaugh JJ (2016a)</w:t>
      </w:r>
      <w:r>
        <w:t xml:space="preserve"> </w:t>
      </w:r>
      <w:hyperlink r:id="rId89">
        <w:r>
          <w:rPr>
            <w:rStyle w:val="Lienhypertexte"/>
          </w:rPr>
          <w:t xml:space="preserve">A Multispecies Occupancy Model for Two or More Interacting Species</w:t>
        </w:r>
      </w:hyperlink>
      <w:r>
        <w:t xml:space="preserve">. Methods in Ecology and Evolution 7:1164–1173.</w:t>
      </w:r>
    </w:p>
    <w:bookmarkEnd w:id="90"/>
    <w:bookmarkStart w:id="92" w:name="ref-rota2016a"/>
    <w:p>
      <w:pPr>
        <w:pStyle w:val="Bibliographie"/>
      </w:pPr>
      <w:r>
        <w:t xml:space="preserve">Rota CT, Wikle CK, Kays RW, Forrester TD, McShea WJ, Parsons AW, Millspaugh JJ (2016b)</w:t>
      </w:r>
      <w:r>
        <w:t xml:space="preserve"> </w:t>
      </w:r>
      <w:hyperlink r:id="rId91">
        <w:r>
          <w:rPr>
            <w:rStyle w:val="Lienhypertexte"/>
          </w:rPr>
          <w:t xml:space="preserve">A Two-Species Occupancy Model Accommodating Simultaneous Spatial and Interspecific Dependence</w:t>
        </w:r>
      </w:hyperlink>
      <w:r>
        <w:t xml:space="preserve">. Ecology 97:48–53.</w:t>
      </w:r>
    </w:p>
    <w:bookmarkEnd w:id="92"/>
    <w:bookmarkStart w:id="94" w:name="ref-santana-garcon2018"/>
    <w:p>
      <w:pPr>
        <w:pStyle w:val="Bibliographie"/>
      </w:pPr>
      <w:r>
        <w:t xml:space="preserve">Santana-Garcon J, Wakefield CB, Dorman SR, Denham A, Blight S, Molony BW, Newman SJ (2018)</w:t>
      </w:r>
      <w:r>
        <w:t xml:space="preserve"> </w:t>
      </w:r>
      <w:hyperlink r:id="rId93">
        <w:r>
          <w:rPr>
            <w:rStyle w:val="Lienhypertexte"/>
          </w:rPr>
          <w:t xml:space="preserve">Risk Versus Reward: Interactions, Depredation Rates, and Bycatch Mitigation of Dolphins in Demersal Fish Trawls</w:t>
        </w:r>
      </w:hyperlink>
      <w:r>
        <w:t xml:space="preserve">. Canadian Journal of Fisheries &amp; Aquatic Sciences 75:2233–2240.</w:t>
      </w:r>
    </w:p>
    <w:bookmarkEnd w:id="94"/>
    <w:bookmarkStart w:id="96" w:name="ref-snape2018"/>
    <w:p>
      <w:pPr>
        <w:pStyle w:val="Bibliographie"/>
      </w:pPr>
      <w:r>
        <w:t xml:space="preserve">Snape RTE, Broderick AC, Çiçek BA, Fuller WJ, Tregenza N, Witt MJ, Godley BJ (2018)</w:t>
      </w:r>
      <w:r>
        <w:t xml:space="preserve"> </w:t>
      </w:r>
      <w:hyperlink r:id="rId95">
        <w:r>
          <w:rPr>
            <w:rStyle w:val="Lienhypertexte"/>
          </w:rPr>
          <w:t xml:space="preserve">Conflict Between</w:t>
        </w:r>
        <w:r>
          <w:rPr>
            <w:rStyle w:val="Lienhypertexte"/>
          </w:rPr>
          <w:t xml:space="preserve"> </w:t>
        </w:r>
        <w:r>
          <w:rPr>
            <w:rStyle w:val="Lienhypertexte"/>
          </w:rPr>
          <w:t xml:space="preserve">Dolphins</w:t>
        </w:r>
        <w:r>
          <w:rPr>
            <w:rStyle w:val="Lienhypertexte"/>
          </w:rPr>
          <w:t xml:space="preserve"> </w:t>
        </w:r>
        <w:r>
          <w:rPr>
            <w:rStyle w:val="Lienhypertexte"/>
          </w:rPr>
          <w:t xml:space="preserve">and a</w:t>
        </w:r>
        <w:r>
          <w:rPr>
            <w:rStyle w:val="Lienhypertexte"/>
          </w:rPr>
          <w:t xml:space="preserve"> </w:t>
        </w:r>
        <w:r>
          <w:rPr>
            <w:rStyle w:val="Lienhypertexte"/>
          </w:rPr>
          <w:t xml:space="preserve">Data</w:t>
        </w:r>
        <w:r>
          <w:rPr>
            <w:rStyle w:val="Lienhypertexte"/>
          </w:rPr>
          <w:t xml:space="preserve">-</w:t>
        </w:r>
        <w:r>
          <w:rPr>
            <w:rStyle w:val="Lienhypertexte"/>
          </w:rPr>
          <w:t xml:space="preserve">Scarce</w:t>
        </w:r>
        <w:r>
          <w:rPr>
            <w:rStyle w:val="Lienhypertexte"/>
          </w:rPr>
          <w:t xml:space="preserve"> </w:t>
        </w:r>
        <w:r>
          <w:rPr>
            <w:rStyle w:val="Lienhypertexte"/>
          </w:rPr>
          <w:t xml:space="preserve">Fishery</w:t>
        </w:r>
        <w:r>
          <w:rPr>
            <w:rStyle w:val="Lienhypertexte"/>
          </w:rPr>
          <w:t xml:space="preserve"> </w:t>
        </w:r>
        <w:r>
          <w:rPr>
            <w:rStyle w:val="Lienhypertexte"/>
          </w:rPr>
          <w:t xml:space="preserve">of the</w:t>
        </w:r>
        <w:r>
          <w:rPr>
            <w:rStyle w:val="Lienhypertexte"/>
          </w:rPr>
          <w:t xml:space="preserve"> </w:t>
        </w:r>
        <w:r>
          <w:rPr>
            <w:rStyle w:val="Lienhypertexte"/>
          </w:rPr>
          <w:t xml:space="preserve">European</w:t>
        </w:r>
        <w:r>
          <w:rPr>
            <w:rStyle w:val="Lienhypertexte"/>
          </w:rPr>
          <w:t xml:space="preserve"> </w:t>
        </w:r>
        <w:r>
          <w:rPr>
            <w:rStyle w:val="Lienhypertexte"/>
          </w:rPr>
          <w:t xml:space="preserve">Union</w:t>
        </w:r>
      </w:hyperlink>
      <w:r>
        <w:t xml:space="preserve">. Human Ecology 46:423–433.</w:t>
      </w:r>
    </w:p>
    <w:bookmarkEnd w:id="96"/>
    <w:bookmarkStart w:id="97" w:name="ref-devalpine2017"/>
    <w:p>
      <w:pPr>
        <w:pStyle w:val="Bibliographie"/>
      </w:pPr>
      <w:r>
        <w:t xml:space="preserve">Valpine P de, Turek D, Paciorek CJ, Anderson-Bergman C, Lang DT, Bodik R (2017) Programming with Models: Writing Statistical Algorithms for General Model Structures with</w:t>
      </w:r>
      <w:r>
        <w:t xml:space="preserve"> </w:t>
      </w:r>
      <w:r>
        <w:t xml:space="preserve">NIMBLE</w:t>
      </w:r>
      <w:r>
        <w:t xml:space="preserve">. Journal of Computational and Graphical Statistics 26:403–413.</w:t>
      </w:r>
    </w:p>
    <w:bookmarkEnd w:id="97"/>
    <w:bookmarkStart w:id="98" w:name="ref-wood2019"/>
    <w:p>
      <w:pPr>
        <w:pStyle w:val="Bibliographie"/>
      </w:pPr>
      <w:r>
        <w:t xml:space="preserve">Wood S (2019) Mgcv: Mixed</w:t>
      </w:r>
      <w:r>
        <w:t xml:space="preserve"> </w:t>
      </w:r>
      <w:r>
        <w:t xml:space="preserve">GAM</w:t>
      </w:r>
      <w:r>
        <w:t xml:space="preserve"> </w:t>
      </w:r>
      <w:r>
        <w:t xml:space="preserve">Computation Vehicle with Automatic Smoothness Estimation.</w:t>
      </w:r>
      <w:r>
        <w:t xml:space="preserve"> </w:t>
      </w:r>
      <w:r>
        <w:t xml:space="preserve">R</w:t>
      </w:r>
      <w:r>
        <w:t xml:space="preserve">-Package Version 1.8–31.</w:t>
      </w:r>
    </w:p>
    <w:bookmarkEnd w:id="98"/>
    <w:bookmarkStart w:id="100" w:name="ref-wood2006"/>
    <w:p>
      <w:pPr>
        <w:pStyle w:val="Bibliographie"/>
      </w:pPr>
      <w:r>
        <w:t xml:space="preserve">Wood SN (2006)</w:t>
      </w:r>
      <w:r>
        <w:t xml:space="preserve"> </w:t>
      </w:r>
      <w:hyperlink r:id="rId99">
        <w:r>
          <w:rPr>
            <w:rStyle w:val="Lienhypertexte"/>
          </w:rPr>
          <w:t xml:space="preserve">Generalized</w:t>
        </w:r>
        <w:r>
          <w:rPr>
            <w:rStyle w:val="Lienhypertexte"/>
          </w:rPr>
          <w:t xml:space="preserve"> </w:t>
        </w:r>
        <w:r>
          <w:rPr>
            <w:rStyle w:val="Lienhypertexte"/>
          </w:rPr>
          <w:t xml:space="preserve">Additive</w:t>
        </w:r>
        <w:r>
          <w:rPr>
            <w:rStyle w:val="Lienhypertexte"/>
          </w:rPr>
          <w:t xml:space="preserve"> </w:t>
        </w:r>
        <w:r>
          <w:rPr>
            <w:rStyle w:val="Lienhypertexte"/>
          </w:rPr>
          <w:t xml:space="preserve">Models</w:t>
        </w:r>
        <w:r>
          <w:rPr>
            <w:rStyle w:val="Lienhypertexte"/>
          </w:rPr>
          <w:t xml:space="preserve">:</w:t>
        </w:r>
        <w:r>
          <w:rPr>
            <w:rStyle w:val="Lienhypertexte"/>
          </w:rPr>
          <w:t xml:space="preserve"> </w:t>
        </w:r>
        <w:r>
          <w:rPr>
            <w:rStyle w:val="Lienhypertexte"/>
          </w:rPr>
          <w:t xml:space="preserve">An</w:t>
        </w:r>
        <w:r>
          <w:rPr>
            <w:rStyle w:val="Lienhypertexte"/>
          </w:rPr>
          <w:t xml:space="preserve"> </w:t>
        </w:r>
        <w:r>
          <w:rPr>
            <w:rStyle w:val="Lienhypertexte"/>
          </w:rPr>
          <w:t xml:space="preserve">Introduction</w:t>
        </w:r>
        <w:r>
          <w:rPr>
            <w:rStyle w:val="Lienhypertexte"/>
          </w:rPr>
          <w:t xml:space="preserve"> </w:t>
        </w:r>
        <w:r>
          <w:rPr>
            <w:rStyle w:val="Lienhypertexte"/>
          </w:rPr>
          <w:t xml:space="preserve">with</w:t>
        </w:r>
        <w:r>
          <w:rPr>
            <w:rStyle w:val="Lienhypertexte"/>
          </w:rPr>
          <w:t xml:space="preserve"> </w:t>
        </w:r>
        <w:r>
          <w:rPr>
            <w:rStyle w:val="Lienhypertexte"/>
          </w:rPr>
          <w:t xml:space="preserve">R</w:t>
        </w:r>
      </w:hyperlink>
      <w:r>
        <w:t xml:space="preserve">. Chapman; Hall/CRC, New York.</w:t>
      </w:r>
    </w:p>
    <w:bookmarkEnd w:id="100"/>
    <w:bookmarkStart w:id="102" w:name="ref-zipkin2019"/>
    <w:p>
      <w:pPr>
        <w:pStyle w:val="Bibliographie"/>
      </w:pPr>
      <w:r>
        <w:t xml:space="preserve">Zipkin EF, Inouye BD, Beissinger SR (2019)</w:t>
      </w:r>
      <w:r>
        <w:t xml:space="preserve"> </w:t>
      </w:r>
      <w:hyperlink r:id="rId101">
        <w:r>
          <w:rPr>
            <w:rStyle w:val="Lienhypertexte"/>
          </w:rPr>
          <w:t xml:space="preserve">Innovations in Data Integration for Modeling Populations</w:t>
        </w:r>
      </w:hyperlink>
      <w:r>
        <w:t xml:space="preserve">. Ecology:e02713.</w:t>
      </w:r>
    </w:p>
    <w:bookmarkEnd w:id="102"/>
    <w:bookmarkEnd w:id="103"/>
    <w:bookmarkEnd w:id="104"/>
    <w:sectPr w:rsidR="00E0279E" w:rsidSect="00F93FE2">
      <w:pgSz w:h="15840" w:w="12240"/>
      <w:pgMar w:bottom="1417" w:footer="720" w:gutter="0" w:header="720" w:left="1417" w:right="1417" w:top="1417"/>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FFFFFF7C"/>
    <w:multiLevelType w:val="singleLevel"/>
    <w:tmpl w:val="047C78EA"/>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2AAA2D9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038EE1D4"/>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2DAC7B38"/>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BC22DEE8"/>
    <w:lvl w:ilvl="0">
      <w:start w:val="1"/>
      <w:numFmt w:val="bullet"/>
      <w:lvlText w:val=""/>
      <w:lvlJc w:val="left"/>
      <w:pPr>
        <w:tabs>
          <w:tab w:pos="1492" w:val="num"/>
        </w:tabs>
        <w:ind w:hanging="360" w:left="1492"/>
      </w:pPr>
      <w:rPr>
        <w:rFonts w:ascii="Symbol" w:cs="Symbol" w:hAnsi="Symbol" w:hint="default"/>
      </w:rPr>
    </w:lvl>
  </w:abstractNum>
  <w:abstractNum w15:restartNumberingAfterBreak="0" w:abstractNumId="5">
    <w:nsid w:val="FFFFFF81"/>
    <w:multiLevelType w:val="singleLevel"/>
    <w:tmpl w:val="17406CD8"/>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34945FD0"/>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3016048C"/>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B7222B56"/>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D0387DF8"/>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33BE608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8C647C42"/>
    <w:lvl w:ilvl="0">
      <w:numFmt w:val="bullet"/>
      <w:lvlText w:val="•"/>
      <w:lvlJc w:val="left"/>
      <w:pPr>
        <w:ind w:hanging="480" w:left="720"/>
      </w:pPr>
    </w:lvl>
    <w:lvl w:ilvl="1">
      <w:numFmt w:val="bullet"/>
      <w:lvlText w:val="–"/>
      <w:lvlJc w:val="left"/>
      <w:pPr>
        <w:ind w:hanging="480" w:left="1440"/>
      </w:pPr>
    </w:lvl>
    <w:lvl w:ilvl="2">
      <w:numFmt w:val="bullet"/>
      <w:lvlText w:val="•"/>
      <w:lvlJc w:val="left"/>
      <w:pPr>
        <w:ind w:hanging="480" w:left="2160"/>
      </w:pPr>
    </w:lvl>
    <w:lvl w:ilvl="3">
      <w:numFmt w:val="bullet"/>
      <w:lvlText w:val="–"/>
      <w:lvlJc w:val="left"/>
      <w:pPr>
        <w:ind w:hanging="480" w:left="2880"/>
      </w:pPr>
    </w:lvl>
    <w:lvl w:ilvl="4">
      <w:numFmt w:val="bullet"/>
      <w:lvlText w:val="•"/>
      <w:lvlJc w:val="left"/>
      <w:pPr>
        <w:ind w:hanging="480" w:left="3600"/>
      </w:pPr>
    </w:lvl>
    <w:lvl w:ilvl="5">
      <w:numFmt w:val="bullet"/>
      <w:lvlText w:val="–"/>
      <w:lvlJc w:val="left"/>
      <w:pPr>
        <w:ind w:hanging="480" w:left="4320"/>
      </w:pPr>
    </w:lvl>
    <w:lvl w:ilvl="6">
      <w:numFmt w:val="bullet"/>
      <w:lvlText w:val="•"/>
      <w:lvlJc w:val="left"/>
      <w:pPr>
        <w:ind w:hanging="480" w:left="5040"/>
      </w:pPr>
    </w:lvl>
    <w:lvl w:ilvl="7">
      <w:numFmt w:val="bullet"/>
      <w:lvlText w:val="–"/>
      <w:lvlJc w:val="left"/>
      <w:pPr>
        <w:ind w:hanging="480" w:left="5760"/>
      </w:pPr>
    </w:lvl>
    <w:lvl w:ilvl="8">
      <w:numFmt w:val="bullet"/>
      <w:lvlText w:val="•"/>
      <w:lvlJc w:val="left"/>
      <w:pPr>
        <w:ind w:hanging="480" w:left="648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31">
    <w:nsid w:val="A9943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10"/>
  </w:num>
  <w:num w:numId="2">
    <w:abstractNumId w:val="11"/>
  </w:num>
  <w:num w:numId="3">
    <w:abstractNumId w:val="11"/>
  </w:num>
  <w:num w:numId="4">
    <w:abstractNumId w:val="11"/>
  </w:num>
  <w:num w:numId="5">
    <w:abstractNumId w:val="11"/>
  </w:num>
  <w:num w:numId="6">
    <w:abstractNumId w:val="11"/>
  </w:num>
  <w:num w:numId="7">
    <w:abstractNumId w:val="11"/>
  </w:num>
  <w:num w:numId="8">
    <w:abstractNumId w:val="4"/>
  </w:num>
  <w:num w:numId="9">
    <w:abstractNumId w:val="5"/>
  </w:num>
  <w:num w:numId="10">
    <w:abstractNumId w:val="6"/>
  </w:num>
  <w:num w:numId="11">
    <w:abstractNumId w:val="7"/>
  </w:num>
  <w:num w:numId="12">
    <w:abstractNumId w:val="9"/>
  </w:num>
  <w:num w:numId="13">
    <w:abstractNumId w:val="0"/>
  </w:num>
  <w:num w:numId="14">
    <w:abstractNumId w:val="1"/>
  </w:num>
  <w:num w:numId="15">
    <w:abstractNumId w:val="2"/>
  </w:num>
  <w:num w:numId="16">
    <w:abstractNumId w:val="3"/>
  </w:num>
  <w:num w:numId="17">
    <w:abstractNumId w:val="8"/>
  </w:num>
  <w:num w:numId="1000">
    <w:abstractNumId w:val="990"/>
  </w:num>
  <w:num w:numId="1001">
    <w:abstractNumId w:val="99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40"/>
  <w:embedSystemFonts/>
  <w:proofState w:grammar="clean" w:spelling="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Right/>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Titre1" w:type="paragraph">
    <w:name w:val="heading 1"/>
    <w:basedOn w:val="Normal"/>
    <w:next w:val="Corpsdetexte"/>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Titre2" w:type="paragraph">
    <w:name w:val="heading 2"/>
    <w:basedOn w:val="Normal"/>
    <w:next w:val="Corpsdetexte"/>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Titre3" w:type="paragraph">
    <w:name w:val="heading 3"/>
    <w:basedOn w:val="Normal"/>
    <w:next w:val="Corpsdetexte"/>
    <w:uiPriority w:val="9"/>
    <w:unhideWhenUsed/>
    <w:qFormat/>
    <w:pPr>
      <w:keepNext/>
      <w:keepLines/>
      <w:spacing w:after="0" w:before="200"/>
      <w:outlineLvl w:val="2"/>
    </w:pPr>
    <w:rPr>
      <w:rFonts w:asciiTheme="majorHAnsi" w:cstheme="majorBidi" w:eastAsiaTheme="majorEastAsia" w:hAnsiTheme="majorHAnsi"/>
      <w:b/>
      <w:bCs/>
      <w:color w:themeColor="accent1" w:val="4F81BD"/>
    </w:rPr>
  </w:style>
  <w:style w:styleId="Titre4" w:type="paragraph">
    <w:name w:val="heading 4"/>
    <w:basedOn w:val="Normal"/>
    <w:next w:val="Corpsdetexte"/>
    <w:uiPriority w:val="9"/>
    <w:unhideWhenUsed/>
    <w:qFormat/>
    <w:pPr>
      <w:keepNext/>
      <w:keepLines/>
      <w:spacing w:after="0" w:before="200"/>
      <w:outlineLvl w:val="3"/>
    </w:pPr>
    <w:rPr>
      <w:rFonts w:asciiTheme="majorHAnsi" w:cstheme="majorBidi" w:eastAsiaTheme="majorEastAsia" w:hAnsiTheme="majorHAnsi"/>
      <w:bCs/>
      <w:i/>
      <w:color w:themeColor="accent1" w:val="4F81BD"/>
    </w:rPr>
  </w:style>
  <w:style w:styleId="Titre5" w:type="paragraph">
    <w:name w:val="heading 5"/>
    <w:basedOn w:val="Normal"/>
    <w:next w:val="Corpsdetexte"/>
    <w:uiPriority w:val="9"/>
    <w:unhideWhenUsed/>
    <w:qFormat/>
    <w:pPr>
      <w:keepNext/>
      <w:keepLines/>
      <w:spacing w:after="0" w:before="200"/>
      <w:outlineLvl w:val="4"/>
    </w:pPr>
    <w:rPr>
      <w:rFonts w:asciiTheme="majorHAnsi" w:cstheme="majorBidi" w:eastAsiaTheme="majorEastAsia" w:hAnsiTheme="majorHAnsi"/>
      <w:iCs/>
      <w:color w:themeColor="accent1" w:val="4F81BD"/>
    </w:rPr>
  </w:style>
  <w:style w:styleId="Titre6" w:type="paragraph">
    <w:name w:val="heading 6"/>
    <w:basedOn w:val="Normal"/>
    <w:next w:val="Corpsdetexte"/>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styleId="Titre7" w:type="paragraph">
    <w:name w:val="heading 7"/>
    <w:basedOn w:val="Normal"/>
    <w:next w:val="Corpsdetexte"/>
    <w:uiPriority w:val="9"/>
    <w:unhideWhenUsed/>
    <w:qFormat/>
    <w:pPr>
      <w:keepNext/>
      <w:keepLines/>
      <w:spacing w:after="0" w:before="200"/>
      <w:outlineLvl w:val="6"/>
    </w:pPr>
    <w:rPr>
      <w:rFonts w:asciiTheme="majorHAnsi" w:cstheme="majorBidi" w:eastAsiaTheme="majorEastAsia" w:hAnsiTheme="majorHAnsi"/>
      <w:color w:themeColor="accent1" w:val="4F81BD"/>
    </w:rPr>
  </w:style>
  <w:style w:styleId="Titre8" w:type="paragraph">
    <w:name w:val="heading 8"/>
    <w:basedOn w:val="Normal"/>
    <w:next w:val="Corpsdetexte"/>
    <w:uiPriority w:val="9"/>
    <w:unhideWhenUsed/>
    <w:qFormat/>
    <w:pPr>
      <w:keepNext/>
      <w:keepLines/>
      <w:spacing w:after="0" w:before="200"/>
      <w:outlineLvl w:val="7"/>
    </w:pPr>
    <w:rPr>
      <w:rFonts w:asciiTheme="majorHAnsi" w:cstheme="majorBidi" w:eastAsiaTheme="majorEastAsia" w:hAnsiTheme="majorHAnsi"/>
      <w:color w:themeColor="accent1" w:val="4F81BD"/>
    </w:rPr>
  </w:style>
  <w:style w:styleId="Titre9" w:type="paragraph">
    <w:name w:val="heading 9"/>
    <w:basedOn w:val="Normal"/>
    <w:next w:val="Corpsdetexte"/>
    <w:uiPriority w:val="9"/>
    <w:unhideWhenUsed/>
    <w:qFormat/>
    <w:pPr>
      <w:keepNext/>
      <w:keepLines/>
      <w:spacing w:after="0" w:before="200"/>
      <w:outlineLvl w:val="8"/>
    </w:pPr>
    <w:rPr>
      <w:rFonts w:asciiTheme="majorHAnsi" w:cstheme="majorBidi" w:eastAsiaTheme="majorEastAsia" w:hAnsiTheme="majorHAnsi"/>
      <w:color w:themeColor="accent1" w:val="4F81BD"/>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Corpsdetexte" w:type="paragraph">
    <w:name w:val="Body Text"/>
    <w:basedOn w:val="Normal"/>
    <w:link w:val="CorpsdetexteCar"/>
    <w:qFormat/>
    <w:rsid w:val="00DE6A26"/>
    <w:pPr>
      <w:spacing w:after="180" w:before="180" w:line="360" w:lineRule="auto"/>
      <w:jc w:val="both"/>
    </w:pPr>
    <w:rPr>
      <w:rFonts w:ascii="Times New Roman" w:hAnsi="Times New Roman"/>
    </w:rPr>
  </w:style>
  <w:style w:customStyle="1" w:styleId="FirstParagraph" w:type="paragraph">
    <w:name w:val="First Paragraph"/>
    <w:basedOn w:val="Corpsdetexte"/>
    <w:next w:val="Corpsdetexte"/>
    <w:qFormat/>
    <w:rsid w:val="00F93FE2"/>
  </w:style>
  <w:style w:customStyle="1" w:styleId="Compact" w:type="paragraph">
    <w:name w:val="Compact"/>
    <w:basedOn w:val="Corpsdetexte"/>
    <w:qFormat/>
    <w:pPr>
      <w:spacing w:after="36" w:before="36"/>
    </w:pPr>
  </w:style>
  <w:style w:styleId="Titre" w:type="paragraph">
    <w:name w:val="Title"/>
    <w:basedOn w:val="Normal"/>
    <w:next w:val="Corpsdetexte"/>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ous-titre" w:type="paragraph">
    <w:name w:val="Subtitle"/>
    <w:basedOn w:val="Titre"/>
    <w:next w:val="Corpsdetexte"/>
    <w:qFormat/>
    <w:pPr>
      <w:spacing w:before="240"/>
    </w:pPr>
    <w:rPr>
      <w:sz w:val="30"/>
      <w:szCs w:val="30"/>
    </w:rPr>
  </w:style>
  <w:style w:customStyle="1" w:styleId="Author" w:type="paragraph">
    <w:name w:val="Author"/>
    <w:next w:val="Corpsdetexte"/>
    <w:qFormat/>
    <w:pPr>
      <w:keepNext/>
      <w:keepLines/>
      <w:jc w:val="center"/>
    </w:pPr>
  </w:style>
  <w:style w:styleId="Date" w:type="paragraph">
    <w:name w:val="Date"/>
    <w:next w:val="Corpsdetexte"/>
    <w:qFormat/>
    <w:pPr>
      <w:keepNext/>
      <w:keepLines/>
      <w:jc w:val="center"/>
    </w:pPr>
  </w:style>
  <w:style w:customStyle="1" w:styleId="Abstract" w:type="paragraph">
    <w:name w:val="Abstract"/>
    <w:basedOn w:val="Normal"/>
    <w:next w:val="Corpsdetexte"/>
    <w:qFormat/>
    <w:rsid w:val="000214FB"/>
    <w:pPr>
      <w:keepNext/>
      <w:keepLines/>
      <w:spacing w:after="420" w:before="420" w:line="360" w:lineRule="auto"/>
      <w:ind w:left="720"/>
      <w:jc w:val="both"/>
    </w:pPr>
    <w:rPr>
      <w:rFonts w:ascii="Times New Roman" w:hAnsi="Times New Roman"/>
      <w:color w:themeColor="accent2" w:themeShade="80" w:val="632423"/>
      <w:szCs w:val="20"/>
    </w:rPr>
  </w:style>
  <w:style w:styleId="Bibliographie" w:type="paragraph">
    <w:name w:val="Bibliography"/>
    <w:basedOn w:val="Normal"/>
    <w:qFormat/>
  </w:style>
  <w:style w:styleId="Normalcentr" w:type="paragraph">
    <w:name w:val="Block Text"/>
    <w:basedOn w:val="Corpsdetexte"/>
    <w:next w:val="Corpsdetexte"/>
    <w:uiPriority w:val="9"/>
    <w:unhideWhenUsed/>
    <w:qFormat/>
    <w:pPr>
      <w:spacing w:after="100" w:before="100"/>
      <w:ind w:left="480" w:right="480"/>
    </w:pPr>
  </w:style>
  <w:style w:styleId="Notedebasdepage" w:type="paragraph">
    <w:name w:val="footnote text"/>
    <w:basedOn w:val="Normal"/>
    <w:uiPriority w:val="9"/>
    <w:unhideWhenUsed/>
    <w:qFormat/>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Lgende" w:type="paragraph">
    <w:name w:val="caption"/>
    <w:basedOn w:val="Normal"/>
    <w:link w:val="LgendeCar"/>
    <w:pPr>
      <w:spacing w:after="120"/>
    </w:pPr>
    <w:rPr>
      <w:i/>
    </w:rPr>
  </w:style>
  <w:style w:customStyle="1" w:styleId="TableCaption" w:type="paragraph">
    <w:name w:val="Table Caption"/>
    <w:basedOn w:val="Lgende"/>
    <w:pPr>
      <w:keepNext/>
    </w:pPr>
  </w:style>
  <w:style w:customStyle="1" w:styleId="ImageCaption" w:type="paragraph">
    <w:name w:val="Image Caption"/>
    <w:basedOn w:val="Lgende"/>
  </w:style>
  <w:style w:customStyle="1" w:styleId="Figure" w:type="paragraph">
    <w:name w:val="Figure"/>
    <w:basedOn w:val="Normal"/>
  </w:style>
  <w:style w:customStyle="1" w:styleId="CaptionedFigure" w:type="paragraph">
    <w:name w:val="Captioned Figure"/>
    <w:basedOn w:val="Figure"/>
    <w:pPr>
      <w:keepNext/>
    </w:pPr>
  </w:style>
  <w:style w:customStyle="1" w:styleId="LgendeCar" w:type="character">
    <w:name w:val="Légende Car"/>
    <w:basedOn w:val="Policepardfaut"/>
    <w:link w:val="Lgende"/>
  </w:style>
  <w:style w:customStyle="1" w:styleId="VerbatimChar" w:type="character">
    <w:name w:val="Verbatim Char"/>
    <w:basedOn w:val="LgendeCar"/>
    <w:link w:val="SourceCode"/>
    <w:rPr>
      <w:rFonts w:ascii="Consolas" w:hAnsi="Consolas"/>
      <w:sz w:val="22"/>
    </w:rPr>
  </w:style>
  <w:style w:customStyle="1" w:styleId="SectionNumber" w:type="character">
    <w:name w:val="Section Number"/>
    <w:basedOn w:val="LgendeCar"/>
  </w:style>
  <w:style w:styleId="Appelnotedebasdep" w:type="character">
    <w:name w:val="footnote reference"/>
    <w:basedOn w:val="LgendeCar"/>
    <w:rPr>
      <w:vertAlign w:val="superscript"/>
    </w:rPr>
  </w:style>
  <w:style w:styleId="Lienhypertexte" w:type="character">
    <w:name w:val="Hyperlink"/>
    <w:basedOn w:val="LgendeCar"/>
    <w:rPr>
      <w:color w:themeColor="accent1" w:val="4F81BD"/>
    </w:rPr>
  </w:style>
  <w:style w:styleId="En-ttedetabledesmatires" w:type="paragraph">
    <w:name w:val="TOC Heading"/>
    <w:basedOn w:val="Titre1"/>
    <w:next w:val="Corpsdetexte"/>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color w:val="204A87"/>
      <w:sz w:val="22"/>
      <w:shd w:color="auto" w:fill="F8F8F8" w:val="clear"/>
    </w:rPr>
  </w:style>
  <w:style w:customStyle="1" w:styleId="DataTypeTok" w:type="character">
    <w:name w:val="DataTypeTok"/>
    <w:basedOn w:val="VerbatimChar"/>
    <w:rPr>
      <w:rFonts w:ascii="Consolas" w:hAnsi="Consolas"/>
      <w:color w:val="204A87"/>
      <w:sz w:val="22"/>
      <w:shd w:color="auto" w:fill="F8F8F8" w:val="clear"/>
    </w:rPr>
  </w:style>
  <w:style w:customStyle="1" w:styleId="DecValTok" w:type="character">
    <w:name w:val="DecValTok"/>
    <w:basedOn w:val="VerbatimChar"/>
    <w:rPr>
      <w:rFonts w:ascii="Consolas" w:hAnsi="Consolas"/>
      <w:color w:val="0000CF"/>
      <w:sz w:val="22"/>
      <w:shd w:color="auto" w:fill="F8F8F8" w:val="clear"/>
    </w:rPr>
  </w:style>
  <w:style w:customStyle="1" w:styleId="BaseNTok" w:type="character">
    <w:name w:val="BaseNTok"/>
    <w:basedOn w:val="VerbatimChar"/>
    <w:rPr>
      <w:rFonts w:ascii="Consolas" w:hAnsi="Consolas"/>
      <w:color w:val="0000CF"/>
      <w:sz w:val="22"/>
      <w:shd w:color="auto" w:fill="F8F8F8" w:val="clear"/>
    </w:rPr>
  </w:style>
  <w:style w:customStyle="1" w:styleId="FloatTok" w:type="character">
    <w:name w:val="FloatTok"/>
    <w:basedOn w:val="VerbatimChar"/>
    <w:rPr>
      <w:rFonts w:ascii="Consolas" w:hAnsi="Consolas"/>
      <w:color w:val="0000CF"/>
      <w:sz w:val="22"/>
      <w:shd w:color="auto" w:fill="F8F8F8" w:val="clear"/>
    </w:rPr>
  </w:style>
  <w:style w:customStyle="1" w:styleId="ConstantTok" w:type="character">
    <w:name w:val="ConstantTok"/>
    <w:basedOn w:val="VerbatimChar"/>
    <w:rPr>
      <w:rFonts w:ascii="Consolas" w:hAnsi="Consolas"/>
      <w:color w:val="000000"/>
      <w:sz w:val="22"/>
      <w:shd w:color="auto" w:fill="F8F8F8" w:val="clear"/>
    </w:rPr>
  </w:style>
  <w:style w:customStyle="1" w:styleId="CharTok" w:type="character">
    <w:name w:val="CharTok"/>
    <w:basedOn w:val="VerbatimChar"/>
    <w:rPr>
      <w:rFonts w:ascii="Consolas" w:hAnsi="Consolas"/>
      <w:color w:val="4E9A06"/>
      <w:sz w:val="22"/>
      <w:shd w:color="auto" w:fill="F8F8F8" w:val="clear"/>
    </w:rPr>
  </w:style>
  <w:style w:customStyle="1" w:styleId="SpecialCharTok" w:type="character">
    <w:name w:val="SpecialCharTok"/>
    <w:basedOn w:val="VerbatimChar"/>
    <w:rPr>
      <w:rFonts w:ascii="Consolas" w:hAnsi="Consolas"/>
      <w:color w:val="000000"/>
      <w:sz w:val="22"/>
      <w:shd w:color="auto" w:fill="F8F8F8" w:val="clear"/>
    </w:rPr>
  </w:style>
  <w:style w:customStyle="1" w:styleId="StringTok" w:type="character">
    <w:name w:val="StringTok"/>
    <w:basedOn w:val="VerbatimChar"/>
    <w:rPr>
      <w:rFonts w:ascii="Consolas" w:hAnsi="Consolas"/>
      <w:color w:val="4E9A06"/>
      <w:sz w:val="22"/>
      <w:shd w:color="auto" w:fill="F8F8F8" w:val="clear"/>
    </w:rPr>
  </w:style>
  <w:style w:customStyle="1" w:styleId="VerbatimStringTok" w:type="character">
    <w:name w:val="VerbatimStringTok"/>
    <w:basedOn w:val="VerbatimChar"/>
    <w:rPr>
      <w:rFonts w:ascii="Consolas" w:hAnsi="Consolas"/>
      <w:color w:val="4E9A06"/>
      <w:sz w:val="22"/>
      <w:shd w:color="auto" w:fill="F8F8F8" w:val="clear"/>
    </w:rPr>
  </w:style>
  <w:style w:customStyle="1" w:styleId="SpecialStringTok" w:type="character">
    <w:name w:val="SpecialStringTok"/>
    <w:basedOn w:val="VerbatimChar"/>
    <w:rPr>
      <w:rFonts w:ascii="Consolas" w:hAnsi="Consolas"/>
      <w:color w:val="4E9A06"/>
      <w:sz w:val="22"/>
      <w:shd w:color="auto" w:fill="F8F8F8" w:val="clear"/>
    </w:rPr>
  </w:style>
  <w:style w:customStyle="1" w:styleId="ImportTok" w:type="character">
    <w:name w:val="ImportTok"/>
    <w:basedOn w:val="VerbatimChar"/>
    <w:rPr>
      <w:rFonts w:ascii="Consolas" w:hAnsi="Consolas"/>
      <w:sz w:val="22"/>
      <w:shd w:color="auto" w:fill="F8F8F8" w:val="clear"/>
    </w:rPr>
  </w:style>
  <w:style w:customStyle="1" w:styleId="CommentTok" w:type="character">
    <w:name w:val="CommentTok"/>
    <w:basedOn w:val="VerbatimChar"/>
    <w:rPr>
      <w:rFonts w:ascii="Consolas" w:hAnsi="Consolas"/>
      <w:i/>
      <w:color w:val="8F5902"/>
      <w:sz w:val="22"/>
      <w:shd w:color="auto" w:fill="F8F8F8" w:val="clear"/>
    </w:rPr>
  </w:style>
  <w:style w:customStyle="1" w:styleId="DocumentationTok" w:type="character">
    <w:name w:val="DocumentationTok"/>
    <w:basedOn w:val="VerbatimChar"/>
    <w:rPr>
      <w:rFonts w:ascii="Consolas" w:hAnsi="Consolas"/>
      <w:b/>
      <w:i/>
      <w:color w:val="8F5902"/>
      <w:sz w:val="22"/>
      <w:shd w:color="auto" w:fill="F8F8F8" w:val="clear"/>
    </w:rPr>
  </w:style>
  <w:style w:customStyle="1" w:styleId="AnnotationTok" w:type="character">
    <w:name w:val="AnnotationTok"/>
    <w:basedOn w:val="VerbatimChar"/>
    <w:rPr>
      <w:rFonts w:ascii="Consolas" w:hAnsi="Consolas"/>
      <w:b/>
      <w:i/>
      <w:color w:val="8F5902"/>
      <w:sz w:val="22"/>
      <w:shd w:color="auto" w:fill="F8F8F8" w:val="clear"/>
    </w:rPr>
  </w:style>
  <w:style w:customStyle="1" w:styleId="CommentVarTok" w:type="character">
    <w:name w:val="CommentVarTok"/>
    <w:basedOn w:val="VerbatimChar"/>
    <w:rPr>
      <w:rFonts w:ascii="Consolas" w:hAnsi="Consolas"/>
      <w:b/>
      <w:i/>
      <w:color w:val="8F5902"/>
      <w:sz w:val="22"/>
      <w:shd w:color="auto" w:fill="F8F8F8" w:val="clear"/>
    </w:rPr>
  </w:style>
  <w:style w:customStyle="1" w:styleId="OtherTok" w:type="character">
    <w:name w:val="OtherTok"/>
    <w:basedOn w:val="VerbatimChar"/>
    <w:rPr>
      <w:rFonts w:ascii="Consolas" w:hAnsi="Consolas"/>
      <w:color w:val="8F5902"/>
      <w:sz w:val="22"/>
      <w:shd w:color="auto" w:fill="F8F8F8" w:val="clear"/>
    </w:rPr>
  </w:style>
  <w:style w:customStyle="1" w:styleId="FunctionTok" w:type="character">
    <w:name w:val="FunctionTok"/>
    <w:basedOn w:val="VerbatimChar"/>
    <w:rPr>
      <w:rFonts w:ascii="Consolas" w:hAnsi="Consolas"/>
      <w:color w:val="000000"/>
      <w:sz w:val="22"/>
      <w:shd w:color="auto" w:fill="F8F8F8" w:val="clear"/>
    </w:rPr>
  </w:style>
  <w:style w:customStyle="1" w:styleId="VariableTok" w:type="character">
    <w:name w:val="VariableTok"/>
    <w:basedOn w:val="VerbatimChar"/>
    <w:rPr>
      <w:rFonts w:ascii="Consolas" w:hAnsi="Consolas"/>
      <w:color w:val="000000"/>
      <w:sz w:val="22"/>
      <w:shd w:color="auto" w:fill="F8F8F8" w:val="clear"/>
    </w:rPr>
  </w:style>
  <w:style w:customStyle="1" w:styleId="ControlFlowTok" w:type="character">
    <w:name w:val="ControlFlowTok"/>
    <w:basedOn w:val="VerbatimChar"/>
    <w:rPr>
      <w:rFonts w:ascii="Consolas" w:hAnsi="Consolas"/>
      <w:b/>
      <w:color w:val="204A87"/>
      <w:sz w:val="22"/>
      <w:shd w:color="auto" w:fill="F8F8F8" w:val="clear"/>
    </w:rPr>
  </w:style>
  <w:style w:customStyle="1" w:styleId="OperatorTok" w:type="character">
    <w:name w:val="OperatorTok"/>
    <w:basedOn w:val="VerbatimChar"/>
    <w:rPr>
      <w:rFonts w:ascii="Consolas" w:hAnsi="Consolas"/>
      <w:b/>
      <w:color w:val="CE5C00"/>
      <w:sz w:val="22"/>
      <w:shd w:color="auto" w:fill="F8F8F8" w:val="clear"/>
    </w:rPr>
  </w:style>
  <w:style w:customStyle="1" w:styleId="BuiltInTok" w:type="character">
    <w:name w:val="BuiltInTok"/>
    <w:basedOn w:val="VerbatimChar"/>
    <w:rPr>
      <w:rFonts w:ascii="Consolas" w:hAnsi="Consolas"/>
      <w:sz w:val="22"/>
      <w:shd w:color="auto" w:fill="F8F8F8" w:val="clear"/>
    </w:rPr>
  </w:style>
  <w:style w:customStyle="1" w:styleId="ExtensionTok" w:type="character">
    <w:name w:val="ExtensionTok"/>
    <w:basedOn w:val="VerbatimChar"/>
    <w:rPr>
      <w:rFonts w:ascii="Consolas" w:hAnsi="Consolas"/>
      <w:sz w:val="22"/>
      <w:shd w:color="auto" w:fill="F8F8F8" w:val="clear"/>
    </w:rPr>
  </w:style>
  <w:style w:customStyle="1" w:styleId="PreprocessorTok" w:type="character">
    <w:name w:val="PreprocessorTok"/>
    <w:basedOn w:val="VerbatimChar"/>
    <w:rPr>
      <w:rFonts w:ascii="Consolas" w:hAnsi="Consolas"/>
      <w:i/>
      <w:color w:val="8F5902"/>
      <w:sz w:val="22"/>
      <w:shd w:color="auto" w:fill="F8F8F8" w:val="clear"/>
    </w:rPr>
  </w:style>
  <w:style w:customStyle="1" w:styleId="AttributeTok" w:type="character">
    <w:name w:val="AttributeTok"/>
    <w:basedOn w:val="VerbatimChar"/>
    <w:rPr>
      <w:rFonts w:ascii="Consolas" w:hAnsi="Consolas"/>
      <w:color w:val="C4A000"/>
      <w:sz w:val="22"/>
      <w:shd w:color="auto" w:fill="F8F8F8" w:val="clear"/>
    </w:rPr>
  </w:style>
  <w:style w:customStyle="1" w:styleId="RegionMarkerTok" w:type="character">
    <w:name w:val="RegionMarkerTok"/>
    <w:basedOn w:val="VerbatimChar"/>
    <w:rPr>
      <w:rFonts w:ascii="Consolas" w:hAnsi="Consolas"/>
      <w:sz w:val="22"/>
      <w:shd w:color="auto" w:fill="F8F8F8" w:val="clear"/>
    </w:rPr>
  </w:style>
  <w:style w:customStyle="1" w:styleId="InformationTok" w:type="character">
    <w:name w:val="InformationTok"/>
    <w:basedOn w:val="VerbatimChar"/>
    <w:rPr>
      <w:rFonts w:ascii="Consolas" w:hAnsi="Consolas"/>
      <w:b/>
      <w:i/>
      <w:color w:val="8F5902"/>
      <w:sz w:val="22"/>
      <w:shd w:color="auto" w:fill="F8F8F8" w:val="clear"/>
    </w:rPr>
  </w:style>
  <w:style w:customStyle="1" w:styleId="WarningTok" w:type="character">
    <w:name w:val="WarningTok"/>
    <w:basedOn w:val="VerbatimChar"/>
    <w:rPr>
      <w:rFonts w:ascii="Consolas" w:hAnsi="Consolas"/>
      <w:b/>
      <w:i/>
      <w:color w:val="8F5902"/>
      <w:sz w:val="22"/>
      <w:shd w:color="auto" w:fill="F8F8F8" w:val="clear"/>
    </w:rPr>
  </w:style>
  <w:style w:customStyle="1" w:styleId="AlertTok" w:type="character">
    <w:name w:val="AlertTok"/>
    <w:basedOn w:val="VerbatimChar"/>
    <w:rPr>
      <w:rFonts w:ascii="Consolas" w:hAnsi="Consolas"/>
      <w:color w:val="EF2929"/>
      <w:sz w:val="22"/>
      <w:shd w:color="auto" w:fill="F8F8F8" w:val="clear"/>
    </w:rPr>
  </w:style>
  <w:style w:customStyle="1" w:styleId="ErrorTok" w:type="character">
    <w:name w:val="ErrorTok"/>
    <w:basedOn w:val="VerbatimChar"/>
    <w:rPr>
      <w:rFonts w:ascii="Consolas" w:hAnsi="Consolas"/>
      <w:b/>
      <w:color w:val="A40000"/>
      <w:sz w:val="22"/>
      <w:shd w:color="auto" w:fill="F8F8F8" w:val="clear"/>
    </w:rPr>
  </w:style>
  <w:style w:customStyle="1" w:styleId="NormalTok" w:type="character">
    <w:name w:val="NormalTok"/>
    <w:basedOn w:val="VerbatimChar"/>
    <w:rPr>
      <w:rFonts w:ascii="Consolas" w:hAnsi="Consolas"/>
      <w:sz w:val="22"/>
      <w:shd w:color="auto" w:fill="F8F8F8" w:val="clear"/>
    </w:rPr>
  </w:style>
  <w:style w:styleId="Numrodeligne" w:type="character">
    <w:name w:val="line number"/>
    <w:basedOn w:val="Policepardfaut"/>
    <w:semiHidden/>
    <w:unhideWhenUsed/>
    <w:rsid w:val="00F93FE2"/>
  </w:style>
  <w:style w:customStyle="1" w:styleId="CorpsdetexteCar" w:type="character">
    <w:name w:val="Corps de texte Car"/>
    <w:basedOn w:val="Policepardfaut"/>
    <w:link w:val="Corpsdetexte"/>
    <w:rsid w:val="00DE6A26"/>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hyperlink" Id="rId47" Target="https://doi.org/10.1002/aqc.3433" TargetMode="External" /><Relationship Type="http://schemas.openxmlformats.org/officeDocument/2006/relationships/hyperlink" Id="rId62" Target="https://doi.org/10.1002/aqc.3614" TargetMode="External" /><Relationship Type="http://schemas.openxmlformats.org/officeDocument/2006/relationships/hyperlink" Id="rId101" Target="https://doi.org/10.1002/ecy.2713" TargetMode="External" /><Relationship Type="http://schemas.openxmlformats.org/officeDocument/2006/relationships/hyperlink" Id="rId95" Target="https://doi.org/10.1007/s10745-018-9989-7" TargetMode="External" /><Relationship Type="http://schemas.openxmlformats.org/officeDocument/2006/relationships/hyperlink" Id="rId49" Target="https://doi.org/10.1007/s11160-022-09712-z" TargetMode="External" /><Relationship Type="http://schemas.openxmlformats.org/officeDocument/2006/relationships/hyperlink" Id="rId66" Target="https://doi.org/10.1016/C2015-0-04070-9" TargetMode="External" /><Relationship Type="http://schemas.openxmlformats.org/officeDocument/2006/relationships/hyperlink" Id="rId72" Target="https://doi.org/10.1016/j.dsr2.2016.12.011" TargetMode="External" /><Relationship Type="http://schemas.openxmlformats.org/officeDocument/2006/relationships/hyperlink" Id="rId70" Target="https://doi.org/10.1016/j.envpol.2020.114430" TargetMode="External" /><Relationship Type="http://schemas.openxmlformats.org/officeDocument/2006/relationships/hyperlink" Id="rId64" Target="https://doi.org/10.1016/j.mambio.2017.03.006" TargetMode="External" /><Relationship Type="http://schemas.openxmlformats.org/officeDocument/2006/relationships/hyperlink" Id="rId41" Target="https://doi.org/10.1016/j.marpol.2018.04.024" TargetMode="External" /><Relationship Type="http://schemas.openxmlformats.org/officeDocument/2006/relationships/hyperlink" Id="rId78" Target="https://doi.org/10.1016/j.tree.2004.09.004" TargetMode="External" /><Relationship Type="http://schemas.openxmlformats.org/officeDocument/2006/relationships/hyperlink" Id="rId39" Target="https://doi.org/10.1038/s41598-017-05189-0" TargetMode="External" /><Relationship Type="http://schemas.openxmlformats.org/officeDocument/2006/relationships/hyperlink" Id="rId60" Target="https://doi.org/10.1038/s41598-017-08850-w" TargetMode="External" /><Relationship Type="http://schemas.openxmlformats.org/officeDocument/2006/relationships/hyperlink" Id="rId74" Target="https://doi.org/10.1101/848663" TargetMode="External" /><Relationship Type="http://schemas.openxmlformats.org/officeDocument/2006/relationships/hyperlink" Id="rId89" Target="https://doi.org/10.1111/2041-210X.12587" TargetMode="External" /><Relationship Type="http://schemas.openxmlformats.org/officeDocument/2006/relationships/hyperlink" Id="rId58" Target="https://doi.org/10.1111/2041-210X.13117" TargetMode="External" /><Relationship Type="http://schemas.openxmlformats.org/officeDocument/2006/relationships/hyperlink" Id="rId85" Target="https://doi.org/10.1111/acv.12132" TargetMode="External" /><Relationship Type="http://schemas.openxmlformats.org/officeDocument/2006/relationships/hyperlink" Id="rId81" Target="https://doi.org/10.1111/cobi.13897" TargetMode="External" /><Relationship Type="http://schemas.openxmlformats.org/officeDocument/2006/relationships/hyperlink" Id="rId83" Target="https://doi.org/10.1111/ecog.04536" TargetMode="External" /><Relationship Type="http://schemas.openxmlformats.org/officeDocument/2006/relationships/hyperlink" Id="rId45" Target="https://doi.org/10.1111/j.1365-2907.2008.00133.x" TargetMode="External" /><Relationship Type="http://schemas.openxmlformats.org/officeDocument/2006/relationships/hyperlink" Id="rId52" Target="https://doi.org/10.1111/j.1466-8238.2011.00697.x" TargetMode="External" /><Relationship Type="http://schemas.openxmlformats.org/officeDocument/2006/relationships/hyperlink" Id="rId68" Target="https://doi.org/10.1111/mms.12874" TargetMode="External" /><Relationship Type="http://schemas.openxmlformats.org/officeDocument/2006/relationships/hyperlink" Id="rId93" Target="https://doi.org/10.1139/cjfas-2017-0203" TargetMode="External" /><Relationship Type="http://schemas.openxmlformats.org/officeDocument/2006/relationships/hyperlink" Id="rId99" Target="https://doi.org/10.1201/9781420010404" TargetMode="External" /><Relationship Type="http://schemas.openxmlformats.org/officeDocument/2006/relationships/hyperlink" Id="rId43" Target="https://doi.org/10.1371/journal.pone.0139218" TargetMode="External" /><Relationship Type="http://schemas.openxmlformats.org/officeDocument/2006/relationships/hyperlink" Id="rId76" Target="https://doi.org/10.1371/journal.pone.0211767" TargetMode="External" /><Relationship Type="http://schemas.openxmlformats.org/officeDocument/2006/relationships/hyperlink" Id="rId91" Target="https://doi.org/10.1890/15-1193.1" TargetMode="External" /><Relationship Type="http://schemas.openxmlformats.org/officeDocument/2006/relationships/hyperlink" Id="rId56" Target="https://doi.org/10.3354/esr00743" TargetMode="External" /><Relationship Type="http://schemas.openxmlformats.org/officeDocument/2006/relationships/hyperlink" Id="rId87" Target="https://doi.org/10.3354/meps12672" TargetMode="External" /><Relationship Type="http://schemas.openxmlformats.org/officeDocument/2006/relationships/hyperlink" Id="rId24" Target="https://github.com/valentinlauret/fisheries-tursiops-multispeciesoccupancy" TargetMode="External" /><Relationship Type="http://schemas.openxmlformats.org/officeDocument/2006/relationships/hyperlink" Id="rId54" Target="https://pubag.nal.usda.gov/catalog/7698629" TargetMode="External" /></Relationships>
</file>

<file path=word/_rels/footnotes.xml.rels><?xml version="1.0" encoding="UTF-8"?><Relationships xmlns="http://schemas.openxmlformats.org/package/2006/relationships"><Relationship Type="http://schemas.openxmlformats.org/officeDocument/2006/relationships/hyperlink" Id="rId47" Target="https://doi.org/10.1002/aqc.3433" TargetMode="External" /><Relationship Type="http://schemas.openxmlformats.org/officeDocument/2006/relationships/hyperlink" Id="rId62" Target="https://doi.org/10.1002/aqc.3614" TargetMode="External" /><Relationship Type="http://schemas.openxmlformats.org/officeDocument/2006/relationships/hyperlink" Id="rId101" Target="https://doi.org/10.1002/ecy.2713" TargetMode="External" /><Relationship Type="http://schemas.openxmlformats.org/officeDocument/2006/relationships/hyperlink" Id="rId95" Target="https://doi.org/10.1007/s10745-018-9989-7" TargetMode="External" /><Relationship Type="http://schemas.openxmlformats.org/officeDocument/2006/relationships/hyperlink" Id="rId49" Target="https://doi.org/10.1007/s11160-022-09712-z" TargetMode="External" /><Relationship Type="http://schemas.openxmlformats.org/officeDocument/2006/relationships/hyperlink" Id="rId66" Target="https://doi.org/10.1016/C2015-0-04070-9" TargetMode="External" /><Relationship Type="http://schemas.openxmlformats.org/officeDocument/2006/relationships/hyperlink" Id="rId72" Target="https://doi.org/10.1016/j.dsr2.2016.12.011" TargetMode="External" /><Relationship Type="http://schemas.openxmlformats.org/officeDocument/2006/relationships/hyperlink" Id="rId70" Target="https://doi.org/10.1016/j.envpol.2020.114430" TargetMode="External" /><Relationship Type="http://schemas.openxmlformats.org/officeDocument/2006/relationships/hyperlink" Id="rId64" Target="https://doi.org/10.1016/j.mambio.2017.03.006" TargetMode="External" /><Relationship Type="http://schemas.openxmlformats.org/officeDocument/2006/relationships/hyperlink" Id="rId41" Target="https://doi.org/10.1016/j.marpol.2018.04.024" TargetMode="External" /><Relationship Type="http://schemas.openxmlformats.org/officeDocument/2006/relationships/hyperlink" Id="rId78" Target="https://doi.org/10.1016/j.tree.2004.09.004" TargetMode="External" /><Relationship Type="http://schemas.openxmlformats.org/officeDocument/2006/relationships/hyperlink" Id="rId39" Target="https://doi.org/10.1038/s41598-017-05189-0" TargetMode="External" /><Relationship Type="http://schemas.openxmlformats.org/officeDocument/2006/relationships/hyperlink" Id="rId60" Target="https://doi.org/10.1038/s41598-017-08850-w" TargetMode="External" /><Relationship Type="http://schemas.openxmlformats.org/officeDocument/2006/relationships/hyperlink" Id="rId74" Target="https://doi.org/10.1101/848663" TargetMode="External" /><Relationship Type="http://schemas.openxmlformats.org/officeDocument/2006/relationships/hyperlink" Id="rId89" Target="https://doi.org/10.1111/2041-210X.12587" TargetMode="External" /><Relationship Type="http://schemas.openxmlformats.org/officeDocument/2006/relationships/hyperlink" Id="rId58" Target="https://doi.org/10.1111/2041-210X.13117" TargetMode="External" /><Relationship Type="http://schemas.openxmlformats.org/officeDocument/2006/relationships/hyperlink" Id="rId85" Target="https://doi.org/10.1111/acv.12132" TargetMode="External" /><Relationship Type="http://schemas.openxmlformats.org/officeDocument/2006/relationships/hyperlink" Id="rId81" Target="https://doi.org/10.1111/cobi.13897" TargetMode="External" /><Relationship Type="http://schemas.openxmlformats.org/officeDocument/2006/relationships/hyperlink" Id="rId83" Target="https://doi.org/10.1111/ecog.04536" TargetMode="External" /><Relationship Type="http://schemas.openxmlformats.org/officeDocument/2006/relationships/hyperlink" Id="rId45" Target="https://doi.org/10.1111/j.1365-2907.2008.00133.x" TargetMode="External" /><Relationship Type="http://schemas.openxmlformats.org/officeDocument/2006/relationships/hyperlink" Id="rId52" Target="https://doi.org/10.1111/j.1466-8238.2011.00697.x" TargetMode="External" /><Relationship Type="http://schemas.openxmlformats.org/officeDocument/2006/relationships/hyperlink" Id="rId68" Target="https://doi.org/10.1111/mms.12874" TargetMode="External" /><Relationship Type="http://schemas.openxmlformats.org/officeDocument/2006/relationships/hyperlink" Id="rId93" Target="https://doi.org/10.1139/cjfas-2017-0203" TargetMode="External" /><Relationship Type="http://schemas.openxmlformats.org/officeDocument/2006/relationships/hyperlink" Id="rId99" Target="https://doi.org/10.1201/9781420010404" TargetMode="External" /><Relationship Type="http://schemas.openxmlformats.org/officeDocument/2006/relationships/hyperlink" Id="rId43" Target="https://doi.org/10.1371/journal.pone.0139218" TargetMode="External" /><Relationship Type="http://schemas.openxmlformats.org/officeDocument/2006/relationships/hyperlink" Id="rId76" Target="https://doi.org/10.1371/journal.pone.0211767" TargetMode="External" /><Relationship Type="http://schemas.openxmlformats.org/officeDocument/2006/relationships/hyperlink" Id="rId91" Target="https://doi.org/10.1890/15-1193.1" TargetMode="External" /><Relationship Type="http://schemas.openxmlformats.org/officeDocument/2006/relationships/hyperlink" Id="rId56" Target="https://doi.org/10.3354/esr00743" TargetMode="External" /><Relationship Type="http://schemas.openxmlformats.org/officeDocument/2006/relationships/hyperlink" Id="rId87" Target="https://doi.org/10.3354/meps12672" TargetMode="External" /><Relationship Type="http://schemas.openxmlformats.org/officeDocument/2006/relationships/hyperlink" Id="rId24" Target="https://github.com/valentinlauret/fisheries-tursiops-multispeciesoccupancy" TargetMode="External" /><Relationship Type="http://schemas.openxmlformats.org/officeDocument/2006/relationships/hyperlink" Id="rId54" Target="https://pubag.nal.usda.gov/catalog/769862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4910</Words>
  <Characters>27005</Characters>
  <Application>Microsoft Office Word</Application>
  <DocSecurity>0</DocSecurity>
  <Lines>225</Lines>
  <Paragraphs>63</Paragraphs>
  <ScaleCrop>false</ScaleCrop>
  <Company/>
  <LinksUpToDate>false</LinksUpToDate>
  <CharactersWithSpaces>31852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integrated multispecies occupancy models to map co-occurrence between bottlenose dolphins and fisheries in the Gulf of Lion, French Mediterranean Sea.</dc:title>
  <dc:creator/>
  <cp:keywords/>
  <dcterms:created xsi:type="dcterms:W3CDTF">2022-09-27T14:48:20Z</dcterms:created>
  <dcterms:modified xsi:type="dcterms:W3CDTF">2022-09-27T14:48:20Z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manuscrit_interaction.bib</vt:lpwstr>
  </property>
  <property fmtid="{D5CDD505-2E9C-101B-9397-08002B2CF9AE}" pid="3" name="colorlinks">
    <vt:lpwstr>True</vt:lpwstr>
  </property>
  <property fmtid="{D5CDD505-2E9C-101B-9397-08002B2CF9AE}" pid="4" name="csl">
    <vt:lpwstr>marine-ecology-progress-series.csl</vt:lpwstr>
  </property>
  <property fmtid="{D5CDD505-2E9C-101B-9397-08002B2CF9AE}" pid="5" name="geometry">
    <vt:lpwstr>margin=2cm</vt:lpwstr>
  </property>
  <property fmtid="{D5CDD505-2E9C-101B-9397-08002B2CF9AE}" pid="6" name="header-includes">
    <vt:lpwstr/>
  </property>
  <property fmtid="{D5CDD505-2E9C-101B-9397-08002B2CF9AE}" pid="7" name="link-citations">
    <vt:lpwstr>True</vt:lpwstr>
  </property>
  <property fmtid="{D5CDD505-2E9C-101B-9397-08002B2CF9AE}" pid="8" name="output">
    <vt:lpwstr/>
  </property>
  <property fmtid="{D5CDD505-2E9C-101B-9397-08002B2CF9AE}" pid="9" name="subtitle">
    <vt:lpwstr>Valentin Lauret^1, Hélène Labach^{2}, Léa David^{3}, Matthieu Authier^{4,5}, Olivier Gimenez^{1}</vt:lpwstr>
  </property>
  <property fmtid="{D5CDD505-2E9C-101B-9397-08002B2CF9AE}" pid="10" name="toc">
    <vt:lpwstr>False</vt:lpwstr>
  </property>
</Properties>
</file>